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DE7AB5" w:rsidP="00290C63">
          <w:r w:rsidRPr="00DB723B">
            <w:rPr>
              <w:noProof/>
              <w:lang w:eastAsia="en-AU"/>
            </w:rPr>
            <w:drawing>
              <wp:anchor distT="0" distB="0" distL="114300" distR="114300" simplePos="0" relativeHeight="251661312" behindDoc="1" locked="0" layoutInCell="1" allowOverlap="1" wp14:anchorId="5ADC9056" wp14:editId="5A9A13C0">
                <wp:simplePos x="0" y="0"/>
                <wp:positionH relativeFrom="column">
                  <wp:posOffset>-1116965</wp:posOffset>
                </wp:positionH>
                <wp:positionV relativeFrom="paragraph">
                  <wp:posOffset>-997406</wp:posOffset>
                </wp:positionV>
                <wp:extent cx="7734300" cy="10927003"/>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734300" cy="10927003"/>
                        </a:xfrm>
                        <a:prstGeom prst="rect">
                          <a:avLst/>
                        </a:prstGeom>
                        <a:noFill/>
                      </pic:spPr>
                    </pic:pic>
                  </a:graphicData>
                </a:graphic>
                <wp14:sizeRelH relativeFrom="page">
                  <wp14:pctWidth>0</wp14:pctWidth>
                </wp14:sizeRelH>
                <wp14:sizeRelV relativeFrom="page">
                  <wp14:pctHeight>0</wp14:pctHeight>
                </wp14:sizeRelV>
              </wp:anchor>
            </w:drawing>
          </w:r>
          <w:r w:rsidR="000A6C7B" w:rsidRPr="00290C63">
            <w:rPr>
              <w:noProof/>
              <w:lang w:eastAsia="en-AU"/>
            </w:rPr>
            <w:drawing>
              <wp:anchor distT="0" distB="0" distL="114300" distR="114300" simplePos="0" relativeHeight="251659264" behindDoc="1" locked="0" layoutInCell="1" allowOverlap="1" wp14:anchorId="63F484CA" wp14:editId="369723A2">
                <wp:simplePos x="0" y="0"/>
                <wp:positionH relativeFrom="column">
                  <wp:posOffset>-1112520</wp:posOffset>
                </wp:positionH>
                <wp:positionV relativeFrom="paragraph">
                  <wp:posOffset>-919138</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5C16FE" w:rsidRDefault="005C16FE" w:rsidP="00F171E0"/>
        <w:p w:rsidR="00327A1E" w:rsidRDefault="001754EE" w:rsidP="001754EE">
          <w:pPr>
            <w:pStyle w:val="ReportSubtitle"/>
            <w:tabs>
              <w:tab w:val="left" w:pos="1122"/>
              <w:tab w:val="center" w:pos="4238"/>
            </w:tabs>
            <w:jc w:val="left"/>
          </w:pPr>
          <w:r>
            <w:tab/>
          </w:r>
          <w:r>
            <w:tab/>
          </w:r>
          <w:r w:rsidR="00DB4E34">
            <w:t>FINAL</w:t>
          </w:r>
          <w:r w:rsidR="00DA4752">
            <w:t xml:space="preserve"> DECISION</w:t>
          </w:r>
        </w:p>
        <w:p w:rsidR="00415F31" w:rsidRDefault="002D12CF" w:rsidP="008F07A3">
          <w:pPr>
            <w:pStyle w:val="ReportSubtitle"/>
          </w:pPr>
          <w:r>
            <w:t>CitiPower</w:t>
          </w:r>
          <w:r w:rsidR="004523B2">
            <w:t xml:space="preserve"> distribution</w:t>
          </w:r>
          <w:r w:rsidR="00415F31">
            <w:t xml:space="preserve"> </w:t>
          </w:r>
          <w:r w:rsidR="00DA4752">
            <w:t>determination</w:t>
          </w:r>
        </w:p>
        <w:p w:rsidR="000A6C7B" w:rsidRDefault="00DA4752" w:rsidP="008F07A3">
          <w:pPr>
            <w:pStyle w:val="ReportSubtitle"/>
          </w:pPr>
          <w:r>
            <w:t xml:space="preserve"> </w:t>
          </w:r>
          <w:r w:rsidR="00DB4E34">
            <w:t>2016 to 2020</w:t>
          </w:r>
        </w:p>
        <w:p w:rsidR="008F07A3" w:rsidRPr="000A6C7B" w:rsidRDefault="008F07A3" w:rsidP="008F07A3">
          <w:pPr>
            <w:pStyle w:val="ReportSubtitle"/>
          </w:pPr>
        </w:p>
        <w:p w:rsidR="000A6C7B" w:rsidRDefault="0037699E" w:rsidP="008F07A3">
          <w:pPr>
            <w:pStyle w:val="ReportSubtitle"/>
          </w:pPr>
          <w:r>
            <w:t xml:space="preserve">Attachment </w:t>
          </w:r>
          <w:r w:rsidR="000F65B0">
            <w:t>3</w:t>
          </w:r>
          <w:r w:rsidR="000474DF">
            <w:t xml:space="preserve"> </w:t>
          </w:r>
          <w:r w:rsidR="00185BA5">
            <w:t>–</w:t>
          </w:r>
          <w:r w:rsidR="000474DF">
            <w:t xml:space="preserve"> </w:t>
          </w:r>
          <w:r w:rsidR="000F65B0">
            <w:t>Rate of return</w:t>
          </w:r>
        </w:p>
        <w:p w:rsidR="000A6C7B" w:rsidRPr="00327A1E" w:rsidRDefault="00D07840" w:rsidP="00327A1E">
          <w:pPr>
            <w:pStyle w:val="ReportDate"/>
          </w:pPr>
          <w:r>
            <w:t>May</w:t>
          </w:r>
          <w:r w:rsidR="00DB4E34">
            <w:t xml:space="preserve"> 2016</w:t>
          </w:r>
        </w:p>
      </w:sdtContent>
    </w:sdt>
    <w:p w:rsidR="00327A1E" w:rsidRPr="00290C63" w:rsidRDefault="00327A1E" w:rsidP="00290C63">
      <w:r>
        <w:br w:type="page"/>
      </w:r>
    </w:p>
    <w:p w:rsidR="00CE2A23" w:rsidRDefault="00CE2A23" w:rsidP="00761454">
      <w:bookmarkStart w:id="1" w:name="_Toc411428008"/>
      <w:r>
        <w:lastRenderedPageBreak/>
        <w:t>© Commonwealth of Australia 201</w:t>
      </w:r>
      <w:r w:rsidR="000474DF">
        <w:t>6</w:t>
      </w:r>
    </w:p>
    <w:p w:rsidR="00CE2A23" w:rsidRDefault="00CE2A23" w:rsidP="00761454">
      <w:r>
        <w:t>This work is copyright. In addition to any use permitted under the Copyright Act 1968, all material contained within this work is provided under a Creative Commons Attributions 3.0 Australia licence, with the exception of:</w:t>
      </w:r>
    </w:p>
    <w:p w:rsidR="00CE2A23" w:rsidRPr="00CE2A23" w:rsidRDefault="00CE2A23" w:rsidP="00CE2A23">
      <w:pPr>
        <w:pStyle w:val="AERbulletlistfirststyle"/>
      </w:pPr>
      <w:r w:rsidRPr="00CE2A23">
        <w:t>the Commonwealth Coat of Arms</w:t>
      </w:r>
    </w:p>
    <w:p w:rsidR="00CE2A23" w:rsidRPr="00CB734B" w:rsidRDefault="00CE2A23" w:rsidP="00CE2A23">
      <w:pPr>
        <w:pStyle w:val="AERbulletlistfirststyle"/>
      </w:pPr>
      <w:r w:rsidRPr="00CE2A23">
        <w:t>the ACCC and AER logos</w:t>
      </w:r>
    </w:p>
    <w:p w:rsidR="00CE2A23" w:rsidRPr="00CE2A23" w:rsidRDefault="00CE2A23" w:rsidP="00CB734B">
      <w:pPr>
        <w:pStyle w:val="AERbulletlistfirststyle"/>
      </w:pPr>
      <w:r w:rsidRPr="00CE2A23">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CE2A23" w:rsidRDefault="00CE2A23" w:rsidP="00761454">
      <w:r>
        <w:t>Requests and inquiries concerning reproduction and rights should be addressed to the:</w:t>
      </w:r>
    </w:p>
    <w:p w:rsidR="00CE2A23" w:rsidRDefault="00CE2A23" w:rsidP="00761454">
      <w:r>
        <w:t>Director, Corporate Communications</w:t>
      </w:r>
      <w:r>
        <w:br/>
        <w:t xml:space="preserve">Australian Competition and Consumer Commission </w:t>
      </w:r>
      <w:r>
        <w:br/>
        <w:t>GPO Box 4141, Canberra ACT 2601</w:t>
      </w:r>
    </w:p>
    <w:p w:rsidR="00CE2A23" w:rsidRDefault="00CE2A23" w:rsidP="00761454">
      <w:r>
        <w:t>or publishing.unit@accc.gov.au.</w:t>
      </w:r>
    </w:p>
    <w:p w:rsidR="00CE2A23" w:rsidRDefault="00CE2A23" w:rsidP="00761454">
      <w:r>
        <w:t>Inquiries about this publication should be addressed to:</w:t>
      </w:r>
    </w:p>
    <w:p w:rsidR="00CE2A23" w:rsidRDefault="00CE2A23" w:rsidP="00761454">
      <w:r>
        <w:t xml:space="preserve">Australian Energy </w:t>
      </w:r>
      <w:r w:rsidRPr="00F171E0">
        <w:t>Regulator</w:t>
      </w:r>
      <w:r>
        <w:br/>
        <w:t>GPO Box 520</w:t>
      </w:r>
      <w:r>
        <w:br/>
      </w:r>
      <w:r w:rsidR="008658A1">
        <w:t>Melbourne Vic 3001</w:t>
      </w:r>
    </w:p>
    <w:p w:rsidR="00CE2A23" w:rsidRDefault="00CE2A23" w:rsidP="00761454">
      <w:r>
        <w:t>Tel: (03) 9290 1444</w:t>
      </w:r>
      <w:r>
        <w:br/>
        <w:t>Fax: (03) 9290 1457</w:t>
      </w:r>
    </w:p>
    <w:p w:rsidR="00CE2A23" w:rsidRDefault="00CE2A23" w:rsidP="00761454">
      <w:r>
        <w:t xml:space="preserve">Email: </w:t>
      </w:r>
      <w:hyperlink r:id="rId12" w:history="1">
        <w:r w:rsidRPr="00D64888">
          <w:rPr>
            <w:rStyle w:val="Hyperlink"/>
          </w:rPr>
          <w:t>AERInquiry@aer.gov.au</w:t>
        </w:r>
      </w:hyperlink>
      <w:r>
        <w:rPr>
          <w:rStyle w:val="Hyperlink"/>
        </w:rPr>
        <w:br/>
      </w:r>
    </w:p>
    <w:p w:rsidR="00291A99" w:rsidRDefault="00291A99" w:rsidP="00761454"/>
    <w:p w:rsidR="00761454" w:rsidRDefault="00761454">
      <w:pPr>
        <w:spacing w:line="240" w:lineRule="auto"/>
      </w:pPr>
      <w:r>
        <w:br w:type="page"/>
      </w:r>
    </w:p>
    <w:p w:rsidR="00761454" w:rsidRDefault="00761454" w:rsidP="00761454">
      <w:pPr>
        <w:pStyle w:val="UnnumberedHeading"/>
        <w:numPr>
          <w:ilvl w:val="0"/>
          <w:numId w:val="23"/>
        </w:numPr>
      </w:pPr>
      <w:bookmarkStart w:id="2" w:name="_Toc404153950"/>
      <w:bookmarkStart w:id="3" w:name="_Toc404437593"/>
      <w:bookmarkStart w:id="4" w:name="_Toc451678610"/>
      <w:r>
        <w:lastRenderedPageBreak/>
        <w:t>Note</w:t>
      </w:r>
      <w:bookmarkEnd w:id="2"/>
      <w:bookmarkEnd w:id="3"/>
      <w:bookmarkEnd w:id="4"/>
    </w:p>
    <w:p w:rsidR="00761454" w:rsidRDefault="00761454" w:rsidP="00761454">
      <w:pPr>
        <w:numPr>
          <w:ilvl w:val="0"/>
          <w:numId w:val="24"/>
        </w:numPr>
      </w:pPr>
      <w:r>
        <w:t xml:space="preserve">This </w:t>
      </w:r>
      <w:r w:rsidR="00CF2333">
        <w:t xml:space="preserve">attachment </w:t>
      </w:r>
      <w:r>
        <w:t xml:space="preserve">forms part of the AER's </w:t>
      </w:r>
      <w:r w:rsidR="00DB4E34">
        <w:t>final</w:t>
      </w:r>
      <w:r w:rsidR="000474DF">
        <w:t xml:space="preserve"> </w:t>
      </w:r>
      <w:r>
        <w:t xml:space="preserve">decision on </w:t>
      </w:r>
      <w:r w:rsidR="002D12CF">
        <w:t>CitiPower's</w:t>
      </w:r>
      <w:r w:rsidR="004523B2">
        <w:t xml:space="preserve"> distribution</w:t>
      </w:r>
      <w:r>
        <w:t xml:space="preserve"> determination for 201</w:t>
      </w:r>
      <w:r w:rsidR="00C75E3E">
        <w:t>6</w:t>
      </w:r>
      <w:r w:rsidRPr="00F02D30">
        <w:t>–</w:t>
      </w:r>
      <w:r w:rsidR="00C75E3E">
        <w:t>20</w:t>
      </w:r>
      <w:r>
        <w:t xml:space="preserve">. It should be read with </w:t>
      </w:r>
      <w:r w:rsidR="000474DF">
        <w:t xml:space="preserve">all </w:t>
      </w:r>
      <w:r>
        <w:t xml:space="preserve">other parts of the </w:t>
      </w:r>
      <w:r w:rsidR="00DB4E34">
        <w:t>final</w:t>
      </w:r>
      <w:r>
        <w:t xml:space="preserve"> decision.</w:t>
      </w:r>
    </w:p>
    <w:p w:rsidR="00761454" w:rsidRDefault="00761454" w:rsidP="00761454">
      <w:pPr>
        <w:numPr>
          <w:ilvl w:val="0"/>
          <w:numId w:val="24"/>
        </w:numPr>
      </w:pPr>
      <w:r>
        <w:t xml:space="preserve">The </w:t>
      </w:r>
      <w:r w:rsidR="00DB4E34">
        <w:t>final</w:t>
      </w:r>
      <w:r>
        <w:t xml:space="preserve"> decision includes the following documents:</w:t>
      </w:r>
    </w:p>
    <w:p w:rsidR="00761454" w:rsidRDefault="00761454" w:rsidP="00761454">
      <w:pPr>
        <w:numPr>
          <w:ilvl w:val="0"/>
          <w:numId w:val="24"/>
        </w:numPr>
      </w:pPr>
      <w:r>
        <w:t>Overview</w:t>
      </w:r>
    </w:p>
    <w:p w:rsidR="00761454" w:rsidRDefault="000474DF" w:rsidP="00761454">
      <w:pPr>
        <w:numPr>
          <w:ilvl w:val="0"/>
          <w:numId w:val="24"/>
        </w:numPr>
      </w:pPr>
      <w:r>
        <w:t xml:space="preserve">Attachment 1 – </w:t>
      </w:r>
      <w:r w:rsidR="004523B2">
        <w:t>Annual revenue requirement</w:t>
      </w:r>
    </w:p>
    <w:p w:rsidR="00761454" w:rsidRDefault="000474DF" w:rsidP="00761454">
      <w:pPr>
        <w:numPr>
          <w:ilvl w:val="0"/>
          <w:numId w:val="24"/>
        </w:numPr>
      </w:pPr>
      <w:r>
        <w:t>Attachment 2 – R</w:t>
      </w:r>
      <w:r w:rsidR="00761454">
        <w:t>egulatory asset base</w:t>
      </w:r>
    </w:p>
    <w:p w:rsidR="00761454" w:rsidRDefault="000474DF" w:rsidP="00761454">
      <w:pPr>
        <w:numPr>
          <w:ilvl w:val="0"/>
          <w:numId w:val="24"/>
        </w:numPr>
      </w:pPr>
      <w:r>
        <w:t>Attachment 3 – R</w:t>
      </w:r>
      <w:r w:rsidR="00761454">
        <w:t>ate of return</w:t>
      </w:r>
    </w:p>
    <w:p w:rsidR="00761454" w:rsidRDefault="000474DF" w:rsidP="00761454">
      <w:pPr>
        <w:numPr>
          <w:ilvl w:val="0"/>
          <w:numId w:val="24"/>
        </w:numPr>
      </w:pPr>
      <w:r>
        <w:t>Attachment 4 – V</w:t>
      </w:r>
      <w:r w:rsidR="00761454">
        <w:t>alue of imputation credits</w:t>
      </w:r>
    </w:p>
    <w:p w:rsidR="00761454" w:rsidRDefault="00761454" w:rsidP="00761454">
      <w:pPr>
        <w:numPr>
          <w:ilvl w:val="0"/>
          <w:numId w:val="24"/>
        </w:numPr>
      </w:pPr>
      <w:r>
        <w:t xml:space="preserve">Attachment 5 – </w:t>
      </w:r>
      <w:r w:rsidR="000474DF">
        <w:t>R</w:t>
      </w:r>
      <w:r>
        <w:t>egulatory depreciation</w:t>
      </w:r>
    </w:p>
    <w:p w:rsidR="00761454" w:rsidRDefault="000474DF" w:rsidP="00761454">
      <w:pPr>
        <w:numPr>
          <w:ilvl w:val="0"/>
          <w:numId w:val="24"/>
        </w:numPr>
      </w:pPr>
      <w:r>
        <w:t>Attachment 6 – C</w:t>
      </w:r>
      <w:r w:rsidR="00761454">
        <w:t xml:space="preserve">apital expenditure </w:t>
      </w:r>
    </w:p>
    <w:p w:rsidR="00761454" w:rsidRDefault="000474DF" w:rsidP="00761454">
      <w:pPr>
        <w:numPr>
          <w:ilvl w:val="0"/>
          <w:numId w:val="24"/>
        </w:numPr>
      </w:pPr>
      <w:r>
        <w:t>Attachment 7 – O</w:t>
      </w:r>
      <w:r w:rsidR="00761454">
        <w:t>perating expenditure</w:t>
      </w:r>
    </w:p>
    <w:p w:rsidR="00761454" w:rsidRDefault="00761454" w:rsidP="00761454">
      <w:pPr>
        <w:numPr>
          <w:ilvl w:val="0"/>
          <w:numId w:val="24"/>
        </w:numPr>
      </w:pPr>
      <w:r>
        <w:t xml:space="preserve">Attachment 8 – </w:t>
      </w:r>
      <w:r w:rsidR="000474DF">
        <w:t>C</w:t>
      </w:r>
      <w:r>
        <w:t>orporate income tax</w:t>
      </w:r>
    </w:p>
    <w:p w:rsidR="00761454" w:rsidRDefault="000474DF" w:rsidP="00761454">
      <w:pPr>
        <w:numPr>
          <w:ilvl w:val="0"/>
          <w:numId w:val="24"/>
        </w:numPr>
      </w:pPr>
      <w:r>
        <w:t>Attachment 9 – E</w:t>
      </w:r>
      <w:r w:rsidR="00761454">
        <w:t>fficiency benefit sharing scheme</w:t>
      </w:r>
    </w:p>
    <w:p w:rsidR="00761454" w:rsidRDefault="000474DF" w:rsidP="00761454">
      <w:pPr>
        <w:numPr>
          <w:ilvl w:val="0"/>
          <w:numId w:val="24"/>
        </w:numPr>
      </w:pPr>
      <w:r>
        <w:t>Attachment 10 – C</w:t>
      </w:r>
      <w:r w:rsidR="00761454">
        <w:t>apital expenditure sharing scheme</w:t>
      </w:r>
    </w:p>
    <w:p w:rsidR="00761454" w:rsidRDefault="000474DF" w:rsidP="00761454">
      <w:pPr>
        <w:numPr>
          <w:ilvl w:val="0"/>
          <w:numId w:val="24"/>
        </w:numPr>
      </w:pPr>
      <w:r>
        <w:t>Attachment 11 – S</w:t>
      </w:r>
      <w:r w:rsidR="00761454">
        <w:t>ervice target performance incentive scheme</w:t>
      </w:r>
    </w:p>
    <w:p w:rsidR="00761454" w:rsidRPr="00F02D30" w:rsidRDefault="00761454" w:rsidP="00761454">
      <w:pPr>
        <w:numPr>
          <w:ilvl w:val="0"/>
          <w:numId w:val="24"/>
        </w:numPr>
      </w:pPr>
      <w:r>
        <w:t xml:space="preserve">Attachment 12 – </w:t>
      </w:r>
      <w:r w:rsidR="004523B2">
        <w:t>Demand management incentive scheme</w:t>
      </w:r>
    </w:p>
    <w:p w:rsidR="00761454" w:rsidRPr="00F02D30" w:rsidRDefault="00761454" w:rsidP="00761454">
      <w:pPr>
        <w:numPr>
          <w:ilvl w:val="0"/>
          <w:numId w:val="24"/>
        </w:numPr>
      </w:pPr>
      <w:r>
        <w:t xml:space="preserve">Attachment 13 </w:t>
      </w:r>
      <w:r w:rsidR="000474DF">
        <w:t xml:space="preserve">– </w:t>
      </w:r>
      <w:r w:rsidR="004523B2">
        <w:t>Classification of services</w:t>
      </w:r>
    </w:p>
    <w:p w:rsidR="00761454" w:rsidRDefault="00761454" w:rsidP="00761454">
      <w:pPr>
        <w:numPr>
          <w:ilvl w:val="0"/>
          <w:numId w:val="24"/>
        </w:numPr>
      </w:pPr>
      <w:r>
        <w:t xml:space="preserve">Attachment 14 </w:t>
      </w:r>
      <w:r w:rsidR="000474DF">
        <w:t xml:space="preserve">– </w:t>
      </w:r>
      <w:r w:rsidR="004523B2">
        <w:t>Control mechanisms</w:t>
      </w:r>
    </w:p>
    <w:p w:rsidR="004523B2" w:rsidRDefault="004523B2" w:rsidP="00761454">
      <w:pPr>
        <w:numPr>
          <w:ilvl w:val="0"/>
          <w:numId w:val="24"/>
        </w:numPr>
      </w:pPr>
      <w:r>
        <w:t>Attachment 15 – Pass through events</w:t>
      </w:r>
    </w:p>
    <w:p w:rsidR="004523B2" w:rsidRDefault="004523B2" w:rsidP="00761454">
      <w:pPr>
        <w:numPr>
          <w:ilvl w:val="0"/>
          <w:numId w:val="24"/>
        </w:numPr>
      </w:pPr>
      <w:r>
        <w:t>Attachment 16 – Alternative control services</w:t>
      </w:r>
    </w:p>
    <w:p w:rsidR="004523B2" w:rsidRDefault="004523B2" w:rsidP="00761454">
      <w:pPr>
        <w:numPr>
          <w:ilvl w:val="0"/>
          <w:numId w:val="24"/>
        </w:numPr>
      </w:pPr>
      <w:r>
        <w:t>Attachment 17 – Negotiated services framework and criteria</w:t>
      </w:r>
    </w:p>
    <w:p w:rsidR="004523B2" w:rsidRDefault="004523B2" w:rsidP="00761454">
      <w:pPr>
        <w:numPr>
          <w:ilvl w:val="0"/>
          <w:numId w:val="24"/>
        </w:numPr>
      </w:pPr>
      <w:r>
        <w:t xml:space="preserve">Attachment 18 – </w:t>
      </w:r>
      <w:r w:rsidR="00DB4E34">
        <w:t>f-factor scheme</w:t>
      </w:r>
    </w:p>
    <w:p w:rsidR="004523B2" w:rsidRPr="00F02D30" w:rsidRDefault="004523B2" w:rsidP="00761454">
      <w:pPr>
        <w:numPr>
          <w:ilvl w:val="0"/>
          <w:numId w:val="24"/>
        </w:numPr>
      </w:pPr>
    </w:p>
    <w:p w:rsidR="00761454" w:rsidRPr="009D3906" w:rsidRDefault="00761454" w:rsidP="00761454"/>
    <w:p w:rsidR="00CE2A23" w:rsidRPr="00CE2A23" w:rsidRDefault="00CE2A23" w:rsidP="00CE2A23">
      <w:bookmarkStart w:id="5" w:name="_Toc404354899"/>
      <w:bookmarkStart w:id="6" w:name="_Toc404353070"/>
      <w:bookmarkStart w:id="7" w:name="_Toc404684201"/>
      <w:bookmarkStart w:id="8" w:name="_Toc404700923"/>
      <w:r>
        <w:br w:type="page"/>
      </w:r>
    </w:p>
    <w:bookmarkEnd w:id="5"/>
    <w:bookmarkEnd w:id="6"/>
    <w:bookmarkEnd w:id="7"/>
    <w:bookmarkEnd w:id="8"/>
    <w:p w:rsidR="00CE2A23" w:rsidRPr="008F07A3" w:rsidRDefault="00CE2A23" w:rsidP="00CE2A23">
      <w:pPr>
        <w:numPr>
          <w:ilvl w:val="0"/>
          <w:numId w:val="24"/>
        </w:numPr>
        <w:sectPr w:rsidR="00CE2A23" w:rsidRPr="008F07A3" w:rsidSect="00317E02">
          <w:footerReference w:type="even" r:id="rId13"/>
          <w:footerReference w:type="default" r:id="rId14"/>
          <w:footerReference w:type="first" r:id="rId15"/>
          <w:pgSz w:w="11906" w:h="16838" w:code="9"/>
          <w:pgMar w:top="1440" w:right="1700" w:bottom="1582" w:left="1729" w:header="720" w:footer="0" w:gutter="0"/>
          <w:pgNumType w:start="0" w:chapStyle="1"/>
          <w:cols w:space="720"/>
          <w:docGrid w:linePitch="326"/>
        </w:sectPr>
      </w:pPr>
    </w:p>
    <w:p w:rsidR="00CE2A23" w:rsidRPr="00A72B34" w:rsidRDefault="00CE2A23" w:rsidP="00CE2A23">
      <w:pPr>
        <w:pStyle w:val="UnnumberedHeading"/>
        <w:numPr>
          <w:ilvl w:val="0"/>
          <w:numId w:val="23"/>
        </w:numPr>
      </w:pPr>
      <w:bookmarkStart w:id="9" w:name="_Toc403144133"/>
      <w:bookmarkStart w:id="10" w:name="_Toc451678611"/>
      <w:r>
        <w:t>Contents</w:t>
      </w:r>
      <w:bookmarkEnd w:id="9"/>
      <w:bookmarkEnd w:id="10"/>
    </w:p>
    <w:p w:rsidR="00CE2A23" w:rsidRDefault="00CE2A23" w:rsidP="00CE2A23"/>
    <w:sdt>
      <w:sdtPr>
        <w:id w:val="1269200322"/>
        <w:docPartObj>
          <w:docPartGallery w:val="Table of Contents"/>
          <w:docPartUnique/>
        </w:docPartObj>
      </w:sdtPr>
      <w:sdtEndPr/>
      <w:sdtContent>
        <w:p w:rsidR="00BA2E8E" w:rsidRDefault="00CD283C">
          <w:pPr>
            <w:pStyle w:val="TOC1"/>
            <w:rPr>
              <w:rFonts w:asciiTheme="minorHAnsi" w:eastAsiaTheme="minorEastAsia" w:hAnsiTheme="minorHAnsi"/>
              <w:b w:val="0"/>
              <w:color w:val="auto"/>
              <w:sz w:val="22"/>
              <w:lang w:val="en-AU" w:eastAsia="en-AU"/>
            </w:rPr>
          </w:pPr>
          <w:r>
            <w:fldChar w:fldCharType="begin"/>
          </w:r>
          <w:r>
            <w:instrText xml:space="preserve"> TOC \o "1-2" \h \z \t "Heading 3,3,Heading 7,1,Heading 8,2,Heading 9,3" </w:instrText>
          </w:r>
          <w:r>
            <w:fldChar w:fldCharType="separate"/>
          </w:r>
          <w:hyperlink w:anchor="_Toc451678610" w:history="1">
            <w:r w:rsidR="00BA2E8E" w:rsidRPr="004B2540">
              <w:rPr>
                <w:rStyle w:val="Hyperlink"/>
              </w:rPr>
              <w:t>Note</w:t>
            </w:r>
            <w:r w:rsidR="00BA2E8E">
              <w:rPr>
                <w:webHidden/>
              </w:rPr>
              <w:tab/>
            </w:r>
            <w:r w:rsidR="00BA2E8E">
              <w:rPr>
                <w:webHidden/>
              </w:rPr>
              <w:fldChar w:fldCharType="begin"/>
            </w:r>
            <w:r w:rsidR="00BA2E8E">
              <w:rPr>
                <w:webHidden/>
              </w:rPr>
              <w:instrText xml:space="preserve"> PAGEREF _Toc451678610 \h </w:instrText>
            </w:r>
            <w:r w:rsidR="00BA2E8E">
              <w:rPr>
                <w:webHidden/>
              </w:rPr>
            </w:r>
            <w:r w:rsidR="00BA2E8E">
              <w:rPr>
                <w:webHidden/>
              </w:rPr>
              <w:fldChar w:fldCharType="separate"/>
            </w:r>
            <w:r w:rsidR="00BA2E8E">
              <w:rPr>
                <w:webHidden/>
              </w:rPr>
              <w:t>3-2</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11" w:history="1">
            <w:r w:rsidR="00BA2E8E" w:rsidRPr="004B2540">
              <w:rPr>
                <w:rStyle w:val="Hyperlink"/>
              </w:rPr>
              <w:t>Contents</w:t>
            </w:r>
            <w:r w:rsidR="00BA2E8E">
              <w:rPr>
                <w:webHidden/>
              </w:rPr>
              <w:tab/>
            </w:r>
            <w:r w:rsidR="00BA2E8E">
              <w:rPr>
                <w:webHidden/>
              </w:rPr>
              <w:fldChar w:fldCharType="begin"/>
            </w:r>
            <w:r w:rsidR="00BA2E8E">
              <w:rPr>
                <w:webHidden/>
              </w:rPr>
              <w:instrText xml:space="preserve"> PAGEREF _Toc451678611 \h </w:instrText>
            </w:r>
            <w:r w:rsidR="00BA2E8E">
              <w:rPr>
                <w:webHidden/>
              </w:rPr>
            </w:r>
            <w:r w:rsidR="00BA2E8E">
              <w:rPr>
                <w:webHidden/>
              </w:rPr>
              <w:fldChar w:fldCharType="separate"/>
            </w:r>
            <w:r w:rsidR="00BA2E8E">
              <w:rPr>
                <w:webHidden/>
              </w:rPr>
              <w:t>3-3</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12" w:history="1">
            <w:r w:rsidR="00BA2E8E" w:rsidRPr="004B2540">
              <w:rPr>
                <w:rStyle w:val="Hyperlink"/>
              </w:rPr>
              <w:t>Shortened forms</w:t>
            </w:r>
            <w:r w:rsidR="00BA2E8E">
              <w:rPr>
                <w:webHidden/>
              </w:rPr>
              <w:tab/>
            </w:r>
            <w:r w:rsidR="00BA2E8E">
              <w:rPr>
                <w:webHidden/>
              </w:rPr>
              <w:fldChar w:fldCharType="begin"/>
            </w:r>
            <w:r w:rsidR="00BA2E8E">
              <w:rPr>
                <w:webHidden/>
              </w:rPr>
              <w:instrText xml:space="preserve"> PAGEREF _Toc451678612 \h </w:instrText>
            </w:r>
            <w:r w:rsidR="00BA2E8E">
              <w:rPr>
                <w:webHidden/>
              </w:rPr>
            </w:r>
            <w:r w:rsidR="00BA2E8E">
              <w:rPr>
                <w:webHidden/>
              </w:rPr>
              <w:fldChar w:fldCharType="separate"/>
            </w:r>
            <w:r w:rsidR="00BA2E8E">
              <w:rPr>
                <w:webHidden/>
              </w:rPr>
              <w:t>3-8</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13" w:history="1">
            <w:r w:rsidR="00BA2E8E" w:rsidRPr="004B2540">
              <w:rPr>
                <w:rStyle w:val="Hyperlink"/>
              </w:rPr>
              <w:t>3</w:t>
            </w:r>
            <w:r w:rsidR="00BA2E8E">
              <w:rPr>
                <w:rFonts w:asciiTheme="minorHAnsi" w:eastAsiaTheme="minorEastAsia" w:hAnsiTheme="minorHAnsi"/>
                <w:b w:val="0"/>
                <w:color w:val="auto"/>
                <w:sz w:val="22"/>
                <w:lang w:val="en-AU" w:eastAsia="en-AU"/>
              </w:rPr>
              <w:tab/>
            </w:r>
            <w:r w:rsidR="00BA2E8E" w:rsidRPr="004B2540">
              <w:rPr>
                <w:rStyle w:val="Hyperlink"/>
              </w:rPr>
              <w:t>Rate of return</w:t>
            </w:r>
            <w:r w:rsidR="00BA2E8E">
              <w:rPr>
                <w:webHidden/>
              </w:rPr>
              <w:tab/>
            </w:r>
            <w:r w:rsidR="00BA2E8E">
              <w:rPr>
                <w:webHidden/>
              </w:rPr>
              <w:fldChar w:fldCharType="begin"/>
            </w:r>
            <w:r w:rsidR="00BA2E8E">
              <w:rPr>
                <w:webHidden/>
              </w:rPr>
              <w:instrText xml:space="preserve"> PAGEREF _Toc451678613 \h </w:instrText>
            </w:r>
            <w:r w:rsidR="00BA2E8E">
              <w:rPr>
                <w:webHidden/>
              </w:rPr>
            </w:r>
            <w:r w:rsidR="00BA2E8E">
              <w:rPr>
                <w:webHidden/>
              </w:rPr>
              <w:fldChar w:fldCharType="separate"/>
            </w:r>
            <w:r w:rsidR="00BA2E8E">
              <w:rPr>
                <w:webHidden/>
              </w:rPr>
              <w:t>3-10</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14" w:history="1">
            <w:r w:rsidR="00BA2E8E" w:rsidRPr="004B2540">
              <w:rPr>
                <w:rStyle w:val="Hyperlink"/>
              </w:rPr>
              <w:t>3.1</w:t>
            </w:r>
            <w:r w:rsidR="00BA2E8E">
              <w:rPr>
                <w:rFonts w:asciiTheme="minorHAnsi" w:eastAsiaTheme="minorEastAsia" w:hAnsiTheme="minorHAnsi"/>
                <w:b w:val="0"/>
                <w:color w:val="auto"/>
                <w:sz w:val="22"/>
                <w:lang w:eastAsia="en-AU"/>
              </w:rPr>
              <w:tab/>
            </w:r>
            <w:r w:rsidR="00BA2E8E" w:rsidRPr="004B2540">
              <w:rPr>
                <w:rStyle w:val="Hyperlink"/>
              </w:rPr>
              <w:t>Final decision</w:t>
            </w:r>
            <w:r w:rsidR="00BA2E8E">
              <w:rPr>
                <w:webHidden/>
              </w:rPr>
              <w:tab/>
            </w:r>
            <w:r w:rsidR="00BA2E8E">
              <w:rPr>
                <w:webHidden/>
              </w:rPr>
              <w:fldChar w:fldCharType="begin"/>
            </w:r>
            <w:r w:rsidR="00BA2E8E">
              <w:rPr>
                <w:webHidden/>
              </w:rPr>
              <w:instrText xml:space="preserve"> PAGEREF _Toc451678614 \h </w:instrText>
            </w:r>
            <w:r w:rsidR="00BA2E8E">
              <w:rPr>
                <w:webHidden/>
              </w:rPr>
            </w:r>
            <w:r w:rsidR="00BA2E8E">
              <w:rPr>
                <w:webHidden/>
              </w:rPr>
              <w:fldChar w:fldCharType="separate"/>
            </w:r>
            <w:r w:rsidR="00BA2E8E">
              <w:rPr>
                <w:webHidden/>
              </w:rPr>
              <w:t>3-10</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15" w:history="1">
            <w:r w:rsidR="00BA2E8E" w:rsidRPr="004B2540">
              <w:rPr>
                <w:rStyle w:val="Hyperlink"/>
              </w:rPr>
              <w:t>3.2</w:t>
            </w:r>
            <w:r w:rsidR="00BA2E8E">
              <w:rPr>
                <w:rFonts w:asciiTheme="minorHAnsi" w:eastAsiaTheme="minorEastAsia" w:hAnsiTheme="minorHAnsi"/>
                <w:b w:val="0"/>
                <w:color w:val="auto"/>
                <w:sz w:val="22"/>
                <w:lang w:eastAsia="en-AU"/>
              </w:rPr>
              <w:tab/>
            </w:r>
            <w:r w:rsidR="00BA2E8E" w:rsidRPr="004B2540">
              <w:rPr>
                <w:rStyle w:val="Hyperlink"/>
              </w:rPr>
              <w:t>CitiPower's revised proposal</w:t>
            </w:r>
            <w:r w:rsidR="00BA2E8E">
              <w:rPr>
                <w:webHidden/>
              </w:rPr>
              <w:tab/>
            </w:r>
            <w:r w:rsidR="00BA2E8E">
              <w:rPr>
                <w:webHidden/>
              </w:rPr>
              <w:fldChar w:fldCharType="begin"/>
            </w:r>
            <w:r w:rsidR="00BA2E8E">
              <w:rPr>
                <w:webHidden/>
              </w:rPr>
              <w:instrText xml:space="preserve"> PAGEREF _Toc451678615 \h </w:instrText>
            </w:r>
            <w:r w:rsidR="00BA2E8E">
              <w:rPr>
                <w:webHidden/>
              </w:rPr>
            </w:r>
            <w:r w:rsidR="00BA2E8E">
              <w:rPr>
                <w:webHidden/>
              </w:rPr>
              <w:fldChar w:fldCharType="separate"/>
            </w:r>
            <w:r w:rsidR="00BA2E8E">
              <w:rPr>
                <w:webHidden/>
              </w:rPr>
              <w:t>3-14</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16" w:history="1">
            <w:r w:rsidR="00BA2E8E" w:rsidRPr="004B2540">
              <w:rPr>
                <w:rStyle w:val="Hyperlink"/>
              </w:rPr>
              <w:t>3.3</w:t>
            </w:r>
            <w:r w:rsidR="00BA2E8E">
              <w:rPr>
                <w:rFonts w:asciiTheme="minorHAnsi" w:eastAsiaTheme="minorEastAsia" w:hAnsiTheme="minorHAnsi"/>
                <w:b w:val="0"/>
                <w:color w:val="auto"/>
                <w:sz w:val="22"/>
                <w:lang w:eastAsia="en-AU"/>
              </w:rPr>
              <w:tab/>
            </w:r>
            <w:r w:rsidR="00BA2E8E" w:rsidRPr="004B2540">
              <w:rPr>
                <w:rStyle w:val="Hyperlink"/>
              </w:rPr>
              <w:t>Assessment approach</w:t>
            </w:r>
            <w:r w:rsidR="00BA2E8E">
              <w:rPr>
                <w:webHidden/>
              </w:rPr>
              <w:tab/>
            </w:r>
            <w:r w:rsidR="00BA2E8E">
              <w:rPr>
                <w:webHidden/>
              </w:rPr>
              <w:fldChar w:fldCharType="begin"/>
            </w:r>
            <w:r w:rsidR="00BA2E8E">
              <w:rPr>
                <w:webHidden/>
              </w:rPr>
              <w:instrText xml:space="preserve"> PAGEREF _Toc451678616 \h </w:instrText>
            </w:r>
            <w:r w:rsidR="00BA2E8E">
              <w:rPr>
                <w:webHidden/>
              </w:rPr>
            </w:r>
            <w:r w:rsidR="00BA2E8E">
              <w:rPr>
                <w:webHidden/>
              </w:rPr>
              <w:fldChar w:fldCharType="separate"/>
            </w:r>
            <w:r w:rsidR="00BA2E8E">
              <w:rPr>
                <w:webHidden/>
              </w:rPr>
              <w:t>3-15</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17" w:history="1">
            <w:r w:rsidR="00BA2E8E" w:rsidRPr="004B2540">
              <w:rPr>
                <w:rStyle w:val="Hyperlink"/>
              </w:rPr>
              <w:t>3.3.1</w:t>
            </w:r>
            <w:r w:rsidR="00BA2E8E">
              <w:rPr>
                <w:rFonts w:asciiTheme="minorHAnsi" w:eastAsiaTheme="minorEastAsia" w:hAnsiTheme="minorHAnsi"/>
                <w:lang w:eastAsia="en-AU"/>
              </w:rPr>
              <w:tab/>
            </w:r>
            <w:r w:rsidR="00BA2E8E" w:rsidRPr="004B2540">
              <w:rPr>
                <w:rStyle w:val="Hyperlink"/>
              </w:rPr>
              <w:t>National electricity and gas laws</w:t>
            </w:r>
            <w:r w:rsidR="00BA2E8E">
              <w:rPr>
                <w:webHidden/>
              </w:rPr>
              <w:tab/>
            </w:r>
            <w:r w:rsidR="00BA2E8E">
              <w:rPr>
                <w:webHidden/>
              </w:rPr>
              <w:fldChar w:fldCharType="begin"/>
            </w:r>
            <w:r w:rsidR="00BA2E8E">
              <w:rPr>
                <w:webHidden/>
              </w:rPr>
              <w:instrText xml:space="preserve"> PAGEREF _Toc451678617 \h </w:instrText>
            </w:r>
            <w:r w:rsidR="00BA2E8E">
              <w:rPr>
                <w:webHidden/>
              </w:rPr>
            </w:r>
            <w:r w:rsidR="00BA2E8E">
              <w:rPr>
                <w:webHidden/>
              </w:rPr>
              <w:fldChar w:fldCharType="separate"/>
            </w:r>
            <w:r w:rsidR="00BA2E8E">
              <w:rPr>
                <w:webHidden/>
              </w:rPr>
              <w:t>3-16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18" w:history="1">
            <w:r w:rsidR="00BA2E8E" w:rsidRPr="004B2540">
              <w:rPr>
                <w:rStyle w:val="Hyperlink"/>
              </w:rPr>
              <w:t>3.3.2</w:t>
            </w:r>
            <w:r w:rsidR="00BA2E8E">
              <w:rPr>
                <w:rFonts w:asciiTheme="minorHAnsi" w:eastAsiaTheme="minorEastAsia" w:hAnsiTheme="minorHAnsi"/>
                <w:lang w:eastAsia="en-AU"/>
              </w:rPr>
              <w:tab/>
            </w:r>
            <w:r w:rsidR="00BA2E8E" w:rsidRPr="004B2540">
              <w:rPr>
                <w:rStyle w:val="Hyperlink"/>
              </w:rPr>
              <w:t>The overall rate of return</w:t>
            </w:r>
            <w:r w:rsidR="00BA2E8E">
              <w:rPr>
                <w:webHidden/>
              </w:rPr>
              <w:tab/>
            </w:r>
            <w:r w:rsidR="00BA2E8E">
              <w:rPr>
                <w:webHidden/>
              </w:rPr>
              <w:fldChar w:fldCharType="begin"/>
            </w:r>
            <w:r w:rsidR="00BA2E8E">
              <w:rPr>
                <w:webHidden/>
              </w:rPr>
              <w:instrText xml:space="preserve"> PAGEREF _Toc451678618 \h </w:instrText>
            </w:r>
            <w:r w:rsidR="00BA2E8E">
              <w:rPr>
                <w:webHidden/>
              </w:rPr>
            </w:r>
            <w:r w:rsidR="00BA2E8E">
              <w:rPr>
                <w:webHidden/>
              </w:rPr>
              <w:fldChar w:fldCharType="separate"/>
            </w:r>
            <w:r w:rsidR="00BA2E8E">
              <w:rPr>
                <w:webHidden/>
              </w:rPr>
              <w:t>3-17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19" w:history="1">
            <w:r w:rsidR="00BA2E8E" w:rsidRPr="004B2540">
              <w:rPr>
                <w:rStyle w:val="Hyperlink"/>
              </w:rPr>
              <w:t>3.3.3</w:t>
            </w:r>
            <w:r w:rsidR="00BA2E8E">
              <w:rPr>
                <w:rFonts w:asciiTheme="minorHAnsi" w:eastAsiaTheme="minorEastAsia" w:hAnsiTheme="minorHAnsi"/>
                <w:lang w:eastAsia="en-AU"/>
              </w:rPr>
              <w:tab/>
            </w:r>
            <w:r w:rsidR="00BA2E8E" w:rsidRPr="004B2540">
              <w:rPr>
                <w:rStyle w:val="Hyperlink"/>
              </w:rPr>
              <w:t>Allowed rate of return objective</w:t>
            </w:r>
            <w:r w:rsidR="00BA2E8E">
              <w:rPr>
                <w:webHidden/>
              </w:rPr>
              <w:tab/>
            </w:r>
            <w:r w:rsidR="00BA2E8E">
              <w:rPr>
                <w:webHidden/>
              </w:rPr>
              <w:fldChar w:fldCharType="begin"/>
            </w:r>
            <w:r w:rsidR="00BA2E8E">
              <w:rPr>
                <w:webHidden/>
              </w:rPr>
              <w:instrText xml:space="preserve"> PAGEREF _Toc451678619 \h </w:instrText>
            </w:r>
            <w:r w:rsidR="00BA2E8E">
              <w:rPr>
                <w:webHidden/>
              </w:rPr>
            </w:r>
            <w:r w:rsidR="00BA2E8E">
              <w:rPr>
                <w:webHidden/>
              </w:rPr>
              <w:fldChar w:fldCharType="separate"/>
            </w:r>
            <w:r w:rsidR="00BA2E8E">
              <w:rPr>
                <w:webHidden/>
              </w:rPr>
              <w:t>3-17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0" w:history="1">
            <w:r w:rsidR="00BA2E8E" w:rsidRPr="004B2540">
              <w:rPr>
                <w:rStyle w:val="Hyperlink"/>
              </w:rPr>
              <w:t>3.3.4</w:t>
            </w:r>
            <w:r w:rsidR="00BA2E8E">
              <w:rPr>
                <w:rFonts w:asciiTheme="minorHAnsi" w:eastAsiaTheme="minorEastAsia" w:hAnsiTheme="minorHAnsi"/>
                <w:lang w:eastAsia="en-AU"/>
              </w:rPr>
              <w:tab/>
            </w:r>
            <w:r w:rsidR="00BA2E8E" w:rsidRPr="004B2540">
              <w:rPr>
                <w:rStyle w:val="Hyperlink"/>
              </w:rPr>
              <w:t>Return on debt factors in the rules</w:t>
            </w:r>
            <w:r w:rsidR="00BA2E8E">
              <w:rPr>
                <w:webHidden/>
              </w:rPr>
              <w:tab/>
            </w:r>
            <w:r w:rsidR="00BA2E8E">
              <w:rPr>
                <w:webHidden/>
              </w:rPr>
              <w:fldChar w:fldCharType="begin"/>
            </w:r>
            <w:r w:rsidR="00BA2E8E">
              <w:rPr>
                <w:webHidden/>
              </w:rPr>
              <w:instrText xml:space="preserve"> PAGEREF _Toc451678620 \h </w:instrText>
            </w:r>
            <w:r w:rsidR="00BA2E8E">
              <w:rPr>
                <w:webHidden/>
              </w:rPr>
            </w:r>
            <w:r w:rsidR="00BA2E8E">
              <w:rPr>
                <w:webHidden/>
              </w:rPr>
              <w:fldChar w:fldCharType="separate"/>
            </w:r>
            <w:r w:rsidR="00BA2E8E">
              <w:rPr>
                <w:webHidden/>
              </w:rPr>
              <w:t>3-28</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1" w:history="1">
            <w:r w:rsidR="00BA2E8E" w:rsidRPr="004B2540">
              <w:rPr>
                <w:rStyle w:val="Hyperlink"/>
              </w:rPr>
              <w:t>3.3.5</w:t>
            </w:r>
            <w:r w:rsidR="00BA2E8E">
              <w:rPr>
                <w:rFonts w:asciiTheme="minorHAnsi" w:eastAsiaTheme="minorEastAsia" w:hAnsiTheme="minorHAnsi"/>
                <w:lang w:eastAsia="en-AU"/>
              </w:rPr>
              <w:tab/>
            </w:r>
            <w:r w:rsidR="00BA2E8E" w:rsidRPr="004B2540">
              <w:rPr>
                <w:rStyle w:val="Hyperlink"/>
              </w:rPr>
              <w:t>Rate of return Guideline</w:t>
            </w:r>
            <w:r w:rsidR="00BA2E8E">
              <w:rPr>
                <w:webHidden/>
              </w:rPr>
              <w:tab/>
            </w:r>
            <w:r w:rsidR="00BA2E8E">
              <w:rPr>
                <w:webHidden/>
              </w:rPr>
              <w:fldChar w:fldCharType="begin"/>
            </w:r>
            <w:r w:rsidR="00BA2E8E">
              <w:rPr>
                <w:webHidden/>
              </w:rPr>
              <w:instrText xml:space="preserve"> PAGEREF _Toc451678621 \h </w:instrText>
            </w:r>
            <w:r w:rsidR="00BA2E8E">
              <w:rPr>
                <w:webHidden/>
              </w:rPr>
            </w:r>
            <w:r w:rsidR="00BA2E8E">
              <w:rPr>
                <w:webHidden/>
              </w:rPr>
              <w:fldChar w:fldCharType="separate"/>
            </w:r>
            <w:r w:rsidR="00BA2E8E">
              <w:rPr>
                <w:webHidden/>
              </w:rPr>
              <w:t>3-30</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2" w:history="1">
            <w:r w:rsidR="00BA2E8E" w:rsidRPr="004B2540">
              <w:rPr>
                <w:rStyle w:val="Hyperlink"/>
              </w:rPr>
              <w:t>3.3.6</w:t>
            </w:r>
            <w:r w:rsidR="00BA2E8E">
              <w:rPr>
                <w:rFonts w:asciiTheme="minorHAnsi" w:eastAsiaTheme="minorEastAsia" w:hAnsiTheme="minorHAnsi"/>
                <w:lang w:eastAsia="en-AU"/>
              </w:rPr>
              <w:tab/>
            </w:r>
            <w:r w:rsidR="00BA2E8E" w:rsidRPr="004B2540">
              <w:rPr>
                <w:rStyle w:val="Hyperlink"/>
              </w:rPr>
              <w:t>Interrelationships</w:t>
            </w:r>
            <w:r w:rsidR="00BA2E8E">
              <w:rPr>
                <w:webHidden/>
              </w:rPr>
              <w:tab/>
            </w:r>
            <w:r w:rsidR="00BA2E8E">
              <w:rPr>
                <w:webHidden/>
              </w:rPr>
              <w:fldChar w:fldCharType="begin"/>
            </w:r>
            <w:r w:rsidR="00BA2E8E">
              <w:rPr>
                <w:webHidden/>
              </w:rPr>
              <w:instrText xml:space="preserve"> PAGEREF _Toc451678622 \h </w:instrText>
            </w:r>
            <w:r w:rsidR="00BA2E8E">
              <w:rPr>
                <w:webHidden/>
              </w:rPr>
            </w:r>
            <w:r w:rsidR="00BA2E8E">
              <w:rPr>
                <w:webHidden/>
              </w:rPr>
              <w:fldChar w:fldCharType="separate"/>
            </w:r>
            <w:r w:rsidR="00BA2E8E">
              <w:rPr>
                <w:webHidden/>
              </w:rPr>
              <w:t>3-36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3" w:history="1">
            <w:r w:rsidR="00BA2E8E" w:rsidRPr="004B2540">
              <w:rPr>
                <w:rStyle w:val="Hyperlink"/>
              </w:rPr>
              <w:t>3.3.7</w:t>
            </w:r>
            <w:r w:rsidR="00BA2E8E">
              <w:rPr>
                <w:rFonts w:asciiTheme="minorHAnsi" w:eastAsiaTheme="minorEastAsia" w:hAnsiTheme="minorHAnsi"/>
                <w:lang w:eastAsia="en-AU"/>
              </w:rPr>
              <w:tab/>
            </w:r>
            <w:r w:rsidR="00BA2E8E" w:rsidRPr="004B2540">
              <w:rPr>
                <w:rStyle w:val="Hyperlink"/>
              </w:rPr>
              <w:t>Consideration of relevant material</w:t>
            </w:r>
            <w:r w:rsidR="00BA2E8E">
              <w:rPr>
                <w:webHidden/>
              </w:rPr>
              <w:tab/>
            </w:r>
            <w:r w:rsidR="00BA2E8E">
              <w:rPr>
                <w:webHidden/>
              </w:rPr>
              <w:fldChar w:fldCharType="begin"/>
            </w:r>
            <w:r w:rsidR="00BA2E8E">
              <w:rPr>
                <w:webHidden/>
              </w:rPr>
              <w:instrText xml:space="preserve"> PAGEREF _Toc451678623 \h </w:instrText>
            </w:r>
            <w:r w:rsidR="00BA2E8E">
              <w:rPr>
                <w:webHidden/>
              </w:rPr>
            </w:r>
            <w:r w:rsidR="00BA2E8E">
              <w:rPr>
                <w:webHidden/>
              </w:rPr>
              <w:fldChar w:fldCharType="separate"/>
            </w:r>
            <w:r w:rsidR="00BA2E8E">
              <w:rPr>
                <w:webHidden/>
              </w:rPr>
              <w:t>3-38</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24" w:history="1">
            <w:r w:rsidR="00BA2E8E" w:rsidRPr="004B2540">
              <w:rPr>
                <w:rStyle w:val="Hyperlink"/>
              </w:rPr>
              <w:t>3.4</w:t>
            </w:r>
            <w:r w:rsidR="00BA2E8E">
              <w:rPr>
                <w:rFonts w:asciiTheme="minorHAnsi" w:eastAsiaTheme="minorEastAsia" w:hAnsiTheme="minorHAnsi"/>
                <w:b w:val="0"/>
                <w:color w:val="auto"/>
                <w:sz w:val="22"/>
                <w:lang w:eastAsia="en-AU"/>
              </w:rPr>
              <w:tab/>
            </w:r>
            <w:r w:rsidR="00BA2E8E" w:rsidRPr="004B2540">
              <w:rPr>
                <w:rStyle w:val="Hyperlink"/>
              </w:rPr>
              <w:t>Reasons for final decision</w:t>
            </w:r>
            <w:r w:rsidR="00BA2E8E">
              <w:rPr>
                <w:webHidden/>
              </w:rPr>
              <w:tab/>
            </w:r>
            <w:r w:rsidR="00BA2E8E">
              <w:rPr>
                <w:webHidden/>
              </w:rPr>
              <w:fldChar w:fldCharType="begin"/>
            </w:r>
            <w:r w:rsidR="00BA2E8E">
              <w:rPr>
                <w:webHidden/>
              </w:rPr>
              <w:instrText xml:space="preserve"> PAGEREF _Toc451678624 \h </w:instrText>
            </w:r>
            <w:r w:rsidR="00BA2E8E">
              <w:rPr>
                <w:webHidden/>
              </w:rPr>
            </w:r>
            <w:r w:rsidR="00BA2E8E">
              <w:rPr>
                <w:webHidden/>
              </w:rPr>
              <w:fldChar w:fldCharType="separate"/>
            </w:r>
            <w:r w:rsidR="00BA2E8E">
              <w:rPr>
                <w:webHidden/>
              </w:rPr>
              <w:t>3-42</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5" w:history="1">
            <w:r w:rsidR="00BA2E8E" w:rsidRPr="004B2540">
              <w:rPr>
                <w:rStyle w:val="Hyperlink"/>
              </w:rPr>
              <w:t>3.4.1</w:t>
            </w:r>
            <w:r w:rsidR="00BA2E8E">
              <w:rPr>
                <w:rFonts w:asciiTheme="minorHAnsi" w:eastAsiaTheme="minorEastAsia" w:hAnsiTheme="minorHAnsi"/>
                <w:lang w:eastAsia="en-AU"/>
              </w:rPr>
              <w:tab/>
            </w:r>
            <w:r w:rsidR="00BA2E8E" w:rsidRPr="004B2540">
              <w:rPr>
                <w:rStyle w:val="Hyperlink"/>
              </w:rPr>
              <w:t>Return on equity</w:t>
            </w:r>
            <w:r w:rsidR="00BA2E8E">
              <w:rPr>
                <w:webHidden/>
              </w:rPr>
              <w:tab/>
            </w:r>
            <w:r w:rsidR="00BA2E8E">
              <w:rPr>
                <w:webHidden/>
              </w:rPr>
              <w:fldChar w:fldCharType="begin"/>
            </w:r>
            <w:r w:rsidR="00BA2E8E">
              <w:rPr>
                <w:webHidden/>
              </w:rPr>
              <w:instrText xml:space="preserve"> PAGEREF _Toc451678625 \h </w:instrText>
            </w:r>
            <w:r w:rsidR="00BA2E8E">
              <w:rPr>
                <w:webHidden/>
              </w:rPr>
            </w:r>
            <w:r w:rsidR="00BA2E8E">
              <w:rPr>
                <w:webHidden/>
              </w:rPr>
              <w:fldChar w:fldCharType="separate"/>
            </w:r>
            <w:r w:rsidR="00BA2E8E">
              <w:rPr>
                <w:webHidden/>
              </w:rPr>
              <w:t>3-43</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6" w:history="1">
            <w:r w:rsidR="00BA2E8E" w:rsidRPr="004B2540">
              <w:rPr>
                <w:rStyle w:val="Hyperlink"/>
              </w:rPr>
              <w:t>3.4.2</w:t>
            </w:r>
            <w:r w:rsidR="00BA2E8E">
              <w:rPr>
                <w:rFonts w:asciiTheme="minorHAnsi" w:eastAsiaTheme="minorEastAsia" w:hAnsiTheme="minorHAnsi"/>
                <w:lang w:eastAsia="en-AU"/>
              </w:rPr>
              <w:tab/>
            </w:r>
            <w:r w:rsidR="00BA2E8E" w:rsidRPr="004B2540">
              <w:rPr>
                <w:rStyle w:val="Hyperlink"/>
              </w:rPr>
              <w:t>Return on debt</w:t>
            </w:r>
            <w:r w:rsidR="00BA2E8E">
              <w:rPr>
                <w:webHidden/>
              </w:rPr>
              <w:tab/>
            </w:r>
            <w:r w:rsidR="00BA2E8E">
              <w:rPr>
                <w:webHidden/>
              </w:rPr>
              <w:fldChar w:fldCharType="begin"/>
            </w:r>
            <w:r w:rsidR="00BA2E8E">
              <w:rPr>
                <w:webHidden/>
              </w:rPr>
              <w:instrText xml:space="preserve"> PAGEREF _Toc451678626 \h </w:instrText>
            </w:r>
            <w:r w:rsidR="00BA2E8E">
              <w:rPr>
                <w:webHidden/>
              </w:rPr>
            </w:r>
            <w:r w:rsidR="00BA2E8E">
              <w:rPr>
                <w:webHidden/>
              </w:rPr>
              <w:fldChar w:fldCharType="separate"/>
            </w:r>
            <w:r w:rsidR="00BA2E8E">
              <w:rPr>
                <w:webHidden/>
              </w:rPr>
              <w:t>3-88</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7" w:history="1">
            <w:r w:rsidR="00BA2E8E" w:rsidRPr="004B2540">
              <w:rPr>
                <w:rStyle w:val="Hyperlink"/>
              </w:rPr>
              <w:t>3.4.3</w:t>
            </w:r>
            <w:r w:rsidR="00BA2E8E">
              <w:rPr>
                <w:rFonts w:asciiTheme="minorHAnsi" w:eastAsiaTheme="minorEastAsia" w:hAnsiTheme="minorHAnsi"/>
                <w:lang w:eastAsia="en-AU"/>
              </w:rPr>
              <w:tab/>
            </w:r>
            <w:r w:rsidR="00BA2E8E" w:rsidRPr="004B2540">
              <w:rPr>
                <w:rStyle w:val="Hyperlink"/>
              </w:rPr>
              <w:t>Gearing</w:t>
            </w:r>
            <w:r w:rsidR="00BA2E8E">
              <w:rPr>
                <w:webHidden/>
              </w:rPr>
              <w:tab/>
            </w:r>
            <w:r w:rsidR="00BA2E8E">
              <w:rPr>
                <w:webHidden/>
              </w:rPr>
              <w:fldChar w:fldCharType="begin"/>
            </w:r>
            <w:r w:rsidR="00BA2E8E">
              <w:rPr>
                <w:webHidden/>
              </w:rPr>
              <w:instrText xml:space="preserve"> PAGEREF _Toc451678627 \h </w:instrText>
            </w:r>
            <w:r w:rsidR="00BA2E8E">
              <w:rPr>
                <w:webHidden/>
              </w:rPr>
            </w:r>
            <w:r w:rsidR="00BA2E8E">
              <w:rPr>
                <w:webHidden/>
              </w:rPr>
              <w:fldChar w:fldCharType="separate"/>
            </w:r>
            <w:r w:rsidR="00BA2E8E">
              <w:rPr>
                <w:webHidden/>
              </w:rPr>
              <w:t>3-147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28" w:history="1">
            <w:r w:rsidR="00BA2E8E" w:rsidRPr="004B2540">
              <w:rPr>
                <w:rStyle w:val="Hyperlink"/>
              </w:rPr>
              <w:t>3.4.4</w:t>
            </w:r>
            <w:r w:rsidR="00BA2E8E">
              <w:rPr>
                <w:rFonts w:asciiTheme="minorHAnsi" w:eastAsiaTheme="minorEastAsia" w:hAnsiTheme="minorHAnsi"/>
                <w:lang w:eastAsia="en-AU"/>
              </w:rPr>
              <w:tab/>
            </w:r>
            <w:r w:rsidR="00BA2E8E" w:rsidRPr="004B2540">
              <w:rPr>
                <w:rStyle w:val="Hyperlink"/>
              </w:rPr>
              <w:t>Expected inflation rate</w:t>
            </w:r>
            <w:r w:rsidR="00BA2E8E">
              <w:rPr>
                <w:webHidden/>
              </w:rPr>
              <w:tab/>
            </w:r>
            <w:r w:rsidR="00BA2E8E">
              <w:rPr>
                <w:webHidden/>
              </w:rPr>
              <w:fldChar w:fldCharType="begin"/>
            </w:r>
            <w:r w:rsidR="00BA2E8E">
              <w:rPr>
                <w:webHidden/>
              </w:rPr>
              <w:instrText xml:space="preserve"> PAGEREF _Toc451678628 \h </w:instrText>
            </w:r>
            <w:r w:rsidR="00BA2E8E">
              <w:rPr>
                <w:webHidden/>
              </w:rPr>
            </w:r>
            <w:r w:rsidR="00BA2E8E">
              <w:rPr>
                <w:webHidden/>
              </w:rPr>
              <w:fldChar w:fldCharType="separate"/>
            </w:r>
            <w:r w:rsidR="00BA2E8E">
              <w:rPr>
                <w:webHidden/>
              </w:rPr>
              <w:t>3-149</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29" w:history="1">
            <w:r w:rsidR="00BA2E8E" w:rsidRPr="004B2540">
              <w:rPr>
                <w:rStyle w:val="Hyperlink"/>
              </w:rPr>
              <w:t>A</w:t>
            </w:r>
            <w:r w:rsidR="00BA2E8E">
              <w:rPr>
                <w:rFonts w:asciiTheme="minorHAnsi" w:eastAsiaTheme="minorEastAsia" w:hAnsiTheme="minorHAnsi"/>
                <w:b w:val="0"/>
                <w:color w:val="auto"/>
                <w:sz w:val="22"/>
                <w:lang w:val="en-AU" w:eastAsia="en-AU"/>
              </w:rPr>
              <w:tab/>
            </w:r>
            <w:r w:rsidR="00BA2E8E" w:rsidRPr="004B2540">
              <w:rPr>
                <w:rStyle w:val="Hyperlink"/>
              </w:rPr>
              <w:t>Our foundation model approach</w:t>
            </w:r>
            <w:r w:rsidR="00BA2E8E">
              <w:rPr>
                <w:webHidden/>
              </w:rPr>
              <w:tab/>
            </w:r>
            <w:r w:rsidR="00BA2E8E">
              <w:rPr>
                <w:webHidden/>
              </w:rPr>
              <w:fldChar w:fldCharType="begin"/>
            </w:r>
            <w:r w:rsidR="00BA2E8E">
              <w:rPr>
                <w:webHidden/>
              </w:rPr>
              <w:instrText xml:space="preserve"> PAGEREF _Toc451678629 \h </w:instrText>
            </w:r>
            <w:r w:rsidR="00BA2E8E">
              <w:rPr>
                <w:webHidden/>
              </w:rPr>
            </w:r>
            <w:r w:rsidR="00BA2E8E">
              <w:rPr>
                <w:webHidden/>
              </w:rPr>
              <w:fldChar w:fldCharType="separate"/>
            </w:r>
            <w:r w:rsidR="00BA2E8E">
              <w:rPr>
                <w:webHidden/>
              </w:rPr>
              <w:t>3-159</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30" w:history="1">
            <w:r w:rsidR="00BA2E8E" w:rsidRPr="004B2540">
              <w:rPr>
                <w:rStyle w:val="Hyperlink"/>
              </w:rPr>
              <w:t>B</w:t>
            </w:r>
            <w:r w:rsidR="00BA2E8E">
              <w:rPr>
                <w:rFonts w:asciiTheme="minorHAnsi" w:eastAsiaTheme="minorEastAsia" w:hAnsiTheme="minorHAnsi"/>
                <w:b w:val="0"/>
                <w:color w:val="auto"/>
                <w:sz w:val="22"/>
                <w:lang w:val="en-AU" w:eastAsia="en-AU"/>
              </w:rPr>
              <w:tab/>
            </w:r>
            <w:r w:rsidR="00BA2E8E" w:rsidRPr="004B2540">
              <w:rPr>
                <w:rStyle w:val="Hyperlink"/>
              </w:rPr>
              <w:t>Equity models</w:t>
            </w:r>
            <w:r w:rsidR="00BA2E8E">
              <w:rPr>
                <w:webHidden/>
              </w:rPr>
              <w:tab/>
            </w:r>
            <w:r w:rsidR="00BA2E8E">
              <w:rPr>
                <w:webHidden/>
              </w:rPr>
              <w:fldChar w:fldCharType="begin"/>
            </w:r>
            <w:r w:rsidR="00BA2E8E">
              <w:rPr>
                <w:webHidden/>
              </w:rPr>
              <w:instrText xml:space="preserve"> PAGEREF _Toc451678630 \h </w:instrText>
            </w:r>
            <w:r w:rsidR="00BA2E8E">
              <w:rPr>
                <w:webHidden/>
              </w:rPr>
            </w:r>
            <w:r w:rsidR="00BA2E8E">
              <w:rPr>
                <w:webHidden/>
              </w:rPr>
              <w:fldChar w:fldCharType="separate"/>
            </w:r>
            <w:r w:rsidR="00BA2E8E">
              <w:rPr>
                <w:webHidden/>
              </w:rPr>
              <w:t>3-163</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31" w:history="1">
            <w:r w:rsidR="00BA2E8E" w:rsidRPr="004B2540">
              <w:rPr>
                <w:rStyle w:val="Hyperlink"/>
              </w:rPr>
              <w:t>B.1</w:t>
            </w:r>
            <w:r w:rsidR="00BA2E8E">
              <w:rPr>
                <w:rFonts w:asciiTheme="minorHAnsi" w:eastAsiaTheme="minorEastAsia" w:hAnsiTheme="minorHAnsi"/>
                <w:b w:val="0"/>
                <w:color w:val="auto"/>
                <w:sz w:val="22"/>
                <w:lang w:eastAsia="en-AU"/>
              </w:rPr>
              <w:tab/>
            </w:r>
            <w:r w:rsidR="00BA2E8E" w:rsidRPr="004B2540">
              <w:rPr>
                <w:rStyle w:val="Hyperlink"/>
              </w:rPr>
              <w:t>Sharpe-Lintner CAPM</w:t>
            </w:r>
            <w:r w:rsidR="00BA2E8E">
              <w:rPr>
                <w:webHidden/>
              </w:rPr>
              <w:tab/>
            </w:r>
            <w:r w:rsidR="00BA2E8E">
              <w:rPr>
                <w:webHidden/>
              </w:rPr>
              <w:fldChar w:fldCharType="begin"/>
            </w:r>
            <w:r w:rsidR="00BA2E8E">
              <w:rPr>
                <w:webHidden/>
              </w:rPr>
              <w:instrText xml:space="preserve"> PAGEREF _Toc451678631 \h </w:instrText>
            </w:r>
            <w:r w:rsidR="00BA2E8E">
              <w:rPr>
                <w:webHidden/>
              </w:rPr>
            </w:r>
            <w:r w:rsidR="00BA2E8E">
              <w:rPr>
                <w:webHidden/>
              </w:rPr>
              <w:fldChar w:fldCharType="separate"/>
            </w:r>
            <w:r w:rsidR="00BA2E8E">
              <w:rPr>
                <w:webHidden/>
              </w:rPr>
              <w:t>3-164</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32" w:history="1">
            <w:r w:rsidR="00BA2E8E" w:rsidRPr="004B2540">
              <w:rPr>
                <w:rStyle w:val="Hyperlink"/>
              </w:rPr>
              <w:t>B.1.1</w:t>
            </w:r>
            <w:r w:rsidR="00BA2E8E">
              <w:rPr>
                <w:rFonts w:asciiTheme="minorHAnsi" w:eastAsiaTheme="minorEastAsia" w:hAnsiTheme="minorHAnsi"/>
                <w:lang w:eastAsia="en-AU"/>
              </w:rPr>
              <w:tab/>
            </w:r>
            <w:r w:rsidR="00BA2E8E" w:rsidRPr="004B2540">
              <w:rPr>
                <w:rStyle w:val="Hyperlink"/>
              </w:rPr>
              <w:t>Submissions supporting the use of the Sharpe-Lintner CAPM as the foundation model</w:t>
            </w:r>
            <w:r w:rsidR="00BA2E8E">
              <w:rPr>
                <w:webHidden/>
              </w:rPr>
              <w:tab/>
            </w:r>
            <w:r w:rsidR="00BA2E8E">
              <w:rPr>
                <w:webHidden/>
              </w:rPr>
              <w:fldChar w:fldCharType="begin"/>
            </w:r>
            <w:r w:rsidR="00BA2E8E">
              <w:rPr>
                <w:webHidden/>
              </w:rPr>
              <w:instrText xml:space="preserve"> PAGEREF _Toc451678632 \h </w:instrText>
            </w:r>
            <w:r w:rsidR="00BA2E8E">
              <w:rPr>
                <w:webHidden/>
              </w:rPr>
            </w:r>
            <w:r w:rsidR="00BA2E8E">
              <w:rPr>
                <w:webHidden/>
              </w:rPr>
              <w:fldChar w:fldCharType="separate"/>
            </w:r>
            <w:r w:rsidR="00BA2E8E">
              <w:rPr>
                <w:webHidden/>
              </w:rPr>
              <w:t>3-169</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33" w:history="1">
            <w:r w:rsidR="00BA2E8E" w:rsidRPr="004B2540">
              <w:rPr>
                <w:rStyle w:val="Hyperlink"/>
              </w:rPr>
              <w:t>B.1.2</w:t>
            </w:r>
            <w:r w:rsidR="00BA2E8E">
              <w:rPr>
                <w:rFonts w:asciiTheme="minorHAnsi" w:eastAsiaTheme="minorEastAsia" w:hAnsiTheme="minorHAnsi"/>
                <w:lang w:eastAsia="en-AU"/>
              </w:rPr>
              <w:tab/>
            </w:r>
            <w:r w:rsidR="00BA2E8E" w:rsidRPr="004B2540">
              <w:rPr>
                <w:rStyle w:val="Hyperlink"/>
              </w:rPr>
              <w:t>Empirical tests of the Sharpe-Lintner CAPM</w:t>
            </w:r>
            <w:r w:rsidR="00BA2E8E">
              <w:rPr>
                <w:webHidden/>
              </w:rPr>
              <w:tab/>
            </w:r>
            <w:r w:rsidR="00BA2E8E">
              <w:rPr>
                <w:webHidden/>
              </w:rPr>
              <w:fldChar w:fldCharType="begin"/>
            </w:r>
            <w:r w:rsidR="00BA2E8E">
              <w:rPr>
                <w:webHidden/>
              </w:rPr>
              <w:instrText xml:space="preserve"> PAGEREF _Toc451678633 \h </w:instrText>
            </w:r>
            <w:r w:rsidR="00BA2E8E">
              <w:rPr>
                <w:webHidden/>
              </w:rPr>
            </w:r>
            <w:r w:rsidR="00BA2E8E">
              <w:rPr>
                <w:webHidden/>
              </w:rPr>
              <w:fldChar w:fldCharType="separate"/>
            </w:r>
            <w:r w:rsidR="00BA2E8E">
              <w:rPr>
                <w:webHidden/>
              </w:rPr>
              <w:t>3-173</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34" w:history="1">
            <w:r w:rsidR="00BA2E8E" w:rsidRPr="004B2540">
              <w:rPr>
                <w:rStyle w:val="Hyperlink"/>
              </w:rPr>
              <w:t>B.1.3</w:t>
            </w:r>
            <w:r w:rsidR="00BA2E8E">
              <w:rPr>
                <w:rFonts w:asciiTheme="minorHAnsi" w:eastAsiaTheme="minorEastAsia" w:hAnsiTheme="minorHAnsi"/>
                <w:lang w:eastAsia="en-AU"/>
              </w:rPr>
              <w:tab/>
            </w:r>
            <w:r w:rsidR="00BA2E8E" w:rsidRPr="004B2540">
              <w:rPr>
                <w:rStyle w:val="Hyperlink"/>
              </w:rPr>
              <w:t>Evidence from estimates of other models</w:t>
            </w:r>
            <w:r w:rsidR="00BA2E8E">
              <w:rPr>
                <w:webHidden/>
              </w:rPr>
              <w:tab/>
            </w:r>
            <w:r w:rsidR="00BA2E8E">
              <w:rPr>
                <w:webHidden/>
              </w:rPr>
              <w:fldChar w:fldCharType="begin"/>
            </w:r>
            <w:r w:rsidR="00BA2E8E">
              <w:rPr>
                <w:webHidden/>
              </w:rPr>
              <w:instrText xml:space="preserve"> PAGEREF _Toc451678634 \h </w:instrText>
            </w:r>
            <w:r w:rsidR="00BA2E8E">
              <w:rPr>
                <w:webHidden/>
              </w:rPr>
            </w:r>
            <w:r w:rsidR="00BA2E8E">
              <w:rPr>
                <w:webHidden/>
              </w:rPr>
              <w:fldChar w:fldCharType="separate"/>
            </w:r>
            <w:r w:rsidR="00BA2E8E">
              <w:rPr>
                <w:webHidden/>
              </w:rPr>
              <w:t>3-177</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35" w:history="1">
            <w:r w:rsidR="00BA2E8E" w:rsidRPr="004B2540">
              <w:rPr>
                <w:rStyle w:val="Hyperlink"/>
              </w:rPr>
              <w:t>B.2</w:t>
            </w:r>
            <w:r w:rsidR="00BA2E8E">
              <w:rPr>
                <w:rFonts w:asciiTheme="minorHAnsi" w:eastAsiaTheme="minorEastAsia" w:hAnsiTheme="minorHAnsi"/>
                <w:b w:val="0"/>
                <w:color w:val="auto"/>
                <w:sz w:val="22"/>
                <w:lang w:eastAsia="en-AU"/>
              </w:rPr>
              <w:tab/>
            </w:r>
            <w:r w:rsidR="00BA2E8E" w:rsidRPr="004B2540">
              <w:rPr>
                <w:rStyle w:val="Hyperlink"/>
              </w:rPr>
              <w:t>Black CAPM</w:t>
            </w:r>
            <w:r w:rsidR="00BA2E8E">
              <w:rPr>
                <w:webHidden/>
              </w:rPr>
              <w:tab/>
            </w:r>
            <w:r w:rsidR="00BA2E8E">
              <w:rPr>
                <w:webHidden/>
              </w:rPr>
              <w:fldChar w:fldCharType="begin"/>
            </w:r>
            <w:r w:rsidR="00BA2E8E">
              <w:rPr>
                <w:webHidden/>
              </w:rPr>
              <w:instrText xml:space="preserve"> PAGEREF _Toc451678635 \h </w:instrText>
            </w:r>
            <w:r w:rsidR="00BA2E8E">
              <w:rPr>
                <w:webHidden/>
              </w:rPr>
            </w:r>
            <w:r w:rsidR="00BA2E8E">
              <w:rPr>
                <w:webHidden/>
              </w:rPr>
              <w:fldChar w:fldCharType="separate"/>
            </w:r>
            <w:r w:rsidR="00BA2E8E">
              <w:rPr>
                <w:webHidden/>
              </w:rPr>
              <w:t>3-178</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36" w:history="1">
            <w:r w:rsidR="00BA2E8E" w:rsidRPr="004B2540">
              <w:rPr>
                <w:rStyle w:val="Hyperlink"/>
              </w:rPr>
              <w:t>B.2.1</w:t>
            </w:r>
            <w:r w:rsidR="00BA2E8E">
              <w:rPr>
                <w:rFonts w:asciiTheme="minorHAnsi" w:eastAsiaTheme="minorEastAsia" w:hAnsiTheme="minorHAnsi"/>
                <w:lang w:eastAsia="en-AU"/>
              </w:rPr>
              <w:tab/>
            </w:r>
            <w:r w:rsidR="00BA2E8E" w:rsidRPr="004B2540">
              <w:rPr>
                <w:rStyle w:val="Hyperlink"/>
              </w:rPr>
              <w:t>Empirical reliability of the Black CAPM</w:t>
            </w:r>
            <w:r w:rsidR="00BA2E8E">
              <w:rPr>
                <w:webHidden/>
              </w:rPr>
              <w:tab/>
            </w:r>
            <w:r w:rsidR="00BA2E8E">
              <w:rPr>
                <w:webHidden/>
              </w:rPr>
              <w:fldChar w:fldCharType="begin"/>
            </w:r>
            <w:r w:rsidR="00BA2E8E">
              <w:rPr>
                <w:webHidden/>
              </w:rPr>
              <w:instrText xml:space="preserve"> PAGEREF _Toc451678636 \h </w:instrText>
            </w:r>
            <w:r w:rsidR="00BA2E8E">
              <w:rPr>
                <w:webHidden/>
              </w:rPr>
            </w:r>
            <w:r w:rsidR="00BA2E8E">
              <w:rPr>
                <w:webHidden/>
              </w:rPr>
              <w:fldChar w:fldCharType="separate"/>
            </w:r>
            <w:r w:rsidR="00BA2E8E">
              <w:rPr>
                <w:webHidden/>
              </w:rPr>
              <w:t>3-181</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37" w:history="1">
            <w:r w:rsidR="00BA2E8E" w:rsidRPr="004B2540">
              <w:rPr>
                <w:rStyle w:val="Hyperlink"/>
              </w:rPr>
              <w:t>B.2.2</w:t>
            </w:r>
            <w:r w:rsidR="00BA2E8E">
              <w:rPr>
                <w:rFonts w:asciiTheme="minorHAnsi" w:eastAsiaTheme="minorEastAsia" w:hAnsiTheme="minorHAnsi"/>
                <w:lang w:eastAsia="en-AU"/>
              </w:rPr>
              <w:tab/>
            </w:r>
            <w:r w:rsidR="00BA2E8E" w:rsidRPr="004B2540">
              <w:rPr>
                <w:rStyle w:val="Hyperlink"/>
              </w:rPr>
              <w:t>Low beta bias may not reflect ex ante priced risk</w:t>
            </w:r>
            <w:r w:rsidR="00BA2E8E">
              <w:rPr>
                <w:webHidden/>
              </w:rPr>
              <w:tab/>
            </w:r>
            <w:r w:rsidR="00BA2E8E">
              <w:rPr>
                <w:webHidden/>
              </w:rPr>
              <w:fldChar w:fldCharType="begin"/>
            </w:r>
            <w:r w:rsidR="00BA2E8E">
              <w:rPr>
                <w:webHidden/>
              </w:rPr>
              <w:instrText xml:space="preserve"> PAGEREF _Toc451678637 \h </w:instrText>
            </w:r>
            <w:r w:rsidR="00BA2E8E">
              <w:rPr>
                <w:webHidden/>
              </w:rPr>
            </w:r>
            <w:r w:rsidR="00BA2E8E">
              <w:rPr>
                <w:webHidden/>
              </w:rPr>
              <w:fldChar w:fldCharType="separate"/>
            </w:r>
            <w:r w:rsidR="00BA2E8E">
              <w:rPr>
                <w:webHidden/>
              </w:rPr>
              <w:t>3-187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38" w:history="1">
            <w:r w:rsidR="00BA2E8E" w:rsidRPr="004B2540">
              <w:rPr>
                <w:rStyle w:val="Hyperlink"/>
              </w:rPr>
              <w:t>B.2.3</w:t>
            </w:r>
            <w:r w:rsidR="00BA2E8E">
              <w:rPr>
                <w:rFonts w:asciiTheme="minorHAnsi" w:eastAsiaTheme="minorEastAsia" w:hAnsiTheme="minorHAnsi"/>
                <w:lang w:eastAsia="en-AU"/>
              </w:rPr>
              <w:tab/>
            </w:r>
            <w:r w:rsidR="00BA2E8E" w:rsidRPr="004B2540">
              <w:rPr>
                <w:rStyle w:val="Hyperlink"/>
              </w:rPr>
              <w:t>AER's role for the theory of the Black CAPM</w:t>
            </w:r>
            <w:r w:rsidR="00BA2E8E">
              <w:rPr>
                <w:webHidden/>
              </w:rPr>
              <w:tab/>
            </w:r>
            <w:r w:rsidR="00BA2E8E">
              <w:rPr>
                <w:webHidden/>
              </w:rPr>
              <w:fldChar w:fldCharType="begin"/>
            </w:r>
            <w:r w:rsidR="00BA2E8E">
              <w:rPr>
                <w:webHidden/>
              </w:rPr>
              <w:instrText xml:space="preserve"> PAGEREF _Toc451678638 \h </w:instrText>
            </w:r>
            <w:r w:rsidR="00BA2E8E">
              <w:rPr>
                <w:webHidden/>
              </w:rPr>
            </w:r>
            <w:r w:rsidR="00BA2E8E">
              <w:rPr>
                <w:webHidden/>
              </w:rPr>
              <w:fldChar w:fldCharType="separate"/>
            </w:r>
            <w:r w:rsidR="00BA2E8E">
              <w:rPr>
                <w:webHidden/>
              </w:rPr>
              <w:t>3-188</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39" w:history="1">
            <w:r w:rsidR="00BA2E8E" w:rsidRPr="004B2540">
              <w:rPr>
                <w:rStyle w:val="Hyperlink"/>
              </w:rPr>
              <w:t>B.3</w:t>
            </w:r>
            <w:r w:rsidR="00BA2E8E">
              <w:rPr>
                <w:rFonts w:asciiTheme="minorHAnsi" w:eastAsiaTheme="minorEastAsia" w:hAnsiTheme="minorHAnsi"/>
                <w:b w:val="0"/>
                <w:color w:val="auto"/>
                <w:sz w:val="22"/>
                <w:lang w:eastAsia="en-AU"/>
              </w:rPr>
              <w:tab/>
            </w:r>
            <w:r w:rsidR="00BA2E8E" w:rsidRPr="004B2540">
              <w:rPr>
                <w:rStyle w:val="Hyperlink"/>
              </w:rPr>
              <w:t>Fama-French model</w:t>
            </w:r>
            <w:r w:rsidR="00BA2E8E">
              <w:rPr>
                <w:webHidden/>
              </w:rPr>
              <w:tab/>
            </w:r>
            <w:r w:rsidR="00BA2E8E">
              <w:rPr>
                <w:webHidden/>
              </w:rPr>
              <w:fldChar w:fldCharType="begin"/>
            </w:r>
            <w:r w:rsidR="00BA2E8E">
              <w:rPr>
                <w:webHidden/>
              </w:rPr>
              <w:instrText xml:space="preserve"> PAGEREF _Toc451678639 \h </w:instrText>
            </w:r>
            <w:r w:rsidR="00BA2E8E">
              <w:rPr>
                <w:webHidden/>
              </w:rPr>
            </w:r>
            <w:r w:rsidR="00BA2E8E">
              <w:rPr>
                <w:webHidden/>
              </w:rPr>
              <w:fldChar w:fldCharType="separate"/>
            </w:r>
            <w:r w:rsidR="00BA2E8E">
              <w:rPr>
                <w:webHidden/>
              </w:rPr>
              <w:t>3-192</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40" w:history="1">
            <w:r w:rsidR="00BA2E8E" w:rsidRPr="004B2540">
              <w:rPr>
                <w:rStyle w:val="Hyperlink"/>
              </w:rPr>
              <w:t>B.3.1</w:t>
            </w:r>
            <w:r w:rsidR="00BA2E8E">
              <w:rPr>
                <w:rFonts w:asciiTheme="minorHAnsi" w:eastAsiaTheme="minorEastAsia" w:hAnsiTheme="minorHAnsi"/>
                <w:lang w:eastAsia="en-AU"/>
              </w:rPr>
              <w:tab/>
            </w:r>
            <w:r w:rsidR="00BA2E8E" w:rsidRPr="004B2540">
              <w:rPr>
                <w:rStyle w:val="Hyperlink"/>
              </w:rPr>
              <w:t>Sensitivity to methodological choices</w:t>
            </w:r>
            <w:r w:rsidR="00BA2E8E">
              <w:rPr>
                <w:webHidden/>
              </w:rPr>
              <w:tab/>
            </w:r>
            <w:r w:rsidR="00BA2E8E">
              <w:rPr>
                <w:webHidden/>
              </w:rPr>
              <w:fldChar w:fldCharType="begin"/>
            </w:r>
            <w:r w:rsidR="00BA2E8E">
              <w:rPr>
                <w:webHidden/>
              </w:rPr>
              <w:instrText xml:space="preserve"> PAGEREF _Toc451678640 \h </w:instrText>
            </w:r>
            <w:r w:rsidR="00BA2E8E">
              <w:rPr>
                <w:webHidden/>
              </w:rPr>
            </w:r>
            <w:r w:rsidR="00BA2E8E">
              <w:rPr>
                <w:webHidden/>
              </w:rPr>
              <w:fldChar w:fldCharType="separate"/>
            </w:r>
            <w:r w:rsidR="00BA2E8E">
              <w:rPr>
                <w:webHidden/>
              </w:rPr>
              <w:t>3-196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41" w:history="1">
            <w:r w:rsidR="00BA2E8E" w:rsidRPr="004B2540">
              <w:rPr>
                <w:rStyle w:val="Hyperlink"/>
              </w:rPr>
              <w:t>B.3.2</w:t>
            </w:r>
            <w:r w:rsidR="00BA2E8E">
              <w:rPr>
                <w:rFonts w:asciiTheme="minorHAnsi" w:eastAsiaTheme="minorEastAsia" w:hAnsiTheme="minorHAnsi"/>
                <w:lang w:eastAsia="en-AU"/>
              </w:rPr>
              <w:tab/>
            </w:r>
            <w:r w:rsidR="00BA2E8E" w:rsidRPr="004B2540">
              <w:rPr>
                <w:rStyle w:val="Hyperlink"/>
              </w:rPr>
              <w:t>Fama-French factors may not reflect ex ante priced risk</w:t>
            </w:r>
            <w:r w:rsidR="00BA2E8E">
              <w:rPr>
                <w:webHidden/>
              </w:rPr>
              <w:tab/>
            </w:r>
            <w:r w:rsidR="00BA2E8E">
              <w:rPr>
                <w:webHidden/>
              </w:rPr>
              <w:fldChar w:fldCharType="begin"/>
            </w:r>
            <w:r w:rsidR="00BA2E8E">
              <w:rPr>
                <w:webHidden/>
              </w:rPr>
              <w:instrText xml:space="preserve"> PAGEREF _Toc451678641 \h </w:instrText>
            </w:r>
            <w:r w:rsidR="00BA2E8E">
              <w:rPr>
                <w:webHidden/>
              </w:rPr>
            </w:r>
            <w:r w:rsidR="00BA2E8E">
              <w:rPr>
                <w:webHidden/>
              </w:rPr>
              <w:fldChar w:fldCharType="separate"/>
            </w:r>
            <w:r w:rsidR="00BA2E8E">
              <w:rPr>
                <w:webHidden/>
              </w:rPr>
              <w:t>3-199</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42" w:history="1">
            <w:r w:rsidR="00BA2E8E" w:rsidRPr="004B2540">
              <w:rPr>
                <w:rStyle w:val="Hyperlink"/>
              </w:rPr>
              <w:t>B.4</w:t>
            </w:r>
            <w:r w:rsidR="00BA2E8E">
              <w:rPr>
                <w:rFonts w:asciiTheme="minorHAnsi" w:eastAsiaTheme="minorEastAsia" w:hAnsiTheme="minorHAnsi"/>
                <w:b w:val="0"/>
                <w:color w:val="auto"/>
                <w:sz w:val="22"/>
                <w:lang w:eastAsia="en-AU"/>
              </w:rPr>
              <w:tab/>
            </w:r>
            <w:r w:rsidR="00BA2E8E" w:rsidRPr="004B2540">
              <w:rPr>
                <w:rStyle w:val="Hyperlink"/>
              </w:rPr>
              <w:t>Dividend growth model</w:t>
            </w:r>
            <w:r w:rsidR="00BA2E8E">
              <w:rPr>
                <w:webHidden/>
              </w:rPr>
              <w:tab/>
            </w:r>
            <w:r w:rsidR="00BA2E8E">
              <w:rPr>
                <w:webHidden/>
              </w:rPr>
              <w:fldChar w:fldCharType="begin"/>
            </w:r>
            <w:r w:rsidR="00BA2E8E">
              <w:rPr>
                <w:webHidden/>
              </w:rPr>
              <w:instrText xml:space="preserve"> PAGEREF _Toc451678642 \h </w:instrText>
            </w:r>
            <w:r w:rsidR="00BA2E8E">
              <w:rPr>
                <w:webHidden/>
              </w:rPr>
            </w:r>
            <w:r w:rsidR="00BA2E8E">
              <w:rPr>
                <w:webHidden/>
              </w:rPr>
              <w:fldChar w:fldCharType="separate"/>
            </w:r>
            <w:r w:rsidR="00BA2E8E">
              <w:rPr>
                <w:webHidden/>
              </w:rPr>
              <w:t>3-201</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43" w:history="1">
            <w:r w:rsidR="00BA2E8E" w:rsidRPr="004B2540">
              <w:rPr>
                <w:rStyle w:val="Hyperlink"/>
              </w:rPr>
              <w:t>B.4.1</w:t>
            </w:r>
            <w:r w:rsidR="00BA2E8E">
              <w:rPr>
                <w:rFonts w:asciiTheme="minorHAnsi" w:eastAsiaTheme="minorEastAsia" w:hAnsiTheme="minorHAnsi"/>
                <w:lang w:eastAsia="en-AU"/>
              </w:rPr>
              <w:tab/>
            </w:r>
            <w:r w:rsidR="00BA2E8E" w:rsidRPr="004B2540">
              <w:rPr>
                <w:rStyle w:val="Hyperlink"/>
              </w:rPr>
              <w:t>SFG's constructuction of the dividend growth model</w:t>
            </w:r>
            <w:r w:rsidR="00BA2E8E">
              <w:rPr>
                <w:webHidden/>
              </w:rPr>
              <w:tab/>
            </w:r>
            <w:r w:rsidR="00BA2E8E">
              <w:rPr>
                <w:webHidden/>
              </w:rPr>
              <w:fldChar w:fldCharType="begin"/>
            </w:r>
            <w:r w:rsidR="00BA2E8E">
              <w:rPr>
                <w:webHidden/>
              </w:rPr>
              <w:instrText xml:space="preserve"> PAGEREF _Toc451678643 \h </w:instrText>
            </w:r>
            <w:r w:rsidR="00BA2E8E">
              <w:rPr>
                <w:webHidden/>
              </w:rPr>
            </w:r>
            <w:r w:rsidR="00BA2E8E">
              <w:rPr>
                <w:webHidden/>
              </w:rPr>
              <w:fldChar w:fldCharType="separate"/>
            </w:r>
            <w:r w:rsidR="00BA2E8E">
              <w:rPr>
                <w:webHidden/>
              </w:rPr>
              <w:t>3-204</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44" w:history="1">
            <w:r w:rsidR="00BA2E8E" w:rsidRPr="004B2540">
              <w:rPr>
                <w:rStyle w:val="Hyperlink"/>
              </w:rPr>
              <w:t>B.5</w:t>
            </w:r>
            <w:r w:rsidR="00BA2E8E">
              <w:rPr>
                <w:rFonts w:asciiTheme="minorHAnsi" w:eastAsiaTheme="minorEastAsia" w:hAnsiTheme="minorHAnsi"/>
                <w:b w:val="0"/>
                <w:color w:val="auto"/>
                <w:sz w:val="22"/>
                <w:lang w:eastAsia="en-AU"/>
              </w:rPr>
              <w:tab/>
            </w:r>
            <w:r w:rsidR="00BA2E8E" w:rsidRPr="004B2540">
              <w:rPr>
                <w:rStyle w:val="Hyperlink"/>
              </w:rPr>
              <w:t>Wright CAPM and historical CAPM</w:t>
            </w:r>
            <w:r w:rsidR="00BA2E8E">
              <w:rPr>
                <w:webHidden/>
              </w:rPr>
              <w:tab/>
            </w:r>
            <w:r w:rsidR="00BA2E8E">
              <w:rPr>
                <w:webHidden/>
              </w:rPr>
              <w:fldChar w:fldCharType="begin"/>
            </w:r>
            <w:r w:rsidR="00BA2E8E">
              <w:rPr>
                <w:webHidden/>
              </w:rPr>
              <w:instrText xml:space="preserve"> PAGEREF _Toc451678644 \h </w:instrText>
            </w:r>
            <w:r w:rsidR="00BA2E8E">
              <w:rPr>
                <w:webHidden/>
              </w:rPr>
            </w:r>
            <w:r w:rsidR="00BA2E8E">
              <w:rPr>
                <w:webHidden/>
              </w:rPr>
              <w:fldChar w:fldCharType="separate"/>
            </w:r>
            <w:r w:rsidR="00BA2E8E">
              <w:rPr>
                <w:webHidden/>
              </w:rPr>
              <w:t>3-207</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45" w:history="1">
            <w:r w:rsidR="00BA2E8E" w:rsidRPr="004B2540">
              <w:rPr>
                <w:rStyle w:val="Hyperlink"/>
              </w:rPr>
              <w:t>C</w:t>
            </w:r>
            <w:r w:rsidR="00BA2E8E">
              <w:rPr>
                <w:rFonts w:asciiTheme="minorHAnsi" w:eastAsiaTheme="minorEastAsia" w:hAnsiTheme="minorHAnsi"/>
                <w:b w:val="0"/>
                <w:color w:val="auto"/>
                <w:sz w:val="22"/>
                <w:lang w:val="en-AU" w:eastAsia="en-AU"/>
              </w:rPr>
              <w:tab/>
            </w:r>
            <w:r w:rsidR="00BA2E8E" w:rsidRPr="004B2540">
              <w:rPr>
                <w:rStyle w:val="Hyperlink"/>
              </w:rPr>
              <w:t>Historical stock returns</w:t>
            </w:r>
            <w:r w:rsidR="00BA2E8E">
              <w:rPr>
                <w:webHidden/>
              </w:rPr>
              <w:tab/>
            </w:r>
            <w:r w:rsidR="00BA2E8E">
              <w:rPr>
                <w:webHidden/>
              </w:rPr>
              <w:fldChar w:fldCharType="begin"/>
            </w:r>
            <w:r w:rsidR="00BA2E8E">
              <w:rPr>
                <w:webHidden/>
              </w:rPr>
              <w:instrText xml:space="preserve"> PAGEREF _Toc451678645 \h </w:instrText>
            </w:r>
            <w:r w:rsidR="00BA2E8E">
              <w:rPr>
                <w:webHidden/>
              </w:rPr>
            </w:r>
            <w:r w:rsidR="00BA2E8E">
              <w:rPr>
                <w:webHidden/>
              </w:rPr>
              <w:fldChar w:fldCharType="separate"/>
            </w:r>
            <w:r w:rsidR="00BA2E8E">
              <w:rPr>
                <w:webHidden/>
              </w:rPr>
              <w:t>3-212</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46" w:history="1">
            <w:r w:rsidR="00BA2E8E" w:rsidRPr="004B2540">
              <w:rPr>
                <w:rStyle w:val="Hyperlink"/>
              </w:rPr>
              <w:t>C.1</w:t>
            </w:r>
            <w:r w:rsidR="00BA2E8E">
              <w:rPr>
                <w:rFonts w:asciiTheme="minorHAnsi" w:eastAsiaTheme="minorEastAsia" w:hAnsiTheme="minorHAnsi"/>
                <w:b w:val="0"/>
                <w:color w:val="auto"/>
                <w:sz w:val="22"/>
                <w:lang w:eastAsia="en-AU"/>
              </w:rPr>
              <w:tab/>
            </w:r>
            <w:r w:rsidR="00BA2E8E" w:rsidRPr="004B2540">
              <w:rPr>
                <w:rStyle w:val="Hyperlink"/>
              </w:rPr>
              <w:t>Prevailing estimates: excess returns</w:t>
            </w:r>
            <w:r w:rsidR="00BA2E8E">
              <w:rPr>
                <w:webHidden/>
              </w:rPr>
              <w:tab/>
            </w:r>
            <w:r w:rsidR="00BA2E8E">
              <w:rPr>
                <w:webHidden/>
              </w:rPr>
              <w:fldChar w:fldCharType="begin"/>
            </w:r>
            <w:r w:rsidR="00BA2E8E">
              <w:rPr>
                <w:webHidden/>
              </w:rPr>
              <w:instrText xml:space="preserve"> PAGEREF _Toc451678646 \h </w:instrText>
            </w:r>
            <w:r w:rsidR="00BA2E8E">
              <w:rPr>
                <w:webHidden/>
              </w:rPr>
            </w:r>
            <w:r w:rsidR="00BA2E8E">
              <w:rPr>
                <w:webHidden/>
              </w:rPr>
              <w:fldChar w:fldCharType="separate"/>
            </w:r>
            <w:r w:rsidR="00BA2E8E">
              <w:rPr>
                <w:webHidden/>
              </w:rPr>
              <w:t>3-212</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47" w:history="1">
            <w:r w:rsidR="00BA2E8E" w:rsidRPr="004B2540">
              <w:rPr>
                <w:rStyle w:val="Hyperlink"/>
              </w:rPr>
              <w:t>C.2</w:t>
            </w:r>
            <w:r w:rsidR="00BA2E8E">
              <w:rPr>
                <w:rFonts w:asciiTheme="minorHAnsi" w:eastAsiaTheme="minorEastAsia" w:hAnsiTheme="minorHAnsi"/>
                <w:b w:val="0"/>
                <w:color w:val="auto"/>
                <w:sz w:val="22"/>
                <w:lang w:eastAsia="en-AU"/>
              </w:rPr>
              <w:tab/>
            </w:r>
            <w:r w:rsidR="00BA2E8E" w:rsidRPr="004B2540">
              <w:rPr>
                <w:rStyle w:val="Hyperlink"/>
              </w:rPr>
              <w:t>Prevailing estimates: total returns</w:t>
            </w:r>
            <w:r w:rsidR="00BA2E8E">
              <w:rPr>
                <w:webHidden/>
              </w:rPr>
              <w:tab/>
            </w:r>
            <w:r w:rsidR="00BA2E8E">
              <w:rPr>
                <w:webHidden/>
              </w:rPr>
              <w:fldChar w:fldCharType="begin"/>
            </w:r>
            <w:r w:rsidR="00BA2E8E">
              <w:rPr>
                <w:webHidden/>
              </w:rPr>
              <w:instrText xml:space="preserve"> PAGEREF _Toc451678647 \h </w:instrText>
            </w:r>
            <w:r w:rsidR="00BA2E8E">
              <w:rPr>
                <w:webHidden/>
              </w:rPr>
            </w:r>
            <w:r w:rsidR="00BA2E8E">
              <w:rPr>
                <w:webHidden/>
              </w:rPr>
              <w:fldChar w:fldCharType="separate"/>
            </w:r>
            <w:r w:rsidR="00BA2E8E">
              <w:rPr>
                <w:webHidden/>
              </w:rPr>
              <w:t>3-213</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48" w:history="1">
            <w:r w:rsidR="00BA2E8E" w:rsidRPr="004B2540">
              <w:rPr>
                <w:rStyle w:val="Hyperlink"/>
              </w:rPr>
              <w:t>C.3</w:t>
            </w:r>
            <w:r w:rsidR="00BA2E8E">
              <w:rPr>
                <w:rFonts w:asciiTheme="minorHAnsi" w:eastAsiaTheme="minorEastAsia" w:hAnsiTheme="minorHAnsi"/>
                <w:b w:val="0"/>
                <w:color w:val="auto"/>
                <w:sz w:val="22"/>
                <w:lang w:eastAsia="en-AU"/>
              </w:rPr>
              <w:tab/>
            </w:r>
            <w:r w:rsidR="00BA2E8E" w:rsidRPr="004B2540">
              <w:rPr>
                <w:rStyle w:val="Hyperlink"/>
              </w:rPr>
              <w:t>Arithmetic and geometric averages</w:t>
            </w:r>
            <w:r w:rsidR="00BA2E8E">
              <w:rPr>
                <w:webHidden/>
              </w:rPr>
              <w:tab/>
            </w:r>
            <w:r w:rsidR="00BA2E8E">
              <w:rPr>
                <w:webHidden/>
              </w:rPr>
              <w:fldChar w:fldCharType="begin"/>
            </w:r>
            <w:r w:rsidR="00BA2E8E">
              <w:rPr>
                <w:webHidden/>
              </w:rPr>
              <w:instrText xml:space="preserve"> PAGEREF _Toc451678648 \h </w:instrText>
            </w:r>
            <w:r w:rsidR="00BA2E8E">
              <w:rPr>
                <w:webHidden/>
              </w:rPr>
            </w:r>
            <w:r w:rsidR="00BA2E8E">
              <w:rPr>
                <w:webHidden/>
              </w:rPr>
              <w:fldChar w:fldCharType="separate"/>
            </w:r>
            <w:r w:rsidR="00BA2E8E">
              <w:rPr>
                <w:webHidden/>
              </w:rPr>
              <w:t>3-214</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49" w:history="1">
            <w:r w:rsidR="00BA2E8E" w:rsidRPr="004B2540">
              <w:rPr>
                <w:rStyle w:val="Hyperlink"/>
              </w:rPr>
              <w:t>C.4</w:t>
            </w:r>
            <w:r w:rsidR="00BA2E8E">
              <w:rPr>
                <w:rFonts w:asciiTheme="minorHAnsi" w:eastAsiaTheme="minorEastAsia" w:hAnsiTheme="minorHAnsi"/>
                <w:b w:val="0"/>
                <w:color w:val="auto"/>
                <w:sz w:val="22"/>
                <w:lang w:eastAsia="en-AU"/>
              </w:rPr>
              <w:tab/>
            </w:r>
            <w:r w:rsidR="00BA2E8E" w:rsidRPr="004B2540">
              <w:rPr>
                <w:rStyle w:val="Hyperlink"/>
              </w:rPr>
              <w:t>ASX adjustment to historical data</w:t>
            </w:r>
            <w:r w:rsidR="00BA2E8E">
              <w:rPr>
                <w:webHidden/>
              </w:rPr>
              <w:tab/>
            </w:r>
            <w:r w:rsidR="00BA2E8E">
              <w:rPr>
                <w:webHidden/>
              </w:rPr>
              <w:fldChar w:fldCharType="begin"/>
            </w:r>
            <w:r w:rsidR="00BA2E8E">
              <w:rPr>
                <w:webHidden/>
              </w:rPr>
              <w:instrText xml:space="preserve"> PAGEREF _Toc451678649 \h </w:instrText>
            </w:r>
            <w:r w:rsidR="00BA2E8E">
              <w:rPr>
                <w:webHidden/>
              </w:rPr>
            </w:r>
            <w:r w:rsidR="00BA2E8E">
              <w:rPr>
                <w:webHidden/>
              </w:rPr>
              <w:fldChar w:fldCharType="separate"/>
            </w:r>
            <w:r w:rsidR="00BA2E8E">
              <w:rPr>
                <w:webHidden/>
              </w:rPr>
              <w:t>3-218</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50" w:history="1">
            <w:r w:rsidR="00BA2E8E" w:rsidRPr="004B2540">
              <w:rPr>
                <w:rStyle w:val="Hyperlink"/>
              </w:rPr>
              <w:t>D</w:t>
            </w:r>
            <w:r w:rsidR="00BA2E8E">
              <w:rPr>
                <w:rFonts w:asciiTheme="minorHAnsi" w:eastAsiaTheme="minorEastAsia" w:hAnsiTheme="minorHAnsi"/>
                <w:b w:val="0"/>
                <w:color w:val="auto"/>
                <w:sz w:val="22"/>
                <w:lang w:val="en-AU" w:eastAsia="en-AU"/>
              </w:rPr>
              <w:tab/>
            </w:r>
            <w:r w:rsidR="00BA2E8E" w:rsidRPr="004B2540">
              <w:rPr>
                <w:rStyle w:val="Hyperlink"/>
              </w:rPr>
              <w:t>AER's dividend growth model</w:t>
            </w:r>
            <w:r w:rsidR="00BA2E8E">
              <w:rPr>
                <w:webHidden/>
              </w:rPr>
              <w:tab/>
            </w:r>
            <w:r w:rsidR="00BA2E8E">
              <w:rPr>
                <w:webHidden/>
              </w:rPr>
              <w:fldChar w:fldCharType="begin"/>
            </w:r>
            <w:r w:rsidR="00BA2E8E">
              <w:rPr>
                <w:webHidden/>
              </w:rPr>
              <w:instrText xml:space="preserve"> PAGEREF _Toc451678650 \h </w:instrText>
            </w:r>
            <w:r w:rsidR="00BA2E8E">
              <w:rPr>
                <w:webHidden/>
              </w:rPr>
            </w:r>
            <w:r w:rsidR="00BA2E8E">
              <w:rPr>
                <w:webHidden/>
              </w:rPr>
              <w:fldChar w:fldCharType="separate"/>
            </w:r>
            <w:r w:rsidR="00BA2E8E">
              <w:rPr>
                <w:webHidden/>
              </w:rPr>
              <w:t>3-223</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1" w:history="1">
            <w:r w:rsidR="00BA2E8E" w:rsidRPr="004B2540">
              <w:rPr>
                <w:rStyle w:val="Hyperlink"/>
              </w:rPr>
              <w:t>D.1</w:t>
            </w:r>
            <w:r w:rsidR="00BA2E8E">
              <w:rPr>
                <w:rFonts w:asciiTheme="minorHAnsi" w:eastAsiaTheme="minorEastAsia" w:hAnsiTheme="minorHAnsi"/>
                <w:b w:val="0"/>
                <w:color w:val="auto"/>
                <w:sz w:val="22"/>
                <w:lang w:eastAsia="en-AU"/>
              </w:rPr>
              <w:tab/>
            </w:r>
            <w:r w:rsidR="00BA2E8E" w:rsidRPr="004B2540">
              <w:rPr>
                <w:rStyle w:val="Hyperlink"/>
              </w:rPr>
              <w:t>Prevailing estimates</w:t>
            </w:r>
            <w:r w:rsidR="00BA2E8E">
              <w:rPr>
                <w:webHidden/>
              </w:rPr>
              <w:tab/>
            </w:r>
            <w:r w:rsidR="00BA2E8E">
              <w:rPr>
                <w:webHidden/>
              </w:rPr>
              <w:fldChar w:fldCharType="begin"/>
            </w:r>
            <w:r w:rsidR="00BA2E8E">
              <w:rPr>
                <w:webHidden/>
              </w:rPr>
              <w:instrText xml:space="preserve"> PAGEREF _Toc451678651 \h </w:instrText>
            </w:r>
            <w:r w:rsidR="00BA2E8E">
              <w:rPr>
                <w:webHidden/>
              </w:rPr>
            </w:r>
            <w:r w:rsidR="00BA2E8E">
              <w:rPr>
                <w:webHidden/>
              </w:rPr>
              <w:fldChar w:fldCharType="separate"/>
            </w:r>
            <w:r w:rsidR="00BA2E8E">
              <w:rPr>
                <w:webHidden/>
              </w:rPr>
              <w:t>3-223</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2" w:history="1">
            <w:r w:rsidR="00BA2E8E" w:rsidRPr="004B2540">
              <w:rPr>
                <w:rStyle w:val="Hyperlink"/>
              </w:rPr>
              <w:t>D.2</w:t>
            </w:r>
            <w:r w:rsidR="00BA2E8E">
              <w:rPr>
                <w:rFonts w:asciiTheme="minorHAnsi" w:eastAsiaTheme="minorEastAsia" w:hAnsiTheme="minorHAnsi"/>
                <w:b w:val="0"/>
                <w:color w:val="auto"/>
                <w:sz w:val="22"/>
                <w:lang w:eastAsia="en-AU"/>
              </w:rPr>
              <w:tab/>
            </w:r>
            <w:r w:rsidR="00BA2E8E" w:rsidRPr="004B2540">
              <w:rPr>
                <w:rStyle w:val="Hyperlink"/>
              </w:rPr>
              <w:t>Sensitivity analysis</w:t>
            </w:r>
            <w:r w:rsidR="00BA2E8E">
              <w:rPr>
                <w:webHidden/>
              </w:rPr>
              <w:tab/>
            </w:r>
            <w:r w:rsidR="00BA2E8E">
              <w:rPr>
                <w:webHidden/>
              </w:rPr>
              <w:fldChar w:fldCharType="begin"/>
            </w:r>
            <w:r w:rsidR="00BA2E8E">
              <w:rPr>
                <w:webHidden/>
              </w:rPr>
              <w:instrText xml:space="preserve"> PAGEREF _Toc451678652 \h </w:instrText>
            </w:r>
            <w:r w:rsidR="00BA2E8E">
              <w:rPr>
                <w:webHidden/>
              </w:rPr>
            </w:r>
            <w:r w:rsidR="00BA2E8E">
              <w:rPr>
                <w:webHidden/>
              </w:rPr>
              <w:fldChar w:fldCharType="separate"/>
            </w:r>
            <w:r w:rsidR="00BA2E8E">
              <w:rPr>
                <w:webHidden/>
              </w:rPr>
              <w:t>3-223</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3" w:history="1">
            <w:r w:rsidR="00BA2E8E" w:rsidRPr="004B2540">
              <w:rPr>
                <w:rStyle w:val="Hyperlink"/>
              </w:rPr>
              <w:t>D.3</w:t>
            </w:r>
            <w:r w:rsidR="00BA2E8E">
              <w:rPr>
                <w:rFonts w:asciiTheme="minorHAnsi" w:eastAsiaTheme="minorEastAsia" w:hAnsiTheme="minorHAnsi"/>
                <w:b w:val="0"/>
                <w:color w:val="auto"/>
                <w:sz w:val="22"/>
                <w:lang w:eastAsia="en-AU"/>
              </w:rPr>
              <w:tab/>
            </w:r>
            <w:r w:rsidR="00BA2E8E" w:rsidRPr="004B2540">
              <w:rPr>
                <w:rStyle w:val="Hyperlink"/>
              </w:rPr>
              <w:t>Preferred construction of the dividend growth model</w:t>
            </w:r>
            <w:r w:rsidR="00BA2E8E">
              <w:rPr>
                <w:webHidden/>
              </w:rPr>
              <w:tab/>
            </w:r>
            <w:r w:rsidR="00BA2E8E">
              <w:rPr>
                <w:webHidden/>
              </w:rPr>
              <w:fldChar w:fldCharType="begin"/>
            </w:r>
            <w:r w:rsidR="00BA2E8E">
              <w:rPr>
                <w:webHidden/>
              </w:rPr>
              <w:instrText xml:space="preserve"> PAGEREF _Toc451678653 \h </w:instrText>
            </w:r>
            <w:r w:rsidR="00BA2E8E">
              <w:rPr>
                <w:webHidden/>
              </w:rPr>
            </w:r>
            <w:r w:rsidR="00BA2E8E">
              <w:rPr>
                <w:webHidden/>
              </w:rPr>
              <w:fldChar w:fldCharType="separate"/>
            </w:r>
            <w:r w:rsidR="00BA2E8E">
              <w:rPr>
                <w:webHidden/>
              </w:rPr>
              <w:t>3-225</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4" w:history="1">
            <w:r w:rsidR="00BA2E8E" w:rsidRPr="004B2540">
              <w:rPr>
                <w:rStyle w:val="Hyperlink"/>
              </w:rPr>
              <w:t>D.4</w:t>
            </w:r>
            <w:r w:rsidR="00BA2E8E">
              <w:rPr>
                <w:rFonts w:asciiTheme="minorHAnsi" w:eastAsiaTheme="minorEastAsia" w:hAnsiTheme="minorHAnsi"/>
                <w:b w:val="0"/>
                <w:color w:val="auto"/>
                <w:sz w:val="22"/>
                <w:lang w:eastAsia="en-AU"/>
              </w:rPr>
              <w:tab/>
            </w:r>
            <w:r w:rsidR="00BA2E8E" w:rsidRPr="004B2540">
              <w:rPr>
                <w:rStyle w:val="Hyperlink"/>
              </w:rPr>
              <w:t>Sources of potential upward bias</w:t>
            </w:r>
            <w:r w:rsidR="00BA2E8E">
              <w:rPr>
                <w:webHidden/>
              </w:rPr>
              <w:tab/>
            </w:r>
            <w:r w:rsidR="00BA2E8E">
              <w:rPr>
                <w:webHidden/>
              </w:rPr>
              <w:fldChar w:fldCharType="begin"/>
            </w:r>
            <w:r w:rsidR="00BA2E8E">
              <w:rPr>
                <w:webHidden/>
              </w:rPr>
              <w:instrText xml:space="preserve"> PAGEREF _Toc451678654 \h </w:instrText>
            </w:r>
            <w:r w:rsidR="00BA2E8E">
              <w:rPr>
                <w:webHidden/>
              </w:rPr>
            </w:r>
            <w:r w:rsidR="00BA2E8E">
              <w:rPr>
                <w:webHidden/>
              </w:rPr>
              <w:fldChar w:fldCharType="separate"/>
            </w:r>
            <w:r w:rsidR="00BA2E8E">
              <w:rPr>
                <w:webHidden/>
              </w:rPr>
              <w:t>3-227</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55" w:history="1">
            <w:r w:rsidR="00BA2E8E" w:rsidRPr="004B2540">
              <w:rPr>
                <w:rStyle w:val="Hyperlink"/>
              </w:rPr>
              <w:t>E</w:t>
            </w:r>
            <w:r w:rsidR="00BA2E8E">
              <w:rPr>
                <w:rFonts w:asciiTheme="minorHAnsi" w:eastAsiaTheme="minorEastAsia" w:hAnsiTheme="minorHAnsi"/>
                <w:b w:val="0"/>
                <w:color w:val="auto"/>
                <w:sz w:val="22"/>
                <w:lang w:val="en-AU" w:eastAsia="en-AU"/>
              </w:rPr>
              <w:tab/>
            </w:r>
            <w:r w:rsidR="00BA2E8E" w:rsidRPr="004B2540">
              <w:rPr>
                <w:rStyle w:val="Hyperlink"/>
              </w:rPr>
              <w:t>Return on equity conditioning variables</w:t>
            </w:r>
            <w:r w:rsidR="00BA2E8E">
              <w:rPr>
                <w:webHidden/>
              </w:rPr>
              <w:tab/>
            </w:r>
            <w:r w:rsidR="00BA2E8E">
              <w:rPr>
                <w:webHidden/>
              </w:rPr>
              <w:fldChar w:fldCharType="begin"/>
            </w:r>
            <w:r w:rsidR="00BA2E8E">
              <w:rPr>
                <w:webHidden/>
              </w:rPr>
              <w:instrText xml:space="preserve"> PAGEREF _Toc451678655 \h </w:instrText>
            </w:r>
            <w:r w:rsidR="00BA2E8E">
              <w:rPr>
                <w:webHidden/>
              </w:rPr>
            </w:r>
            <w:r w:rsidR="00BA2E8E">
              <w:rPr>
                <w:webHidden/>
              </w:rPr>
              <w:fldChar w:fldCharType="separate"/>
            </w:r>
            <w:r w:rsidR="00BA2E8E">
              <w:rPr>
                <w:webHidden/>
              </w:rPr>
              <w:t>3-230</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6" w:history="1">
            <w:r w:rsidR="00BA2E8E" w:rsidRPr="004B2540">
              <w:rPr>
                <w:rStyle w:val="Hyperlink"/>
              </w:rPr>
              <w:t>E.1</w:t>
            </w:r>
            <w:r w:rsidR="00BA2E8E">
              <w:rPr>
                <w:rFonts w:asciiTheme="minorHAnsi" w:eastAsiaTheme="minorEastAsia" w:hAnsiTheme="minorHAnsi"/>
                <w:b w:val="0"/>
                <w:color w:val="auto"/>
                <w:sz w:val="22"/>
                <w:lang w:eastAsia="en-AU"/>
              </w:rPr>
              <w:tab/>
            </w:r>
            <w:r w:rsidR="00BA2E8E" w:rsidRPr="004B2540">
              <w:rPr>
                <w:rStyle w:val="Hyperlink"/>
              </w:rPr>
              <w:t>Implied volatility</w:t>
            </w:r>
            <w:r w:rsidR="00BA2E8E">
              <w:rPr>
                <w:webHidden/>
              </w:rPr>
              <w:tab/>
            </w:r>
            <w:r w:rsidR="00BA2E8E">
              <w:rPr>
                <w:webHidden/>
              </w:rPr>
              <w:fldChar w:fldCharType="begin"/>
            </w:r>
            <w:r w:rsidR="00BA2E8E">
              <w:rPr>
                <w:webHidden/>
              </w:rPr>
              <w:instrText xml:space="preserve"> PAGEREF _Toc451678656 \h </w:instrText>
            </w:r>
            <w:r w:rsidR="00BA2E8E">
              <w:rPr>
                <w:webHidden/>
              </w:rPr>
            </w:r>
            <w:r w:rsidR="00BA2E8E">
              <w:rPr>
                <w:webHidden/>
              </w:rPr>
              <w:fldChar w:fldCharType="separate"/>
            </w:r>
            <w:r w:rsidR="00BA2E8E">
              <w:rPr>
                <w:webHidden/>
              </w:rPr>
              <w:t>3-231</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7" w:history="1">
            <w:r w:rsidR="00BA2E8E" w:rsidRPr="004B2540">
              <w:rPr>
                <w:rStyle w:val="Hyperlink"/>
              </w:rPr>
              <w:t>E.2</w:t>
            </w:r>
            <w:r w:rsidR="00BA2E8E">
              <w:rPr>
                <w:rFonts w:asciiTheme="minorHAnsi" w:eastAsiaTheme="minorEastAsia" w:hAnsiTheme="minorHAnsi"/>
                <w:b w:val="0"/>
                <w:color w:val="auto"/>
                <w:sz w:val="22"/>
                <w:lang w:eastAsia="en-AU"/>
              </w:rPr>
              <w:tab/>
            </w:r>
            <w:r w:rsidR="00BA2E8E" w:rsidRPr="004B2540">
              <w:rPr>
                <w:rStyle w:val="Hyperlink"/>
              </w:rPr>
              <w:t>Dividend yields</w:t>
            </w:r>
            <w:r w:rsidR="00BA2E8E">
              <w:rPr>
                <w:webHidden/>
              </w:rPr>
              <w:tab/>
            </w:r>
            <w:r w:rsidR="00BA2E8E">
              <w:rPr>
                <w:webHidden/>
              </w:rPr>
              <w:fldChar w:fldCharType="begin"/>
            </w:r>
            <w:r w:rsidR="00BA2E8E">
              <w:rPr>
                <w:webHidden/>
              </w:rPr>
              <w:instrText xml:space="preserve"> PAGEREF _Toc451678657 \h </w:instrText>
            </w:r>
            <w:r w:rsidR="00BA2E8E">
              <w:rPr>
                <w:webHidden/>
              </w:rPr>
            </w:r>
            <w:r w:rsidR="00BA2E8E">
              <w:rPr>
                <w:webHidden/>
              </w:rPr>
              <w:fldChar w:fldCharType="separate"/>
            </w:r>
            <w:r w:rsidR="00BA2E8E">
              <w:rPr>
                <w:webHidden/>
              </w:rPr>
              <w:t>3-232</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58" w:history="1">
            <w:r w:rsidR="00BA2E8E" w:rsidRPr="004B2540">
              <w:rPr>
                <w:rStyle w:val="Hyperlink"/>
              </w:rPr>
              <w:t>E.3</w:t>
            </w:r>
            <w:r w:rsidR="00BA2E8E">
              <w:rPr>
                <w:rFonts w:asciiTheme="minorHAnsi" w:eastAsiaTheme="minorEastAsia" w:hAnsiTheme="minorHAnsi"/>
                <w:b w:val="0"/>
                <w:color w:val="auto"/>
                <w:sz w:val="22"/>
                <w:lang w:eastAsia="en-AU"/>
              </w:rPr>
              <w:tab/>
            </w:r>
            <w:r w:rsidR="00BA2E8E" w:rsidRPr="004B2540">
              <w:rPr>
                <w:rStyle w:val="Hyperlink"/>
              </w:rPr>
              <w:t>Yield spreads</w:t>
            </w:r>
            <w:r w:rsidR="00BA2E8E">
              <w:rPr>
                <w:webHidden/>
              </w:rPr>
              <w:tab/>
            </w:r>
            <w:r w:rsidR="00BA2E8E">
              <w:rPr>
                <w:webHidden/>
              </w:rPr>
              <w:fldChar w:fldCharType="begin"/>
            </w:r>
            <w:r w:rsidR="00BA2E8E">
              <w:rPr>
                <w:webHidden/>
              </w:rPr>
              <w:instrText xml:space="preserve"> PAGEREF _Toc451678658 \h </w:instrText>
            </w:r>
            <w:r w:rsidR="00BA2E8E">
              <w:rPr>
                <w:webHidden/>
              </w:rPr>
            </w:r>
            <w:r w:rsidR="00BA2E8E">
              <w:rPr>
                <w:webHidden/>
              </w:rPr>
              <w:fldChar w:fldCharType="separate"/>
            </w:r>
            <w:r w:rsidR="00BA2E8E">
              <w:rPr>
                <w:webHidden/>
              </w:rPr>
              <w:t>3-233</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59" w:history="1">
            <w:r w:rsidR="00BA2E8E" w:rsidRPr="004B2540">
              <w:rPr>
                <w:rStyle w:val="Hyperlink"/>
              </w:rPr>
              <w:t>F</w:t>
            </w:r>
            <w:r w:rsidR="00BA2E8E">
              <w:rPr>
                <w:rFonts w:asciiTheme="minorHAnsi" w:eastAsiaTheme="minorEastAsia" w:hAnsiTheme="minorHAnsi"/>
                <w:b w:val="0"/>
                <w:color w:val="auto"/>
                <w:sz w:val="22"/>
                <w:lang w:val="en-AU" w:eastAsia="en-AU"/>
              </w:rPr>
              <w:tab/>
            </w:r>
            <w:r w:rsidR="00BA2E8E" w:rsidRPr="004B2540">
              <w:rPr>
                <w:rStyle w:val="Hyperlink"/>
              </w:rPr>
              <w:t>Other practitioner's return on equity estimates</w:t>
            </w:r>
            <w:r w:rsidR="00BA2E8E">
              <w:rPr>
                <w:webHidden/>
              </w:rPr>
              <w:tab/>
            </w:r>
            <w:r w:rsidR="00BA2E8E">
              <w:rPr>
                <w:webHidden/>
              </w:rPr>
              <w:fldChar w:fldCharType="begin"/>
            </w:r>
            <w:r w:rsidR="00BA2E8E">
              <w:rPr>
                <w:webHidden/>
              </w:rPr>
              <w:instrText xml:space="preserve"> PAGEREF _Toc451678659 \h </w:instrText>
            </w:r>
            <w:r w:rsidR="00BA2E8E">
              <w:rPr>
                <w:webHidden/>
              </w:rPr>
            </w:r>
            <w:r w:rsidR="00BA2E8E">
              <w:rPr>
                <w:webHidden/>
              </w:rPr>
              <w:fldChar w:fldCharType="separate"/>
            </w:r>
            <w:r w:rsidR="00BA2E8E">
              <w:rPr>
                <w:webHidden/>
              </w:rPr>
              <w:t>3-239</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0" w:history="1">
            <w:r w:rsidR="00BA2E8E" w:rsidRPr="004B2540">
              <w:rPr>
                <w:rStyle w:val="Hyperlink"/>
              </w:rPr>
              <w:t>F.1</w:t>
            </w:r>
            <w:r w:rsidR="00BA2E8E">
              <w:rPr>
                <w:rFonts w:asciiTheme="minorHAnsi" w:eastAsiaTheme="minorEastAsia" w:hAnsiTheme="minorHAnsi"/>
                <w:b w:val="0"/>
                <w:color w:val="auto"/>
                <w:sz w:val="22"/>
                <w:lang w:eastAsia="en-AU"/>
              </w:rPr>
              <w:tab/>
            </w:r>
            <w:r w:rsidR="00BA2E8E" w:rsidRPr="004B2540">
              <w:rPr>
                <w:rStyle w:val="Hyperlink"/>
              </w:rPr>
              <w:t>Prevailing estimates: surveys</w:t>
            </w:r>
            <w:r w:rsidR="00BA2E8E">
              <w:rPr>
                <w:webHidden/>
              </w:rPr>
              <w:tab/>
            </w:r>
            <w:r w:rsidR="00BA2E8E">
              <w:rPr>
                <w:webHidden/>
              </w:rPr>
              <w:fldChar w:fldCharType="begin"/>
            </w:r>
            <w:r w:rsidR="00BA2E8E">
              <w:rPr>
                <w:webHidden/>
              </w:rPr>
              <w:instrText xml:space="preserve"> PAGEREF _Toc451678660 \h </w:instrText>
            </w:r>
            <w:r w:rsidR="00BA2E8E">
              <w:rPr>
                <w:webHidden/>
              </w:rPr>
            </w:r>
            <w:r w:rsidR="00BA2E8E">
              <w:rPr>
                <w:webHidden/>
              </w:rPr>
              <w:fldChar w:fldCharType="separate"/>
            </w:r>
            <w:r w:rsidR="00BA2E8E">
              <w:rPr>
                <w:webHidden/>
              </w:rPr>
              <w:t>3-240</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1" w:history="1">
            <w:r w:rsidR="00BA2E8E" w:rsidRPr="004B2540">
              <w:rPr>
                <w:rStyle w:val="Hyperlink"/>
              </w:rPr>
              <w:t>F.2</w:t>
            </w:r>
            <w:r w:rsidR="00BA2E8E">
              <w:rPr>
                <w:rFonts w:asciiTheme="minorHAnsi" w:eastAsiaTheme="minorEastAsia" w:hAnsiTheme="minorHAnsi"/>
                <w:b w:val="0"/>
                <w:color w:val="auto"/>
                <w:sz w:val="22"/>
                <w:lang w:eastAsia="en-AU"/>
              </w:rPr>
              <w:tab/>
            </w:r>
            <w:r w:rsidR="00BA2E8E" w:rsidRPr="004B2540">
              <w:rPr>
                <w:rStyle w:val="Hyperlink"/>
              </w:rPr>
              <w:t>Prevailing estimates: broker reports</w:t>
            </w:r>
            <w:r w:rsidR="00BA2E8E">
              <w:rPr>
                <w:webHidden/>
              </w:rPr>
              <w:tab/>
            </w:r>
            <w:r w:rsidR="00BA2E8E">
              <w:rPr>
                <w:webHidden/>
              </w:rPr>
              <w:fldChar w:fldCharType="begin"/>
            </w:r>
            <w:r w:rsidR="00BA2E8E">
              <w:rPr>
                <w:webHidden/>
              </w:rPr>
              <w:instrText xml:space="preserve"> PAGEREF _Toc451678661 \h </w:instrText>
            </w:r>
            <w:r w:rsidR="00BA2E8E">
              <w:rPr>
                <w:webHidden/>
              </w:rPr>
            </w:r>
            <w:r w:rsidR="00BA2E8E">
              <w:rPr>
                <w:webHidden/>
              </w:rPr>
              <w:fldChar w:fldCharType="separate"/>
            </w:r>
            <w:r w:rsidR="00BA2E8E">
              <w:rPr>
                <w:webHidden/>
              </w:rPr>
              <w:t>3-242</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2" w:history="1">
            <w:r w:rsidR="00BA2E8E" w:rsidRPr="004B2540">
              <w:rPr>
                <w:rStyle w:val="Hyperlink"/>
              </w:rPr>
              <w:t>F.3</w:t>
            </w:r>
            <w:r w:rsidR="00BA2E8E">
              <w:rPr>
                <w:rFonts w:asciiTheme="minorHAnsi" w:eastAsiaTheme="minorEastAsia" w:hAnsiTheme="minorHAnsi"/>
                <w:b w:val="0"/>
                <w:color w:val="auto"/>
                <w:sz w:val="22"/>
                <w:lang w:eastAsia="en-AU"/>
              </w:rPr>
              <w:tab/>
            </w:r>
            <w:r w:rsidR="00BA2E8E" w:rsidRPr="004B2540">
              <w:rPr>
                <w:rStyle w:val="Hyperlink"/>
              </w:rPr>
              <w:t>Prevailing estimates: valuation reports</w:t>
            </w:r>
            <w:r w:rsidR="00BA2E8E">
              <w:rPr>
                <w:webHidden/>
              </w:rPr>
              <w:tab/>
            </w:r>
            <w:r w:rsidR="00BA2E8E">
              <w:rPr>
                <w:webHidden/>
              </w:rPr>
              <w:fldChar w:fldCharType="begin"/>
            </w:r>
            <w:r w:rsidR="00BA2E8E">
              <w:rPr>
                <w:webHidden/>
              </w:rPr>
              <w:instrText xml:space="preserve"> PAGEREF _Toc451678662 \h </w:instrText>
            </w:r>
            <w:r w:rsidR="00BA2E8E">
              <w:rPr>
                <w:webHidden/>
              </w:rPr>
            </w:r>
            <w:r w:rsidR="00BA2E8E">
              <w:rPr>
                <w:webHidden/>
              </w:rPr>
              <w:fldChar w:fldCharType="separate"/>
            </w:r>
            <w:r w:rsidR="00BA2E8E">
              <w:rPr>
                <w:webHidden/>
              </w:rPr>
              <w:t>3-243</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3" w:history="1">
            <w:r w:rsidR="00BA2E8E" w:rsidRPr="004B2540">
              <w:rPr>
                <w:rStyle w:val="Hyperlink"/>
              </w:rPr>
              <w:t>F.4</w:t>
            </w:r>
            <w:r w:rsidR="00BA2E8E">
              <w:rPr>
                <w:rFonts w:asciiTheme="minorHAnsi" w:eastAsiaTheme="minorEastAsia" w:hAnsiTheme="minorHAnsi"/>
                <w:b w:val="0"/>
                <w:color w:val="auto"/>
                <w:sz w:val="22"/>
                <w:lang w:eastAsia="en-AU"/>
              </w:rPr>
              <w:tab/>
            </w:r>
            <w:r w:rsidR="00BA2E8E" w:rsidRPr="004B2540">
              <w:rPr>
                <w:rStyle w:val="Hyperlink"/>
              </w:rPr>
              <w:t>Prevailing estimates: other regulators</w:t>
            </w:r>
            <w:r w:rsidR="00BA2E8E">
              <w:rPr>
                <w:webHidden/>
              </w:rPr>
              <w:tab/>
            </w:r>
            <w:r w:rsidR="00BA2E8E">
              <w:rPr>
                <w:webHidden/>
              </w:rPr>
              <w:fldChar w:fldCharType="begin"/>
            </w:r>
            <w:r w:rsidR="00BA2E8E">
              <w:rPr>
                <w:webHidden/>
              </w:rPr>
              <w:instrText xml:space="preserve"> PAGEREF _Toc451678663 \h </w:instrText>
            </w:r>
            <w:r w:rsidR="00BA2E8E">
              <w:rPr>
                <w:webHidden/>
              </w:rPr>
            </w:r>
            <w:r w:rsidR="00BA2E8E">
              <w:rPr>
                <w:webHidden/>
              </w:rPr>
              <w:fldChar w:fldCharType="separate"/>
            </w:r>
            <w:r w:rsidR="00BA2E8E">
              <w:rPr>
                <w:webHidden/>
              </w:rPr>
              <w:t>3-246</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4" w:history="1">
            <w:r w:rsidR="00BA2E8E" w:rsidRPr="004B2540">
              <w:rPr>
                <w:rStyle w:val="Hyperlink"/>
              </w:rPr>
              <w:t>F.5</w:t>
            </w:r>
            <w:r w:rsidR="00BA2E8E">
              <w:rPr>
                <w:rFonts w:asciiTheme="minorHAnsi" w:eastAsiaTheme="minorEastAsia" w:hAnsiTheme="minorHAnsi"/>
                <w:b w:val="0"/>
                <w:color w:val="auto"/>
                <w:sz w:val="22"/>
                <w:lang w:eastAsia="en-AU"/>
              </w:rPr>
              <w:tab/>
            </w:r>
            <w:r w:rsidR="00BA2E8E" w:rsidRPr="004B2540">
              <w:rPr>
                <w:rStyle w:val="Hyperlink"/>
              </w:rPr>
              <w:t>Relationship between risk free rate and market risk premium in valuation reports</w:t>
            </w:r>
            <w:r w:rsidR="00BA2E8E">
              <w:rPr>
                <w:webHidden/>
              </w:rPr>
              <w:tab/>
            </w:r>
            <w:r w:rsidR="00BA2E8E">
              <w:rPr>
                <w:webHidden/>
              </w:rPr>
              <w:fldChar w:fldCharType="begin"/>
            </w:r>
            <w:r w:rsidR="00BA2E8E">
              <w:rPr>
                <w:webHidden/>
              </w:rPr>
              <w:instrText xml:space="preserve"> PAGEREF _Toc451678664 \h </w:instrText>
            </w:r>
            <w:r w:rsidR="00BA2E8E">
              <w:rPr>
                <w:webHidden/>
              </w:rPr>
            </w:r>
            <w:r w:rsidR="00BA2E8E">
              <w:rPr>
                <w:webHidden/>
              </w:rPr>
              <w:fldChar w:fldCharType="separate"/>
            </w:r>
            <w:r w:rsidR="00BA2E8E">
              <w:rPr>
                <w:webHidden/>
              </w:rPr>
              <w:t>3-248</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65" w:history="1">
            <w:r w:rsidR="00BA2E8E" w:rsidRPr="004B2540">
              <w:rPr>
                <w:rStyle w:val="Hyperlink"/>
              </w:rPr>
              <w:t>F.5.1</w:t>
            </w:r>
            <w:r w:rsidR="00BA2E8E">
              <w:rPr>
                <w:rFonts w:asciiTheme="minorHAnsi" w:eastAsiaTheme="minorEastAsia" w:hAnsiTheme="minorHAnsi"/>
                <w:lang w:eastAsia="en-AU"/>
              </w:rPr>
              <w:tab/>
            </w:r>
            <w:r w:rsidR="00BA2E8E" w:rsidRPr="004B2540">
              <w:rPr>
                <w:rStyle w:val="Hyperlink"/>
              </w:rPr>
              <w:t>Our assessment of Incenta's submission</w:t>
            </w:r>
            <w:r w:rsidR="00BA2E8E">
              <w:rPr>
                <w:webHidden/>
              </w:rPr>
              <w:tab/>
            </w:r>
            <w:r w:rsidR="00BA2E8E">
              <w:rPr>
                <w:webHidden/>
              </w:rPr>
              <w:fldChar w:fldCharType="begin"/>
            </w:r>
            <w:r w:rsidR="00BA2E8E">
              <w:rPr>
                <w:webHidden/>
              </w:rPr>
              <w:instrText xml:space="preserve"> PAGEREF _Toc451678665 \h </w:instrText>
            </w:r>
            <w:r w:rsidR="00BA2E8E">
              <w:rPr>
                <w:webHidden/>
              </w:rPr>
            </w:r>
            <w:r w:rsidR="00BA2E8E">
              <w:rPr>
                <w:webHidden/>
              </w:rPr>
              <w:fldChar w:fldCharType="separate"/>
            </w:r>
            <w:r w:rsidR="00BA2E8E">
              <w:rPr>
                <w:webHidden/>
              </w:rPr>
              <w:t>3-249</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66" w:history="1">
            <w:r w:rsidR="00BA2E8E" w:rsidRPr="004B2540">
              <w:rPr>
                <w:rStyle w:val="Hyperlink"/>
              </w:rPr>
              <w:t>F.5.2</w:t>
            </w:r>
            <w:r w:rsidR="00BA2E8E">
              <w:rPr>
                <w:rFonts w:asciiTheme="minorHAnsi" w:eastAsiaTheme="minorEastAsia" w:hAnsiTheme="minorHAnsi"/>
                <w:lang w:eastAsia="en-AU"/>
              </w:rPr>
              <w:tab/>
            </w:r>
            <w:r w:rsidR="00BA2E8E" w:rsidRPr="004B2540">
              <w:rPr>
                <w:rStyle w:val="Hyperlink"/>
              </w:rPr>
              <w:t>Regression analyses by NERA and HoustonKemp</w:t>
            </w:r>
            <w:r w:rsidR="00BA2E8E">
              <w:rPr>
                <w:webHidden/>
              </w:rPr>
              <w:tab/>
            </w:r>
            <w:r w:rsidR="00BA2E8E">
              <w:rPr>
                <w:webHidden/>
              </w:rPr>
              <w:fldChar w:fldCharType="begin"/>
            </w:r>
            <w:r w:rsidR="00BA2E8E">
              <w:rPr>
                <w:webHidden/>
              </w:rPr>
              <w:instrText xml:space="preserve"> PAGEREF _Toc451678666 \h </w:instrText>
            </w:r>
            <w:r w:rsidR="00BA2E8E">
              <w:rPr>
                <w:webHidden/>
              </w:rPr>
            </w:r>
            <w:r w:rsidR="00BA2E8E">
              <w:rPr>
                <w:webHidden/>
              </w:rPr>
              <w:fldChar w:fldCharType="separate"/>
            </w:r>
            <w:r w:rsidR="00BA2E8E">
              <w:rPr>
                <w:webHidden/>
              </w:rPr>
              <w:t>3-252</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67" w:history="1">
            <w:r w:rsidR="00BA2E8E" w:rsidRPr="004B2540">
              <w:rPr>
                <w:rStyle w:val="Hyperlink"/>
              </w:rPr>
              <w:t>G</w:t>
            </w:r>
            <w:r w:rsidR="00BA2E8E">
              <w:rPr>
                <w:rFonts w:asciiTheme="minorHAnsi" w:eastAsiaTheme="minorEastAsia" w:hAnsiTheme="minorHAnsi"/>
                <w:b w:val="0"/>
                <w:color w:val="auto"/>
                <w:sz w:val="22"/>
                <w:lang w:val="en-AU" w:eastAsia="en-AU"/>
              </w:rPr>
              <w:tab/>
            </w:r>
            <w:r w:rsidR="00BA2E8E" w:rsidRPr="004B2540">
              <w:rPr>
                <w:rStyle w:val="Hyperlink"/>
              </w:rPr>
              <w:t>Empirical estimates of equity beta</w:t>
            </w:r>
            <w:r w:rsidR="00BA2E8E">
              <w:rPr>
                <w:webHidden/>
              </w:rPr>
              <w:tab/>
            </w:r>
            <w:r w:rsidR="00BA2E8E">
              <w:rPr>
                <w:webHidden/>
              </w:rPr>
              <w:fldChar w:fldCharType="begin"/>
            </w:r>
            <w:r w:rsidR="00BA2E8E">
              <w:rPr>
                <w:webHidden/>
              </w:rPr>
              <w:instrText xml:space="preserve"> PAGEREF _Toc451678667 \h </w:instrText>
            </w:r>
            <w:r w:rsidR="00BA2E8E">
              <w:rPr>
                <w:webHidden/>
              </w:rPr>
            </w:r>
            <w:r w:rsidR="00BA2E8E">
              <w:rPr>
                <w:webHidden/>
              </w:rPr>
              <w:fldChar w:fldCharType="separate"/>
            </w:r>
            <w:r w:rsidR="00BA2E8E">
              <w:rPr>
                <w:webHidden/>
              </w:rPr>
              <w:t>3-255</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8" w:history="1">
            <w:r w:rsidR="00BA2E8E" w:rsidRPr="004B2540">
              <w:rPr>
                <w:rStyle w:val="Hyperlink"/>
              </w:rPr>
              <w:t>G.1</w:t>
            </w:r>
            <w:r w:rsidR="00BA2E8E">
              <w:rPr>
                <w:rFonts w:asciiTheme="minorHAnsi" w:eastAsiaTheme="minorEastAsia" w:hAnsiTheme="minorHAnsi"/>
                <w:b w:val="0"/>
                <w:color w:val="auto"/>
                <w:sz w:val="22"/>
                <w:lang w:eastAsia="en-AU"/>
              </w:rPr>
              <w:tab/>
            </w:r>
            <w:r w:rsidR="00BA2E8E" w:rsidRPr="004B2540">
              <w:rPr>
                <w:rStyle w:val="Hyperlink"/>
              </w:rPr>
              <w:t>Australian empirical estimates from Henry's 2014 report</w:t>
            </w:r>
            <w:r w:rsidR="00BA2E8E">
              <w:rPr>
                <w:webHidden/>
              </w:rPr>
              <w:tab/>
            </w:r>
            <w:r w:rsidR="00BA2E8E">
              <w:rPr>
                <w:webHidden/>
              </w:rPr>
              <w:fldChar w:fldCharType="begin"/>
            </w:r>
            <w:r w:rsidR="00BA2E8E">
              <w:rPr>
                <w:webHidden/>
              </w:rPr>
              <w:instrText xml:space="preserve"> PAGEREF _Toc451678668 \h </w:instrText>
            </w:r>
            <w:r w:rsidR="00BA2E8E">
              <w:rPr>
                <w:webHidden/>
              </w:rPr>
            </w:r>
            <w:r w:rsidR="00BA2E8E">
              <w:rPr>
                <w:webHidden/>
              </w:rPr>
              <w:fldChar w:fldCharType="separate"/>
            </w:r>
            <w:r w:rsidR="00BA2E8E">
              <w:rPr>
                <w:webHidden/>
              </w:rPr>
              <w:t>3-255</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69" w:history="1">
            <w:r w:rsidR="00BA2E8E" w:rsidRPr="004B2540">
              <w:rPr>
                <w:rStyle w:val="Hyperlink"/>
              </w:rPr>
              <w:t>G.2</w:t>
            </w:r>
            <w:r w:rsidR="00BA2E8E">
              <w:rPr>
                <w:rFonts w:asciiTheme="minorHAnsi" w:eastAsiaTheme="minorEastAsia" w:hAnsiTheme="minorHAnsi"/>
                <w:b w:val="0"/>
                <w:color w:val="auto"/>
                <w:sz w:val="22"/>
                <w:lang w:eastAsia="en-AU"/>
              </w:rPr>
              <w:tab/>
            </w:r>
            <w:r w:rsidR="00BA2E8E" w:rsidRPr="004B2540">
              <w:rPr>
                <w:rStyle w:val="Hyperlink"/>
              </w:rPr>
              <w:t>Australian empirical estimates from other studies</w:t>
            </w:r>
            <w:r w:rsidR="00BA2E8E">
              <w:rPr>
                <w:webHidden/>
              </w:rPr>
              <w:tab/>
            </w:r>
            <w:r w:rsidR="00BA2E8E">
              <w:rPr>
                <w:webHidden/>
              </w:rPr>
              <w:fldChar w:fldCharType="begin"/>
            </w:r>
            <w:r w:rsidR="00BA2E8E">
              <w:rPr>
                <w:webHidden/>
              </w:rPr>
              <w:instrText xml:space="preserve"> PAGEREF _Toc451678669 \h </w:instrText>
            </w:r>
            <w:r w:rsidR="00BA2E8E">
              <w:rPr>
                <w:webHidden/>
              </w:rPr>
            </w:r>
            <w:r w:rsidR="00BA2E8E">
              <w:rPr>
                <w:webHidden/>
              </w:rPr>
              <w:fldChar w:fldCharType="separate"/>
            </w:r>
            <w:r w:rsidR="00BA2E8E">
              <w:rPr>
                <w:webHidden/>
              </w:rPr>
              <w:t>3-259</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70" w:history="1">
            <w:r w:rsidR="00BA2E8E" w:rsidRPr="004B2540">
              <w:rPr>
                <w:rStyle w:val="Hyperlink"/>
              </w:rPr>
              <w:t>G.3</w:t>
            </w:r>
            <w:r w:rsidR="00BA2E8E">
              <w:rPr>
                <w:rFonts w:asciiTheme="minorHAnsi" w:eastAsiaTheme="minorEastAsia" w:hAnsiTheme="minorHAnsi"/>
                <w:b w:val="0"/>
                <w:color w:val="auto"/>
                <w:sz w:val="22"/>
                <w:lang w:eastAsia="en-AU"/>
              </w:rPr>
              <w:tab/>
            </w:r>
            <w:r w:rsidR="00BA2E8E" w:rsidRPr="004B2540">
              <w:rPr>
                <w:rStyle w:val="Hyperlink"/>
              </w:rPr>
              <w:t>International empirical estimates</w:t>
            </w:r>
            <w:r w:rsidR="00BA2E8E">
              <w:rPr>
                <w:webHidden/>
              </w:rPr>
              <w:tab/>
            </w:r>
            <w:r w:rsidR="00BA2E8E">
              <w:rPr>
                <w:webHidden/>
              </w:rPr>
              <w:fldChar w:fldCharType="begin"/>
            </w:r>
            <w:r w:rsidR="00BA2E8E">
              <w:rPr>
                <w:webHidden/>
              </w:rPr>
              <w:instrText xml:space="preserve"> PAGEREF _Toc451678670 \h </w:instrText>
            </w:r>
            <w:r w:rsidR="00BA2E8E">
              <w:rPr>
                <w:webHidden/>
              </w:rPr>
            </w:r>
            <w:r w:rsidR="00BA2E8E">
              <w:rPr>
                <w:webHidden/>
              </w:rPr>
              <w:fldChar w:fldCharType="separate"/>
            </w:r>
            <w:r w:rsidR="00BA2E8E">
              <w:rPr>
                <w:webHidden/>
              </w:rPr>
              <w:t>3-261</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71" w:history="1">
            <w:r w:rsidR="00BA2E8E" w:rsidRPr="004B2540">
              <w:rPr>
                <w:rStyle w:val="Hyperlink"/>
              </w:rPr>
              <w:t>G.4</w:t>
            </w:r>
            <w:r w:rsidR="00BA2E8E">
              <w:rPr>
                <w:rFonts w:asciiTheme="minorHAnsi" w:eastAsiaTheme="minorEastAsia" w:hAnsiTheme="minorHAnsi"/>
                <w:b w:val="0"/>
                <w:color w:val="auto"/>
                <w:sz w:val="22"/>
                <w:lang w:eastAsia="en-AU"/>
              </w:rPr>
              <w:tab/>
            </w:r>
            <w:r w:rsidR="00BA2E8E" w:rsidRPr="004B2540">
              <w:rPr>
                <w:rStyle w:val="Hyperlink"/>
              </w:rPr>
              <w:t>Choice of comparator set</w:t>
            </w:r>
            <w:r w:rsidR="00BA2E8E">
              <w:rPr>
                <w:webHidden/>
              </w:rPr>
              <w:tab/>
            </w:r>
            <w:r w:rsidR="00BA2E8E">
              <w:rPr>
                <w:webHidden/>
              </w:rPr>
              <w:fldChar w:fldCharType="begin"/>
            </w:r>
            <w:r w:rsidR="00BA2E8E">
              <w:rPr>
                <w:webHidden/>
              </w:rPr>
              <w:instrText xml:space="preserve"> PAGEREF _Toc451678671 \h </w:instrText>
            </w:r>
            <w:r w:rsidR="00BA2E8E">
              <w:rPr>
                <w:webHidden/>
              </w:rPr>
            </w:r>
            <w:r w:rsidR="00BA2E8E">
              <w:rPr>
                <w:webHidden/>
              </w:rPr>
              <w:fldChar w:fldCharType="separate"/>
            </w:r>
            <w:r w:rsidR="00BA2E8E">
              <w:rPr>
                <w:webHidden/>
              </w:rPr>
              <w:t>3-263</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72" w:history="1">
            <w:r w:rsidR="00BA2E8E" w:rsidRPr="004B2540">
              <w:rPr>
                <w:rStyle w:val="Hyperlink"/>
              </w:rPr>
              <w:t>G.4.1</w:t>
            </w:r>
            <w:r w:rsidR="00BA2E8E">
              <w:rPr>
                <w:rFonts w:asciiTheme="minorHAnsi" w:eastAsiaTheme="minorEastAsia" w:hAnsiTheme="minorHAnsi"/>
                <w:lang w:eastAsia="en-AU"/>
              </w:rPr>
              <w:tab/>
            </w:r>
            <w:r w:rsidR="00BA2E8E" w:rsidRPr="004B2540">
              <w:rPr>
                <w:rStyle w:val="Hyperlink"/>
              </w:rPr>
              <w:t>Comparator set for Australian empirical analysis</w:t>
            </w:r>
            <w:r w:rsidR="00BA2E8E">
              <w:rPr>
                <w:webHidden/>
              </w:rPr>
              <w:tab/>
            </w:r>
            <w:r w:rsidR="00BA2E8E">
              <w:rPr>
                <w:webHidden/>
              </w:rPr>
              <w:fldChar w:fldCharType="begin"/>
            </w:r>
            <w:r w:rsidR="00BA2E8E">
              <w:rPr>
                <w:webHidden/>
              </w:rPr>
              <w:instrText xml:space="preserve"> PAGEREF _Toc451678672 \h </w:instrText>
            </w:r>
            <w:r w:rsidR="00BA2E8E">
              <w:rPr>
                <w:webHidden/>
              </w:rPr>
            </w:r>
            <w:r w:rsidR="00BA2E8E">
              <w:rPr>
                <w:webHidden/>
              </w:rPr>
              <w:fldChar w:fldCharType="separate"/>
            </w:r>
            <w:r w:rsidR="00BA2E8E">
              <w:rPr>
                <w:webHidden/>
              </w:rPr>
              <w:t>3-264</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73" w:history="1">
            <w:r w:rsidR="00BA2E8E" w:rsidRPr="004B2540">
              <w:rPr>
                <w:rStyle w:val="Hyperlink"/>
              </w:rPr>
              <w:t>G.4.2</w:t>
            </w:r>
            <w:r w:rsidR="00BA2E8E">
              <w:rPr>
                <w:rFonts w:asciiTheme="minorHAnsi" w:eastAsiaTheme="minorEastAsia" w:hAnsiTheme="minorHAnsi"/>
                <w:lang w:eastAsia="en-AU"/>
              </w:rPr>
              <w:tab/>
            </w:r>
            <w:r w:rsidR="00BA2E8E" w:rsidRPr="004B2540">
              <w:rPr>
                <w:rStyle w:val="Hyperlink"/>
              </w:rPr>
              <w:t>Precision and stability of Australian empirical estimates</w:t>
            </w:r>
            <w:r w:rsidR="00BA2E8E">
              <w:rPr>
                <w:webHidden/>
              </w:rPr>
              <w:tab/>
            </w:r>
            <w:r w:rsidR="00BA2E8E">
              <w:rPr>
                <w:webHidden/>
              </w:rPr>
              <w:fldChar w:fldCharType="begin"/>
            </w:r>
            <w:r w:rsidR="00BA2E8E">
              <w:rPr>
                <w:webHidden/>
              </w:rPr>
              <w:instrText xml:space="preserve"> PAGEREF _Toc451678673 \h </w:instrText>
            </w:r>
            <w:r w:rsidR="00BA2E8E">
              <w:rPr>
                <w:webHidden/>
              </w:rPr>
            </w:r>
            <w:r w:rsidR="00BA2E8E">
              <w:rPr>
                <w:webHidden/>
              </w:rPr>
              <w:fldChar w:fldCharType="separate"/>
            </w:r>
            <w:r w:rsidR="00BA2E8E">
              <w:rPr>
                <w:webHidden/>
              </w:rPr>
              <w:t>3-266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74" w:history="1">
            <w:r w:rsidR="00BA2E8E" w:rsidRPr="004B2540">
              <w:rPr>
                <w:rStyle w:val="Hyperlink"/>
              </w:rPr>
              <w:t>G.4.3</w:t>
            </w:r>
            <w:r w:rsidR="00BA2E8E">
              <w:rPr>
                <w:rFonts w:asciiTheme="minorHAnsi" w:eastAsiaTheme="minorEastAsia" w:hAnsiTheme="minorHAnsi"/>
                <w:lang w:eastAsia="en-AU"/>
              </w:rPr>
              <w:tab/>
            </w:r>
            <w:r w:rsidR="00BA2E8E" w:rsidRPr="004B2540">
              <w:rPr>
                <w:rStyle w:val="Hyperlink"/>
              </w:rPr>
              <w:t>Use of international energy firms</w:t>
            </w:r>
            <w:r w:rsidR="00BA2E8E">
              <w:rPr>
                <w:webHidden/>
              </w:rPr>
              <w:tab/>
            </w:r>
            <w:r w:rsidR="00BA2E8E">
              <w:rPr>
                <w:webHidden/>
              </w:rPr>
              <w:fldChar w:fldCharType="begin"/>
            </w:r>
            <w:r w:rsidR="00BA2E8E">
              <w:rPr>
                <w:webHidden/>
              </w:rPr>
              <w:instrText xml:space="preserve"> PAGEREF _Toc451678674 \h </w:instrText>
            </w:r>
            <w:r w:rsidR="00BA2E8E">
              <w:rPr>
                <w:webHidden/>
              </w:rPr>
            </w:r>
            <w:r w:rsidR="00BA2E8E">
              <w:rPr>
                <w:webHidden/>
              </w:rPr>
              <w:fldChar w:fldCharType="separate"/>
            </w:r>
            <w:r w:rsidR="00BA2E8E">
              <w:rPr>
                <w:webHidden/>
              </w:rPr>
              <w:t>3-268</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75" w:history="1">
            <w:r w:rsidR="00BA2E8E" w:rsidRPr="004B2540">
              <w:rPr>
                <w:rStyle w:val="Hyperlink"/>
              </w:rPr>
              <w:t>G.4.4</w:t>
            </w:r>
            <w:r w:rsidR="00BA2E8E">
              <w:rPr>
                <w:rFonts w:asciiTheme="minorHAnsi" w:eastAsiaTheme="minorEastAsia" w:hAnsiTheme="minorHAnsi"/>
                <w:lang w:eastAsia="en-AU"/>
              </w:rPr>
              <w:tab/>
            </w:r>
            <w:r w:rsidR="00BA2E8E" w:rsidRPr="004B2540">
              <w:rPr>
                <w:rStyle w:val="Hyperlink"/>
              </w:rPr>
              <w:t>Use of non-energy infrastructure firms</w:t>
            </w:r>
            <w:r w:rsidR="00BA2E8E">
              <w:rPr>
                <w:webHidden/>
              </w:rPr>
              <w:tab/>
            </w:r>
            <w:r w:rsidR="00BA2E8E">
              <w:rPr>
                <w:webHidden/>
              </w:rPr>
              <w:fldChar w:fldCharType="begin"/>
            </w:r>
            <w:r w:rsidR="00BA2E8E">
              <w:rPr>
                <w:webHidden/>
              </w:rPr>
              <w:instrText xml:space="preserve"> PAGEREF _Toc451678675 \h </w:instrText>
            </w:r>
            <w:r w:rsidR="00BA2E8E">
              <w:rPr>
                <w:webHidden/>
              </w:rPr>
            </w:r>
            <w:r w:rsidR="00BA2E8E">
              <w:rPr>
                <w:webHidden/>
              </w:rPr>
              <w:fldChar w:fldCharType="separate"/>
            </w:r>
            <w:r w:rsidR="00BA2E8E">
              <w:rPr>
                <w:webHidden/>
              </w:rPr>
              <w:t>3-271</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76" w:history="1">
            <w:r w:rsidR="00BA2E8E" w:rsidRPr="004B2540">
              <w:rPr>
                <w:rStyle w:val="Hyperlink"/>
              </w:rPr>
              <w:t>H</w:t>
            </w:r>
            <w:r w:rsidR="00BA2E8E">
              <w:rPr>
                <w:rFonts w:asciiTheme="minorHAnsi" w:eastAsiaTheme="minorEastAsia" w:hAnsiTheme="minorHAnsi"/>
                <w:b w:val="0"/>
                <w:color w:val="auto"/>
                <w:sz w:val="22"/>
                <w:lang w:val="en-AU" w:eastAsia="en-AU"/>
              </w:rPr>
              <w:tab/>
            </w:r>
            <w:r w:rsidR="00BA2E8E" w:rsidRPr="004B2540">
              <w:rPr>
                <w:rStyle w:val="Hyperlink"/>
              </w:rPr>
              <w:t>Return on debt approach</w:t>
            </w:r>
            <w:r w:rsidR="00BA2E8E">
              <w:rPr>
                <w:webHidden/>
              </w:rPr>
              <w:tab/>
            </w:r>
            <w:r w:rsidR="00BA2E8E">
              <w:rPr>
                <w:webHidden/>
              </w:rPr>
              <w:fldChar w:fldCharType="begin"/>
            </w:r>
            <w:r w:rsidR="00BA2E8E">
              <w:rPr>
                <w:webHidden/>
              </w:rPr>
              <w:instrText xml:space="preserve"> PAGEREF _Toc451678676 \h </w:instrText>
            </w:r>
            <w:r w:rsidR="00BA2E8E">
              <w:rPr>
                <w:webHidden/>
              </w:rPr>
            </w:r>
            <w:r w:rsidR="00BA2E8E">
              <w:rPr>
                <w:webHidden/>
              </w:rPr>
              <w:fldChar w:fldCharType="separate"/>
            </w:r>
            <w:r w:rsidR="00BA2E8E">
              <w:rPr>
                <w:webHidden/>
              </w:rPr>
              <w:t>3-275</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77" w:history="1">
            <w:r w:rsidR="00BA2E8E" w:rsidRPr="004B2540">
              <w:rPr>
                <w:rStyle w:val="Hyperlink"/>
              </w:rPr>
              <w:t>H.1</w:t>
            </w:r>
            <w:r w:rsidR="00BA2E8E">
              <w:rPr>
                <w:rFonts w:asciiTheme="minorHAnsi" w:eastAsiaTheme="minorEastAsia" w:hAnsiTheme="minorHAnsi"/>
                <w:b w:val="0"/>
                <w:color w:val="auto"/>
                <w:sz w:val="22"/>
                <w:lang w:eastAsia="en-AU"/>
              </w:rPr>
              <w:tab/>
            </w:r>
            <w:r w:rsidR="00BA2E8E" w:rsidRPr="004B2540">
              <w:rPr>
                <w:rStyle w:val="Hyperlink"/>
              </w:rPr>
              <w:t>Interpretation of the ARORO</w:t>
            </w:r>
            <w:r w:rsidR="00BA2E8E">
              <w:rPr>
                <w:webHidden/>
              </w:rPr>
              <w:tab/>
            </w:r>
            <w:r w:rsidR="00BA2E8E">
              <w:rPr>
                <w:webHidden/>
              </w:rPr>
              <w:fldChar w:fldCharType="begin"/>
            </w:r>
            <w:r w:rsidR="00BA2E8E">
              <w:rPr>
                <w:webHidden/>
              </w:rPr>
              <w:instrText xml:space="preserve"> PAGEREF _Toc451678677 \h </w:instrText>
            </w:r>
            <w:r w:rsidR="00BA2E8E">
              <w:rPr>
                <w:webHidden/>
              </w:rPr>
            </w:r>
            <w:r w:rsidR="00BA2E8E">
              <w:rPr>
                <w:webHidden/>
              </w:rPr>
              <w:fldChar w:fldCharType="separate"/>
            </w:r>
            <w:r w:rsidR="00BA2E8E">
              <w:rPr>
                <w:webHidden/>
              </w:rPr>
              <w:t>3-276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78" w:history="1">
            <w:r w:rsidR="00BA2E8E" w:rsidRPr="004B2540">
              <w:rPr>
                <w:rStyle w:val="Hyperlink"/>
              </w:rPr>
              <w:t>H.1.1</w:t>
            </w:r>
            <w:r w:rsidR="00BA2E8E">
              <w:rPr>
                <w:rFonts w:asciiTheme="minorHAnsi" w:eastAsiaTheme="minorEastAsia" w:hAnsiTheme="minorHAnsi"/>
                <w:lang w:eastAsia="en-AU"/>
              </w:rPr>
              <w:tab/>
            </w:r>
            <w:r w:rsidR="00BA2E8E" w:rsidRPr="004B2540">
              <w:rPr>
                <w:rStyle w:val="Hyperlink"/>
              </w:rPr>
              <w:t>Efficient financing costs</w:t>
            </w:r>
            <w:r w:rsidR="00BA2E8E">
              <w:rPr>
                <w:webHidden/>
              </w:rPr>
              <w:tab/>
            </w:r>
            <w:r w:rsidR="00BA2E8E">
              <w:rPr>
                <w:webHidden/>
              </w:rPr>
              <w:fldChar w:fldCharType="begin"/>
            </w:r>
            <w:r w:rsidR="00BA2E8E">
              <w:rPr>
                <w:webHidden/>
              </w:rPr>
              <w:instrText xml:space="preserve"> PAGEREF _Toc451678678 \h </w:instrText>
            </w:r>
            <w:r w:rsidR="00BA2E8E">
              <w:rPr>
                <w:webHidden/>
              </w:rPr>
            </w:r>
            <w:r w:rsidR="00BA2E8E">
              <w:rPr>
                <w:webHidden/>
              </w:rPr>
              <w:fldChar w:fldCharType="separate"/>
            </w:r>
            <w:r w:rsidR="00BA2E8E">
              <w:rPr>
                <w:webHidden/>
              </w:rPr>
              <w:t>3-276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79" w:history="1">
            <w:r w:rsidR="00BA2E8E" w:rsidRPr="004B2540">
              <w:rPr>
                <w:rStyle w:val="Hyperlink"/>
              </w:rPr>
              <w:t>H.1.2</w:t>
            </w:r>
            <w:r w:rsidR="00BA2E8E">
              <w:rPr>
                <w:rFonts w:asciiTheme="minorHAnsi" w:eastAsiaTheme="minorEastAsia" w:hAnsiTheme="minorHAnsi"/>
                <w:lang w:eastAsia="en-AU"/>
              </w:rPr>
              <w:tab/>
            </w:r>
            <w:r w:rsidR="00BA2E8E" w:rsidRPr="004B2540">
              <w:rPr>
                <w:rStyle w:val="Hyperlink"/>
              </w:rPr>
              <w:t>Benchmark efficient entity</w:t>
            </w:r>
            <w:r w:rsidR="00BA2E8E">
              <w:rPr>
                <w:webHidden/>
              </w:rPr>
              <w:tab/>
            </w:r>
            <w:r w:rsidR="00BA2E8E">
              <w:rPr>
                <w:webHidden/>
              </w:rPr>
              <w:fldChar w:fldCharType="begin"/>
            </w:r>
            <w:r w:rsidR="00BA2E8E">
              <w:rPr>
                <w:webHidden/>
              </w:rPr>
              <w:instrText xml:space="preserve"> PAGEREF _Toc451678679 \h </w:instrText>
            </w:r>
            <w:r w:rsidR="00BA2E8E">
              <w:rPr>
                <w:webHidden/>
              </w:rPr>
            </w:r>
            <w:r w:rsidR="00BA2E8E">
              <w:rPr>
                <w:webHidden/>
              </w:rPr>
              <w:fldChar w:fldCharType="separate"/>
            </w:r>
            <w:r w:rsidR="00BA2E8E">
              <w:rPr>
                <w:webHidden/>
              </w:rPr>
              <w:t>3-278</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80" w:history="1">
            <w:r w:rsidR="00BA2E8E" w:rsidRPr="004B2540">
              <w:rPr>
                <w:rStyle w:val="Hyperlink"/>
              </w:rPr>
              <w:t>H.2</w:t>
            </w:r>
            <w:r w:rsidR="00BA2E8E">
              <w:rPr>
                <w:rFonts w:asciiTheme="minorHAnsi" w:eastAsiaTheme="minorEastAsia" w:hAnsiTheme="minorHAnsi"/>
                <w:b w:val="0"/>
                <w:color w:val="auto"/>
                <w:sz w:val="22"/>
                <w:lang w:eastAsia="en-AU"/>
              </w:rPr>
              <w:tab/>
            </w:r>
            <w:r w:rsidR="00BA2E8E" w:rsidRPr="004B2540">
              <w:rPr>
                <w:rStyle w:val="Hyperlink"/>
              </w:rPr>
              <w:t>Requirements under the ARORO</w:t>
            </w:r>
            <w:r w:rsidR="00BA2E8E">
              <w:rPr>
                <w:webHidden/>
              </w:rPr>
              <w:tab/>
            </w:r>
            <w:r w:rsidR="00BA2E8E">
              <w:rPr>
                <w:webHidden/>
              </w:rPr>
              <w:fldChar w:fldCharType="begin"/>
            </w:r>
            <w:r w:rsidR="00BA2E8E">
              <w:rPr>
                <w:webHidden/>
              </w:rPr>
              <w:instrText xml:space="preserve"> PAGEREF _Toc451678680 \h </w:instrText>
            </w:r>
            <w:r w:rsidR="00BA2E8E">
              <w:rPr>
                <w:webHidden/>
              </w:rPr>
            </w:r>
            <w:r w:rsidR="00BA2E8E">
              <w:rPr>
                <w:webHidden/>
              </w:rPr>
              <w:fldChar w:fldCharType="separate"/>
            </w:r>
            <w:r w:rsidR="00BA2E8E">
              <w:rPr>
                <w:webHidden/>
              </w:rPr>
              <w:t>3-280</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81" w:history="1">
            <w:r w:rsidR="00BA2E8E" w:rsidRPr="004B2540">
              <w:rPr>
                <w:rStyle w:val="Hyperlink"/>
              </w:rPr>
              <w:t>H.2.1</w:t>
            </w:r>
            <w:r w:rsidR="00BA2E8E">
              <w:rPr>
                <w:rFonts w:asciiTheme="minorHAnsi" w:eastAsiaTheme="minorEastAsia" w:hAnsiTheme="minorHAnsi"/>
                <w:lang w:eastAsia="en-AU"/>
              </w:rPr>
              <w:tab/>
            </w:r>
            <w:r w:rsidR="00BA2E8E" w:rsidRPr="004B2540">
              <w:rPr>
                <w:rStyle w:val="Hyperlink"/>
              </w:rPr>
              <w:t>Ex-ante efficient compensation</w:t>
            </w:r>
            <w:r w:rsidR="00BA2E8E">
              <w:rPr>
                <w:webHidden/>
              </w:rPr>
              <w:tab/>
            </w:r>
            <w:r w:rsidR="00BA2E8E">
              <w:rPr>
                <w:webHidden/>
              </w:rPr>
              <w:fldChar w:fldCharType="begin"/>
            </w:r>
            <w:r w:rsidR="00BA2E8E">
              <w:rPr>
                <w:webHidden/>
              </w:rPr>
              <w:instrText xml:space="preserve"> PAGEREF _Toc451678681 \h </w:instrText>
            </w:r>
            <w:r w:rsidR="00BA2E8E">
              <w:rPr>
                <w:webHidden/>
              </w:rPr>
            </w:r>
            <w:r w:rsidR="00BA2E8E">
              <w:rPr>
                <w:webHidden/>
              </w:rPr>
              <w:fldChar w:fldCharType="separate"/>
            </w:r>
            <w:r w:rsidR="00BA2E8E">
              <w:rPr>
                <w:webHidden/>
              </w:rPr>
              <w:t>3-281</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82" w:history="1">
            <w:r w:rsidR="00BA2E8E" w:rsidRPr="004B2540">
              <w:rPr>
                <w:rStyle w:val="Hyperlink"/>
              </w:rPr>
              <w:t>H.2.2</w:t>
            </w:r>
            <w:r w:rsidR="00BA2E8E">
              <w:rPr>
                <w:rFonts w:asciiTheme="minorHAnsi" w:eastAsiaTheme="minorEastAsia" w:hAnsiTheme="minorHAnsi"/>
                <w:lang w:eastAsia="en-AU"/>
              </w:rPr>
              <w:tab/>
            </w:r>
            <w:r w:rsidR="00BA2E8E" w:rsidRPr="004B2540">
              <w:rPr>
                <w:rStyle w:val="Hyperlink"/>
              </w:rPr>
              <w:t>Consistency with the NEL/NGL</w:t>
            </w:r>
            <w:r w:rsidR="00BA2E8E">
              <w:rPr>
                <w:webHidden/>
              </w:rPr>
              <w:tab/>
            </w:r>
            <w:r w:rsidR="00BA2E8E">
              <w:rPr>
                <w:webHidden/>
              </w:rPr>
              <w:fldChar w:fldCharType="begin"/>
            </w:r>
            <w:r w:rsidR="00BA2E8E">
              <w:rPr>
                <w:webHidden/>
              </w:rPr>
              <w:instrText xml:space="preserve"> PAGEREF _Toc451678682 \h </w:instrText>
            </w:r>
            <w:r w:rsidR="00BA2E8E">
              <w:rPr>
                <w:webHidden/>
              </w:rPr>
            </w:r>
            <w:r w:rsidR="00BA2E8E">
              <w:rPr>
                <w:webHidden/>
              </w:rPr>
              <w:fldChar w:fldCharType="separate"/>
            </w:r>
            <w:r w:rsidR="00BA2E8E">
              <w:rPr>
                <w:webHidden/>
              </w:rPr>
              <w:t>3-287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83" w:history="1">
            <w:r w:rsidR="00BA2E8E" w:rsidRPr="004B2540">
              <w:rPr>
                <w:rStyle w:val="Hyperlink"/>
              </w:rPr>
              <w:t>H.2.3</w:t>
            </w:r>
            <w:r w:rsidR="00BA2E8E">
              <w:rPr>
                <w:rFonts w:asciiTheme="minorHAnsi" w:eastAsiaTheme="minorEastAsia" w:hAnsiTheme="minorHAnsi"/>
                <w:lang w:eastAsia="en-AU"/>
              </w:rPr>
              <w:tab/>
            </w:r>
            <w:r w:rsidR="00BA2E8E" w:rsidRPr="004B2540">
              <w:rPr>
                <w:rStyle w:val="Hyperlink"/>
              </w:rPr>
              <w:t>Requirement for a revenue-neutral transition if there is a regime change</w:t>
            </w:r>
            <w:r w:rsidR="00BA2E8E">
              <w:rPr>
                <w:webHidden/>
              </w:rPr>
              <w:tab/>
            </w:r>
            <w:r w:rsidR="00BA2E8E">
              <w:rPr>
                <w:webHidden/>
              </w:rPr>
              <w:fldChar w:fldCharType="begin"/>
            </w:r>
            <w:r w:rsidR="00BA2E8E">
              <w:rPr>
                <w:webHidden/>
              </w:rPr>
              <w:instrText xml:space="preserve"> PAGEREF _Toc451678683 \h </w:instrText>
            </w:r>
            <w:r w:rsidR="00BA2E8E">
              <w:rPr>
                <w:webHidden/>
              </w:rPr>
            </w:r>
            <w:r w:rsidR="00BA2E8E">
              <w:rPr>
                <w:webHidden/>
              </w:rPr>
              <w:fldChar w:fldCharType="separate"/>
            </w:r>
            <w:r w:rsidR="00BA2E8E">
              <w:rPr>
                <w:webHidden/>
              </w:rPr>
              <w:t>3-288</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84" w:history="1">
            <w:r w:rsidR="00BA2E8E" w:rsidRPr="004B2540">
              <w:rPr>
                <w:rStyle w:val="Hyperlink"/>
              </w:rPr>
              <w:t>H.3</w:t>
            </w:r>
            <w:r w:rsidR="00BA2E8E">
              <w:rPr>
                <w:rFonts w:asciiTheme="minorHAnsi" w:eastAsiaTheme="minorEastAsia" w:hAnsiTheme="minorHAnsi"/>
                <w:b w:val="0"/>
                <w:color w:val="auto"/>
                <w:sz w:val="22"/>
                <w:lang w:eastAsia="en-AU"/>
              </w:rPr>
              <w:tab/>
            </w:r>
            <w:r w:rsidR="00BA2E8E" w:rsidRPr="004B2540">
              <w:rPr>
                <w:rStyle w:val="Hyperlink"/>
              </w:rPr>
              <w:t>On-the-day and trailing average approaches</w:t>
            </w:r>
            <w:r w:rsidR="00BA2E8E">
              <w:rPr>
                <w:webHidden/>
              </w:rPr>
              <w:tab/>
            </w:r>
            <w:r w:rsidR="00BA2E8E">
              <w:rPr>
                <w:webHidden/>
              </w:rPr>
              <w:fldChar w:fldCharType="begin"/>
            </w:r>
            <w:r w:rsidR="00BA2E8E">
              <w:rPr>
                <w:webHidden/>
              </w:rPr>
              <w:instrText xml:space="preserve"> PAGEREF _Toc451678684 \h </w:instrText>
            </w:r>
            <w:r w:rsidR="00BA2E8E">
              <w:rPr>
                <w:webHidden/>
              </w:rPr>
            </w:r>
            <w:r w:rsidR="00BA2E8E">
              <w:rPr>
                <w:webHidden/>
              </w:rPr>
              <w:fldChar w:fldCharType="separate"/>
            </w:r>
            <w:r w:rsidR="00BA2E8E">
              <w:rPr>
                <w:webHidden/>
              </w:rPr>
              <w:t>3-291</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85" w:history="1">
            <w:r w:rsidR="00BA2E8E" w:rsidRPr="004B2540">
              <w:rPr>
                <w:rStyle w:val="Hyperlink"/>
              </w:rPr>
              <w:t>H.3.1</w:t>
            </w:r>
            <w:r w:rsidR="00BA2E8E">
              <w:rPr>
                <w:rFonts w:asciiTheme="minorHAnsi" w:eastAsiaTheme="minorEastAsia" w:hAnsiTheme="minorHAnsi"/>
                <w:lang w:eastAsia="en-AU"/>
              </w:rPr>
              <w:tab/>
            </w:r>
            <w:r w:rsidR="00BA2E8E" w:rsidRPr="004B2540">
              <w:rPr>
                <w:rStyle w:val="Hyperlink"/>
              </w:rPr>
              <w:t>On-the-day approach</w:t>
            </w:r>
            <w:r w:rsidR="00BA2E8E">
              <w:rPr>
                <w:webHidden/>
              </w:rPr>
              <w:tab/>
            </w:r>
            <w:r w:rsidR="00BA2E8E">
              <w:rPr>
                <w:webHidden/>
              </w:rPr>
              <w:fldChar w:fldCharType="begin"/>
            </w:r>
            <w:r w:rsidR="00BA2E8E">
              <w:rPr>
                <w:webHidden/>
              </w:rPr>
              <w:instrText xml:space="preserve"> PAGEREF _Toc451678685 \h </w:instrText>
            </w:r>
            <w:r w:rsidR="00BA2E8E">
              <w:rPr>
                <w:webHidden/>
              </w:rPr>
            </w:r>
            <w:r w:rsidR="00BA2E8E">
              <w:rPr>
                <w:webHidden/>
              </w:rPr>
              <w:fldChar w:fldCharType="separate"/>
            </w:r>
            <w:r w:rsidR="00BA2E8E">
              <w:rPr>
                <w:webHidden/>
              </w:rPr>
              <w:t>3-291</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86" w:history="1">
            <w:r w:rsidR="00BA2E8E" w:rsidRPr="004B2540">
              <w:rPr>
                <w:rStyle w:val="Hyperlink"/>
              </w:rPr>
              <w:t>H.3.2</w:t>
            </w:r>
            <w:r w:rsidR="00BA2E8E">
              <w:rPr>
                <w:rFonts w:asciiTheme="minorHAnsi" w:eastAsiaTheme="minorEastAsia" w:hAnsiTheme="minorHAnsi"/>
                <w:lang w:eastAsia="en-AU"/>
              </w:rPr>
              <w:tab/>
            </w:r>
            <w:r w:rsidR="00BA2E8E" w:rsidRPr="004B2540">
              <w:rPr>
                <w:rStyle w:val="Hyperlink"/>
              </w:rPr>
              <w:t>Trailing average approach</w:t>
            </w:r>
            <w:r w:rsidR="00BA2E8E">
              <w:rPr>
                <w:webHidden/>
              </w:rPr>
              <w:tab/>
            </w:r>
            <w:r w:rsidR="00BA2E8E">
              <w:rPr>
                <w:webHidden/>
              </w:rPr>
              <w:fldChar w:fldCharType="begin"/>
            </w:r>
            <w:r w:rsidR="00BA2E8E">
              <w:rPr>
                <w:webHidden/>
              </w:rPr>
              <w:instrText xml:space="preserve"> PAGEREF _Toc451678686 \h </w:instrText>
            </w:r>
            <w:r w:rsidR="00BA2E8E">
              <w:rPr>
                <w:webHidden/>
              </w:rPr>
            </w:r>
            <w:r w:rsidR="00BA2E8E">
              <w:rPr>
                <w:webHidden/>
              </w:rPr>
              <w:fldChar w:fldCharType="separate"/>
            </w:r>
            <w:r w:rsidR="00BA2E8E">
              <w:rPr>
                <w:webHidden/>
              </w:rPr>
              <w:t>3-295</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87" w:history="1">
            <w:r w:rsidR="00BA2E8E" w:rsidRPr="004B2540">
              <w:rPr>
                <w:rStyle w:val="Hyperlink"/>
              </w:rPr>
              <w:t>H.3.3</w:t>
            </w:r>
            <w:r w:rsidR="00BA2E8E">
              <w:rPr>
                <w:rFonts w:asciiTheme="minorHAnsi" w:eastAsiaTheme="minorEastAsia" w:hAnsiTheme="minorHAnsi"/>
                <w:lang w:eastAsia="en-AU"/>
              </w:rPr>
              <w:tab/>
            </w:r>
            <w:r w:rsidR="00BA2E8E" w:rsidRPr="004B2540">
              <w:rPr>
                <w:rStyle w:val="Hyperlink"/>
              </w:rPr>
              <w:t>Mathematical explanation</w:t>
            </w:r>
            <w:r w:rsidR="00BA2E8E">
              <w:rPr>
                <w:webHidden/>
              </w:rPr>
              <w:tab/>
            </w:r>
            <w:r w:rsidR="00BA2E8E">
              <w:rPr>
                <w:webHidden/>
              </w:rPr>
              <w:fldChar w:fldCharType="begin"/>
            </w:r>
            <w:r w:rsidR="00BA2E8E">
              <w:rPr>
                <w:webHidden/>
              </w:rPr>
              <w:instrText xml:space="preserve"> PAGEREF _Toc451678687 \h </w:instrText>
            </w:r>
            <w:r w:rsidR="00BA2E8E">
              <w:rPr>
                <w:webHidden/>
              </w:rPr>
            </w:r>
            <w:r w:rsidR="00BA2E8E">
              <w:rPr>
                <w:webHidden/>
              </w:rPr>
              <w:fldChar w:fldCharType="separate"/>
            </w:r>
            <w:r w:rsidR="00BA2E8E">
              <w:rPr>
                <w:webHidden/>
              </w:rPr>
              <w:t>3-297</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88" w:history="1">
            <w:r w:rsidR="00BA2E8E" w:rsidRPr="004B2540">
              <w:rPr>
                <w:rStyle w:val="Hyperlink"/>
              </w:rPr>
              <w:t>H.4</w:t>
            </w:r>
            <w:r w:rsidR="00BA2E8E">
              <w:rPr>
                <w:rFonts w:asciiTheme="minorHAnsi" w:eastAsiaTheme="minorEastAsia" w:hAnsiTheme="minorHAnsi"/>
                <w:b w:val="0"/>
                <w:color w:val="auto"/>
                <w:sz w:val="22"/>
                <w:lang w:eastAsia="en-AU"/>
              </w:rPr>
              <w:tab/>
            </w:r>
            <w:r w:rsidR="00BA2E8E" w:rsidRPr="004B2540">
              <w:rPr>
                <w:rStyle w:val="Hyperlink"/>
              </w:rPr>
              <w:t>A full transition satisfies the ARORO</w:t>
            </w:r>
            <w:r w:rsidR="00BA2E8E">
              <w:rPr>
                <w:webHidden/>
              </w:rPr>
              <w:tab/>
            </w:r>
            <w:r w:rsidR="00BA2E8E">
              <w:rPr>
                <w:webHidden/>
              </w:rPr>
              <w:fldChar w:fldCharType="begin"/>
            </w:r>
            <w:r w:rsidR="00BA2E8E">
              <w:rPr>
                <w:webHidden/>
              </w:rPr>
              <w:instrText xml:space="preserve"> PAGEREF _Toc451678688 \h </w:instrText>
            </w:r>
            <w:r w:rsidR="00BA2E8E">
              <w:rPr>
                <w:webHidden/>
              </w:rPr>
            </w:r>
            <w:r w:rsidR="00BA2E8E">
              <w:rPr>
                <w:webHidden/>
              </w:rPr>
              <w:fldChar w:fldCharType="separate"/>
            </w:r>
            <w:r w:rsidR="00BA2E8E">
              <w:rPr>
                <w:webHidden/>
              </w:rPr>
              <w:t>3-305</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89" w:history="1">
            <w:r w:rsidR="00BA2E8E" w:rsidRPr="004B2540">
              <w:rPr>
                <w:rStyle w:val="Hyperlink"/>
              </w:rPr>
              <w:t>H.5</w:t>
            </w:r>
            <w:r w:rsidR="00BA2E8E">
              <w:rPr>
                <w:rFonts w:asciiTheme="minorHAnsi" w:eastAsiaTheme="minorEastAsia" w:hAnsiTheme="minorHAnsi"/>
                <w:b w:val="0"/>
                <w:color w:val="auto"/>
                <w:sz w:val="22"/>
                <w:lang w:eastAsia="en-AU"/>
              </w:rPr>
              <w:tab/>
            </w:r>
            <w:r w:rsidR="00BA2E8E" w:rsidRPr="004B2540">
              <w:rPr>
                <w:rStyle w:val="Hyperlink"/>
              </w:rPr>
              <w:t>An immediate (or hybrid) transition will not satisfy the ARORO</w:t>
            </w:r>
            <w:r w:rsidR="00BA2E8E">
              <w:rPr>
                <w:webHidden/>
              </w:rPr>
              <w:tab/>
            </w:r>
            <w:r w:rsidR="00BA2E8E">
              <w:rPr>
                <w:webHidden/>
              </w:rPr>
              <w:fldChar w:fldCharType="begin"/>
            </w:r>
            <w:r w:rsidR="00BA2E8E">
              <w:rPr>
                <w:webHidden/>
              </w:rPr>
              <w:instrText xml:space="preserve"> PAGEREF _Toc451678689 \h </w:instrText>
            </w:r>
            <w:r w:rsidR="00BA2E8E">
              <w:rPr>
                <w:webHidden/>
              </w:rPr>
            </w:r>
            <w:r w:rsidR="00BA2E8E">
              <w:rPr>
                <w:webHidden/>
              </w:rPr>
              <w:fldChar w:fldCharType="separate"/>
            </w:r>
            <w:r w:rsidR="00BA2E8E">
              <w:rPr>
                <w:webHidden/>
              </w:rPr>
              <w:t>3-306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90" w:history="1">
            <w:r w:rsidR="00BA2E8E" w:rsidRPr="004B2540">
              <w:rPr>
                <w:rStyle w:val="Hyperlink"/>
              </w:rPr>
              <w:t>H.5.1</w:t>
            </w:r>
            <w:r w:rsidR="00BA2E8E">
              <w:rPr>
                <w:rFonts w:asciiTheme="minorHAnsi" w:eastAsiaTheme="minorEastAsia" w:hAnsiTheme="minorHAnsi"/>
                <w:lang w:eastAsia="en-AU"/>
              </w:rPr>
              <w:tab/>
            </w:r>
            <w:r w:rsidR="00BA2E8E" w:rsidRPr="004B2540">
              <w:rPr>
                <w:rStyle w:val="Hyperlink"/>
              </w:rPr>
              <w:t>Mathematical explanation</w:t>
            </w:r>
            <w:r w:rsidR="00BA2E8E">
              <w:rPr>
                <w:webHidden/>
              </w:rPr>
              <w:tab/>
            </w:r>
            <w:r w:rsidR="00BA2E8E">
              <w:rPr>
                <w:webHidden/>
              </w:rPr>
              <w:fldChar w:fldCharType="begin"/>
            </w:r>
            <w:r w:rsidR="00BA2E8E">
              <w:rPr>
                <w:webHidden/>
              </w:rPr>
              <w:instrText xml:space="preserve"> PAGEREF _Toc451678690 \h </w:instrText>
            </w:r>
            <w:r w:rsidR="00BA2E8E">
              <w:rPr>
                <w:webHidden/>
              </w:rPr>
            </w:r>
            <w:r w:rsidR="00BA2E8E">
              <w:rPr>
                <w:webHidden/>
              </w:rPr>
              <w:fldChar w:fldCharType="separate"/>
            </w:r>
            <w:r w:rsidR="00BA2E8E">
              <w:rPr>
                <w:webHidden/>
              </w:rPr>
              <w:t>3-307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91" w:history="1">
            <w:r w:rsidR="00BA2E8E" w:rsidRPr="004B2540">
              <w:rPr>
                <w:rStyle w:val="Hyperlink"/>
              </w:rPr>
              <w:t>H.5.2</w:t>
            </w:r>
            <w:r w:rsidR="00BA2E8E">
              <w:rPr>
                <w:rFonts w:asciiTheme="minorHAnsi" w:eastAsiaTheme="minorEastAsia" w:hAnsiTheme="minorHAnsi"/>
                <w:lang w:eastAsia="en-AU"/>
              </w:rPr>
              <w:tab/>
            </w:r>
            <w:r w:rsidR="00BA2E8E" w:rsidRPr="004B2540">
              <w:rPr>
                <w:rStyle w:val="Hyperlink"/>
              </w:rPr>
              <w:t>Revised regulatory proposals</w:t>
            </w:r>
            <w:r w:rsidR="00BA2E8E">
              <w:rPr>
                <w:webHidden/>
              </w:rPr>
              <w:tab/>
            </w:r>
            <w:r w:rsidR="00BA2E8E">
              <w:rPr>
                <w:webHidden/>
              </w:rPr>
              <w:fldChar w:fldCharType="begin"/>
            </w:r>
            <w:r w:rsidR="00BA2E8E">
              <w:rPr>
                <w:webHidden/>
              </w:rPr>
              <w:instrText xml:space="preserve"> PAGEREF _Toc451678691 \h </w:instrText>
            </w:r>
            <w:r w:rsidR="00BA2E8E">
              <w:rPr>
                <w:webHidden/>
              </w:rPr>
            </w:r>
            <w:r w:rsidR="00BA2E8E">
              <w:rPr>
                <w:webHidden/>
              </w:rPr>
              <w:fldChar w:fldCharType="separate"/>
            </w:r>
            <w:r w:rsidR="00BA2E8E">
              <w:rPr>
                <w:webHidden/>
              </w:rPr>
              <w:t>3-310</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692" w:history="1">
            <w:r w:rsidR="00BA2E8E" w:rsidRPr="004B2540">
              <w:rPr>
                <w:rStyle w:val="Hyperlink"/>
              </w:rPr>
              <w:t>I</w:t>
            </w:r>
            <w:r w:rsidR="00BA2E8E">
              <w:rPr>
                <w:rFonts w:asciiTheme="minorHAnsi" w:eastAsiaTheme="minorEastAsia" w:hAnsiTheme="minorHAnsi"/>
                <w:b w:val="0"/>
                <w:color w:val="auto"/>
                <w:sz w:val="22"/>
                <w:lang w:val="en-AU" w:eastAsia="en-AU"/>
              </w:rPr>
              <w:tab/>
            </w:r>
            <w:r w:rsidR="00BA2E8E" w:rsidRPr="004B2540">
              <w:rPr>
                <w:rStyle w:val="Hyperlink"/>
              </w:rPr>
              <w:t>Return on debt implementation</w:t>
            </w:r>
            <w:r w:rsidR="00BA2E8E">
              <w:rPr>
                <w:webHidden/>
              </w:rPr>
              <w:tab/>
            </w:r>
            <w:r w:rsidR="00BA2E8E">
              <w:rPr>
                <w:webHidden/>
              </w:rPr>
              <w:fldChar w:fldCharType="begin"/>
            </w:r>
            <w:r w:rsidR="00BA2E8E">
              <w:rPr>
                <w:webHidden/>
              </w:rPr>
              <w:instrText xml:space="preserve"> PAGEREF _Toc451678692 \h </w:instrText>
            </w:r>
            <w:r w:rsidR="00BA2E8E">
              <w:rPr>
                <w:webHidden/>
              </w:rPr>
            </w:r>
            <w:r w:rsidR="00BA2E8E">
              <w:rPr>
                <w:webHidden/>
              </w:rPr>
              <w:fldChar w:fldCharType="separate"/>
            </w:r>
            <w:r w:rsidR="00BA2E8E">
              <w:rPr>
                <w:webHidden/>
              </w:rPr>
              <w:t>3-318</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93" w:history="1">
            <w:r w:rsidR="00BA2E8E" w:rsidRPr="004B2540">
              <w:rPr>
                <w:rStyle w:val="Hyperlink"/>
              </w:rPr>
              <w:t>I.1</w:t>
            </w:r>
            <w:r w:rsidR="00BA2E8E">
              <w:rPr>
                <w:rFonts w:asciiTheme="minorHAnsi" w:eastAsiaTheme="minorEastAsia" w:hAnsiTheme="minorHAnsi"/>
                <w:b w:val="0"/>
                <w:color w:val="auto"/>
                <w:sz w:val="22"/>
                <w:lang w:eastAsia="en-AU"/>
              </w:rPr>
              <w:tab/>
            </w:r>
            <w:r w:rsidR="00BA2E8E" w:rsidRPr="004B2540">
              <w:rPr>
                <w:rStyle w:val="Hyperlink"/>
              </w:rPr>
              <w:t>The Thomson Reuters curve</w:t>
            </w:r>
            <w:r w:rsidR="00BA2E8E">
              <w:rPr>
                <w:webHidden/>
              </w:rPr>
              <w:tab/>
            </w:r>
            <w:r w:rsidR="00BA2E8E">
              <w:rPr>
                <w:webHidden/>
              </w:rPr>
              <w:fldChar w:fldCharType="begin"/>
            </w:r>
            <w:r w:rsidR="00BA2E8E">
              <w:rPr>
                <w:webHidden/>
              </w:rPr>
              <w:instrText xml:space="preserve"> PAGEREF _Toc451678693 \h </w:instrText>
            </w:r>
            <w:r w:rsidR="00BA2E8E">
              <w:rPr>
                <w:webHidden/>
              </w:rPr>
            </w:r>
            <w:r w:rsidR="00BA2E8E">
              <w:rPr>
                <w:webHidden/>
              </w:rPr>
              <w:fldChar w:fldCharType="separate"/>
            </w:r>
            <w:r w:rsidR="00BA2E8E">
              <w:rPr>
                <w:webHidden/>
              </w:rPr>
              <w:t>3-318</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94" w:history="1">
            <w:r w:rsidR="00BA2E8E" w:rsidRPr="004B2540">
              <w:rPr>
                <w:rStyle w:val="Hyperlink"/>
              </w:rPr>
              <w:t>I.1.1</w:t>
            </w:r>
            <w:r w:rsidR="00BA2E8E">
              <w:rPr>
                <w:rFonts w:asciiTheme="minorHAnsi" w:eastAsiaTheme="minorEastAsia" w:hAnsiTheme="minorHAnsi"/>
                <w:lang w:eastAsia="en-AU"/>
              </w:rPr>
              <w:tab/>
            </w:r>
            <w:r w:rsidR="00BA2E8E" w:rsidRPr="004B2540">
              <w:rPr>
                <w:rStyle w:val="Hyperlink"/>
              </w:rPr>
              <w:t>Timing of proposal</w:t>
            </w:r>
            <w:r w:rsidR="00BA2E8E">
              <w:rPr>
                <w:webHidden/>
              </w:rPr>
              <w:tab/>
            </w:r>
            <w:r w:rsidR="00BA2E8E">
              <w:rPr>
                <w:webHidden/>
              </w:rPr>
              <w:fldChar w:fldCharType="begin"/>
            </w:r>
            <w:r w:rsidR="00BA2E8E">
              <w:rPr>
                <w:webHidden/>
              </w:rPr>
              <w:instrText xml:space="preserve"> PAGEREF _Toc451678694 \h </w:instrText>
            </w:r>
            <w:r w:rsidR="00BA2E8E">
              <w:rPr>
                <w:webHidden/>
              </w:rPr>
            </w:r>
            <w:r w:rsidR="00BA2E8E">
              <w:rPr>
                <w:webHidden/>
              </w:rPr>
              <w:fldChar w:fldCharType="separate"/>
            </w:r>
            <w:r w:rsidR="00BA2E8E">
              <w:rPr>
                <w:webHidden/>
              </w:rPr>
              <w:t>3-319</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95" w:history="1">
            <w:r w:rsidR="00BA2E8E" w:rsidRPr="004B2540">
              <w:rPr>
                <w:rStyle w:val="Hyperlink"/>
              </w:rPr>
              <w:t>I.1.2</w:t>
            </w:r>
            <w:r w:rsidR="00BA2E8E">
              <w:rPr>
                <w:rFonts w:asciiTheme="minorHAnsi" w:eastAsiaTheme="minorEastAsia" w:hAnsiTheme="minorHAnsi"/>
                <w:lang w:eastAsia="en-AU"/>
              </w:rPr>
              <w:tab/>
            </w:r>
            <w:r w:rsidR="00BA2E8E" w:rsidRPr="004B2540">
              <w:rPr>
                <w:rStyle w:val="Hyperlink"/>
              </w:rPr>
              <w:t>Limited assessment of the Thomson Reuters curve</w:t>
            </w:r>
            <w:r w:rsidR="00BA2E8E">
              <w:rPr>
                <w:webHidden/>
              </w:rPr>
              <w:tab/>
            </w:r>
            <w:r w:rsidR="00BA2E8E">
              <w:rPr>
                <w:webHidden/>
              </w:rPr>
              <w:fldChar w:fldCharType="begin"/>
            </w:r>
            <w:r w:rsidR="00BA2E8E">
              <w:rPr>
                <w:webHidden/>
              </w:rPr>
              <w:instrText xml:space="preserve"> PAGEREF _Toc451678695 \h </w:instrText>
            </w:r>
            <w:r w:rsidR="00BA2E8E">
              <w:rPr>
                <w:webHidden/>
              </w:rPr>
            </w:r>
            <w:r w:rsidR="00BA2E8E">
              <w:rPr>
                <w:webHidden/>
              </w:rPr>
              <w:fldChar w:fldCharType="separate"/>
            </w:r>
            <w:r w:rsidR="00BA2E8E">
              <w:rPr>
                <w:webHidden/>
              </w:rPr>
              <w:t>3-321</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96" w:history="1">
            <w:r w:rsidR="00BA2E8E" w:rsidRPr="004B2540">
              <w:rPr>
                <w:rStyle w:val="Hyperlink"/>
              </w:rPr>
              <w:t>I.2</w:t>
            </w:r>
            <w:r w:rsidR="00BA2E8E">
              <w:rPr>
                <w:rFonts w:asciiTheme="minorHAnsi" w:eastAsiaTheme="minorEastAsia" w:hAnsiTheme="minorHAnsi"/>
                <w:b w:val="0"/>
                <w:color w:val="auto"/>
                <w:sz w:val="22"/>
                <w:lang w:eastAsia="en-AU"/>
              </w:rPr>
              <w:tab/>
            </w:r>
            <w:r w:rsidR="00BA2E8E" w:rsidRPr="004B2540">
              <w:rPr>
                <w:rStyle w:val="Hyperlink"/>
              </w:rPr>
              <w:t>Criticisms of the BVAL curve</w:t>
            </w:r>
            <w:r w:rsidR="00BA2E8E">
              <w:rPr>
                <w:webHidden/>
              </w:rPr>
              <w:tab/>
            </w:r>
            <w:r w:rsidR="00BA2E8E">
              <w:rPr>
                <w:webHidden/>
              </w:rPr>
              <w:fldChar w:fldCharType="begin"/>
            </w:r>
            <w:r w:rsidR="00BA2E8E">
              <w:rPr>
                <w:webHidden/>
              </w:rPr>
              <w:instrText xml:space="preserve"> PAGEREF _Toc451678696 \h </w:instrText>
            </w:r>
            <w:r w:rsidR="00BA2E8E">
              <w:rPr>
                <w:webHidden/>
              </w:rPr>
            </w:r>
            <w:r w:rsidR="00BA2E8E">
              <w:rPr>
                <w:webHidden/>
              </w:rPr>
              <w:fldChar w:fldCharType="separate"/>
            </w:r>
            <w:r w:rsidR="00BA2E8E">
              <w:rPr>
                <w:webHidden/>
              </w:rPr>
              <w:t>3-324</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97" w:history="1">
            <w:r w:rsidR="00BA2E8E" w:rsidRPr="004B2540">
              <w:rPr>
                <w:rStyle w:val="Hyperlink"/>
              </w:rPr>
              <w:t>I.3</w:t>
            </w:r>
            <w:r w:rsidR="00BA2E8E">
              <w:rPr>
                <w:rFonts w:asciiTheme="minorHAnsi" w:eastAsiaTheme="minorEastAsia" w:hAnsiTheme="minorHAnsi"/>
                <w:b w:val="0"/>
                <w:color w:val="auto"/>
                <w:sz w:val="22"/>
                <w:lang w:eastAsia="en-AU"/>
              </w:rPr>
              <w:tab/>
            </w:r>
            <w:r w:rsidR="00BA2E8E" w:rsidRPr="004B2540">
              <w:rPr>
                <w:rStyle w:val="Hyperlink"/>
              </w:rPr>
              <w:t>Other issues</w:t>
            </w:r>
            <w:r w:rsidR="00BA2E8E">
              <w:rPr>
                <w:webHidden/>
              </w:rPr>
              <w:tab/>
            </w:r>
            <w:r w:rsidR="00BA2E8E">
              <w:rPr>
                <w:webHidden/>
              </w:rPr>
              <w:fldChar w:fldCharType="begin"/>
            </w:r>
            <w:r w:rsidR="00BA2E8E">
              <w:rPr>
                <w:webHidden/>
              </w:rPr>
              <w:instrText xml:space="preserve"> PAGEREF _Toc451678697 \h </w:instrText>
            </w:r>
            <w:r w:rsidR="00BA2E8E">
              <w:rPr>
                <w:webHidden/>
              </w:rPr>
            </w:r>
            <w:r w:rsidR="00BA2E8E">
              <w:rPr>
                <w:webHidden/>
              </w:rPr>
              <w:fldChar w:fldCharType="separate"/>
            </w:r>
            <w:r w:rsidR="00BA2E8E">
              <w:rPr>
                <w:webHidden/>
              </w:rPr>
              <w:t>3-338</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698" w:history="1">
            <w:r w:rsidR="00BA2E8E" w:rsidRPr="004B2540">
              <w:rPr>
                <w:rStyle w:val="Hyperlink"/>
              </w:rPr>
              <w:t>I.4</w:t>
            </w:r>
            <w:r w:rsidR="00BA2E8E">
              <w:rPr>
                <w:rFonts w:asciiTheme="minorHAnsi" w:eastAsiaTheme="minorEastAsia" w:hAnsiTheme="minorHAnsi"/>
                <w:b w:val="0"/>
                <w:color w:val="auto"/>
                <w:sz w:val="22"/>
                <w:lang w:eastAsia="en-AU"/>
              </w:rPr>
              <w:tab/>
            </w:r>
            <w:r w:rsidR="00BA2E8E" w:rsidRPr="004B2540">
              <w:rPr>
                <w:rStyle w:val="Hyperlink"/>
              </w:rPr>
              <w:t>Averaging periods</w:t>
            </w:r>
            <w:r w:rsidR="00BA2E8E">
              <w:rPr>
                <w:webHidden/>
              </w:rPr>
              <w:tab/>
            </w:r>
            <w:r w:rsidR="00BA2E8E">
              <w:rPr>
                <w:webHidden/>
              </w:rPr>
              <w:fldChar w:fldCharType="begin"/>
            </w:r>
            <w:r w:rsidR="00BA2E8E">
              <w:rPr>
                <w:webHidden/>
              </w:rPr>
              <w:instrText xml:space="preserve"> PAGEREF _Toc451678698 \h </w:instrText>
            </w:r>
            <w:r w:rsidR="00BA2E8E">
              <w:rPr>
                <w:webHidden/>
              </w:rPr>
            </w:r>
            <w:r w:rsidR="00BA2E8E">
              <w:rPr>
                <w:webHidden/>
              </w:rPr>
              <w:fldChar w:fldCharType="separate"/>
            </w:r>
            <w:r w:rsidR="00BA2E8E">
              <w:rPr>
                <w:webHidden/>
              </w:rPr>
              <w:t>3-340</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699" w:history="1">
            <w:r w:rsidR="00BA2E8E" w:rsidRPr="004B2540">
              <w:rPr>
                <w:rStyle w:val="Hyperlink"/>
              </w:rPr>
              <w:t>I.4.1</w:t>
            </w:r>
            <w:r w:rsidR="00BA2E8E">
              <w:rPr>
                <w:rFonts w:asciiTheme="minorHAnsi" w:eastAsiaTheme="minorEastAsia" w:hAnsiTheme="minorHAnsi"/>
                <w:lang w:eastAsia="en-AU"/>
              </w:rPr>
              <w:tab/>
            </w:r>
            <w:r w:rsidR="00BA2E8E" w:rsidRPr="004B2540">
              <w:rPr>
                <w:rStyle w:val="Hyperlink"/>
              </w:rPr>
              <w:t>Response to key issues raised by stakeholders</w:t>
            </w:r>
            <w:r w:rsidR="00BA2E8E">
              <w:rPr>
                <w:webHidden/>
              </w:rPr>
              <w:tab/>
            </w:r>
            <w:r w:rsidR="00BA2E8E">
              <w:rPr>
                <w:webHidden/>
              </w:rPr>
              <w:fldChar w:fldCharType="begin"/>
            </w:r>
            <w:r w:rsidR="00BA2E8E">
              <w:rPr>
                <w:webHidden/>
              </w:rPr>
              <w:instrText xml:space="preserve"> PAGEREF _Toc451678699 \h </w:instrText>
            </w:r>
            <w:r w:rsidR="00BA2E8E">
              <w:rPr>
                <w:webHidden/>
              </w:rPr>
            </w:r>
            <w:r w:rsidR="00BA2E8E">
              <w:rPr>
                <w:webHidden/>
              </w:rPr>
              <w:fldChar w:fldCharType="separate"/>
            </w:r>
            <w:r w:rsidR="00BA2E8E">
              <w:rPr>
                <w:webHidden/>
              </w:rPr>
              <w:t>3-340</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700" w:history="1">
            <w:r w:rsidR="00BA2E8E" w:rsidRPr="004B2540">
              <w:rPr>
                <w:rStyle w:val="Hyperlink"/>
              </w:rPr>
              <w:t>J</w:t>
            </w:r>
            <w:r w:rsidR="00BA2E8E">
              <w:rPr>
                <w:rFonts w:asciiTheme="minorHAnsi" w:eastAsiaTheme="minorEastAsia" w:hAnsiTheme="minorHAnsi"/>
                <w:b w:val="0"/>
                <w:color w:val="auto"/>
                <w:sz w:val="22"/>
                <w:lang w:val="en-AU" w:eastAsia="en-AU"/>
              </w:rPr>
              <w:tab/>
            </w:r>
            <w:r w:rsidR="00BA2E8E" w:rsidRPr="004B2540">
              <w:rPr>
                <w:rStyle w:val="Hyperlink"/>
              </w:rPr>
              <w:t>Methodology to annual update the return on debt</w:t>
            </w:r>
            <w:r w:rsidR="00BA2E8E">
              <w:rPr>
                <w:webHidden/>
              </w:rPr>
              <w:tab/>
            </w:r>
            <w:r w:rsidR="00BA2E8E">
              <w:rPr>
                <w:webHidden/>
              </w:rPr>
              <w:fldChar w:fldCharType="begin"/>
            </w:r>
            <w:r w:rsidR="00BA2E8E">
              <w:rPr>
                <w:webHidden/>
              </w:rPr>
              <w:instrText xml:space="preserve"> PAGEREF _Toc451678700 \h </w:instrText>
            </w:r>
            <w:r w:rsidR="00BA2E8E">
              <w:rPr>
                <w:webHidden/>
              </w:rPr>
            </w:r>
            <w:r w:rsidR="00BA2E8E">
              <w:rPr>
                <w:webHidden/>
              </w:rPr>
              <w:fldChar w:fldCharType="separate"/>
            </w:r>
            <w:r w:rsidR="00BA2E8E">
              <w:rPr>
                <w:webHidden/>
              </w:rPr>
              <w:t>3-352</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701" w:history="1">
            <w:r w:rsidR="00BA2E8E" w:rsidRPr="004B2540">
              <w:rPr>
                <w:rStyle w:val="Hyperlink"/>
              </w:rPr>
              <w:t>J.5</w:t>
            </w:r>
            <w:r w:rsidR="00BA2E8E">
              <w:rPr>
                <w:rFonts w:asciiTheme="minorHAnsi" w:eastAsiaTheme="minorEastAsia" w:hAnsiTheme="minorHAnsi"/>
                <w:b w:val="0"/>
                <w:color w:val="auto"/>
                <w:sz w:val="22"/>
                <w:lang w:eastAsia="en-AU"/>
              </w:rPr>
              <w:tab/>
            </w:r>
            <w:r w:rsidR="00BA2E8E" w:rsidRPr="004B2540">
              <w:rPr>
                <w:rStyle w:val="Hyperlink"/>
              </w:rPr>
              <w:t>Approach to estimating the return on debt</w:t>
            </w:r>
            <w:r w:rsidR="00BA2E8E">
              <w:rPr>
                <w:webHidden/>
              </w:rPr>
              <w:tab/>
            </w:r>
            <w:r w:rsidR="00BA2E8E">
              <w:rPr>
                <w:webHidden/>
              </w:rPr>
              <w:fldChar w:fldCharType="begin"/>
            </w:r>
            <w:r w:rsidR="00BA2E8E">
              <w:rPr>
                <w:webHidden/>
              </w:rPr>
              <w:instrText xml:space="preserve"> PAGEREF _Toc451678701 \h </w:instrText>
            </w:r>
            <w:r w:rsidR="00BA2E8E">
              <w:rPr>
                <w:webHidden/>
              </w:rPr>
            </w:r>
            <w:r w:rsidR="00BA2E8E">
              <w:rPr>
                <w:webHidden/>
              </w:rPr>
              <w:fldChar w:fldCharType="separate"/>
            </w:r>
            <w:r w:rsidR="00BA2E8E">
              <w:rPr>
                <w:webHidden/>
              </w:rPr>
              <w:t>3-352</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702" w:history="1">
            <w:r w:rsidR="00BA2E8E" w:rsidRPr="004B2540">
              <w:rPr>
                <w:rStyle w:val="Hyperlink"/>
              </w:rPr>
              <w:t>J.6</w:t>
            </w:r>
            <w:r w:rsidR="00BA2E8E">
              <w:rPr>
                <w:rFonts w:asciiTheme="minorHAnsi" w:eastAsiaTheme="minorEastAsia" w:hAnsiTheme="minorHAnsi"/>
                <w:b w:val="0"/>
                <w:color w:val="auto"/>
                <w:sz w:val="22"/>
                <w:lang w:eastAsia="en-AU"/>
              </w:rPr>
              <w:tab/>
            </w:r>
            <w:r w:rsidR="00BA2E8E" w:rsidRPr="004B2540">
              <w:rPr>
                <w:rStyle w:val="Hyperlink"/>
              </w:rPr>
              <w:t>Implementing the return on debt approach</w:t>
            </w:r>
            <w:r w:rsidR="00BA2E8E">
              <w:rPr>
                <w:webHidden/>
              </w:rPr>
              <w:tab/>
            </w:r>
            <w:r w:rsidR="00BA2E8E">
              <w:rPr>
                <w:webHidden/>
              </w:rPr>
              <w:fldChar w:fldCharType="begin"/>
            </w:r>
            <w:r w:rsidR="00BA2E8E">
              <w:rPr>
                <w:webHidden/>
              </w:rPr>
              <w:instrText xml:space="preserve"> PAGEREF _Toc451678702 \h </w:instrText>
            </w:r>
            <w:r w:rsidR="00BA2E8E">
              <w:rPr>
                <w:webHidden/>
              </w:rPr>
            </w:r>
            <w:r w:rsidR="00BA2E8E">
              <w:rPr>
                <w:webHidden/>
              </w:rPr>
              <w:fldChar w:fldCharType="separate"/>
            </w:r>
            <w:r w:rsidR="00BA2E8E">
              <w:rPr>
                <w:webHidden/>
              </w:rPr>
              <w:t>3-354</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03" w:history="1">
            <w:r w:rsidR="00BA2E8E" w:rsidRPr="004B2540">
              <w:rPr>
                <w:rStyle w:val="Hyperlink"/>
              </w:rPr>
              <w:t>J.6.1</w:t>
            </w:r>
            <w:r w:rsidR="00BA2E8E">
              <w:rPr>
                <w:rFonts w:asciiTheme="minorHAnsi" w:eastAsiaTheme="minorEastAsia" w:hAnsiTheme="minorHAnsi"/>
                <w:lang w:eastAsia="en-AU"/>
              </w:rPr>
              <w:tab/>
            </w:r>
            <w:r w:rsidR="00BA2E8E" w:rsidRPr="004B2540">
              <w:rPr>
                <w:rStyle w:val="Hyperlink"/>
              </w:rPr>
              <w:t>Choice of data series</w:t>
            </w:r>
            <w:r w:rsidR="00BA2E8E">
              <w:rPr>
                <w:webHidden/>
              </w:rPr>
              <w:tab/>
            </w:r>
            <w:r w:rsidR="00BA2E8E">
              <w:rPr>
                <w:webHidden/>
              </w:rPr>
              <w:fldChar w:fldCharType="begin"/>
            </w:r>
            <w:r w:rsidR="00BA2E8E">
              <w:rPr>
                <w:webHidden/>
              </w:rPr>
              <w:instrText xml:space="preserve"> PAGEREF _Toc451678703 \h </w:instrText>
            </w:r>
            <w:r w:rsidR="00BA2E8E">
              <w:rPr>
                <w:webHidden/>
              </w:rPr>
            </w:r>
            <w:r w:rsidR="00BA2E8E">
              <w:rPr>
                <w:webHidden/>
              </w:rPr>
              <w:fldChar w:fldCharType="separate"/>
            </w:r>
            <w:r w:rsidR="00BA2E8E">
              <w:rPr>
                <w:webHidden/>
              </w:rPr>
              <w:t>3-354</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04" w:history="1">
            <w:r w:rsidR="00BA2E8E" w:rsidRPr="004B2540">
              <w:rPr>
                <w:rStyle w:val="Hyperlink"/>
              </w:rPr>
              <w:t>J.6.2</w:t>
            </w:r>
            <w:r w:rsidR="00BA2E8E">
              <w:rPr>
                <w:rFonts w:asciiTheme="minorHAnsi" w:eastAsiaTheme="minorEastAsia" w:hAnsiTheme="minorHAnsi"/>
                <w:lang w:eastAsia="en-AU"/>
              </w:rPr>
              <w:tab/>
            </w:r>
            <w:r w:rsidR="00BA2E8E" w:rsidRPr="004B2540">
              <w:rPr>
                <w:rStyle w:val="Hyperlink"/>
              </w:rPr>
              <w:t>Choice of data series—Extrapolation and interpolation issues</w:t>
            </w:r>
            <w:r w:rsidR="00BA2E8E">
              <w:rPr>
                <w:webHidden/>
              </w:rPr>
              <w:tab/>
            </w:r>
            <w:r w:rsidR="00BA2E8E">
              <w:rPr>
                <w:webHidden/>
              </w:rPr>
              <w:fldChar w:fldCharType="begin"/>
            </w:r>
            <w:r w:rsidR="00BA2E8E">
              <w:rPr>
                <w:webHidden/>
              </w:rPr>
              <w:instrText xml:space="preserve"> PAGEREF _Toc451678704 \h </w:instrText>
            </w:r>
            <w:r w:rsidR="00BA2E8E">
              <w:rPr>
                <w:webHidden/>
              </w:rPr>
            </w:r>
            <w:r w:rsidR="00BA2E8E">
              <w:rPr>
                <w:webHidden/>
              </w:rPr>
              <w:fldChar w:fldCharType="separate"/>
            </w:r>
            <w:r w:rsidR="00BA2E8E">
              <w:rPr>
                <w:webHidden/>
              </w:rPr>
              <w:t>3-355</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05" w:history="1">
            <w:r w:rsidR="00BA2E8E" w:rsidRPr="004B2540">
              <w:rPr>
                <w:rStyle w:val="Hyperlink"/>
              </w:rPr>
              <w:t>J.6.3</w:t>
            </w:r>
            <w:r w:rsidR="00BA2E8E">
              <w:rPr>
                <w:rFonts w:asciiTheme="minorHAnsi" w:eastAsiaTheme="minorEastAsia" w:hAnsiTheme="minorHAnsi"/>
                <w:lang w:eastAsia="en-AU"/>
              </w:rPr>
              <w:tab/>
            </w:r>
            <w:r w:rsidR="00BA2E8E" w:rsidRPr="004B2540">
              <w:rPr>
                <w:rStyle w:val="Hyperlink"/>
              </w:rPr>
              <w:t>Choice of data series—Step-by-step guide to calculations</w:t>
            </w:r>
            <w:r w:rsidR="00BA2E8E">
              <w:rPr>
                <w:webHidden/>
              </w:rPr>
              <w:tab/>
            </w:r>
            <w:r w:rsidR="00BA2E8E">
              <w:rPr>
                <w:webHidden/>
              </w:rPr>
              <w:fldChar w:fldCharType="begin"/>
            </w:r>
            <w:r w:rsidR="00BA2E8E">
              <w:rPr>
                <w:webHidden/>
              </w:rPr>
              <w:instrText xml:space="preserve"> PAGEREF _Toc451678705 \h </w:instrText>
            </w:r>
            <w:r w:rsidR="00BA2E8E">
              <w:rPr>
                <w:webHidden/>
              </w:rPr>
            </w:r>
            <w:r w:rsidR="00BA2E8E">
              <w:rPr>
                <w:webHidden/>
              </w:rPr>
              <w:fldChar w:fldCharType="separate"/>
            </w:r>
            <w:r w:rsidR="00BA2E8E">
              <w:rPr>
                <w:webHidden/>
              </w:rPr>
              <w:t>3-357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06" w:history="1">
            <w:r w:rsidR="00BA2E8E" w:rsidRPr="004B2540">
              <w:rPr>
                <w:rStyle w:val="Hyperlink"/>
              </w:rPr>
              <w:t>J.6.4</w:t>
            </w:r>
            <w:r w:rsidR="00BA2E8E">
              <w:rPr>
                <w:rFonts w:asciiTheme="minorHAnsi" w:eastAsiaTheme="minorEastAsia" w:hAnsiTheme="minorHAnsi"/>
                <w:lang w:eastAsia="en-AU"/>
              </w:rPr>
              <w:tab/>
            </w:r>
            <w:r w:rsidR="00BA2E8E" w:rsidRPr="004B2540">
              <w:rPr>
                <w:rStyle w:val="Hyperlink"/>
              </w:rPr>
              <w:t>Choice of data series—Contingencies</w:t>
            </w:r>
            <w:r w:rsidR="00BA2E8E">
              <w:rPr>
                <w:webHidden/>
              </w:rPr>
              <w:tab/>
            </w:r>
            <w:r w:rsidR="00BA2E8E">
              <w:rPr>
                <w:webHidden/>
              </w:rPr>
              <w:fldChar w:fldCharType="begin"/>
            </w:r>
            <w:r w:rsidR="00BA2E8E">
              <w:rPr>
                <w:webHidden/>
              </w:rPr>
              <w:instrText xml:space="preserve"> PAGEREF _Toc451678706 \h </w:instrText>
            </w:r>
            <w:r w:rsidR="00BA2E8E">
              <w:rPr>
                <w:webHidden/>
              </w:rPr>
            </w:r>
            <w:r w:rsidR="00BA2E8E">
              <w:rPr>
                <w:webHidden/>
              </w:rPr>
              <w:fldChar w:fldCharType="separate"/>
            </w:r>
            <w:r w:rsidR="00BA2E8E">
              <w:rPr>
                <w:webHidden/>
              </w:rPr>
              <w:t>3-360</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07" w:history="1">
            <w:r w:rsidR="00BA2E8E" w:rsidRPr="004B2540">
              <w:rPr>
                <w:rStyle w:val="Hyperlink"/>
              </w:rPr>
              <w:t>J.6.5</w:t>
            </w:r>
            <w:r w:rsidR="00BA2E8E">
              <w:rPr>
                <w:rFonts w:asciiTheme="minorHAnsi" w:eastAsiaTheme="minorEastAsia" w:hAnsiTheme="minorHAnsi"/>
                <w:lang w:eastAsia="en-AU"/>
              </w:rPr>
              <w:tab/>
            </w:r>
            <w:r w:rsidR="00BA2E8E" w:rsidRPr="004B2540">
              <w:rPr>
                <w:rStyle w:val="Hyperlink"/>
              </w:rPr>
              <w:t>Timing of annual updates</w:t>
            </w:r>
            <w:r w:rsidR="00BA2E8E">
              <w:rPr>
                <w:webHidden/>
              </w:rPr>
              <w:tab/>
            </w:r>
            <w:r w:rsidR="00BA2E8E">
              <w:rPr>
                <w:webHidden/>
              </w:rPr>
              <w:fldChar w:fldCharType="begin"/>
            </w:r>
            <w:r w:rsidR="00BA2E8E">
              <w:rPr>
                <w:webHidden/>
              </w:rPr>
              <w:instrText xml:space="preserve"> PAGEREF _Toc451678707 \h </w:instrText>
            </w:r>
            <w:r w:rsidR="00BA2E8E">
              <w:rPr>
                <w:webHidden/>
              </w:rPr>
            </w:r>
            <w:r w:rsidR="00BA2E8E">
              <w:rPr>
                <w:webHidden/>
              </w:rPr>
              <w:fldChar w:fldCharType="separate"/>
            </w:r>
            <w:r w:rsidR="00BA2E8E">
              <w:rPr>
                <w:webHidden/>
              </w:rPr>
              <w:t>3-362</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708" w:history="1">
            <w:r w:rsidR="00BA2E8E" w:rsidRPr="004B2540">
              <w:rPr>
                <w:rStyle w:val="Hyperlink"/>
              </w:rPr>
              <w:t>K</w:t>
            </w:r>
            <w:r w:rsidR="00BA2E8E">
              <w:rPr>
                <w:rFonts w:asciiTheme="minorHAnsi" w:eastAsiaTheme="minorEastAsia" w:hAnsiTheme="minorHAnsi"/>
                <w:b w:val="0"/>
                <w:color w:val="auto"/>
                <w:sz w:val="22"/>
                <w:lang w:val="en-AU" w:eastAsia="en-AU"/>
              </w:rPr>
              <w:tab/>
            </w:r>
            <w:r w:rsidR="00BA2E8E" w:rsidRPr="004B2540">
              <w:rPr>
                <w:rStyle w:val="Hyperlink"/>
              </w:rPr>
              <w:t>Equity and debt raising costs</w:t>
            </w:r>
            <w:r w:rsidR="00BA2E8E">
              <w:rPr>
                <w:webHidden/>
              </w:rPr>
              <w:tab/>
            </w:r>
            <w:r w:rsidR="00BA2E8E">
              <w:rPr>
                <w:webHidden/>
              </w:rPr>
              <w:fldChar w:fldCharType="begin"/>
            </w:r>
            <w:r w:rsidR="00BA2E8E">
              <w:rPr>
                <w:webHidden/>
              </w:rPr>
              <w:instrText xml:space="preserve"> PAGEREF _Toc451678708 \h </w:instrText>
            </w:r>
            <w:r w:rsidR="00BA2E8E">
              <w:rPr>
                <w:webHidden/>
              </w:rPr>
            </w:r>
            <w:r w:rsidR="00BA2E8E">
              <w:rPr>
                <w:webHidden/>
              </w:rPr>
              <w:fldChar w:fldCharType="separate"/>
            </w:r>
            <w:r w:rsidR="00BA2E8E">
              <w:rPr>
                <w:webHidden/>
              </w:rPr>
              <w:t>3-366</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709" w:history="1">
            <w:r w:rsidR="00BA2E8E" w:rsidRPr="004B2540">
              <w:rPr>
                <w:rStyle w:val="Hyperlink"/>
              </w:rPr>
              <w:t>K.1</w:t>
            </w:r>
            <w:r w:rsidR="00BA2E8E">
              <w:rPr>
                <w:rFonts w:asciiTheme="minorHAnsi" w:eastAsiaTheme="minorEastAsia" w:hAnsiTheme="minorHAnsi"/>
                <w:b w:val="0"/>
                <w:color w:val="auto"/>
                <w:sz w:val="22"/>
                <w:lang w:eastAsia="en-AU"/>
              </w:rPr>
              <w:tab/>
            </w:r>
            <w:r w:rsidR="00BA2E8E" w:rsidRPr="004B2540">
              <w:rPr>
                <w:rStyle w:val="Hyperlink"/>
              </w:rPr>
              <w:t>Equity raising costs</w:t>
            </w:r>
            <w:r w:rsidR="00BA2E8E">
              <w:rPr>
                <w:webHidden/>
              </w:rPr>
              <w:tab/>
            </w:r>
            <w:r w:rsidR="00BA2E8E">
              <w:rPr>
                <w:webHidden/>
              </w:rPr>
              <w:fldChar w:fldCharType="begin"/>
            </w:r>
            <w:r w:rsidR="00BA2E8E">
              <w:rPr>
                <w:webHidden/>
              </w:rPr>
              <w:instrText xml:space="preserve"> PAGEREF _Toc451678709 \h </w:instrText>
            </w:r>
            <w:r w:rsidR="00BA2E8E">
              <w:rPr>
                <w:webHidden/>
              </w:rPr>
            </w:r>
            <w:r w:rsidR="00BA2E8E">
              <w:rPr>
                <w:webHidden/>
              </w:rPr>
              <w:fldChar w:fldCharType="separate"/>
            </w:r>
            <w:r w:rsidR="00BA2E8E">
              <w:rPr>
                <w:webHidden/>
              </w:rPr>
              <w:t>3-366</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10" w:history="1">
            <w:r w:rsidR="00BA2E8E" w:rsidRPr="004B2540">
              <w:rPr>
                <w:rStyle w:val="Hyperlink"/>
              </w:rPr>
              <w:t>K.1.1</w:t>
            </w:r>
            <w:r w:rsidR="00BA2E8E">
              <w:rPr>
                <w:rFonts w:asciiTheme="minorHAnsi" w:eastAsiaTheme="minorEastAsia" w:hAnsiTheme="minorHAnsi"/>
                <w:lang w:eastAsia="en-AU"/>
              </w:rPr>
              <w:tab/>
            </w:r>
            <w:r w:rsidR="00BA2E8E" w:rsidRPr="004B2540">
              <w:rPr>
                <w:rStyle w:val="Hyperlink"/>
              </w:rPr>
              <w:t>Final decision</w:t>
            </w:r>
            <w:r w:rsidR="00BA2E8E">
              <w:rPr>
                <w:webHidden/>
              </w:rPr>
              <w:tab/>
            </w:r>
            <w:r w:rsidR="00BA2E8E">
              <w:rPr>
                <w:webHidden/>
              </w:rPr>
              <w:fldChar w:fldCharType="begin"/>
            </w:r>
            <w:r w:rsidR="00BA2E8E">
              <w:rPr>
                <w:webHidden/>
              </w:rPr>
              <w:instrText xml:space="preserve"> PAGEREF _Toc451678710 \h </w:instrText>
            </w:r>
            <w:r w:rsidR="00BA2E8E">
              <w:rPr>
                <w:webHidden/>
              </w:rPr>
            </w:r>
            <w:r w:rsidR="00BA2E8E">
              <w:rPr>
                <w:webHidden/>
              </w:rPr>
              <w:fldChar w:fldCharType="separate"/>
            </w:r>
            <w:r w:rsidR="00BA2E8E">
              <w:rPr>
                <w:webHidden/>
              </w:rPr>
              <w:t>3-366</w:t>
            </w:r>
            <w:r w:rsidR="00BA2E8E">
              <w:rPr>
                <w:webHidden/>
              </w:rPr>
              <w:fldChar w:fldCharType="end"/>
            </w:r>
          </w:hyperlink>
        </w:p>
        <w:p w:rsidR="00BA2E8E" w:rsidRDefault="0091035C">
          <w:pPr>
            <w:pStyle w:val="TOC2"/>
            <w:rPr>
              <w:rFonts w:asciiTheme="minorHAnsi" w:eastAsiaTheme="minorEastAsia" w:hAnsiTheme="minorHAnsi"/>
              <w:b w:val="0"/>
              <w:color w:val="auto"/>
              <w:sz w:val="22"/>
              <w:lang w:eastAsia="en-AU"/>
            </w:rPr>
          </w:pPr>
          <w:hyperlink w:anchor="_Toc451678711" w:history="1">
            <w:r w:rsidR="00BA2E8E" w:rsidRPr="004B2540">
              <w:rPr>
                <w:rStyle w:val="Hyperlink"/>
              </w:rPr>
              <w:t>K.2</w:t>
            </w:r>
            <w:r w:rsidR="00BA2E8E">
              <w:rPr>
                <w:rFonts w:asciiTheme="minorHAnsi" w:eastAsiaTheme="minorEastAsia" w:hAnsiTheme="minorHAnsi"/>
                <w:b w:val="0"/>
                <w:color w:val="auto"/>
                <w:sz w:val="22"/>
                <w:lang w:eastAsia="en-AU"/>
              </w:rPr>
              <w:tab/>
            </w:r>
            <w:r w:rsidR="00BA2E8E" w:rsidRPr="004B2540">
              <w:rPr>
                <w:rStyle w:val="Hyperlink"/>
              </w:rPr>
              <w:t>Debt raising costs</w:t>
            </w:r>
            <w:r w:rsidR="00BA2E8E">
              <w:rPr>
                <w:webHidden/>
              </w:rPr>
              <w:tab/>
            </w:r>
            <w:r w:rsidR="00BA2E8E">
              <w:rPr>
                <w:webHidden/>
              </w:rPr>
              <w:fldChar w:fldCharType="begin"/>
            </w:r>
            <w:r w:rsidR="00BA2E8E">
              <w:rPr>
                <w:webHidden/>
              </w:rPr>
              <w:instrText xml:space="preserve"> PAGEREF _Toc451678711 \h </w:instrText>
            </w:r>
            <w:r w:rsidR="00BA2E8E">
              <w:rPr>
                <w:webHidden/>
              </w:rPr>
            </w:r>
            <w:r w:rsidR="00BA2E8E">
              <w:rPr>
                <w:webHidden/>
              </w:rPr>
              <w:fldChar w:fldCharType="separate"/>
            </w:r>
            <w:r w:rsidR="00BA2E8E">
              <w:rPr>
                <w:webHidden/>
              </w:rPr>
              <w:t>3-367</w:t>
            </w:r>
            <w:r w:rsidR="00BA2E8E">
              <w:rPr>
                <w:webHidden/>
              </w:rPr>
              <w:fldChar w:fldCharType="end"/>
            </w:r>
          </w:hyperlink>
        </w:p>
        <w:p w:rsidR="00BA2E8E" w:rsidRDefault="0091035C">
          <w:pPr>
            <w:pStyle w:val="TOC3"/>
            <w:rPr>
              <w:rFonts w:asciiTheme="minorHAnsi" w:eastAsiaTheme="minorEastAsia" w:hAnsiTheme="minorHAnsi"/>
              <w:lang w:eastAsia="en-AU"/>
            </w:rPr>
          </w:pPr>
          <w:hyperlink w:anchor="_Toc451678712" w:history="1">
            <w:r w:rsidR="00BA2E8E" w:rsidRPr="004B2540">
              <w:rPr>
                <w:rStyle w:val="Hyperlink"/>
              </w:rPr>
              <w:t>K.2.1</w:t>
            </w:r>
            <w:r w:rsidR="00BA2E8E">
              <w:rPr>
                <w:rFonts w:asciiTheme="minorHAnsi" w:eastAsiaTheme="minorEastAsia" w:hAnsiTheme="minorHAnsi"/>
                <w:lang w:eastAsia="en-AU"/>
              </w:rPr>
              <w:tab/>
            </w:r>
            <w:r w:rsidR="00BA2E8E" w:rsidRPr="004B2540">
              <w:rPr>
                <w:rStyle w:val="Hyperlink"/>
              </w:rPr>
              <w:t>Final decision</w:t>
            </w:r>
            <w:r w:rsidR="00BA2E8E">
              <w:rPr>
                <w:webHidden/>
              </w:rPr>
              <w:tab/>
            </w:r>
            <w:r w:rsidR="00BA2E8E">
              <w:rPr>
                <w:webHidden/>
              </w:rPr>
              <w:fldChar w:fldCharType="begin"/>
            </w:r>
            <w:r w:rsidR="00BA2E8E">
              <w:rPr>
                <w:webHidden/>
              </w:rPr>
              <w:instrText xml:space="preserve"> PAGEREF _Toc451678712 \h </w:instrText>
            </w:r>
            <w:r w:rsidR="00BA2E8E">
              <w:rPr>
                <w:webHidden/>
              </w:rPr>
            </w:r>
            <w:r w:rsidR="00BA2E8E">
              <w:rPr>
                <w:webHidden/>
              </w:rPr>
              <w:fldChar w:fldCharType="separate"/>
            </w:r>
            <w:r w:rsidR="00BA2E8E">
              <w:rPr>
                <w:webHidden/>
              </w:rPr>
              <w:t>3-367</w:t>
            </w:r>
            <w:r w:rsidR="00BA2E8E">
              <w:rPr>
                <w:webHidden/>
              </w:rPr>
              <w:fldChar w:fldCharType="end"/>
            </w:r>
          </w:hyperlink>
        </w:p>
        <w:p w:rsidR="00BA2E8E" w:rsidRDefault="0091035C">
          <w:pPr>
            <w:pStyle w:val="TOC1"/>
            <w:rPr>
              <w:rFonts w:asciiTheme="minorHAnsi" w:eastAsiaTheme="minorEastAsia" w:hAnsiTheme="minorHAnsi"/>
              <w:b w:val="0"/>
              <w:color w:val="auto"/>
              <w:sz w:val="22"/>
              <w:lang w:val="en-AU" w:eastAsia="en-AU"/>
            </w:rPr>
          </w:pPr>
          <w:hyperlink w:anchor="_Toc451678713" w:history="1">
            <w:r w:rsidR="00BA2E8E" w:rsidRPr="004B2540">
              <w:rPr>
                <w:rStyle w:val="Hyperlink"/>
              </w:rPr>
              <w:t>L</w:t>
            </w:r>
            <w:r w:rsidR="00BA2E8E">
              <w:rPr>
                <w:rFonts w:asciiTheme="minorHAnsi" w:eastAsiaTheme="minorEastAsia" w:hAnsiTheme="minorHAnsi"/>
                <w:b w:val="0"/>
                <w:color w:val="auto"/>
                <w:sz w:val="22"/>
                <w:lang w:val="en-AU" w:eastAsia="en-AU"/>
              </w:rPr>
              <w:tab/>
            </w:r>
            <w:r w:rsidR="00BA2E8E" w:rsidRPr="004B2540">
              <w:rPr>
                <w:rStyle w:val="Hyperlink"/>
              </w:rPr>
              <w:t>Equity and debt averaging periods (Confidential)</w:t>
            </w:r>
            <w:r w:rsidR="00BA2E8E">
              <w:rPr>
                <w:webHidden/>
              </w:rPr>
              <w:tab/>
            </w:r>
            <w:r w:rsidR="00BA2E8E">
              <w:rPr>
                <w:webHidden/>
              </w:rPr>
              <w:fldChar w:fldCharType="begin"/>
            </w:r>
            <w:r w:rsidR="00BA2E8E">
              <w:rPr>
                <w:webHidden/>
              </w:rPr>
              <w:instrText xml:space="preserve"> PAGEREF _Toc451678713 \h </w:instrText>
            </w:r>
            <w:r w:rsidR="00BA2E8E">
              <w:rPr>
                <w:webHidden/>
              </w:rPr>
            </w:r>
            <w:r w:rsidR="00BA2E8E">
              <w:rPr>
                <w:webHidden/>
              </w:rPr>
              <w:fldChar w:fldCharType="separate"/>
            </w:r>
            <w:r w:rsidR="00BA2E8E">
              <w:rPr>
                <w:webHidden/>
              </w:rPr>
              <w:t>3-369</w:t>
            </w:r>
            <w:r w:rsidR="00BA2E8E">
              <w:rPr>
                <w:webHidden/>
              </w:rPr>
              <w:fldChar w:fldCharType="end"/>
            </w:r>
          </w:hyperlink>
        </w:p>
        <w:p w:rsidR="00CE2A23" w:rsidRDefault="00CD283C" w:rsidP="00CD283C">
          <w:pPr>
            <w:pStyle w:val="TOC1"/>
          </w:pPr>
          <w:r>
            <w:fldChar w:fldCharType="end"/>
          </w:r>
        </w:p>
      </w:sdtContent>
    </w:sdt>
    <w:p w:rsidR="00CE2A23" w:rsidRPr="00CE2A23" w:rsidRDefault="00CE2A23" w:rsidP="00CE2A23">
      <w:r>
        <w:t xml:space="preserve"> </w:t>
      </w:r>
    </w:p>
    <w:p w:rsidR="00CE2A23" w:rsidRDefault="00CE2A23" w:rsidP="00CE2A23">
      <w:pPr>
        <w:pStyle w:val="UnnumberedHeading"/>
        <w:numPr>
          <w:ilvl w:val="0"/>
          <w:numId w:val="23"/>
        </w:numPr>
      </w:pPr>
      <w:bookmarkStart w:id="11" w:name="_Toc404700925"/>
      <w:bookmarkStart w:id="12" w:name="_Toc451678612"/>
      <w:r>
        <w:t>Shortened forms</w:t>
      </w:r>
      <w:bookmarkEnd w:id="11"/>
      <w:bookmarkEnd w:id="12"/>
    </w:p>
    <w:tbl>
      <w:tblPr>
        <w:tblStyle w:val="AERtable-text0"/>
        <w:tblW w:w="0" w:type="auto"/>
        <w:tblLook w:val="04A0" w:firstRow="1" w:lastRow="0" w:firstColumn="1" w:lastColumn="0" w:noHBand="0" w:noVBand="1"/>
      </w:tblPr>
      <w:tblGrid>
        <w:gridCol w:w="4340"/>
        <w:gridCol w:w="4353"/>
      </w:tblGrid>
      <w:tr w:rsidR="00682F2E" w:rsidTr="00582F11">
        <w:trPr>
          <w:cnfStyle w:val="100000000000" w:firstRow="1" w:lastRow="0" w:firstColumn="0" w:lastColumn="0" w:oddVBand="0" w:evenVBand="0" w:oddHBand="0" w:evenHBand="0" w:firstRowFirstColumn="0" w:firstRowLastColumn="0" w:lastRowFirstColumn="0" w:lastRowLastColumn="0"/>
        </w:trPr>
        <w:tc>
          <w:tcPr>
            <w:tcW w:w="4340" w:type="dxa"/>
            <w:hideMark/>
          </w:tcPr>
          <w:p w:rsidR="00682F2E" w:rsidRPr="00682F2E" w:rsidRDefault="00682F2E" w:rsidP="00682F2E">
            <w:r w:rsidRPr="00682F2E">
              <w:t>Shortened form</w:t>
            </w:r>
          </w:p>
        </w:tc>
        <w:tc>
          <w:tcPr>
            <w:tcW w:w="4353" w:type="dxa"/>
            <w:hideMark/>
          </w:tcPr>
          <w:p w:rsidR="00682F2E" w:rsidRPr="00682F2E" w:rsidRDefault="00682F2E" w:rsidP="00682F2E">
            <w:r w:rsidRPr="00682F2E">
              <w:t>Extended form</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AEMC</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Australian Energy Market Commission</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AER</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Australian Energy Regulator</w:t>
            </w:r>
          </w:p>
        </w:tc>
      </w:tr>
      <w:tr w:rsidR="00682F2E" w:rsidTr="00117328">
        <w:tc>
          <w:tcPr>
            <w:tcW w:w="4340" w:type="dxa"/>
          </w:tcPr>
          <w:p w:rsidR="00682F2E" w:rsidRPr="00682F2E" w:rsidRDefault="009C74CF" w:rsidP="00682F2E">
            <w:pPr>
              <w:pStyle w:val="AERtabletextleft"/>
              <w:rPr>
                <w:rStyle w:val="AERtextsize8"/>
                <w:lang w:eastAsia="en-US"/>
              </w:rPr>
            </w:pPr>
            <w:r>
              <w:rPr>
                <w:rStyle w:val="AERtextsize8"/>
                <w:rFonts w:eastAsiaTheme="majorEastAsia"/>
              </w:rPr>
              <w:t>ARORO</w:t>
            </w:r>
          </w:p>
        </w:tc>
        <w:tc>
          <w:tcPr>
            <w:tcW w:w="4353" w:type="dxa"/>
          </w:tcPr>
          <w:p w:rsidR="00682F2E" w:rsidRPr="00682F2E" w:rsidRDefault="009C74CF" w:rsidP="00682F2E">
            <w:pPr>
              <w:pStyle w:val="AERtabletextleft"/>
              <w:rPr>
                <w:rStyle w:val="AERtextsize8"/>
                <w:lang w:eastAsia="en-US"/>
              </w:rPr>
            </w:pPr>
            <w:r>
              <w:rPr>
                <w:rStyle w:val="AERtextsize8"/>
              </w:rPr>
              <w:t xml:space="preserve"> allowed rate of return objective</w:t>
            </w:r>
          </w:p>
        </w:tc>
      </w:tr>
      <w:tr w:rsidR="00682F2E" w:rsidTr="00117328">
        <w:trPr>
          <w:cnfStyle w:val="000000010000" w:firstRow="0" w:lastRow="0" w:firstColumn="0" w:lastColumn="0" w:oddVBand="0" w:evenVBand="0" w:oddHBand="0" w:evenHBand="1" w:firstRowFirstColumn="0" w:firstRowLastColumn="0" w:lastRowFirstColumn="0" w:lastRowLastColumn="0"/>
        </w:trPr>
        <w:tc>
          <w:tcPr>
            <w:tcW w:w="4340" w:type="dxa"/>
          </w:tcPr>
          <w:p w:rsidR="00682F2E" w:rsidRPr="00682F2E" w:rsidRDefault="009C74CF" w:rsidP="00682F2E">
            <w:pPr>
              <w:pStyle w:val="AERtabletextleft"/>
              <w:rPr>
                <w:rStyle w:val="AERtextsize8"/>
                <w:lang w:eastAsia="en-US"/>
              </w:rPr>
            </w:pPr>
            <w:r>
              <w:rPr>
                <w:rStyle w:val="AERtextsize8"/>
                <w:rFonts w:eastAsiaTheme="majorEastAsia"/>
              </w:rPr>
              <w:t>BVAL</w:t>
            </w:r>
          </w:p>
        </w:tc>
        <w:tc>
          <w:tcPr>
            <w:tcW w:w="4353" w:type="dxa"/>
          </w:tcPr>
          <w:p w:rsidR="00682F2E" w:rsidRPr="00682F2E" w:rsidRDefault="009C74CF" w:rsidP="00682F2E">
            <w:pPr>
              <w:pStyle w:val="AERtabletextleft"/>
              <w:rPr>
                <w:rStyle w:val="AERtextsize8"/>
                <w:lang w:eastAsia="en-US"/>
              </w:rPr>
            </w:pPr>
            <w:r w:rsidRPr="00075E3F">
              <w:rPr>
                <w:rStyle w:val="AERtextsize8"/>
              </w:rPr>
              <w:t xml:space="preserve"> Bloomberg Valuation Service</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capex</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capital expenditure</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CAPM</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capital asset pricing model</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CCP</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Consumer Challenge Panel</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CGS</w:t>
            </w:r>
          </w:p>
        </w:tc>
        <w:tc>
          <w:tcPr>
            <w:tcW w:w="4353" w:type="dxa"/>
            <w:hideMark/>
          </w:tcPr>
          <w:p w:rsidR="00682F2E" w:rsidRPr="00682F2E" w:rsidRDefault="009C74CF" w:rsidP="00682F2E">
            <w:pPr>
              <w:pStyle w:val="AERtabletextleft"/>
              <w:rPr>
                <w:rStyle w:val="AERtextsize8"/>
                <w:lang w:eastAsia="en-US"/>
              </w:rPr>
            </w:pPr>
            <w:r>
              <w:rPr>
                <w:rStyle w:val="AERtextsize8"/>
              </w:rPr>
              <w:t>Commonwealth Government Securities</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CPI</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consumer price index</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DGM</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dividend growth model</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DRP</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debt risk premium</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distributor</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distribution network service provider</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ERP</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equity risk premium</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FFM</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Fama-French three-factor model</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The Guideline</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The rate of return guidelines, published December 2013</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MRP</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market risk premium</w:t>
            </w:r>
          </w:p>
        </w:tc>
      </w:tr>
      <w:tr w:rsidR="009C74CF" w:rsidTr="00582F11">
        <w:tc>
          <w:tcPr>
            <w:tcW w:w="4340" w:type="dxa"/>
          </w:tcPr>
          <w:p w:rsidR="009C74CF" w:rsidRPr="00682F2E" w:rsidRDefault="009C74CF" w:rsidP="00682F2E">
            <w:pPr>
              <w:pStyle w:val="AERtabletextleft"/>
              <w:rPr>
                <w:rStyle w:val="AERtextsize8"/>
                <w:rFonts w:eastAsiaTheme="majorEastAsia"/>
              </w:rPr>
            </w:pPr>
            <w:r>
              <w:rPr>
                <w:rStyle w:val="AERtextsize8"/>
                <w:rFonts w:eastAsiaTheme="majorEastAsia"/>
              </w:rPr>
              <w:t>MSE</w:t>
            </w:r>
          </w:p>
        </w:tc>
        <w:tc>
          <w:tcPr>
            <w:tcW w:w="4353" w:type="dxa"/>
          </w:tcPr>
          <w:p w:rsidR="009C74CF" w:rsidRPr="00682F2E" w:rsidRDefault="009C74CF" w:rsidP="00682F2E">
            <w:pPr>
              <w:pStyle w:val="AERtabletextleft"/>
              <w:rPr>
                <w:rStyle w:val="AERtextsize8"/>
                <w:rFonts w:eastAsiaTheme="majorEastAsia"/>
              </w:rPr>
            </w:pPr>
            <w:r w:rsidRPr="00075E3F">
              <w:rPr>
                <w:rStyle w:val="AERtextsize8"/>
              </w:rPr>
              <w:t>mean squared error</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NEL</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national electricity law</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NEO</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national electricity objective</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NER</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national electricity rules</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NGL</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national gas law</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NGO</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national gas objective</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NGR</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national gas rules</w:t>
            </w:r>
          </w:p>
        </w:tc>
      </w:tr>
      <w:tr w:rsidR="009C74CF" w:rsidTr="00582F11">
        <w:trPr>
          <w:cnfStyle w:val="000000010000" w:firstRow="0" w:lastRow="0" w:firstColumn="0" w:lastColumn="0" w:oddVBand="0" w:evenVBand="0" w:oddHBand="0" w:evenHBand="1" w:firstRowFirstColumn="0" w:firstRowLastColumn="0" w:lastRowFirstColumn="0" w:lastRowLastColumn="0"/>
        </w:trPr>
        <w:tc>
          <w:tcPr>
            <w:tcW w:w="4340" w:type="dxa"/>
          </w:tcPr>
          <w:p w:rsidR="009C74CF" w:rsidRPr="00682F2E" w:rsidRDefault="009C74CF" w:rsidP="00682F2E">
            <w:pPr>
              <w:pStyle w:val="AERtabletextleft"/>
              <w:rPr>
                <w:rStyle w:val="AERtextsize8"/>
                <w:rFonts w:eastAsiaTheme="majorEastAsia"/>
              </w:rPr>
            </w:pPr>
            <w:r>
              <w:rPr>
                <w:rStyle w:val="AERtextsize8"/>
                <w:rFonts w:eastAsiaTheme="majorEastAsia"/>
              </w:rPr>
              <w:t>NPV</w:t>
            </w:r>
          </w:p>
        </w:tc>
        <w:tc>
          <w:tcPr>
            <w:tcW w:w="4353" w:type="dxa"/>
          </w:tcPr>
          <w:p w:rsidR="009C74CF" w:rsidRPr="00682F2E" w:rsidRDefault="009C74CF" w:rsidP="00682F2E">
            <w:pPr>
              <w:pStyle w:val="AERtabletextleft"/>
              <w:rPr>
                <w:rStyle w:val="AERtextsize8"/>
                <w:rFonts w:eastAsiaTheme="majorEastAsia"/>
              </w:rPr>
            </w:pPr>
            <w:r>
              <w:rPr>
                <w:rStyle w:val="AERtextsize8"/>
              </w:rPr>
              <w:t>net present value</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NSP</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network service provider</w:t>
            </w:r>
          </w:p>
        </w:tc>
      </w:tr>
      <w:tr w:rsidR="009C74CF" w:rsidTr="00582F11">
        <w:trPr>
          <w:cnfStyle w:val="000000010000" w:firstRow="0" w:lastRow="0" w:firstColumn="0" w:lastColumn="0" w:oddVBand="0" w:evenVBand="0" w:oddHBand="0" w:evenHBand="1" w:firstRowFirstColumn="0" w:firstRowLastColumn="0" w:lastRowFirstColumn="0" w:lastRowLastColumn="0"/>
        </w:trPr>
        <w:tc>
          <w:tcPr>
            <w:tcW w:w="4340" w:type="dxa"/>
          </w:tcPr>
          <w:p w:rsidR="009C74CF" w:rsidRPr="00682F2E" w:rsidRDefault="009C74CF" w:rsidP="00682F2E">
            <w:pPr>
              <w:pStyle w:val="AERtabletextleft"/>
              <w:rPr>
                <w:rStyle w:val="AERtextsize8"/>
                <w:rFonts w:eastAsiaTheme="majorEastAsia"/>
              </w:rPr>
            </w:pPr>
            <w:r>
              <w:rPr>
                <w:rStyle w:val="AERtextsize8"/>
                <w:rFonts w:eastAsiaTheme="majorEastAsia"/>
              </w:rPr>
              <w:t>OLS</w:t>
            </w:r>
          </w:p>
        </w:tc>
        <w:tc>
          <w:tcPr>
            <w:tcW w:w="4353" w:type="dxa"/>
          </w:tcPr>
          <w:p w:rsidR="009C74CF" w:rsidRPr="00682F2E" w:rsidRDefault="009C74CF" w:rsidP="00682F2E">
            <w:pPr>
              <w:pStyle w:val="AERtabletextleft"/>
              <w:rPr>
                <w:rStyle w:val="AERtextsize8"/>
                <w:rFonts w:eastAsiaTheme="majorEastAsia"/>
              </w:rPr>
            </w:pPr>
            <w:r>
              <w:rPr>
                <w:rStyle w:val="AERtextsize8"/>
              </w:rPr>
              <w:t>ordinary least s</w:t>
            </w:r>
            <w:r w:rsidRPr="009C74CF">
              <w:rPr>
                <w:rStyle w:val="AERtextsize8"/>
              </w:rPr>
              <w:t>quares</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opex</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operating expenditure</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PTRM</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post-tax revenue model</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RAB</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regulatory asset base</w:t>
            </w:r>
          </w:p>
        </w:tc>
      </w:tr>
      <w:tr w:rsidR="00682F2E" w:rsidTr="00582F11">
        <w:trPr>
          <w:cnfStyle w:val="000000010000" w:firstRow="0" w:lastRow="0" w:firstColumn="0" w:lastColumn="0" w:oddVBand="0" w:evenVBand="0" w:oddHBand="0" w:evenHBand="1" w:firstRowFirstColumn="0" w:firstRowLastColumn="0" w:lastRowFirstColumn="0" w:lastRowLastColumn="0"/>
        </w:trPr>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RBA</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Reserve Bank of Australia</w:t>
            </w:r>
          </w:p>
        </w:tc>
      </w:tr>
      <w:tr w:rsidR="00682F2E" w:rsidTr="00582F11">
        <w:tc>
          <w:tcPr>
            <w:tcW w:w="4340"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RPP</w:t>
            </w:r>
            <w:r w:rsidR="009C74CF">
              <w:rPr>
                <w:rStyle w:val="AERtextsize8"/>
                <w:rFonts w:eastAsiaTheme="majorEastAsia"/>
              </w:rPr>
              <w:t>s</w:t>
            </w:r>
          </w:p>
        </w:tc>
        <w:tc>
          <w:tcPr>
            <w:tcW w:w="4353" w:type="dxa"/>
            <w:hideMark/>
          </w:tcPr>
          <w:p w:rsidR="00682F2E" w:rsidRPr="00682F2E" w:rsidRDefault="00682F2E" w:rsidP="00682F2E">
            <w:pPr>
              <w:pStyle w:val="AERtabletextleft"/>
              <w:rPr>
                <w:rStyle w:val="AERtextsize8"/>
                <w:lang w:eastAsia="en-US"/>
              </w:rPr>
            </w:pPr>
            <w:r w:rsidRPr="00682F2E">
              <w:rPr>
                <w:rStyle w:val="AERtextsize8"/>
                <w:rFonts w:eastAsiaTheme="majorEastAsia"/>
              </w:rPr>
              <w:t>revenue and pricing principles</w:t>
            </w:r>
          </w:p>
        </w:tc>
      </w:tr>
      <w:tr w:rsidR="00582F11" w:rsidTr="00582F11">
        <w:trPr>
          <w:cnfStyle w:val="000000010000" w:firstRow="0" w:lastRow="0" w:firstColumn="0" w:lastColumn="0" w:oddVBand="0" w:evenVBand="0" w:oddHBand="0" w:evenHBand="1" w:firstRowFirstColumn="0" w:firstRowLastColumn="0" w:lastRowFirstColumn="0" w:lastRowLastColumn="0"/>
        </w:trPr>
        <w:tc>
          <w:tcPr>
            <w:tcW w:w="4340" w:type="dxa"/>
          </w:tcPr>
          <w:p w:rsidR="00582F11" w:rsidRPr="00682F2E" w:rsidRDefault="00582F11" w:rsidP="00682F2E">
            <w:pPr>
              <w:pStyle w:val="AERtabletextleft"/>
              <w:rPr>
                <w:rStyle w:val="AERtextsize8"/>
                <w:rFonts w:eastAsiaTheme="majorEastAsia"/>
              </w:rPr>
            </w:pPr>
            <w:r w:rsidRPr="00582F11">
              <w:rPr>
                <w:rStyle w:val="AERtextsize8"/>
                <w:rFonts w:eastAsiaTheme="majorEastAsia"/>
              </w:rPr>
              <w:t>the Tribunal</w:t>
            </w:r>
          </w:p>
        </w:tc>
        <w:tc>
          <w:tcPr>
            <w:tcW w:w="4353" w:type="dxa"/>
          </w:tcPr>
          <w:p w:rsidR="00582F11" w:rsidRPr="00682F2E" w:rsidRDefault="00582F11" w:rsidP="00682F2E">
            <w:pPr>
              <w:pStyle w:val="AERtabletextleft"/>
              <w:rPr>
                <w:rStyle w:val="AERtextsize8"/>
                <w:rFonts w:eastAsiaTheme="majorEastAsia"/>
              </w:rPr>
            </w:pPr>
            <w:r>
              <w:rPr>
                <w:rStyle w:val="AERtextsize8"/>
              </w:rPr>
              <w:t>t</w:t>
            </w:r>
            <w:r w:rsidRPr="00582F11">
              <w:rPr>
                <w:rStyle w:val="AERtextsize8"/>
              </w:rPr>
              <w:t>he Australian Competition Tribunal</w:t>
            </w:r>
          </w:p>
        </w:tc>
      </w:tr>
      <w:tr w:rsidR="00582F11" w:rsidTr="00582F11">
        <w:tc>
          <w:tcPr>
            <w:tcW w:w="4340" w:type="dxa"/>
          </w:tcPr>
          <w:p w:rsidR="00582F11" w:rsidRPr="00582F11" w:rsidRDefault="00582F11" w:rsidP="00682F2E">
            <w:pPr>
              <w:pStyle w:val="AERtabletextleft"/>
              <w:rPr>
                <w:rStyle w:val="AERtextsize8"/>
                <w:rFonts w:eastAsiaTheme="majorEastAsia"/>
              </w:rPr>
            </w:pPr>
            <w:r w:rsidRPr="00582F11">
              <w:rPr>
                <w:rStyle w:val="AERtextsize8"/>
                <w:rFonts w:eastAsiaTheme="majorEastAsia"/>
              </w:rPr>
              <w:t>WACC</w:t>
            </w:r>
          </w:p>
        </w:tc>
        <w:tc>
          <w:tcPr>
            <w:tcW w:w="4353" w:type="dxa"/>
          </w:tcPr>
          <w:p w:rsidR="00582F11" w:rsidRDefault="00582F11" w:rsidP="00682F2E">
            <w:pPr>
              <w:pStyle w:val="AERtabletextleft"/>
              <w:rPr>
                <w:rStyle w:val="AERtextsize8"/>
              </w:rPr>
            </w:pPr>
            <w:r w:rsidRPr="00582F11">
              <w:rPr>
                <w:rStyle w:val="AERtextsize8"/>
                <w:rFonts w:eastAsiaTheme="majorEastAsia"/>
              </w:rPr>
              <w:t>weighted average cost of capital</w:t>
            </w:r>
          </w:p>
        </w:tc>
      </w:tr>
    </w:tbl>
    <w:p w:rsidR="00DE563D" w:rsidRDefault="000F65B0" w:rsidP="000F65B0">
      <w:pPr>
        <w:pStyle w:val="Heading1"/>
      </w:pPr>
      <w:bookmarkStart w:id="13" w:name="_Toc416278154"/>
      <w:bookmarkStart w:id="14" w:name="_Toc416346517"/>
      <w:bookmarkStart w:id="15" w:name="_Toc416278157"/>
      <w:bookmarkStart w:id="16" w:name="_Toc416346520"/>
      <w:bookmarkStart w:id="17" w:name="_Toc416278160"/>
      <w:bookmarkStart w:id="18" w:name="_Toc416346523"/>
      <w:bookmarkStart w:id="19" w:name="_Toc416278163"/>
      <w:bookmarkStart w:id="20" w:name="_Toc416346526"/>
      <w:bookmarkStart w:id="21" w:name="_Toc416278166"/>
      <w:bookmarkStart w:id="22" w:name="_Toc416346529"/>
      <w:bookmarkStart w:id="23" w:name="_Toc416278169"/>
      <w:bookmarkStart w:id="24" w:name="_Toc416346532"/>
      <w:bookmarkStart w:id="25" w:name="_Toc416278172"/>
      <w:bookmarkStart w:id="26" w:name="_Toc416346535"/>
      <w:bookmarkStart w:id="27" w:name="_Toc416278175"/>
      <w:bookmarkStart w:id="28" w:name="_Toc416346538"/>
      <w:bookmarkStart w:id="29" w:name="_Toc416278178"/>
      <w:bookmarkStart w:id="30" w:name="_Toc416346541"/>
      <w:bookmarkStart w:id="31" w:name="_Toc416278181"/>
      <w:bookmarkStart w:id="32" w:name="_Toc416346544"/>
      <w:bookmarkStart w:id="33" w:name="_Toc416278184"/>
      <w:bookmarkStart w:id="34" w:name="_Toc416346547"/>
      <w:bookmarkStart w:id="35" w:name="_Toc416278187"/>
      <w:bookmarkStart w:id="36" w:name="_Toc416346550"/>
      <w:bookmarkStart w:id="37" w:name="_Toc416278190"/>
      <w:bookmarkStart w:id="38" w:name="_Toc416346553"/>
      <w:bookmarkStart w:id="39" w:name="_Toc416278193"/>
      <w:bookmarkStart w:id="40" w:name="_Toc416346556"/>
      <w:bookmarkStart w:id="41" w:name="_Toc416278196"/>
      <w:bookmarkStart w:id="42" w:name="_Toc416346559"/>
      <w:bookmarkStart w:id="43" w:name="_Toc416278199"/>
      <w:bookmarkStart w:id="44" w:name="_Toc416346562"/>
      <w:bookmarkStart w:id="45" w:name="_Toc416278202"/>
      <w:bookmarkStart w:id="46" w:name="_Toc416346565"/>
      <w:bookmarkStart w:id="47" w:name="_Toc416278205"/>
      <w:bookmarkStart w:id="48" w:name="_Toc416346568"/>
      <w:bookmarkStart w:id="49" w:name="_Toc416278208"/>
      <w:bookmarkStart w:id="50" w:name="_Toc416346571"/>
      <w:bookmarkStart w:id="51" w:name="_Toc416278211"/>
      <w:bookmarkStart w:id="52" w:name="_Toc416346574"/>
      <w:bookmarkStart w:id="53" w:name="_Toc416278214"/>
      <w:bookmarkStart w:id="54" w:name="_Toc416346577"/>
      <w:bookmarkStart w:id="55" w:name="_Toc416278217"/>
      <w:bookmarkStart w:id="56" w:name="_Toc416346580"/>
      <w:bookmarkStart w:id="57" w:name="_Toc416278220"/>
      <w:bookmarkStart w:id="58" w:name="_Toc416346583"/>
      <w:bookmarkStart w:id="59" w:name="_Toc416278223"/>
      <w:bookmarkStart w:id="60" w:name="_Toc416346586"/>
      <w:bookmarkStart w:id="61" w:name="_Toc416278226"/>
      <w:bookmarkStart w:id="62" w:name="_Toc416346589"/>
      <w:bookmarkStart w:id="63" w:name="_Toc416278229"/>
      <w:bookmarkStart w:id="64" w:name="_Toc416346592"/>
      <w:bookmarkStart w:id="65" w:name="_Toc416278232"/>
      <w:bookmarkStart w:id="66" w:name="_Toc416346595"/>
      <w:bookmarkStart w:id="67" w:name="_Toc416278235"/>
      <w:bookmarkStart w:id="68" w:name="_Toc416346598"/>
      <w:bookmarkStart w:id="69" w:name="_Toc416278238"/>
      <w:bookmarkStart w:id="70" w:name="_Toc416346601"/>
      <w:bookmarkStart w:id="71" w:name="_Toc451678613"/>
      <w:bookmarkEnd w:id="1"/>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r>
        <w:t>Rate of return</w:t>
      </w:r>
      <w:bookmarkEnd w:id="71"/>
    </w:p>
    <w:p w:rsidR="008D02F0" w:rsidRPr="00132D43" w:rsidRDefault="00E613F0" w:rsidP="008D02F0">
      <w:r w:rsidRPr="00796C00">
        <w:t>The allowed rate of return provides a network service provider a return on capital</w:t>
      </w:r>
      <w:r>
        <w:t xml:space="preserve"> that a benchmark efficient entity would require</w:t>
      </w:r>
      <w:r w:rsidRPr="00796C00">
        <w:t xml:space="preserve"> to </w:t>
      </w:r>
      <w:r>
        <w:t>finance (through debt and equity) investment in its network</w:t>
      </w:r>
      <w:r w:rsidRPr="00796C00">
        <w:t>.</w:t>
      </w:r>
      <w:r>
        <w:rPr>
          <w:rStyle w:val="FootnoteReference"/>
        </w:rPr>
        <w:footnoteReference w:id="1"/>
      </w:r>
      <w:r w:rsidRPr="00796C00">
        <w:t xml:space="preserve"> </w:t>
      </w:r>
      <w:r w:rsidR="008D02F0" w:rsidRPr="00796C00">
        <w:t>The return on capital building block is calculated as a product of the rate of return and the value of the regulatory asset base (RAB). The rate of return is discussed in this attachment.</w:t>
      </w:r>
    </w:p>
    <w:p w:rsidR="008D02F0" w:rsidRDefault="008D02F0" w:rsidP="008D02F0">
      <w:pPr>
        <w:pStyle w:val="Heading2"/>
      </w:pPr>
      <w:bookmarkStart w:id="72" w:name="_Toc437001925"/>
      <w:bookmarkStart w:id="73" w:name="_Toc451678614"/>
      <w:r>
        <w:t>Final decision</w:t>
      </w:r>
      <w:bookmarkEnd w:id="72"/>
      <w:bookmarkEnd w:id="73"/>
    </w:p>
    <w:p w:rsidR="008D02F0" w:rsidRDefault="008D02F0" w:rsidP="008D02F0">
      <w:pPr>
        <w:numPr>
          <w:ilvl w:val="0"/>
          <w:numId w:val="24"/>
        </w:numPr>
      </w:pPr>
      <w:r>
        <w:t xml:space="preserve">We are satisfied that the allowed rate of return of </w:t>
      </w:r>
      <w:r w:rsidR="00E613F0">
        <w:t xml:space="preserve">6.11 </w:t>
      </w:r>
      <w:r>
        <w:t xml:space="preserve">per cent (nominal vanilla) we determined achieves the </w:t>
      </w:r>
      <w:r w:rsidRPr="00E75E61">
        <w:t xml:space="preserve">allowed </w:t>
      </w:r>
      <w:r>
        <w:t>rate of return objective</w:t>
      </w:r>
      <w:r w:rsidR="00E613F0">
        <w:t xml:space="preserve"> (ARORO)</w:t>
      </w:r>
      <w:r>
        <w:t>.</w:t>
      </w:r>
      <w:r>
        <w:rPr>
          <w:rStyle w:val="FootnoteReference"/>
        </w:rPr>
        <w:footnoteReference w:id="2"/>
      </w:r>
      <w:r>
        <w:t xml:space="preserve"> That is, we are satisfied that this allowed rate of return is commensurate with the efficient financing costs of a benchmark efficient entity with a similar degree of risk as that which applies to CitiPower in providing standard control services.</w:t>
      </w:r>
      <w:r>
        <w:rPr>
          <w:rStyle w:val="FootnoteReference"/>
        </w:rPr>
        <w:footnoteReference w:id="3"/>
      </w:r>
    </w:p>
    <w:p w:rsidR="008D02F0" w:rsidRDefault="008D02F0" w:rsidP="008D02F0">
      <w:pPr>
        <w:numPr>
          <w:ilvl w:val="0"/>
          <w:numId w:val="24"/>
        </w:numPr>
      </w:pPr>
      <w:r>
        <w:t xml:space="preserve">This allowed rate of return will apply to CitiPower for the 2016 regulatory year. A different rate of return will apply to CitiPower for the remaining regulatory years of the 2016–20 regulatory control period. This is because we will update the return on debt component of the rate of return each year to partially reflect prevailing debt market conditions in each year. We discuss this annual update further below. </w:t>
      </w:r>
    </w:p>
    <w:p w:rsidR="008D02F0" w:rsidRPr="009E54A9" w:rsidRDefault="008D02F0" w:rsidP="008D02F0">
      <w:r>
        <w:t xml:space="preserve">We are not satisfied that CitiPower's proposed (indicative) 8.61 per cent rate of return for the 2016 regulatory year has been determined such that it achieves the </w:t>
      </w:r>
      <w:r w:rsidR="00E613F0">
        <w:t>ARORO</w:t>
      </w:r>
      <w:r>
        <w:t>.</w:t>
      </w:r>
      <w:r>
        <w:rPr>
          <w:rStyle w:val="FootnoteReference"/>
        </w:rPr>
        <w:footnoteReference w:id="4"/>
      </w:r>
      <w:r>
        <w:t xml:space="preserve"> </w:t>
      </w:r>
    </w:p>
    <w:p w:rsidR="008D02F0" w:rsidRDefault="008D02F0" w:rsidP="008D02F0">
      <w:pPr>
        <w:numPr>
          <w:ilvl w:val="0"/>
          <w:numId w:val="24"/>
        </w:numPr>
      </w:pPr>
      <w:r>
        <w:t>Our allowed rate of return is a weighted average of our return on equity and return on debt estimates (WACC)</w:t>
      </w:r>
      <w:r w:rsidRPr="008E2B69">
        <w:t xml:space="preserve"> </w:t>
      </w:r>
      <w:r>
        <w:t>determined on a nominal vanilla basis that is consistent with our estimate of the value of imputation credits.</w:t>
      </w:r>
      <w:r>
        <w:rPr>
          <w:rStyle w:val="FootnoteReference"/>
        </w:rPr>
        <w:footnoteReference w:id="5"/>
      </w:r>
      <w:r>
        <w:t xml:space="preserve"> </w:t>
      </w:r>
      <w:r w:rsidR="00E613F0">
        <w:t xml:space="preserve">We are to determine the allowed rate of return such that it </w:t>
      </w:r>
      <w:r w:rsidR="00E613F0" w:rsidRPr="003248EB">
        <w:t xml:space="preserve">achieves the </w:t>
      </w:r>
      <w:r w:rsidR="00E613F0">
        <w:t>ARORO.</w:t>
      </w:r>
      <w:r w:rsidR="00E613F0">
        <w:rPr>
          <w:rStyle w:val="FootnoteReference"/>
        </w:rPr>
        <w:footnoteReference w:id="6"/>
      </w:r>
      <w:r w:rsidR="00E613F0">
        <w:t xml:space="preserve"> </w:t>
      </w:r>
      <w:r>
        <w:t>Also, in arriving at our decision we have taken into account the revenue and pricing principles (RPP</w:t>
      </w:r>
      <w:r w:rsidR="00E613F0">
        <w:t>s</w:t>
      </w:r>
      <w:r>
        <w:t>) and are also satisfied that our decision will or is likely to contribute to the achievement of the National Electricity Objective (NEO).</w:t>
      </w:r>
      <w:r>
        <w:rPr>
          <w:rStyle w:val="FootnoteReference"/>
        </w:rPr>
        <w:footnoteReference w:id="7"/>
      </w:r>
      <w:r>
        <w:t xml:space="preserve"> Our rate of return and CitiPower's proposed rate of return is set out in the following </w:t>
      </w:r>
      <w:r w:rsidR="00E613F0">
        <w:fldChar w:fldCharType="begin"/>
      </w:r>
      <w:r w:rsidR="00E613F0">
        <w:instrText xml:space="preserve"> REF  _Ref420688085 \* Lower \h </w:instrText>
      </w:r>
      <w:r w:rsidR="00E613F0">
        <w:fldChar w:fldCharType="separate"/>
      </w:r>
      <w:r w:rsidR="00BA2E8E">
        <w:t xml:space="preserve">table </w:t>
      </w:r>
      <w:r w:rsidR="00BA2E8E">
        <w:rPr>
          <w:noProof/>
        </w:rPr>
        <w:t>3</w:t>
      </w:r>
      <w:r w:rsidR="00BA2E8E">
        <w:noBreakHyphen/>
      </w:r>
      <w:r w:rsidR="00BA2E8E">
        <w:rPr>
          <w:noProof/>
        </w:rPr>
        <w:t>1</w:t>
      </w:r>
      <w:r w:rsidR="00E613F0">
        <w:fldChar w:fldCharType="end"/>
      </w:r>
      <w:r>
        <w:t>.</w:t>
      </w:r>
    </w:p>
    <w:p w:rsidR="008D02F0" w:rsidRDefault="008D02F0" w:rsidP="0056045B">
      <w:pPr>
        <w:pStyle w:val="Caption"/>
        <w:numPr>
          <w:ilvl w:val="0"/>
          <w:numId w:val="24"/>
        </w:numPr>
      </w:pPr>
      <w:bookmarkStart w:id="74" w:name="_Ref420688085"/>
      <w:r>
        <w:t xml:space="preserve">Table </w:t>
      </w:r>
      <w:fldSimple w:instr=" STYLEREF 1 \s ">
        <w:r w:rsidR="00BA2E8E">
          <w:rPr>
            <w:noProof/>
          </w:rPr>
          <w:t>3</w:t>
        </w:r>
      </w:fldSimple>
      <w:r w:rsidR="000F4BC3">
        <w:noBreakHyphen/>
      </w:r>
      <w:fldSimple w:instr=" SEQ Table \* ARABIC \s 1 ">
        <w:r w:rsidR="00BA2E8E">
          <w:rPr>
            <w:noProof/>
          </w:rPr>
          <w:t>1</w:t>
        </w:r>
      </w:fldSimple>
      <w:bookmarkEnd w:id="74"/>
      <w:r>
        <w:tab/>
        <w:t>Final decision on CitiPower's rate of return (</w:t>
      </w:r>
      <w:r w:rsidR="00E613F0">
        <w:t xml:space="preserve">% </w:t>
      </w:r>
      <w:r>
        <w:t>nominal)</w:t>
      </w:r>
    </w:p>
    <w:tbl>
      <w:tblPr>
        <w:tblStyle w:val="AERtable-text0"/>
        <w:tblW w:w="5000" w:type="pct"/>
        <w:tblLook w:val="04A0" w:firstRow="1" w:lastRow="0" w:firstColumn="1" w:lastColumn="0" w:noHBand="0" w:noVBand="1"/>
      </w:tblPr>
      <w:tblGrid>
        <w:gridCol w:w="1953"/>
        <w:gridCol w:w="1686"/>
        <w:gridCol w:w="1855"/>
        <w:gridCol w:w="1280"/>
        <w:gridCol w:w="1919"/>
      </w:tblGrid>
      <w:tr w:rsidR="008D02F0" w:rsidRPr="0036067E" w:rsidTr="008D02F0">
        <w:trPr>
          <w:cnfStyle w:val="100000000000" w:firstRow="1" w:lastRow="0" w:firstColumn="0" w:lastColumn="0" w:oddVBand="0" w:evenVBand="0" w:oddHBand="0" w:evenHBand="0" w:firstRowFirstColumn="0" w:firstRowLastColumn="0" w:lastRowFirstColumn="0" w:lastRowLastColumn="0"/>
        </w:trPr>
        <w:tc>
          <w:tcPr>
            <w:tcW w:w="1123" w:type="pct"/>
          </w:tcPr>
          <w:p w:rsidR="008D02F0" w:rsidRPr="00796C00" w:rsidRDefault="008D02F0" w:rsidP="0056045B">
            <w:pPr>
              <w:keepNext/>
            </w:pPr>
          </w:p>
        </w:tc>
        <w:tc>
          <w:tcPr>
            <w:tcW w:w="970" w:type="pct"/>
          </w:tcPr>
          <w:p w:rsidR="008D02F0" w:rsidRPr="008D02F0" w:rsidRDefault="008D02F0" w:rsidP="0056045B">
            <w:pPr>
              <w:keepNext/>
            </w:pPr>
            <w:r w:rsidRPr="000954D7">
              <w:t xml:space="preserve">AER </w:t>
            </w:r>
            <w:r w:rsidRPr="008D02F0">
              <w:t>previous decision (2011–15)</w:t>
            </w:r>
          </w:p>
        </w:tc>
        <w:tc>
          <w:tcPr>
            <w:tcW w:w="1067" w:type="pct"/>
          </w:tcPr>
          <w:p w:rsidR="008D02F0" w:rsidRPr="008D02F0" w:rsidRDefault="008D02F0" w:rsidP="0056045B">
            <w:pPr>
              <w:keepNext/>
            </w:pPr>
            <w:r>
              <w:t>CitiPower</w:t>
            </w:r>
            <w:r w:rsidRPr="008D02F0">
              <w:t xml:space="preserve"> revised proposal (2016)</w:t>
            </w:r>
          </w:p>
        </w:tc>
        <w:tc>
          <w:tcPr>
            <w:tcW w:w="736" w:type="pct"/>
          </w:tcPr>
          <w:p w:rsidR="008D02F0" w:rsidRPr="008D02F0" w:rsidRDefault="008D02F0" w:rsidP="0056045B">
            <w:pPr>
              <w:keepNext/>
            </w:pPr>
            <w:r w:rsidRPr="00381B0E">
              <w:t>AER final decision</w:t>
            </w:r>
            <w:r w:rsidRPr="008D02F0">
              <w:t xml:space="preserve"> (2016)</w:t>
            </w:r>
          </w:p>
        </w:tc>
        <w:tc>
          <w:tcPr>
            <w:tcW w:w="1104" w:type="pct"/>
          </w:tcPr>
          <w:p w:rsidR="008D02F0" w:rsidRPr="008D02F0" w:rsidRDefault="008D02F0" w:rsidP="0056045B">
            <w:pPr>
              <w:keepNext/>
            </w:pPr>
            <w:r>
              <w:t>Allowed r</w:t>
            </w:r>
            <w:r w:rsidRPr="008D02F0">
              <w:t xml:space="preserve">eturn over 2016–20 regulatory </w:t>
            </w:r>
            <w:r w:rsidR="00965241">
              <w:t xml:space="preserve"> control </w:t>
            </w:r>
            <w:r w:rsidRPr="008D02F0">
              <w:t>period</w:t>
            </w:r>
          </w:p>
        </w:tc>
      </w:tr>
      <w:tr w:rsidR="00E613F0" w:rsidRPr="00BD56F3" w:rsidTr="007201E8">
        <w:tc>
          <w:tcPr>
            <w:tcW w:w="1123" w:type="pct"/>
          </w:tcPr>
          <w:p w:rsidR="00E613F0" w:rsidRPr="00E613F0" w:rsidRDefault="00E613F0" w:rsidP="0056045B">
            <w:pPr>
              <w:keepNext/>
            </w:pPr>
            <w:r>
              <w:t>R</w:t>
            </w:r>
            <w:r w:rsidRPr="00E613F0">
              <w:t xml:space="preserve">eturn on equity    (nominal post–tax) </w:t>
            </w:r>
          </w:p>
        </w:tc>
        <w:tc>
          <w:tcPr>
            <w:tcW w:w="970" w:type="pct"/>
            <w:vAlign w:val="top"/>
          </w:tcPr>
          <w:p w:rsidR="00E613F0" w:rsidRPr="006F0CA2" w:rsidRDefault="00E613F0" w:rsidP="0056045B">
            <w:pPr>
              <w:keepNext/>
              <w:rPr>
                <w:rStyle w:val="AERtextsize8"/>
              </w:rPr>
            </w:pPr>
            <w:r w:rsidRPr="00E12E6C">
              <w:rPr>
                <w:rStyle w:val="AERtextsize8"/>
              </w:rPr>
              <w:t>10.28</w:t>
            </w:r>
          </w:p>
        </w:tc>
        <w:tc>
          <w:tcPr>
            <w:tcW w:w="1067" w:type="pct"/>
            <w:vAlign w:val="top"/>
          </w:tcPr>
          <w:p w:rsidR="00E613F0" w:rsidRPr="006F0CA2" w:rsidRDefault="00E613F0" w:rsidP="0056045B">
            <w:pPr>
              <w:keepNext/>
              <w:rPr>
                <w:rStyle w:val="AERtextsize8"/>
              </w:rPr>
            </w:pPr>
            <w:r w:rsidRPr="00E12E6C">
              <w:rPr>
                <w:rStyle w:val="AERtextsize8"/>
              </w:rPr>
              <w:t>9.89</w:t>
            </w:r>
          </w:p>
        </w:tc>
        <w:tc>
          <w:tcPr>
            <w:tcW w:w="736" w:type="pct"/>
            <w:vAlign w:val="top"/>
          </w:tcPr>
          <w:p w:rsidR="00E613F0" w:rsidRPr="006F0CA2" w:rsidRDefault="00E613F0" w:rsidP="0056045B">
            <w:pPr>
              <w:keepNext/>
              <w:rPr>
                <w:rStyle w:val="AERtextsize8"/>
              </w:rPr>
            </w:pPr>
            <w:r w:rsidRPr="00E12E6C">
              <w:rPr>
                <w:rStyle w:val="AERtextsize8"/>
              </w:rPr>
              <w:t>7.0</w:t>
            </w:r>
          </w:p>
        </w:tc>
        <w:tc>
          <w:tcPr>
            <w:tcW w:w="1104" w:type="pct"/>
            <w:vAlign w:val="top"/>
          </w:tcPr>
          <w:p w:rsidR="00E613F0" w:rsidRPr="006F0CA2" w:rsidRDefault="00ED04D5" w:rsidP="0056045B">
            <w:pPr>
              <w:keepNext/>
              <w:rPr>
                <w:rStyle w:val="AERtextsize8"/>
              </w:rPr>
            </w:pPr>
            <w:r w:rsidRPr="00E12E6C">
              <w:rPr>
                <w:rStyle w:val="AERtextsize8"/>
              </w:rPr>
              <w:t>Constant</w:t>
            </w:r>
            <w:r>
              <w:rPr>
                <w:rStyle w:val="AERtextsize8"/>
              </w:rPr>
              <w:t xml:space="preserve">   (</w:t>
            </w:r>
            <w:r w:rsidR="00E613F0" w:rsidRPr="00E12E6C">
              <w:rPr>
                <w:rStyle w:val="AERtextsize8"/>
              </w:rPr>
              <w:t>7.0</w:t>
            </w:r>
            <w:r w:rsidR="00E613F0" w:rsidRPr="006F0CA2">
              <w:rPr>
                <w:rStyle w:val="AERtextsize8"/>
              </w:rPr>
              <w:t>%)</w:t>
            </w:r>
          </w:p>
        </w:tc>
      </w:tr>
      <w:tr w:rsidR="00E613F0" w:rsidRPr="00BD56F3" w:rsidTr="007201E8">
        <w:trPr>
          <w:cnfStyle w:val="000000010000" w:firstRow="0" w:lastRow="0" w:firstColumn="0" w:lastColumn="0" w:oddVBand="0" w:evenVBand="0" w:oddHBand="0" w:evenHBand="1" w:firstRowFirstColumn="0" w:firstRowLastColumn="0" w:lastRowFirstColumn="0" w:lastRowLastColumn="0"/>
        </w:trPr>
        <w:tc>
          <w:tcPr>
            <w:tcW w:w="1123" w:type="pct"/>
          </w:tcPr>
          <w:p w:rsidR="00E613F0" w:rsidRPr="00E613F0" w:rsidRDefault="00E613F0" w:rsidP="0056045B">
            <w:pPr>
              <w:keepNext/>
            </w:pPr>
            <w:r>
              <w:t>Return on debt</w:t>
            </w:r>
            <w:r w:rsidRPr="00E613F0">
              <w:t xml:space="preserve">      (nominal pre–tax)</w:t>
            </w:r>
          </w:p>
        </w:tc>
        <w:tc>
          <w:tcPr>
            <w:tcW w:w="970" w:type="pct"/>
            <w:vAlign w:val="top"/>
          </w:tcPr>
          <w:p w:rsidR="00E613F0" w:rsidRPr="006F0CA2" w:rsidRDefault="00E613F0" w:rsidP="0056045B">
            <w:pPr>
              <w:keepNext/>
              <w:rPr>
                <w:rStyle w:val="AERtextsize8"/>
              </w:rPr>
            </w:pPr>
            <w:r w:rsidRPr="00E12E6C">
              <w:rPr>
                <w:rStyle w:val="AERtextsize8"/>
              </w:rPr>
              <w:t>8.</w:t>
            </w:r>
            <w:r w:rsidRPr="006F0CA2">
              <w:rPr>
                <w:rStyle w:val="AERtextsize8"/>
              </w:rPr>
              <w:t>97</w:t>
            </w:r>
          </w:p>
        </w:tc>
        <w:tc>
          <w:tcPr>
            <w:tcW w:w="1067" w:type="pct"/>
            <w:vAlign w:val="top"/>
          </w:tcPr>
          <w:p w:rsidR="00E613F0" w:rsidRPr="006F0CA2" w:rsidRDefault="00E613F0" w:rsidP="0056045B">
            <w:pPr>
              <w:keepNext/>
              <w:rPr>
                <w:rStyle w:val="AERtextsize8"/>
              </w:rPr>
            </w:pPr>
            <w:r w:rsidRPr="00E12E6C">
              <w:rPr>
                <w:rStyle w:val="AERtextsize8"/>
              </w:rPr>
              <w:t>7.76</w:t>
            </w:r>
          </w:p>
        </w:tc>
        <w:tc>
          <w:tcPr>
            <w:tcW w:w="736" w:type="pct"/>
            <w:vAlign w:val="top"/>
          </w:tcPr>
          <w:p w:rsidR="00E613F0" w:rsidRPr="006F0CA2" w:rsidRDefault="00E613F0" w:rsidP="0056045B">
            <w:pPr>
              <w:keepNext/>
              <w:rPr>
                <w:rStyle w:val="AERtextsize8"/>
              </w:rPr>
            </w:pPr>
            <w:r w:rsidRPr="00E12E6C">
              <w:rPr>
                <w:rStyle w:val="AERtextsize8"/>
              </w:rPr>
              <w:t>5.51</w:t>
            </w:r>
          </w:p>
        </w:tc>
        <w:tc>
          <w:tcPr>
            <w:tcW w:w="1104" w:type="pct"/>
            <w:vAlign w:val="top"/>
          </w:tcPr>
          <w:p w:rsidR="00E613F0" w:rsidRPr="006F0CA2" w:rsidRDefault="00E613F0" w:rsidP="0056045B">
            <w:pPr>
              <w:keepNext/>
              <w:rPr>
                <w:rStyle w:val="AERtextsize8"/>
              </w:rPr>
            </w:pPr>
            <w:r w:rsidRPr="00E12E6C">
              <w:rPr>
                <w:rStyle w:val="AERtextsize8"/>
              </w:rPr>
              <w:t>Updated annually</w:t>
            </w:r>
          </w:p>
        </w:tc>
      </w:tr>
      <w:tr w:rsidR="00E613F0" w:rsidRPr="00BD56F3" w:rsidTr="007201E8">
        <w:tc>
          <w:tcPr>
            <w:tcW w:w="1123" w:type="pct"/>
          </w:tcPr>
          <w:p w:rsidR="00E613F0" w:rsidRPr="00E613F0" w:rsidRDefault="00E613F0" w:rsidP="0056045B">
            <w:pPr>
              <w:keepNext/>
            </w:pPr>
            <w:r>
              <w:t>Gearing</w:t>
            </w:r>
          </w:p>
        </w:tc>
        <w:tc>
          <w:tcPr>
            <w:tcW w:w="970" w:type="pct"/>
            <w:vAlign w:val="top"/>
          </w:tcPr>
          <w:p w:rsidR="00E613F0" w:rsidRPr="006F0CA2" w:rsidRDefault="00E613F0" w:rsidP="0056045B">
            <w:pPr>
              <w:keepNext/>
              <w:rPr>
                <w:rStyle w:val="AERtextsize8"/>
              </w:rPr>
            </w:pPr>
            <w:r w:rsidRPr="00E12E6C">
              <w:rPr>
                <w:rStyle w:val="AERtextsize8"/>
              </w:rPr>
              <w:t>60</w:t>
            </w:r>
          </w:p>
        </w:tc>
        <w:tc>
          <w:tcPr>
            <w:tcW w:w="1067" w:type="pct"/>
            <w:vAlign w:val="top"/>
          </w:tcPr>
          <w:p w:rsidR="00E613F0" w:rsidRPr="006F0CA2" w:rsidRDefault="00E613F0" w:rsidP="0056045B">
            <w:pPr>
              <w:keepNext/>
              <w:rPr>
                <w:rStyle w:val="AERtextsize8"/>
              </w:rPr>
            </w:pPr>
            <w:r w:rsidRPr="00E12E6C">
              <w:rPr>
                <w:rStyle w:val="AERtextsize8"/>
              </w:rPr>
              <w:t>60</w:t>
            </w:r>
          </w:p>
        </w:tc>
        <w:tc>
          <w:tcPr>
            <w:tcW w:w="736" w:type="pct"/>
            <w:vAlign w:val="top"/>
          </w:tcPr>
          <w:p w:rsidR="00E613F0" w:rsidRPr="006F0CA2" w:rsidRDefault="00E613F0" w:rsidP="0056045B">
            <w:pPr>
              <w:keepNext/>
              <w:rPr>
                <w:rStyle w:val="AERtextsize8"/>
              </w:rPr>
            </w:pPr>
            <w:r w:rsidRPr="00E12E6C">
              <w:rPr>
                <w:rStyle w:val="AERtextsize8"/>
              </w:rPr>
              <w:t>60</w:t>
            </w:r>
          </w:p>
        </w:tc>
        <w:tc>
          <w:tcPr>
            <w:tcW w:w="1104" w:type="pct"/>
            <w:vAlign w:val="top"/>
          </w:tcPr>
          <w:p w:rsidR="00E613F0" w:rsidRPr="006F0CA2" w:rsidRDefault="00E613F0" w:rsidP="0056045B">
            <w:pPr>
              <w:keepNext/>
              <w:rPr>
                <w:rStyle w:val="AERtextsize8"/>
              </w:rPr>
            </w:pPr>
            <w:r w:rsidRPr="00E12E6C">
              <w:rPr>
                <w:rStyle w:val="AERtextsize8"/>
              </w:rPr>
              <w:t>Constant   (60%)</w:t>
            </w:r>
          </w:p>
        </w:tc>
      </w:tr>
      <w:tr w:rsidR="00E613F0" w:rsidRPr="00BD56F3" w:rsidTr="007201E8">
        <w:trPr>
          <w:cnfStyle w:val="000000010000" w:firstRow="0" w:lastRow="0" w:firstColumn="0" w:lastColumn="0" w:oddVBand="0" w:evenVBand="0" w:oddHBand="0" w:evenHBand="1" w:firstRowFirstColumn="0" w:firstRowLastColumn="0" w:lastRowFirstColumn="0" w:lastRowLastColumn="0"/>
        </w:trPr>
        <w:tc>
          <w:tcPr>
            <w:tcW w:w="1123" w:type="pct"/>
          </w:tcPr>
          <w:p w:rsidR="00E613F0" w:rsidRPr="00E613F0" w:rsidRDefault="00E613F0" w:rsidP="0056045B">
            <w:pPr>
              <w:keepNext/>
            </w:pPr>
            <w:r w:rsidRPr="00796C00">
              <w:t xml:space="preserve">Nominal vanilla </w:t>
            </w:r>
            <w:r w:rsidRPr="00E613F0">
              <w:t>WACC</w:t>
            </w:r>
          </w:p>
        </w:tc>
        <w:tc>
          <w:tcPr>
            <w:tcW w:w="970" w:type="pct"/>
            <w:vAlign w:val="top"/>
          </w:tcPr>
          <w:p w:rsidR="00E613F0" w:rsidRPr="006F0CA2" w:rsidRDefault="00E613F0" w:rsidP="0056045B">
            <w:pPr>
              <w:keepNext/>
              <w:rPr>
                <w:rStyle w:val="AERtextsize8"/>
              </w:rPr>
            </w:pPr>
            <w:r w:rsidRPr="00E12E6C">
              <w:rPr>
                <w:rStyle w:val="AERtextsize8"/>
              </w:rPr>
              <w:t>9.4</w:t>
            </w:r>
            <w:r w:rsidRPr="006F0CA2">
              <w:rPr>
                <w:rStyle w:val="AERtextsize8"/>
              </w:rPr>
              <w:t>9</w:t>
            </w:r>
          </w:p>
        </w:tc>
        <w:tc>
          <w:tcPr>
            <w:tcW w:w="1067" w:type="pct"/>
            <w:vAlign w:val="top"/>
          </w:tcPr>
          <w:p w:rsidR="00E613F0" w:rsidRPr="006F0CA2" w:rsidRDefault="00E613F0" w:rsidP="0056045B">
            <w:pPr>
              <w:keepNext/>
              <w:rPr>
                <w:rStyle w:val="AERtextsize8"/>
              </w:rPr>
            </w:pPr>
            <w:r w:rsidRPr="00E12E6C">
              <w:rPr>
                <w:rStyle w:val="AERtextsize8"/>
              </w:rPr>
              <w:t>8.61</w:t>
            </w:r>
          </w:p>
        </w:tc>
        <w:tc>
          <w:tcPr>
            <w:tcW w:w="736" w:type="pct"/>
            <w:vAlign w:val="top"/>
          </w:tcPr>
          <w:p w:rsidR="00E613F0" w:rsidRPr="006F0CA2" w:rsidRDefault="00E613F0" w:rsidP="0056045B">
            <w:pPr>
              <w:keepNext/>
              <w:rPr>
                <w:rStyle w:val="AERtextsize8"/>
              </w:rPr>
            </w:pPr>
            <w:r w:rsidRPr="00E12E6C">
              <w:rPr>
                <w:rStyle w:val="AERtextsize8"/>
              </w:rPr>
              <w:t>6.11</w:t>
            </w:r>
          </w:p>
        </w:tc>
        <w:tc>
          <w:tcPr>
            <w:tcW w:w="1104" w:type="pct"/>
            <w:vAlign w:val="top"/>
          </w:tcPr>
          <w:p w:rsidR="00E613F0" w:rsidRPr="006F0CA2" w:rsidRDefault="00E613F0" w:rsidP="0056045B">
            <w:pPr>
              <w:keepNext/>
              <w:rPr>
                <w:rStyle w:val="AERtextsize8"/>
              </w:rPr>
            </w:pPr>
            <w:r w:rsidRPr="00E12E6C">
              <w:rPr>
                <w:rStyle w:val="AERtextsize8"/>
              </w:rPr>
              <w:t>Updated annually for return on debt</w:t>
            </w:r>
          </w:p>
        </w:tc>
      </w:tr>
      <w:tr w:rsidR="00E613F0" w:rsidRPr="00BD56F3" w:rsidTr="007201E8">
        <w:tc>
          <w:tcPr>
            <w:tcW w:w="1123" w:type="pct"/>
          </w:tcPr>
          <w:p w:rsidR="00E613F0" w:rsidRPr="00E613F0" w:rsidRDefault="00E613F0" w:rsidP="0056045B">
            <w:pPr>
              <w:keepNext/>
            </w:pPr>
            <w:r>
              <w:t>Forecast inflation</w:t>
            </w:r>
          </w:p>
        </w:tc>
        <w:tc>
          <w:tcPr>
            <w:tcW w:w="970" w:type="pct"/>
            <w:vAlign w:val="top"/>
          </w:tcPr>
          <w:p w:rsidR="00E613F0" w:rsidRPr="006F0CA2" w:rsidRDefault="00E613F0" w:rsidP="0056045B">
            <w:pPr>
              <w:keepNext/>
              <w:rPr>
                <w:rStyle w:val="AERtextsize8"/>
              </w:rPr>
            </w:pPr>
            <w:r w:rsidRPr="00E12E6C">
              <w:rPr>
                <w:rStyle w:val="AERtextsize8"/>
              </w:rPr>
              <w:t>2.57</w:t>
            </w:r>
          </w:p>
        </w:tc>
        <w:tc>
          <w:tcPr>
            <w:tcW w:w="1067" w:type="pct"/>
            <w:vAlign w:val="top"/>
          </w:tcPr>
          <w:p w:rsidR="00E613F0" w:rsidRPr="006F0CA2" w:rsidRDefault="00E613F0" w:rsidP="0056045B">
            <w:pPr>
              <w:keepNext/>
              <w:rPr>
                <w:rStyle w:val="AERtextsize8"/>
              </w:rPr>
            </w:pPr>
            <w:r w:rsidRPr="00E12E6C">
              <w:rPr>
                <w:rStyle w:val="AERtextsize8"/>
              </w:rPr>
              <w:t>2.50</w:t>
            </w:r>
          </w:p>
        </w:tc>
        <w:tc>
          <w:tcPr>
            <w:tcW w:w="736" w:type="pct"/>
            <w:vAlign w:val="top"/>
          </w:tcPr>
          <w:p w:rsidR="00E613F0" w:rsidRPr="006F0CA2" w:rsidRDefault="00E613F0" w:rsidP="0056045B">
            <w:pPr>
              <w:keepNext/>
              <w:rPr>
                <w:rStyle w:val="AERtextsize8"/>
              </w:rPr>
            </w:pPr>
            <w:r w:rsidRPr="00E12E6C">
              <w:rPr>
                <w:rStyle w:val="AERtextsize8"/>
              </w:rPr>
              <w:t>2.</w:t>
            </w:r>
            <w:r w:rsidRPr="006F0CA2">
              <w:rPr>
                <w:rStyle w:val="AERtextsize8"/>
              </w:rPr>
              <w:t>32</w:t>
            </w:r>
          </w:p>
        </w:tc>
        <w:tc>
          <w:tcPr>
            <w:tcW w:w="1104" w:type="pct"/>
            <w:vAlign w:val="top"/>
          </w:tcPr>
          <w:p w:rsidR="00E613F0" w:rsidRPr="006F0CA2" w:rsidRDefault="00E613F0" w:rsidP="0056045B">
            <w:pPr>
              <w:keepNext/>
              <w:rPr>
                <w:rStyle w:val="AERtextsize8"/>
              </w:rPr>
            </w:pPr>
            <w:r w:rsidRPr="00E12E6C">
              <w:rPr>
                <w:rStyle w:val="AERtextsize8"/>
              </w:rPr>
              <w:t xml:space="preserve">Constant </w:t>
            </w:r>
            <w:r w:rsidR="00ED04D5">
              <w:rPr>
                <w:rStyle w:val="AERtextsize8"/>
              </w:rPr>
              <w:t xml:space="preserve">  </w:t>
            </w:r>
            <w:r w:rsidRPr="00E12E6C">
              <w:rPr>
                <w:rStyle w:val="AERtextsize8"/>
              </w:rPr>
              <w:t>(2.</w:t>
            </w:r>
            <w:r w:rsidRPr="006F0CA2">
              <w:rPr>
                <w:rStyle w:val="AERtextsize8"/>
              </w:rPr>
              <w:t>32%)</w:t>
            </w:r>
          </w:p>
        </w:tc>
      </w:tr>
    </w:tbl>
    <w:p w:rsidR="008D02F0" w:rsidRDefault="008D02F0" w:rsidP="0056045B">
      <w:pPr>
        <w:pStyle w:val="AERtablesource"/>
        <w:keepNext/>
      </w:pPr>
      <w:r>
        <w:t>Source:</w:t>
      </w:r>
      <w:r>
        <w:tab/>
        <w:t xml:space="preserve">AER analysis; CitiPower, </w:t>
      </w:r>
      <w:r w:rsidR="00127882">
        <w:rPr>
          <w:rStyle w:val="AERtextitalic"/>
        </w:rPr>
        <w:t>R</w:t>
      </w:r>
      <w:r w:rsidRPr="004A1F6F">
        <w:rPr>
          <w:rStyle w:val="AERtextitalic"/>
        </w:rPr>
        <w:t>evised regulatory proposal</w:t>
      </w:r>
      <w:r w:rsidR="00127882">
        <w:rPr>
          <w:rStyle w:val="AERtextitalic"/>
        </w:rPr>
        <w:t xml:space="preserve"> </w:t>
      </w:r>
      <w:r w:rsidR="00127882" w:rsidRPr="004A1F6F">
        <w:rPr>
          <w:rStyle w:val="AERtextitalic"/>
        </w:rPr>
        <w:t>2016 to 2020</w:t>
      </w:r>
      <w:r>
        <w:t xml:space="preserve">, 6 January 2016; </w:t>
      </w:r>
      <w:r w:rsidR="00ED04D5">
        <w:rPr>
          <w:rStyle w:val="AERtextsize8"/>
        </w:rPr>
        <w:t xml:space="preserve">AER, </w:t>
      </w:r>
      <w:r w:rsidR="00ED04D5" w:rsidRPr="00ED04D5">
        <w:rPr>
          <w:rStyle w:val="AERtextitalic"/>
        </w:rPr>
        <w:t>CitiPower Pty distribution determination 2011–2015: Pursuant to Orders of the Australian Competition Tribunal in Application by United Energy Distribution Pty Limited (No 2) [2012] ACompT 8</w:t>
      </w:r>
      <w:r w:rsidR="00ED04D5">
        <w:rPr>
          <w:rStyle w:val="AERtextsize8"/>
        </w:rPr>
        <w:t>, September 2012</w:t>
      </w:r>
      <w:r>
        <w:t>.</w:t>
      </w:r>
    </w:p>
    <w:p w:rsidR="008D02F0" w:rsidRDefault="008D02F0" w:rsidP="008D02F0">
      <w:r>
        <w:t>Our return on equity estimate is 7.</w:t>
      </w:r>
      <w:r w:rsidR="00DA739B">
        <w:t>0</w:t>
      </w:r>
      <w:r>
        <w:t xml:space="preserve"> per cent. This rate will apply to CitiPower in each regulatory year. Our return on debt estimate for the 2016 regulatory year is 5.</w:t>
      </w:r>
      <w:r w:rsidR="00DA739B">
        <w:t>51</w:t>
      </w:r>
      <w:r>
        <w:t> per cent. This estimate will change each year as we partially update the return on debt to reflect prevailing interest rates over CitiPower's debt averaging period in each year. Our return on debt estimate for future regulatory years will be determined in accordance with the methodology and formulae we have specified in this decision. As a result of updating the return on debt each year, the overall rate of return and CitiPower'</w:t>
      </w:r>
      <w:r w:rsidR="00127882">
        <w:t>s</w:t>
      </w:r>
      <w:r>
        <w:t xml:space="preserve"> revenue will also be updated.</w:t>
      </w:r>
    </w:p>
    <w:p w:rsidR="008D02F0" w:rsidRDefault="008D02F0" w:rsidP="008D02F0">
      <w:pPr>
        <w:numPr>
          <w:ilvl w:val="0"/>
          <w:numId w:val="24"/>
        </w:numPr>
      </w:pPr>
      <w:r>
        <w:t>We agree with the following aspects of CitiPower'</w:t>
      </w:r>
      <w:r w:rsidR="00127882">
        <w:t>s</w:t>
      </w:r>
      <w:r>
        <w:t xml:space="preserve"> revised rate of return proposal:</w:t>
      </w:r>
    </w:p>
    <w:p w:rsidR="008D02F0" w:rsidRPr="00796C00" w:rsidRDefault="008D02F0" w:rsidP="008D02F0">
      <w:pPr>
        <w:pStyle w:val="AERbulletlistfirststyle"/>
      </w:pPr>
      <w:r>
        <w:t>adopting a weighted average of the return on equity and return on debt (WACC)</w:t>
      </w:r>
      <w:r w:rsidRPr="00796C00">
        <w:t xml:space="preserve"> determined on a nominal vanilla basis (as required by </w:t>
      </w:r>
      <w:r>
        <w:t>the rules</w:t>
      </w:r>
      <w:r w:rsidRPr="00796C00">
        <w:t>)</w:t>
      </w:r>
    </w:p>
    <w:p w:rsidR="008D02F0" w:rsidRDefault="008D02F0" w:rsidP="008D02F0">
      <w:pPr>
        <w:pStyle w:val="AERbulletlistfirststyle"/>
      </w:pPr>
      <w:r>
        <w:t>adopting a 60</w:t>
      </w:r>
      <w:r w:rsidRPr="00796C00">
        <w:t xml:space="preserve"> per cent gearing ratio</w:t>
      </w:r>
    </w:p>
    <w:p w:rsidR="008D02F0" w:rsidRDefault="008D02F0" w:rsidP="008D02F0">
      <w:pPr>
        <w:pStyle w:val="AERbulletlistfirststyle"/>
      </w:pPr>
      <w:r>
        <w:t>adopting a 10 year term for the return on debt</w:t>
      </w:r>
    </w:p>
    <w:p w:rsidR="008D02F0" w:rsidRDefault="008D02F0" w:rsidP="008D02F0">
      <w:pPr>
        <w:pStyle w:val="AERbulletlistfirststyle"/>
      </w:pPr>
      <w:r>
        <w:t>estimating the return on debt by reference to a third party data series.</w:t>
      </w:r>
    </w:p>
    <w:p w:rsidR="00127882" w:rsidRDefault="00127882" w:rsidP="00127882">
      <w:pPr>
        <w:pStyle w:val="AERbulletlistfirststyle"/>
      </w:pPr>
      <w:r>
        <w:t>extrapolating and updating the return debt following the approach we have recently applied</w:t>
      </w:r>
      <w:r>
        <w:rPr>
          <w:rStyle w:val="FootnoteReference"/>
        </w:rPr>
        <w:footnoteReference w:id="8"/>
      </w:r>
    </w:p>
    <w:p w:rsidR="00127882" w:rsidRDefault="00127882" w:rsidP="00127882">
      <w:pPr>
        <w:pStyle w:val="AERbulletlistfirststyle"/>
      </w:pPr>
      <w:r>
        <w:t xml:space="preserve">estimating expected inflation using </w:t>
      </w:r>
      <w:r w:rsidR="00847B36">
        <w:t xml:space="preserve">Reserve Bank of Australia (RBA) </w:t>
      </w:r>
      <w:r>
        <w:t>forecasts</w:t>
      </w:r>
    </w:p>
    <w:p w:rsidR="00127882" w:rsidRDefault="00127882" w:rsidP="00127882">
      <w:pPr>
        <w:pStyle w:val="AERbulletlistfirststyle"/>
      </w:pPr>
      <w:r>
        <w:t>Estimating the risk free rate</w:t>
      </w:r>
      <w:r w:rsidR="000F4BC3">
        <w:t xml:space="preserve"> used </w:t>
      </w:r>
      <w:r w:rsidR="00847B36">
        <w:t>in</w:t>
      </w:r>
      <w:r w:rsidR="000F4BC3">
        <w:t xml:space="preserve"> the return on equity with </w:t>
      </w:r>
      <w:r>
        <w:t>nominal Commonwealth government securities (CGS) averaged over 20 business days as close as practical to the commencement of the regulatory control period.</w:t>
      </w:r>
    </w:p>
    <w:p w:rsidR="00DA739B" w:rsidRDefault="008D02F0" w:rsidP="008D02F0">
      <w:pPr>
        <w:numPr>
          <w:ilvl w:val="0"/>
          <w:numId w:val="24"/>
        </w:numPr>
      </w:pPr>
      <w:r>
        <w:t>Consistent with our preliminary decision, we agree there should be a transition from the on-the-day approach to the trailing averaging approach</w:t>
      </w:r>
      <w:r w:rsidR="00DA739B" w:rsidRPr="00DA739B">
        <w:t xml:space="preserve"> </w:t>
      </w:r>
      <w:r w:rsidR="00DA739B">
        <w:t>to estimating the return on debt</w:t>
      </w:r>
      <w:r>
        <w:t xml:space="preserve">. However, we disagree with the hybrid form of transition proposed in CitiPower's (initial) regulatory proposal. </w:t>
      </w:r>
    </w:p>
    <w:p w:rsidR="008D02F0" w:rsidRDefault="008D02F0" w:rsidP="00DA739B">
      <w:pPr>
        <w:numPr>
          <w:ilvl w:val="0"/>
          <w:numId w:val="24"/>
        </w:numPr>
      </w:pPr>
      <w:r>
        <w:t xml:space="preserve">In its revised proposal, CitiPower departed from its initial position to apply a transition to the trailing averaging approach. </w:t>
      </w:r>
      <w:r w:rsidR="00DA739B">
        <w:t>It now proposes to not apply a transition (that is, to immediately move to a trailing average approach).</w:t>
      </w:r>
      <w:r>
        <w:t>We disagree with CitiPower on this and a number of other components of the rate of return.</w:t>
      </w:r>
    </w:p>
    <w:p w:rsidR="00DA739B" w:rsidRDefault="008D02F0" w:rsidP="008D02F0">
      <w:pPr>
        <w:numPr>
          <w:ilvl w:val="0"/>
          <w:numId w:val="24"/>
        </w:numPr>
      </w:pPr>
      <w:r>
        <w:t xml:space="preserve">Our </w:t>
      </w:r>
      <w:r w:rsidRPr="00B174EF">
        <w:t xml:space="preserve">return on equity estimate </w:t>
      </w:r>
      <w:r>
        <w:t>is 7.</w:t>
      </w:r>
      <w:r w:rsidR="00DA739B">
        <w:t>0</w:t>
      </w:r>
      <w:r>
        <w:t xml:space="preserve"> </w:t>
      </w:r>
      <w:r w:rsidRPr="00B174EF">
        <w:t>per cent</w:t>
      </w:r>
      <w:r>
        <w:t>.</w:t>
      </w:r>
      <w:r w:rsidRPr="0083677A">
        <w:t xml:space="preserve"> </w:t>
      </w:r>
      <w:r>
        <w:t>We derived this estimate by applying the same approach we applied to determine the allowed return on equity in our most recent final decisions.</w:t>
      </w:r>
      <w:r>
        <w:rPr>
          <w:rStyle w:val="FootnoteReference"/>
        </w:rPr>
        <w:footnoteReference w:id="9"/>
      </w:r>
      <w:r>
        <w:t xml:space="preserve"> </w:t>
      </w:r>
      <w:r w:rsidR="00DA739B">
        <w:t>The Australian Competition Tribunal (Tribunal) recently upheld this approach.</w:t>
      </w:r>
      <w:r w:rsidR="00DA739B">
        <w:rPr>
          <w:rStyle w:val="FootnoteReference"/>
        </w:rPr>
        <w:footnoteReference w:id="10"/>
      </w:r>
      <w:r w:rsidR="00DA739B">
        <w:t xml:space="preserve"> This approach entails applying the Guideline approach referred to as the foundation model approach.</w:t>
      </w:r>
      <w:r w:rsidR="00DA739B">
        <w:rPr>
          <w:rStyle w:val="FootnoteReference"/>
        </w:rPr>
        <w:footnoteReference w:id="11"/>
      </w:r>
      <w:r w:rsidR="00DA739B">
        <w:t xml:space="preserve"> We applied this same approach in</w:t>
      </w:r>
      <w:r>
        <w:t xml:space="preserve"> the preliminary decision.</w:t>
      </w:r>
      <w:r>
        <w:rPr>
          <w:rStyle w:val="FootnoteReference"/>
        </w:rPr>
        <w:footnoteReference w:id="12"/>
      </w:r>
      <w:r>
        <w:t xml:space="preserve"> This is </w:t>
      </w:r>
      <w:r w:rsidR="00DA739B">
        <w:t>a</w:t>
      </w:r>
      <w:r w:rsidRPr="00F15CAB">
        <w:t xml:space="preserve"> six step process</w:t>
      </w:r>
      <w:r w:rsidR="00DA739B">
        <w:t>, where we</w:t>
      </w:r>
      <w:r w:rsidR="00DA739B" w:rsidRPr="00F15CAB">
        <w:t xml:space="preserve"> </w:t>
      </w:r>
      <w:r w:rsidR="00DA739B">
        <w:t>have</w:t>
      </w:r>
      <w:r>
        <w:t xml:space="preserve">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xml:space="preserve">. </w:t>
      </w:r>
    </w:p>
    <w:p w:rsidR="008D02F0" w:rsidRDefault="008D02F0" w:rsidP="008D02F0">
      <w:pPr>
        <w:numPr>
          <w:ilvl w:val="0"/>
          <w:numId w:val="24"/>
        </w:numPr>
      </w:pPr>
      <w:r>
        <w:t xml:space="preserve">Our return on equity point estimate and the parameter inputs are set out in the </w:t>
      </w:r>
      <w:r w:rsidR="00DA739B">
        <w:fldChar w:fldCharType="begin"/>
      </w:r>
      <w:r w:rsidR="00DA739B">
        <w:instrText xml:space="preserve"> REF  _Ref433137430 \* Lower \h </w:instrText>
      </w:r>
      <w:r w:rsidR="00DA739B">
        <w:fldChar w:fldCharType="separate"/>
      </w:r>
      <w:r w:rsidR="00BA2E8E">
        <w:t xml:space="preserve">table </w:t>
      </w:r>
      <w:r w:rsidR="00BA2E8E">
        <w:rPr>
          <w:noProof/>
        </w:rPr>
        <w:t>3</w:t>
      </w:r>
      <w:r w:rsidR="00BA2E8E">
        <w:noBreakHyphen/>
      </w:r>
      <w:r w:rsidR="00BA2E8E">
        <w:rPr>
          <w:noProof/>
        </w:rPr>
        <w:t>2</w:t>
      </w:r>
      <w:r w:rsidR="00DA739B">
        <w:fldChar w:fldCharType="end"/>
      </w:r>
      <w:r>
        <w:t xml:space="preserve">. CitiPower proposed departing from the approach in the Guideline. </w:t>
      </w:r>
      <w:r w:rsidRPr="00185E39">
        <w:t xml:space="preserve">We are not satisfied </w:t>
      </w:r>
      <w:r>
        <w:t xml:space="preserve">that doing so </w:t>
      </w:r>
      <w:r w:rsidRPr="00185E39">
        <w:t xml:space="preserve">would result in an outcome that better achieves the </w:t>
      </w:r>
      <w:r w:rsidR="00FD23FD">
        <w:t>ARORO</w:t>
      </w:r>
      <w:r w:rsidRPr="00185E39">
        <w:t>.</w:t>
      </w:r>
      <w:r w:rsidRPr="00185E39">
        <w:rPr>
          <w:rStyle w:val="FootnoteReference"/>
        </w:rPr>
        <w:footnoteReference w:id="13"/>
      </w:r>
      <w:r w:rsidRPr="00185E39">
        <w:t xml:space="preserve"> We do not agree with </w:t>
      </w:r>
      <w:r>
        <w:t xml:space="preserve">CitiPower that our method applied in the preliminary decision will result in a return on equity which is inconsistent with the </w:t>
      </w:r>
      <w:r w:rsidR="00DA739B">
        <w:t>ARORO</w:t>
      </w:r>
      <w:r>
        <w:t>.</w:t>
      </w:r>
      <w:r>
        <w:rPr>
          <w:rStyle w:val="FootnoteReference"/>
        </w:rPr>
        <w:footnoteReference w:id="14"/>
      </w:r>
      <w:r>
        <w:t xml:space="preserve"> </w:t>
      </w:r>
      <w:r w:rsidRPr="00185E39">
        <w:t xml:space="preserve">Our </w:t>
      </w:r>
      <w:r>
        <w:t xml:space="preserve">return on equity preliminary decision and this final decision </w:t>
      </w:r>
      <w:r w:rsidRPr="00185E39">
        <w:t xml:space="preserve">is largely consistent with the </w:t>
      </w:r>
      <w:r>
        <w:t xml:space="preserve">views in the </w:t>
      </w:r>
      <w:r w:rsidRPr="00185E39">
        <w:t>Guideline</w:t>
      </w:r>
      <w:r>
        <w:t>.</w:t>
      </w:r>
      <w:r w:rsidRPr="00796C00">
        <w:t xml:space="preserve"> </w:t>
      </w:r>
    </w:p>
    <w:p w:rsidR="008D02F0" w:rsidRDefault="008D02F0" w:rsidP="008D02F0">
      <w:pPr>
        <w:pStyle w:val="Caption"/>
      </w:pPr>
      <w:bookmarkStart w:id="75" w:name="_Ref433137430"/>
      <w:r>
        <w:t xml:space="preserve">Table </w:t>
      </w:r>
      <w:fldSimple w:instr=" STYLEREF 1 \s ">
        <w:r w:rsidR="00BA2E8E">
          <w:rPr>
            <w:noProof/>
          </w:rPr>
          <w:t>3</w:t>
        </w:r>
      </w:fldSimple>
      <w:r w:rsidR="000F4BC3">
        <w:noBreakHyphen/>
      </w:r>
      <w:fldSimple w:instr=" SEQ Table \* ARABIC \s 1 ">
        <w:r w:rsidR="00BA2E8E">
          <w:rPr>
            <w:noProof/>
          </w:rPr>
          <w:t>2</w:t>
        </w:r>
      </w:fldSimple>
      <w:bookmarkEnd w:id="75"/>
      <w:r>
        <w:tab/>
        <w:t>Final decision on CitiPower's return on equity (nominal)</w:t>
      </w:r>
    </w:p>
    <w:tbl>
      <w:tblPr>
        <w:tblStyle w:val="AERtable-numbers"/>
        <w:tblW w:w="5000" w:type="pct"/>
        <w:tblLook w:val="04A0" w:firstRow="1" w:lastRow="0" w:firstColumn="1" w:lastColumn="0" w:noHBand="0" w:noVBand="1"/>
      </w:tblPr>
      <w:tblGrid>
        <w:gridCol w:w="2173"/>
        <w:gridCol w:w="2046"/>
        <w:gridCol w:w="2410"/>
        <w:gridCol w:w="2064"/>
      </w:tblGrid>
      <w:tr w:rsidR="008D02F0" w:rsidRPr="0036067E" w:rsidTr="008D02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8D02F0" w:rsidRPr="00796C00" w:rsidRDefault="008D02F0" w:rsidP="009D3AFA"/>
        </w:tc>
        <w:tc>
          <w:tcPr>
            <w:tcW w:w="1177" w:type="pct"/>
          </w:tcPr>
          <w:p w:rsidR="008D02F0" w:rsidRPr="008D02F0" w:rsidRDefault="008D02F0" w:rsidP="009D3AFA">
            <w:pPr>
              <w:cnfStyle w:val="100000000000" w:firstRow="1" w:lastRow="0" w:firstColumn="0" w:lastColumn="0" w:oddVBand="0" w:evenVBand="0" w:oddHBand="0" w:evenHBand="0" w:firstRowFirstColumn="0" w:firstRowLastColumn="0" w:lastRowFirstColumn="0" w:lastRowLastColumn="0"/>
            </w:pPr>
            <w:r w:rsidRPr="000954D7">
              <w:t xml:space="preserve">AER </w:t>
            </w:r>
            <w:r w:rsidRPr="008D02F0">
              <w:t>previous decision (2011–15)</w:t>
            </w:r>
          </w:p>
        </w:tc>
        <w:tc>
          <w:tcPr>
            <w:tcW w:w="1386" w:type="pct"/>
          </w:tcPr>
          <w:p w:rsidR="008D02F0" w:rsidRPr="008D02F0" w:rsidRDefault="008D02F0" w:rsidP="009D3AFA">
            <w:pPr>
              <w:cnfStyle w:val="100000000000" w:firstRow="1" w:lastRow="0" w:firstColumn="0" w:lastColumn="0" w:oddVBand="0" w:evenVBand="0" w:oddHBand="0" w:evenHBand="0" w:firstRowFirstColumn="0" w:firstRowLastColumn="0" w:lastRowFirstColumn="0" w:lastRowLastColumn="0"/>
            </w:pPr>
            <w:r>
              <w:t>CitiPower</w:t>
            </w:r>
            <w:r w:rsidRPr="008D02F0">
              <w:t xml:space="preserve"> revised proposal (2016-20)</w:t>
            </w:r>
          </w:p>
        </w:tc>
        <w:tc>
          <w:tcPr>
            <w:tcW w:w="1187" w:type="pct"/>
          </w:tcPr>
          <w:p w:rsidR="008D02F0" w:rsidRPr="008D02F0" w:rsidRDefault="008D02F0" w:rsidP="009D3AFA">
            <w:pPr>
              <w:cnfStyle w:val="100000000000" w:firstRow="1" w:lastRow="0" w:firstColumn="0" w:lastColumn="0" w:oddVBand="0" w:evenVBand="0" w:oddHBand="0" w:evenHBand="0" w:firstRowFirstColumn="0" w:firstRowLastColumn="0" w:lastRowFirstColumn="0" w:lastRowLastColumn="0"/>
            </w:pPr>
            <w:r w:rsidRPr="00381B0E">
              <w:t>AER final decision</w:t>
            </w:r>
            <w:r w:rsidRPr="008D02F0">
              <w:t xml:space="preserve"> (2016–20)</w:t>
            </w:r>
          </w:p>
        </w:tc>
      </w:tr>
      <w:tr w:rsidR="00E613F0" w:rsidRPr="00BD56F3" w:rsidTr="007201E8">
        <w:tc>
          <w:tcPr>
            <w:cnfStyle w:val="001000000000" w:firstRow="0" w:lastRow="0" w:firstColumn="1" w:lastColumn="0" w:oddVBand="0" w:evenVBand="0" w:oddHBand="0" w:evenHBand="0" w:firstRowFirstColumn="0" w:firstRowLastColumn="0" w:lastRowFirstColumn="0" w:lastRowLastColumn="0"/>
            <w:tcW w:w="1250" w:type="pct"/>
          </w:tcPr>
          <w:p w:rsidR="00E613F0" w:rsidRPr="00E613F0" w:rsidRDefault="00E613F0" w:rsidP="009D3AFA">
            <w:r w:rsidRPr="00796C00">
              <w:t xml:space="preserve">Nominal </w:t>
            </w:r>
            <w:r w:rsidRPr="00E613F0">
              <w:t>risk free rate (return on equity only)</w:t>
            </w:r>
          </w:p>
        </w:tc>
        <w:tc>
          <w:tcPr>
            <w:tcW w:w="1177"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5.08</w:t>
            </w:r>
            <w:r w:rsidRPr="006F0CA2">
              <w:rPr>
                <w:rStyle w:val="AERtextsize8"/>
              </w:rPr>
              <w:t>%</w:t>
            </w:r>
          </w:p>
        </w:tc>
        <w:tc>
          <w:tcPr>
            <w:tcW w:w="1386"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2.</w:t>
            </w:r>
            <w:r w:rsidRPr="006F0CA2">
              <w:rPr>
                <w:rStyle w:val="AERtextsize8"/>
              </w:rPr>
              <w:t>75%*</w:t>
            </w:r>
          </w:p>
        </w:tc>
        <w:tc>
          <w:tcPr>
            <w:tcW w:w="1187"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2.</w:t>
            </w:r>
            <w:r w:rsidRPr="006F0CA2">
              <w:rPr>
                <w:rStyle w:val="AERtextsize8"/>
              </w:rPr>
              <w:t>48%**</w:t>
            </w:r>
          </w:p>
        </w:tc>
      </w:tr>
      <w:tr w:rsidR="00E613F0" w:rsidRPr="00BD56F3" w:rsidTr="007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E613F0" w:rsidRPr="00E613F0" w:rsidRDefault="00E613F0" w:rsidP="009D3AFA">
            <w:r w:rsidRPr="00796C00">
              <w:t xml:space="preserve">Equity risk premium </w:t>
            </w:r>
          </w:p>
        </w:tc>
        <w:tc>
          <w:tcPr>
            <w:tcW w:w="1177" w:type="pct"/>
            <w:vAlign w:val="top"/>
          </w:tcPr>
          <w:p w:rsidR="00E613F0" w:rsidRPr="006F0CA2" w:rsidRDefault="00E613F0" w:rsidP="009D3AFA">
            <w:pPr>
              <w:cnfStyle w:val="000000010000" w:firstRow="0" w:lastRow="0" w:firstColumn="0" w:lastColumn="0" w:oddVBand="0" w:evenVBand="0" w:oddHBand="0" w:evenHBand="1" w:firstRowFirstColumn="0" w:firstRowLastColumn="0" w:lastRowFirstColumn="0" w:lastRowLastColumn="0"/>
              <w:rPr>
                <w:rStyle w:val="AERtextsize8"/>
              </w:rPr>
            </w:pPr>
            <w:r w:rsidRPr="00E12E6C">
              <w:rPr>
                <w:rStyle w:val="AERtextsize8"/>
              </w:rPr>
              <w:t>5.20</w:t>
            </w:r>
            <w:r w:rsidRPr="006F0CA2">
              <w:rPr>
                <w:rStyle w:val="AERtextsize8"/>
              </w:rPr>
              <w:t>%</w:t>
            </w:r>
          </w:p>
        </w:tc>
        <w:tc>
          <w:tcPr>
            <w:tcW w:w="1386" w:type="pct"/>
            <w:vAlign w:val="top"/>
          </w:tcPr>
          <w:p w:rsidR="00E613F0" w:rsidRPr="006F0CA2" w:rsidRDefault="00E613F0" w:rsidP="009D3AFA">
            <w:pPr>
              <w:cnfStyle w:val="000000010000" w:firstRow="0" w:lastRow="0" w:firstColumn="0" w:lastColumn="0" w:oddVBand="0" w:evenVBand="0" w:oddHBand="0" w:evenHBand="1" w:firstRowFirstColumn="0" w:firstRowLastColumn="0" w:lastRowFirstColumn="0" w:lastRowLastColumn="0"/>
              <w:rPr>
                <w:rStyle w:val="AERtextsize8"/>
              </w:rPr>
            </w:pPr>
            <w:r w:rsidRPr="00E12E6C">
              <w:rPr>
                <w:rStyle w:val="AERtextsize8"/>
              </w:rPr>
              <w:t>7.</w:t>
            </w:r>
            <w:r w:rsidRPr="006F0CA2">
              <w:rPr>
                <w:rStyle w:val="AERtextsize8"/>
              </w:rPr>
              <w:t>17%</w:t>
            </w:r>
          </w:p>
        </w:tc>
        <w:tc>
          <w:tcPr>
            <w:tcW w:w="1187" w:type="pct"/>
            <w:vAlign w:val="top"/>
          </w:tcPr>
          <w:p w:rsidR="00E613F0" w:rsidRPr="006F0CA2" w:rsidRDefault="00E613F0" w:rsidP="009D3AFA">
            <w:pPr>
              <w:cnfStyle w:val="000000010000" w:firstRow="0" w:lastRow="0" w:firstColumn="0" w:lastColumn="0" w:oddVBand="0" w:evenVBand="0" w:oddHBand="0" w:evenHBand="1" w:firstRowFirstColumn="0" w:firstRowLastColumn="0" w:lastRowFirstColumn="0" w:lastRowLastColumn="0"/>
              <w:rPr>
                <w:rStyle w:val="AERtextsize8"/>
              </w:rPr>
            </w:pPr>
            <w:r w:rsidRPr="00E12E6C">
              <w:rPr>
                <w:rStyle w:val="AERtextsize8"/>
              </w:rPr>
              <w:t>4.55</w:t>
            </w:r>
            <w:r w:rsidRPr="006F0CA2">
              <w:rPr>
                <w:rStyle w:val="AERtextsize8"/>
              </w:rPr>
              <w:t>%</w:t>
            </w:r>
          </w:p>
        </w:tc>
      </w:tr>
      <w:tr w:rsidR="00E613F0" w:rsidRPr="00BD56F3" w:rsidTr="007201E8">
        <w:tc>
          <w:tcPr>
            <w:cnfStyle w:val="001000000000" w:firstRow="0" w:lastRow="0" w:firstColumn="1" w:lastColumn="0" w:oddVBand="0" w:evenVBand="0" w:oddHBand="0" w:evenHBand="0" w:firstRowFirstColumn="0" w:firstRowLastColumn="0" w:lastRowFirstColumn="0" w:lastRowLastColumn="0"/>
            <w:tcW w:w="1250" w:type="pct"/>
          </w:tcPr>
          <w:p w:rsidR="00E613F0" w:rsidRPr="00E613F0" w:rsidRDefault="00E613F0" w:rsidP="009D3AFA">
            <w:r w:rsidRPr="00796C00">
              <w:t>MRP</w:t>
            </w:r>
          </w:p>
        </w:tc>
        <w:tc>
          <w:tcPr>
            <w:tcW w:w="1177"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6.</w:t>
            </w:r>
            <w:r w:rsidRPr="006F0CA2">
              <w:rPr>
                <w:rStyle w:val="AERtextsize8"/>
              </w:rPr>
              <w:t>50%</w:t>
            </w:r>
          </w:p>
        </w:tc>
        <w:tc>
          <w:tcPr>
            <w:tcW w:w="1386"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7.8</w:t>
            </w:r>
            <w:r w:rsidRPr="006F0CA2">
              <w:rPr>
                <w:rStyle w:val="AERtextsize8"/>
              </w:rPr>
              <w:t>8%</w:t>
            </w:r>
          </w:p>
        </w:tc>
        <w:tc>
          <w:tcPr>
            <w:tcW w:w="1187"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6.50</w:t>
            </w:r>
            <w:r w:rsidRPr="006F0CA2">
              <w:rPr>
                <w:rStyle w:val="AERtextsize8"/>
              </w:rPr>
              <w:t>%</w:t>
            </w:r>
          </w:p>
        </w:tc>
      </w:tr>
      <w:tr w:rsidR="00E613F0" w:rsidRPr="00BD56F3" w:rsidTr="00720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rsidR="00E613F0" w:rsidRPr="00E613F0" w:rsidRDefault="00E613F0" w:rsidP="009D3AFA">
            <w:r w:rsidRPr="00796C00">
              <w:t>Equity beta</w:t>
            </w:r>
          </w:p>
        </w:tc>
        <w:tc>
          <w:tcPr>
            <w:tcW w:w="1177" w:type="pct"/>
            <w:vAlign w:val="top"/>
          </w:tcPr>
          <w:p w:rsidR="00E613F0" w:rsidRPr="006F0CA2" w:rsidRDefault="00E613F0" w:rsidP="009D3AFA">
            <w:pPr>
              <w:cnfStyle w:val="000000010000" w:firstRow="0" w:lastRow="0" w:firstColumn="0" w:lastColumn="0" w:oddVBand="0" w:evenVBand="0" w:oddHBand="0" w:evenHBand="1" w:firstRowFirstColumn="0" w:firstRowLastColumn="0" w:lastRowFirstColumn="0" w:lastRowLastColumn="0"/>
              <w:rPr>
                <w:rStyle w:val="AERtextsize8"/>
              </w:rPr>
            </w:pPr>
            <w:r w:rsidRPr="00E12E6C">
              <w:rPr>
                <w:rStyle w:val="AERtextsize8"/>
              </w:rPr>
              <w:t>0.8</w:t>
            </w:r>
          </w:p>
        </w:tc>
        <w:tc>
          <w:tcPr>
            <w:tcW w:w="1386" w:type="pct"/>
            <w:vAlign w:val="top"/>
          </w:tcPr>
          <w:p w:rsidR="00E613F0" w:rsidRPr="006F0CA2" w:rsidRDefault="00E613F0" w:rsidP="009D3AFA">
            <w:pPr>
              <w:cnfStyle w:val="000000010000" w:firstRow="0" w:lastRow="0" w:firstColumn="0" w:lastColumn="0" w:oddVBand="0" w:evenVBand="0" w:oddHBand="0" w:evenHBand="1" w:firstRowFirstColumn="0" w:firstRowLastColumn="0" w:lastRowFirstColumn="0" w:lastRowLastColumn="0"/>
              <w:rPr>
                <w:rStyle w:val="AERtextsize8"/>
              </w:rPr>
            </w:pPr>
            <w:r w:rsidRPr="00E12E6C">
              <w:rPr>
                <w:rStyle w:val="AERtextsize8"/>
              </w:rPr>
              <w:t>0.</w:t>
            </w:r>
            <w:r w:rsidRPr="006F0CA2">
              <w:rPr>
                <w:rStyle w:val="AERtextsize8"/>
              </w:rPr>
              <w:t>91</w:t>
            </w:r>
          </w:p>
        </w:tc>
        <w:tc>
          <w:tcPr>
            <w:tcW w:w="1187" w:type="pct"/>
            <w:vAlign w:val="top"/>
          </w:tcPr>
          <w:p w:rsidR="00E613F0" w:rsidRPr="006F0CA2" w:rsidRDefault="00E613F0" w:rsidP="009D3AFA">
            <w:pPr>
              <w:cnfStyle w:val="000000010000" w:firstRow="0" w:lastRow="0" w:firstColumn="0" w:lastColumn="0" w:oddVBand="0" w:evenVBand="0" w:oddHBand="0" w:evenHBand="1" w:firstRowFirstColumn="0" w:firstRowLastColumn="0" w:lastRowFirstColumn="0" w:lastRowLastColumn="0"/>
              <w:rPr>
                <w:rStyle w:val="AERtextsize8"/>
              </w:rPr>
            </w:pPr>
            <w:r w:rsidRPr="00E12E6C">
              <w:rPr>
                <w:rStyle w:val="AERtextsize8"/>
              </w:rPr>
              <w:t>0.7</w:t>
            </w:r>
          </w:p>
        </w:tc>
      </w:tr>
      <w:tr w:rsidR="00E613F0" w:rsidRPr="00BD56F3" w:rsidTr="007201E8">
        <w:tc>
          <w:tcPr>
            <w:cnfStyle w:val="001000000000" w:firstRow="0" w:lastRow="0" w:firstColumn="1" w:lastColumn="0" w:oddVBand="0" w:evenVBand="0" w:oddHBand="0" w:evenHBand="0" w:firstRowFirstColumn="0" w:firstRowLastColumn="0" w:lastRowFirstColumn="0" w:lastRowLastColumn="0"/>
            <w:tcW w:w="1250" w:type="pct"/>
          </w:tcPr>
          <w:p w:rsidR="00E613F0" w:rsidRPr="00E613F0" w:rsidRDefault="00E613F0" w:rsidP="009D3AFA">
            <w:r w:rsidRPr="00796C00">
              <w:t xml:space="preserve">Nominal post–tax return on equity </w:t>
            </w:r>
          </w:p>
        </w:tc>
        <w:tc>
          <w:tcPr>
            <w:tcW w:w="1177"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1</w:t>
            </w:r>
            <w:r w:rsidRPr="006F0CA2">
              <w:rPr>
                <w:rStyle w:val="AERtextsize8"/>
              </w:rPr>
              <w:t>0.28%</w:t>
            </w:r>
          </w:p>
        </w:tc>
        <w:tc>
          <w:tcPr>
            <w:tcW w:w="1386"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9.89%</w:t>
            </w:r>
          </w:p>
        </w:tc>
        <w:tc>
          <w:tcPr>
            <w:tcW w:w="1187" w:type="pct"/>
            <w:vAlign w:val="top"/>
          </w:tcPr>
          <w:p w:rsidR="00E613F0" w:rsidRPr="006F0CA2" w:rsidRDefault="00E613F0" w:rsidP="009D3AFA">
            <w:pPr>
              <w:cnfStyle w:val="000000000000" w:firstRow="0" w:lastRow="0" w:firstColumn="0" w:lastColumn="0" w:oddVBand="0" w:evenVBand="0" w:oddHBand="0" w:evenHBand="0" w:firstRowFirstColumn="0" w:firstRowLastColumn="0" w:lastRowFirstColumn="0" w:lastRowLastColumn="0"/>
              <w:rPr>
                <w:rStyle w:val="AERtextsize8"/>
              </w:rPr>
            </w:pPr>
            <w:r w:rsidRPr="00E12E6C">
              <w:rPr>
                <w:rStyle w:val="AERtextsize8"/>
              </w:rPr>
              <w:t>7.</w:t>
            </w:r>
            <w:r w:rsidRPr="006F0CA2">
              <w:rPr>
                <w:rStyle w:val="AERtextsize8"/>
              </w:rPr>
              <w:t>0%</w:t>
            </w:r>
          </w:p>
        </w:tc>
      </w:tr>
    </w:tbl>
    <w:p w:rsidR="008D02F0" w:rsidRDefault="008D02F0" w:rsidP="00E613F0">
      <w:pPr>
        <w:pStyle w:val="AERtablesource"/>
      </w:pPr>
      <w:r>
        <w:t>Source:</w:t>
      </w:r>
      <w:r>
        <w:tab/>
        <w:t xml:space="preserve">AER analysis; CitiPower, </w:t>
      </w:r>
      <w:r w:rsidR="002F7710">
        <w:rPr>
          <w:rStyle w:val="AERtextitalic"/>
        </w:rPr>
        <w:t>R</w:t>
      </w:r>
      <w:r w:rsidRPr="004A1F6F">
        <w:rPr>
          <w:rStyle w:val="AERtextitalic"/>
        </w:rPr>
        <w:t>evised regulatory proposal</w:t>
      </w:r>
      <w:r w:rsidR="002F7710">
        <w:rPr>
          <w:rStyle w:val="AERtextitalic"/>
        </w:rPr>
        <w:t xml:space="preserve"> </w:t>
      </w:r>
      <w:r w:rsidR="002F7710" w:rsidRPr="004A1F6F">
        <w:rPr>
          <w:rStyle w:val="AERtextitalic"/>
        </w:rPr>
        <w:t>2016 to 2020</w:t>
      </w:r>
      <w:r>
        <w:t>, 6 January 2016</w:t>
      </w:r>
      <w:r w:rsidRPr="00B611A8">
        <w:t xml:space="preserve">; </w:t>
      </w:r>
      <w:r>
        <w:t xml:space="preserve">AER, </w:t>
      </w:r>
      <w:r w:rsidRPr="00740B5F">
        <w:rPr>
          <w:rStyle w:val="AERtextitalic"/>
        </w:rPr>
        <w:t xml:space="preserve">Final decision: </w:t>
      </w:r>
      <w:r>
        <w:rPr>
          <w:rStyle w:val="AERtextitalic"/>
        </w:rPr>
        <w:t>Victorian electricity distribution network service providers: Distribution determination 2011</w:t>
      </w:r>
      <w:r w:rsidRPr="00CD127D">
        <w:rPr>
          <w:rStyle w:val="AERtextitalic"/>
        </w:rPr>
        <w:t>–</w:t>
      </w:r>
      <w:r>
        <w:rPr>
          <w:rStyle w:val="AERtextitalic"/>
        </w:rPr>
        <w:t>2015</w:t>
      </w:r>
      <w:r>
        <w:t xml:space="preserve">, October 2010. </w:t>
      </w:r>
    </w:p>
    <w:p w:rsidR="00E613F0" w:rsidRPr="00E8225A" w:rsidRDefault="00E613F0" w:rsidP="00E613F0">
      <w:pPr>
        <w:pStyle w:val="AERtablesource"/>
        <w:rPr>
          <w:rStyle w:val="AERtextsize8"/>
        </w:rPr>
      </w:pPr>
      <w:r>
        <w:rPr>
          <w:rStyle w:val="AERtextsize8"/>
        </w:rPr>
        <w:t>*</w:t>
      </w:r>
      <w:r>
        <w:rPr>
          <w:rStyle w:val="AERtextsize8"/>
        </w:rPr>
        <w:tab/>
      </w:r>
      <w:r w:rsidRPr="00E8225A">
        <w:rPr>
          <w:rStyle w:val="AERtextsize8"/>
        </w:rPr>
        <w:t>Calculated with a placeholder averaging period of 20 business days to 30 September 2015.</w:t>
      </w:r>
    </w:p>
    <w:p w:rsidR="00E613F0" w:rsidRPr="00E613F0" w:rsidRDefault="00E613F0" w:rsidP="00E613F0">
      <w:pPr>
        <w:pStyle w:val="AERtablesource"/>
      </w:pPr>
      <w:r w:rsidRPr="00E8225A">
        <w:rPr>
          <w:rStyle w:val="AERtextsize8"/>
        </w:rPr>
        <w:t>**</w:t>
      </w:r>
      <w:r>
        <w:rPr>
          <w:rStyle w:val="AERtextsize8"/>
        </w:rPr>
        <w:tab/>
      </w:r>
      <w:r w:rsidRPr="00E8225A">
        <w:rPr>
          <w:rStyle w:val="AERtextsize8"/>
        </w:rPr>
        <w:t>Calculated with an averaging period of 20 business days up to 26 February 2016 agreed upon in advance of its commencement.</w:t>
      </w:r>
    </w:p>
    <w:p w:rsidR="008D02F0" w:rsidRPr="008D02F0" w:rsidRDefault="008D02F0" w:rsidP="002F7710">
      <w:r>
        <w:t>Our final decision on the return on debt approach is to:</w:t>
      </w:r>
    </w:p>
    <w:p w:rsidR="008D02F0" w:rsidRDefault="008D02F0" w:rsidP="008D02F0">
      <w:pPr>
        <w:pStyle w:val="AERbulletlistfirststyle"/>
      </w:pPr>
      <w:r>
        <w:t>estimate</w:t>
      </w:r>
      <w:r w:rsidRPr="00F17A9D">
        <w:t xml:space="preserve"> </w:t>
      </w:r>
      <w:r w:rsidR="00FD23FD">
        <w:t xml:space="preserve">the return on debt using an </w:t>
      </w:r>
      <w:r w:rsidR="00FD23FD" w:rsidRPr="00F17A9D">
        <w:t xml:space="preserve">on-the-day </w:t>
      </w:r>
      <w:r w:rsidR="00FD23FD">
        <w:t>approach</w:t>
      </w:r>
      <w:r w:rsidR="00FD23FD" w:rsidRPr="00F17A9D">
        <w:t xml:space="preserve"> (</w:t>
      </w:r>
      <w:r w:rsidR="00FD23FD">
        <w:t xml:space="preserve">that is, </w:t>
      </w:r>
      <w:r w:rsidR="00FD23FD" w:rsidRPr="00F17A9D">
        <w:t>based on prevailing market conditions</w:t>
      </w:r>
      <w:r w:rsidR="00FD23FD">
        <w:t xml:space="preserve"> near the commencement of the regulatory control period</w:t>
      </w:r>
      <w:r w:rsidR="00FD23FD" w:rsidRPr="00F17A9D">
        <w:t>)</w:t>
      </w:r>
      <w:r w:rsidRPr="00F17A9D">
        <w:t xml:space="preserve">in the first regulatory year </w:t>
      </w:r>
      <w:r>
        <w:t xml:space="preserve">(2016) </w:t>
      </w:r>
      <w:r w:rsidRPr="00F17A9D">
        <w:t>of</w:t>
      </w:r>
      <w:r>
        <w:t xml:space="preserve"> the 2016–20</w:t>
      </w:r>
      <w:r w:rsidRPr="00F17A9D">
        <w:t xml:space="preserve"> </w:t>
      </w:r>
      <w:r>
        <w:t xml:space="preserve">regulatory control </w:t>
      </w:r>
      <w:r w:rsidRPr="00F17A9D">
        <w:t>period</w:t>
      </w:r>
      <w:r>
        <w:t>, and</w:t>
      </w:r>
    </w:p>
    <w:p w:rsidR="008D02F0" w:rsidRDefault="008D02F0" w:rsidP="008D02F0">
      <w:pPr>
        <w:pStyle w:val="AERbulletlistfirststyle"/>
      </w:pPr>
      <w:r>
        <w:t>gradually transition</w:t>
      </w:r>
      <w:r w:rsidRPr="00F17A9D">
        <w:t xml:space="preserve"> this </w:t>
      </w:r>
      <w:r w:rsidR="001F39D9">
        <w:t>approach</w:t>
      </w:r>
      <w:r w:rsidRPr="00F17A9D">
        <w:t xml:space="preserve"> into a trailing average approach (</w:t>
      </w:r>
      <w:r>
        <w:t xml:space="preserve">that is, </w:t>
      </w:r>
      <w:r w:rsidRPr="00F17A9D">
        <w:t>a moving historical average) over 10 years.</w:t>
      </w:r>
      <w:r>
        <w:rPr>
          <w:rStyle w:val="FootnoteReference"/>
        </w:rPr>
        <w:footnoteReference w:id="15"/>
      </w:r>
    </w:p>
    <w:p w:rsidR="008D02F0" w:rsidRPr="00235F75" w:rsidRDefault="008D02F0" w:rsidP="008D02F0">
      <w:r w:rsidRPr="00F17A9D">
        <w:t xml:space="preserve">This gradual transition will occur through updating 10 per cent of the </w:t>
      </w:r>
      <w:r w:rsidR="00FD23FD">
        <w:t xml:space="preserve">entire </w:t>
      </w:r>
      <w:r w:rsidRPr="00F17A9D">
        <w:t>return on debt each year to reflect prevailing market conditions in that year</w:t>
      </w:r>
      <w:r w:rsidR="00FD23FD">
        <w:t xml:space="preserve"> (a full transition)</w:t>
      </w:r>
      <w:r w:rsidR="00FD23FD" w:rsidRPr="00F17A9D">
        <w:t>.</w:t>
      </w:r>
      <w:r w:rsidR="00FD23FD">
        <w:rPr>
          <w:rStyle w:val="FootnoteReference"/>
        </w:rPr>
        <w:footnoteReference w:id="16"/>
      </w:r>
      <w:r>
        <w:t xml:space="preserve"> This approach is consistent with the approached we proposed in the Guideline and adopted in the preliminary decision. </w:t>
      </w:r>
      <w:r w:rsidRPr="00235F75">
        <w:t xml:space="preserve">Our </w:t>
      </w:r>
      <w:r>
        <w:t>final decision is to estimate the return on debt in each regulatory year by reference to</w:t>
      </w:r>
      <w:r w:rsidRPr="00235F75">
        <w:t>:</w:t>
      </w:r>
    </w:p>
    <w:p w:rsidR="008D02F0" w:rsidRPr="00CC2262" w:rsidRDefault="008D02F0" w:rsidP="008D02F0">
      <w:pPr>
        <w:pStyle w:val="AERbulletlistfirststyle"/>
      </w:pPr>
      <w:r w:rsidRPr="00235F75">
        <w:t>a benchmark credit rating of BBB+</w:t>
      </w:r>
    </w:p>
    <w:p w:rsidR="008D02F0" w:rsidRPr="00CC2262" w:rsidRDefault="008D02F0" w:rsidP="008D02F0">
      <w:pPr>
        <w:pStyle w:val="AERbulletlistfirststyle"/>
      </w:pPr>
      <w:r w:rsidRPr="00235F75">
        <w:t>a benchmark term of debt of 10 years</w:t>
      </w:r>
    </w:p>
    <w:p w:rsidR="008D02F0" w:rsidRPr="00CC2262" w:rsidRDefault="008D02F0" w:rsidP="008D02F0">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r>
        <w:rPr>
          <w:rStyle w:val="FootnoteReference"/>
        </w:rPr>
        <w:footnoteReference w:id="17"/>
      </w:r>
    </w:p>
    <w:p w:rsidR="008D02F0" w:rsidRPr="00CC2262" w:rsidRDefault="008D02F0" w:rsidP="008D02F0">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consistent with </w:t>
      </w:r>
      <w:r>
        <w:t>certain</w:t>
      </w:r>
      <w:r w:rsidRPr="00235F75">
        <w:t xml:space="preserve"> conditions </w:t>
      </w:r>
      <w:r>
        <w:t xml:space="preserve">that </w:t>
      </w:r>
      <w:r w:rsidRPr="00235F75">
        <w:t xml:space="preserve">we proposed in the </w:t>
      </w:r>
      <w:r>
        <w:t>G</w:t>
      </w:r>
      <w:r w:rsidRPr="00235F75">
        <w:t>uideline.</w:t>
      </w:r>
      <w:r w:rsidRPr="00135F86">
        <w:rPr>
          <w:rStyle w:val="FootnoteReference"/>
        </w:rPr>
        <w:footnoteReference w:id="18"/>
      </w:r>
    </w:p>
    <w:p w:rsidR="00FD23FD" w:rsidRDefault="00FD23FD" w:rsidP="00FD23FD">
      <w:pPr>
        <w:numPr>
          <w:ilvl w:val="0"/>
          <w:numId w:val="24"/>
        </w:numPr>
      </w:pPr>
      <w:r>
        <w:t>It is worth noting that the Tribunal recently reviewed several aspects of our approach to estimating the allowed return on debt in recent decisions for ActewAGL, Jemena Gas Networks and Networks NSW. Specifically, the Tribunal was asked to review:</w:t>
      </w:r>
    </w:p>
    <w:p w:rsidR="00FD23FD" w:rsidRPr="00454ED0" w:rsidRDefault="00FD23FD" w:rsidP="00FD23FD">
      <w:pPr>
        <w:pStyle w:val="AERbulletlistfirststyle"/>
      </w:pPr>
      <w:r>
        <w:t>Whether a</w:t>
      </w:r>
      <w:r w:rsidRPr="00454ED0">
        <w:t xml:space="preserve"> benchmark</w:t>
      </w:r>
      <w:r>
        <w:t xml:space="preserve"> efficient entity would have a</w:t>
      </w:r>
      <w:r w:rsidRPr="00454ED0">
        <w:t xml:space="preserve"> credit rating </w:t>
      </w:r>
      <w:r>
        <w:t>of</w:t>
      </w:r>
      <w:r w:rsidRPr="00454ED0">
        <w:t xml:space="preserve"> BBB rather than BBB+. </w:t>
      </w:r>
      <w:r>
        <w:t>It</w:t>
      </w:r>
      <w:r w:rsidRPr="00454ED0">
        <w:t xml:space="preserve"> upheld our decision to define </w:t>
      </w:r>
      <w:r>
        <w:t>a</w:t>
      </w:r>
      <w:r w:rsidRPr="00454ED0">
        <w:t xml:space="preserve"> benchmark credit rating as a BBB+ credit rating.</w:t>
      </w:r>
      <w:r w:rsidRPr="00454ED0">
        <w:rPr>
          <w:rStyle w:val="FootnoteReference"/>
        </w:rPr>
        <w:footnoteReference w:id="19"/>
      </w:r>
    </w:p>
    <w:p w:rsidR="00FD23FD" w:rsidRPr="00454ED0" w:rsidRDefault="00FD23FD" w:rsidP="00FD23FD">
      <w:pPr>
        <w:pStyle w:val="AERbulletlistfirststyle"/>
      </w:pPr>
      <w:r>
        <w:t xml:space="preserve">Whether we should estimate </w:t>
      </w:r>
      <w:r w:rsidRPr="00454ED0">
        <w:t>the allowed return on debt using the RBA data series alone or a simple average of the RBA and Bloomberg data series. It upheld our decision and found that</w:t>
      </w:r>
      <w:r>
        <w:t>, 'a</w:t>
      </w:r>
      <w:r w:rsidRPr="00454ED0">
        <w:t>veraging of the two curves was an acceptable measure of the DR</w:t>
      </w:r>
      <w:r>
        <w:t>P'.</w:t>
      </w:r>
      <w:r w:rsidRPr="00454ED0">
        <w:rPr>
          <w:rStyle w:val="FootnoteReference"/>
        </w:rPr>
        <w:t xml:space="preserve"> </w:t>
      </w:r>
      <w:r w:rsidRPr="00454ED0">
        <w:rPr>
          <w:rStyle w:val="FootnoteReference"/>
        </w:rPr>
        <w:footnoteReference w:id="20"/>
      </w:r>
    </w:p>
    <w:p w:rsidR="00FD23FD" w:rsidRPr="00454ED0" w:rsidRDefault="00FD23FD" w:rsidP="00FD23FD">
      <w:pPr>
        <w:pStyle w:val="AERbulletlistfirststyle"/>
      </w:pPr>
      <w:r>
        <w:t>Whether we should transition all of the return on debt</w:t>
      </w:r>
      <w:r>
        <w:rPr>
          <w:rStyle w:val="FootnoteReference"/>
        </w:rPr>
        <w:footnoteReference w:id="21"/>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It remitted the determination back to us to make a </w:t>
      </w:r>
      <w:r w:rsidRPr="00454ED0">
        <w:t xml:space="preserve">constituent decision </w:t>
      </w:r>
      <w:r>
        <w:t>on</w:t>
      </w:r>
      <w:r w:rsidRPr="00454ED0">
        <w:t xml:space="preserve"> </w:t>
      </w:r>
      <w:r>
        <w:t>introducing</w:t>
      </w:r>
      <w:r w:rsidRPr="00454ED0">
        <w:t xml:space="preserve"> the trailing average approach</w:t>
      </w:r>
      <w:r>
        <w:t xml:space="preserve"> in accordance with several reasons outlined in its decision.</w:t>
      </w:r>
      <w:r>
        <w:rPr>
          <w:rStyle w:val="FootnoteReference"/>
        </w:rPr>
        <w:footnoteReference w:id="22"/>
      </w:r>
      <w:r>
        <w:t xml:space="preserve"> We note the Tribunal's decision in section </w:t>
      </w:r>
      <w:r w:rsidR="00272C02">
        <w:fldChar w:fldCharType="begin"/>
      </w:r>
      <w:r w:rsidR="00272C02">
        <w:instrText xml:space="preserve"> REF _Ref451543236 \r \h </w:instrText>
      </w:r>
      <w:r w:rsidR="00272C02">
        <w:fldChar w:fldCharType="separate"/>
      </w:r>
      <w:r w:rsidR="00272C02">
        <w:t>3.4.2</w:t>
      </w:r>
      <w:r w:rsidR="00272C02">
        <w:fldChar w:fldCharType="end"/>
      </w:r>
      <w:r>
        <w:t xml:space="preserve"> and Appendix</w:t>
      </w:r>
      <w:r w:rsidR="00DD2E09">
        <w:t xml:space="preserve"> </w:t>
      </w:r>
      <w:r w:rsidR="00DD2E09">
        <w:fldChar w:fldCharType="begin"/>
      </w:r>
      <w:r w:rsidR="00DD2E09">
        <w:instrText xml:space="preserve"> REF _Ref451265869 \r \h </w:instrText>
      </w:r>
      <w:r w:rsidR="00DD2E09">
        <w:fldChar w:fldCharType="separate"/>
      </w:r>
      <w:r w:rsidR="00BA2E8E">
        <w:t>H</w:t>
      </w:r>
      <w:r w:rsidR="00DD2E09">
        <w:fldChar w:fldCharType="end"/>
      </w:r>
      <w:r>
        <w:t>.</w:t>
      </w:r>
    </w:p>
    <w:p w:rsidR="008D02F0" w:rsidRDefault="008D02F0" w:rsidP="008D02F0">
      <w:pPr>
        <w:numPr>
          <w:ilvl w:val="0"/>
          <w:numId w:val="24"/>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23"/>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w:t>
      </w:r>
      <w:r>
        <w:rPr>
          <w:rStyle w:val="FootnoteReference"/>
        </w:rPr>
        <w:footnoteReference w:id="24"/>
      </w:r>
      <w:r w:rsidRPr="00235F75">
        <w:t xml:space="preserve"> </w:t>
      </w:r>
      <w:r>
        <w:t>In the preliminary decision, w</w:t>
      </w:r>
      <w:r w:rsidRPr="00235F75">
        <w:t xml:space="preserve">e </w:t>
      </w:r>
      <w:r>
        <w:t xml:space="preserve">formed a view on this issue and adopted a simple average of the RBA and Bloomberg data series. </w:t>
      </w:r>
      <w:r w:rsidR="00C9679C">
        <w:t xml:space="preserve">Since then, </w:t>
      </w:r>
      <w:r w:rsidR="00C9679C" w:rsidRPr="002E41F8">
        <w:t xml:space="preserve">several service providers </w:t>
      </w:r>
      <w:r w:rsidR="00C9679C">
        <w:t>have proposed</w:t>
      </w:r>
      <w:r w:rsidR="00C9679C" w:rsidRPr="002E41F8">
        <w:t xml:space="preserve"> to adopt a Thomson Reuters 10 year yield curve in addition to or in place of </w:t>
      </w:r>
      <w:r w:rsidR="00C9679C">
        <w:t xml:space="preserve">the </w:t>
      </w:r>
      <w:r w:rsidR="00C9679C" w:rsidRPr="002E41F8">
        <w:t xml:space="preserve">Bloomberg </w:t>
      </w:r>
      <w:r w:rsidR="00C9679C">
        <w:t>data series</w:t>
      </w:r>
      <w:r w:rsidR="00C9679C" w:rsidRPr="002E41F8">
        <w:t xml:space="preserve">. </w:t>
      </w:r>
      <w:r w:rsidR="00C9679C">
        <w:t xml:space="preserve">We have considered these proposals but maintain our preliminary decision position for reasons discussed in section </w:t>
      </w:r>
      <w:r w:rsidR="00272C02">
        <w:fldChar w:fldCharType="begin"/>
      </w:r>
      <w:r w:rsidR="00272C02">
        <w:instrText xml:space="preserve"> REF _Ref451543236 \r \h </w:instrText>
      </w:r>
      <w:r w:rsidR="00272C02">
        <w:fldChar w:fldCharType="separate"/>
      </w:r>
      <w:r w:rsidR="00272C02">
        <w:t>3.4.2</w:t>
      </w:r>
      <w:r w:rsidR="00272C02">
        <w:fldChar w:fldCharType="end"/>
      </w:r>
      <w:r w:rsidR="00C9679C">
        <w:t>.</w:t>
      </w:r>
    </w:p>
    <w:p w:rsidR="008D02F0" w:rsidRDefault="008D02F0" w:rsidP="008D02F0">
      <w:r>
        <w:t xml:space="preserve">Our formula for automatically updating </w:t>
      </w:r>
      <w:r w:rsidRPr="00C6581F">
        <w:t>the return on debt</w:t>
      </w:r>
      <w:r w:rsidRPr="006C2A62">
        <w:t xml:space="preserve"> </w:t>
      </w:r>
      <w:r>
        <w:t xml:space="preserve">annually is set out in Appendix </w:t>
      </w:r>
      <w:r w:rsidR="00DD2E09">
        <w:fldChar w:fldCharType="begin"/>
      </w:r>
      <w:r w:rsidR="00DD2E09">
        <w:instrText xml:space="preserve"> REF _Ref451265888 \r \h </w:instrText>
      </w:r>
      <w:r w:rsidR="00DD2E09">
        <w:fldChar w:fldCharType="separate"/>
      </w:r>
      <w:r w:rsidR="00BA2E8E">
        <w:t>J</w:t>
      </w:r>
      <w:r w:rsidR="00DD2E09">
        <w:fldChar w:fldCharType="end"/>
      </w:r>
      <w:r w:rsidR="00DD2E09">
        <w:t xml:space="preserve"> </w:t>
      </w:r>
      <w:r>
        <w:t>of this decision.</w:t>
      </w:r>
    </w:p>
    <w:p w:rsidR="008D02F0" w:rsidRDefault="008D02F0" w:rsidP="0056045B">
      <w:pPr>
        <w:pStyle w:val="Heading2"/>
        <w:keepNext/>
      </w:pPr>
      <w:bookmarkStart w:id="76" w:name="_Toc437001926"/>
      <w:bookmarkStart w:id="77" w:name="_Toc451678615"/>
      <w:r>
        <w:t>CitiPower's revised proposal</w:t>
      </w:r>
      <w:bookmarkEnd w:id="76"/>
      <w:bookmarkEnd w:id="77"/>
    </w:p>
    <w:p w:rsidR="008D02F0" w:rsidRDefault="008D02F0" w:rsidP="0056045B">
      <w:pPr>
        <w:pStyle w:val="HeadingBoldBlue"/>
        <w:keepNext/>
        <w:numPr>
          <w:ilvl w:val="0"/>
          <w:numId w:val="24"/>
        </w:numPr>
      </w:pPr>
      <w:bookmarkStart w:id="78" w:name="_Toc430178091"/>
      <w:bookmarkStart w:id="79" w:name="_Toc430178372"/>
      <w:r>
        <w:t>Return on equity</w:t>
      </w:r>
      <w:bookmarkEnd w:id="78"/>
      <w:bookmarkEnd w:id="79"/>
    </w:p>
    <w:p w:rsidR="008D02F0" w:rsidRDefault="008D02F0" w:rsidP="0056045B">
      <w:pPr>
        <w:keepNext/>
        <w:numPr>
          <w:ilvl w:val="0"/>
          <w:numId w:val="24"/>
        </w:numPr>
      </w:pPr>
      <w:r>
        <w:t>CitiPower</w:t>
      </w:r>
      <w:r w:rsidRPr="00F1535D">
        <w:t xml:space="preserve"> proposed a</w:t>
      </w:r>
      <w:r>
        <w:t xml:space="preserve"> return on equity estimate of </w:t>
      </w:r>
      <w:r w:rsidR="002F7710">
        <w:t>9.89</w:t>
      </w:r>
      <w:r>
        <w:t xml:space="preserve"> </w:t>
      </w:r>
      <w:r w:rsidRPr="00F1535D">
        <w:t>per cent</w:t>
      </w:r>
      <w:r>
        <w:t>.</w:t>
      </w:r>
      <w:r>
        <w:rPr>
          <w:rStyle w:val="FootnoteReference"/>
        </w:rPr>
        <w:footnoteReference w:id="25"/>
      </w:r>
      <w:r>
        <w:t xml:space="preserve"> This is based on a foundation model approach with parameter uplifts that incorporate information from a multiple model approach.</w:t>
      </w:r>
      <w:r>
        <w:rPr>
          <w:rStyle w:val="FootnoteReference"/>
        </w:rPr>
        <w:footnoteReference w:id="26"/>
      </w:r>
      <w:r>
        <w:t xml:space="preserve"> While presented differently, this is practically similar to CitiPower's initial proposed return on equity estimate, which was based on a multi-model approach</w:t>
      </w:r>
      <w:r w:rsidRPr="00F1535D">
        <w:t>.</w:t>
      </w:r>
      <w:r>
        <w:rPr>
          <w:rStyle w:val="FootnoteReference"/>
        </w:rPr>
        <w:footnoteReference w:id="27"/>
      </w:r>
    </w:p>
    <w:p w:rsidR="008D02F0" w:rsidRDefault="008D02F0" w:rsidP="008D02F0">
      <w:pPr>
        <w:pStyle w:val="HeadingBoldBlue"/>
        <w:numPr>
          <w:ilvl w:val="0"/>
          <w:numId w:val="24"/>
        </w:numPr>
      </w:pPr>
      <w:bookmarkStart w:id="80" w:name="_Toc430178092"/>
      <w:bookmarkStart w:id="81" w:name="_Toc430178373"/>
      <w:r>
        <w:t xml:space="preserve">Return on debt </w:t>
      </w:r>
      <w:bookmarkEnd w:id="80"/>
      <w:bookmarkEnd w:id="81"/>
    </w:p>
    <w:p w:rsidR="008D02F0" w:rsidRDefault="008D02F0" w:rsidP="008D02F0">
      <w:r>
        <w:t>In its revised regulatory proposal, CitiPower</w:t>
      </w:r>
      <w:r w:rsidRPr="00F1535D">
        <w:t xml:space="preserve"> </w:t>
      </w:r>
      <w:r>
        <w:t>proposed to depart from the position in its (initial) regulatory proposal on how to transition from the on-the-day approach to trailing average approach. CitiPower</w:t>
      </w:r>
      <w:r w:rsidRPr="00F1535D">
        <w:t xml:space="preserve"> </w:t>
      </w:r>
      <w:r w:rsidR="00473C12">
        <w:t xml:space="preserve">previously proposed to calculate its </w:t>
      </w:r>
      <w:r w:rsidR="00473C12" w:rsidRPr="00D77A5F">
        <w:t xml:space="preserve">return on debt using a </w:t>
      </w:r>
      <w:r w:rsidR="00473C12">
        <w:t xml:space="preserve">hybrid transition which combines a gradual transition of the base rate with a </w:t>
      </w:r>
      <w:r w:rsidR="00473C12" w:rsidRPr="00D77A5F">
        <w:t>backwards looking</w:t>
      </w:r>
      <w:r w:rsidR="00473C12">
        <w:t xml:space="preserve"> trailing average debt </w:t>
      </w:r>
      <w:r w:rsidR="00174A6B">
        <w:t>risk</w:t>
      </w:r>
      <w:r w:rsidR="00473C12">
        <w:t xml:space="preserve"> premium (DRP)</w:t>
      </w:r>
      <w:r w:rsidRPr="00D77A5F">
        <w:t xml:space="preserve">. </w:t>
      </w:r>
      <w:r>
        <w:t xml:space="preserve">However, it now proposes an immediate transition to a trailing average, using both a backwards looking base rate and </w:t>
      </w:r>
      <w:r w:rsidR="00C9679C">
        <w:t>DRP</w:t>
      </w:r>
      <w:r>
        <w:t>. As such, CitiPower</w:t>
      </w:r>
      <w:r w:rsidRPr="00F1535D">
        <w:t xml:space="preserve"> </w:t>
      </w:r>
      <w:r>
        <w:t>proposed a return on debt estimate of 7.</w:t>
      </w:r>
      <w:r w:rsidR="00AE3070">
        <w:t>76</w:t>
      </w:r>
      <w:r>
        <w:t xml:space="preserve"> per cent for regulatory year 2016.</w:t>
      </w:r>
      <w:r>
        <w:rPr>
          <w:rStyle w:val="FootnoteReference"/>
        </w:rPr>
        <w:footnoteReference w:id="28"/>
      </w:r>
    </w:p>
    <w:p w:rsidR="008D02F0" w:rsidRDefault="008D02F0" w:rsidP="008D02F0">
      <w:pPr>
        <w:numPr>
          <w:ilvl w:val="0"/>
          <w:numId w:val="24"/>
        </w:numPr>
      </w:pPr>
      <w:r>
        <w:t>In implementing the return on debt, CitiPower</w:t>
      </w:r>
      <w:r w:rsidRPr="00F1535D">
        <w:t xml:space="preserve"> </w:t>
      </w:r>
      <w:r>
        <w:t>proposed:</w:t>
      </w:r>
      <w:r w:rsidR="00A97F34">
        <w:rPr>
          <w:rStyle w:val="FootnoteReference"/>
        </w:rPr>
        <w:footnoteReference w:id="29"/>
      </w:r>
    </w:p>
    <w:p w:rsidR="008D02F0" w:rsidRDefault="008D02F0" w:rsidP="008D02F0">
      <w:pPr>
        <w:pStyle w:val="AERbulletlistfirststyle"/>
      </w:pPr>
      <w:r w:rsidRPr="00487B86">
        <w:t xml:space="preserve">a </w:t>
      </w:r>
      <w:r>
        <w:t xml:space="preserve">10 year term and </w:t>
      </w:r>
      <w:r w:rsidR="00AE3070" w:rsidRPr="00487B86">
        <w:t>BBB</w:t>
      </w:r>
      <w:r w:rsidR="00AE3070">
        <w:t xml:space="preserve"> to BBB+</w:t>
      </w:r>
      <w:r w:rsidR="00AE3070" w:rsidRPr="00487B86">
        <w:t xml:space="preserve"> </w:t>
      </w:r>
      <w:r w:rsidRPr="00487B86">
        <w:t xml:space="preserve">credit rating </w:t>
      </w:r>
      <w:r>
        <w:t xml:space="preserve">be used </w:t>
      </w:r>
      <w:r w:rsidRPr="00487B86">
        <w:t xml:space="preserve">which is different to the BBB+ </w:t>
      </w:r>
      <w:r>
        <w:t xml:space="preserve">rating we </w:t>
      </w:r>
      <w:r w:rsidRPr="00487B86">
        <w:t>proposed in the Guideline</w:t>
      </w:r>
      <w:r w:rsidR="00C9679C">
        <w:t>,</w:t>
      </w:r>
      <w:r>
        <w:t xml:space="preserve"> </w:t>
      </w:r>
    </w:p>
    <w:p w:rsidR="00A97F34" w:rsidRDefault="00A97F34" w:rsidP="00A97F34">
      <w:pPr>
        <w:pStyle w:val="AERbulletlistfirststyle"/>
      </w:pPr>
      <w:r w:rsidRPr="00A14E4E">
        <w:t xml:space="preserve">using </w:t>
      </w:r>
      <w:r>
        <w:t>our extrapolation method, and</w:t>
      </w:r>
    </w:p>
    <w:p w:rsidR="008D02F0" w:rsidRDefault="00A97F34" w:rsidP="00A97F34">
      <w:pPr>
        <w:pStyle w:val="AERbulletlistfirststyle"/>
      </w:pPr>
      <w:r>
        <w:t>using a simple average of RBA and BVAL data sources for years up to and including 2015, followed by a weighted average of RBA, BVAL and Reuters for years 2016 and beyond.</w:t>
      </w:r>
    </w:p>
    <w:p w:rsidR="008D02F0" w:rsidRDefault="008D02F0" w:rsidP="008D02F0">
      <w:pPr>
        <w:pStyle w:val="Heading2"/>
      </w:pPr>
      <w:bookmarkStart w:id="82" w:name="_Toc437001927"/>
      <w:bookmarkStart w:id="83" w:name="_Toc451678616"/>
      <w:r>
        <w:t>Assessment approach</w:t>
      </w:r>
      <w:bookmarkEnd w:id="82"/>
      <w:bookmarkEnd w:id="83"/>
    </w:p>
    <w:p w:rsidR="007201E8" w:rsidRDefault="007201E8" w:rsidP="007201E8">
      <w:pPr>
        <w:numPr>
          <w:ilvl w:val="0"/>
          <w:numId w:val="24"/>
        </w:numPr>
      </w:pPr>
      <w:r>
        <w:t>The National Electricity Law/National Gas Law (NEL/NGL) and rules (NER/NGR) form our framework for determining the rate of return. The key components of this framework include:</w:t>
      </w:r>
    </w:p>
    <w:p w:rsidR="007201E8" w:rsidRDefault="007201E8" w:rsidP="007201E8">
      <w:pPr>
        <w:pStyle w:val="AERbulletlistfirststyle"/>
      </w:pPr>
      <w:r>
        <w:t>national electricity/gas objective (NEO/NGO) and the RPPs in the</w:t>
      </w:r>
      <w:r w:rsidRPr="004919CC">
        <w:t xml:space="preserve"> </w:t>
      </w:r>
      <w:r>
        <w:t>NEL/NGL.</w:t>
      </w:r>
    </w:p>
    <w:p w:rsidR="007201E8" w:rsidRDefault="007201E8" w:rsidP="007201E8">
      <w:pPr>
        <w:pStyle w:val="AERbulletlistfirststyle"/>
      </w:pPr>
      <w:r>
        <w:t>the overall rate of return</w:t>
      </w:r>
      <w:r w:rsidRPr="003337B3">
        <w:t>―</w:t>
      </w:r>
      <w:r>
        <w:t>consisting of the allowed return on equity and debt</w:t>
      </w:r>
    </w:p>
    <w:p w:rsidR="007201E8" w:rsidRDefault="007201E8" w:rsidP="007201E8">
      <w:pPr>
        <w:pStyle w:val="AERbulletlistfirststyle"/>
      </w:pPr>
      <w:r>
        <w:t>the ARORO and its elements</w:t>
      </w:r>
    </w:p>
    <w:p w:rsidR="007201E8" w:rsidRDefault="007201E8" w:rsidP="007201E8">
      <w:pPr>
        <w:pStyle w:val="AERbulletlistfirststyle"/>
      </w:pPr>
      <w:r>
        <w:t>return on debt factors</w:t>
      </w:r>
    </w:p>
    <w:p w:rsidR="007201E8" w:rsidRDefault="007201E8" w:rsidP="007201E8">
      <w:pPr>
        <w:pStyle w:val="AERbulletlistfirststyle"/>
      </w:pPr>
      <w:r>
        <w:t>considering i</w:t>
      </w:r>
      <w:r w:rsidRPr="009A2092">
        <w:t>nterrelationships within the rate of return</w:t>
      </w:r>
    </w:p>
    <w:p w:rsidR="007201E8" w:rsidRPr="00A77770" w:rsidRDefault="007201E8" w:rsidP="007201E8">
      <w:pPr>
        <w:pStyle w:val="AERbulletlistfirststyle"/>
      </w:pPr>
      <w:r>
        <w:t xml:space="preserve">use of the </w:t>
      </w:r>
      <w:r w:rsidRPr="00A77770">
        <w:t xml:space="preserve">Guideline </w:t>
      </w:r>
    </w:p>
    <w:p w:rsidR="007201E8" w:rsidRDefault="007201E8" w:rsidP="007201E8">
      <w:pPr>
        <w:pStyle w:val="AERbulletlistfirststyle"/>
      </w:pPr>
      <w:r>
        <w:t>consideration of information before us.</w:t>
      </w:r>
    </w:p>
    <w:p w:rsidR="007201E8" w:rsidRPr="00B575CE" w:rsidRDefault="007201E8" w:rsidP="000D32D3">
      <w:pPr>
        <w:pStyle w:val="Heading3"/>
        <w:ind w:left="578" w:hanging="578"/>
      </w:pPr>
      <w:bookmarkStart w:id="84" w:name="_Toc450922711"/>
      <w:bookmarkStart w:id="85" w:name="_Toc451678617"/>
      <w:r>
        <w:t>National electricity and gas laws</w:t>
      </w:r>
      <w:bookmarkEnd w:id="84"/>
      <w:bookmarkEnd w:id="85"/>
    </w:p>
    <w:p w:rsidR="007201E8" w:rsidRPr="00762AAF" w:rsidRDefault="007201E8" w:rsidP="007201E8">
      <w:pPr>
        <w:numPr>
          <w:ilvl w:val="0"/>
          <w:numId w:val="24"/>
        </w:numPr>
      </w:pPr>
      <w:r w:rsidRPr="00762AAF">
        <w:t xml:space="preserve">In performing or exercising an economic regulatory function or power, we must do so in a manner that will or is likely to contribute to the </w:t>
      </w:r>
      <w:r>
        <w:t>NEO</w:t>
      </w:r>
      <w:r w:rsidRPr="00762AAF">
        <w:t>.</w:t>
      </w:r>
      <w:r w:rsidRPr="00762AAF">
        <w:rPr>
          <w:rStyle w:val="FootnoteReference"/>
        </w:rPr>
        <w:footnoteReference w:id="30"/>
      </w:r>
      <w:r w:rsidRPr="00762AAF">
        <w:t xml:space="preserve"> The </w:t>
      </w:r>
      <w:r>
        <w:t>NEO</w:t>
      </w:r>
      <w:r w:rsidRPr="00762AAF">
        <w:t xml:space="preserve"> states:</w:t>
      </w:r>
    </w:p>
    <w:p w:rsidR="007201E8" w:rsidRPr="00BF711B" w:rsidRDefault="007201E8" w:rsidP="007201E8">
      <w:pPr>
        <w:pStyle w:val="AERquote"/>
      </w:pPr>
      <w:r w:rsidRPr="00BF711B">
        <w:t>The objective of this Law is to promote efficient investment in, and efficient operation and use of, electricity services for the long term interests of consumers of electricity with respect to —</w:t>
      </w:r>
    </w:p>
    <w:p w:rsidR="007201E8" w:rsidRPr="00BF711B" w:rsidRDefault="007201E8" w:rsidP="007201E8">
      <w:pPr>
        <w:pStyle w:val="AERquote"/>
      </w:pPr>
      <w:r w:rsidRPr="00BF711B">
        <w:tab/>
        <w:t xml:space="preserve">(a) price, quality, safety, reliability and security of supply of electricity; </w:t>
      </w:r>
    </w:p>
    <w:p w:rsidR="007201E8" w:rsidRPr="00BF711B" w:rsidRDefault="007201E8" w:rsidP="007201E8">
      <w:pPr>
        <w:pStyle w:val="AERquote"/>
      </w:pPr>
      <w:r w:rsidRPr="00BF711B">
        <w:tab/>
        <w:t xml:space="preserve">(b) and the reliability, safety and security of the national electricity system. </w:t>
      </w:r>
    </w:p>
    <w:p w:rsidR="007201E8" w:rsidRDefault="007201E8" w:rsidP="007201E8">
      <w:pPr>
        <w:numPr>
          <w:ilvl w:val="0"/>
          <w:numId w:val="24"/>
        </w:numPr>
      </w:pPr>
      <w:r>
        <w:t>When we make a</w:t>
      </w:r>
      <w:r w:rsidRPr="00762AAF">
        <w:t xml:space="preserve"> distribution determination, </w:t>
      </w:r>
      <w:r>
        <w:t>and set</w:t>
      </w:r>
      <w:r w:rsidRPr="00762AAF">
        <w:t xml:space="preserve"> the rate of return </w:t>
      </w:r>
      <w:r>
        <w:t xml:space="preserve">we are exercising </w:t>
      </w:r>
      <w:r w:rsidRPr="00762AAF">
        <w:t>economic regulatory function</w:t>
      </w:r>
      <w:r>
        <w:t>s</w:t>
      </w:r>
      <w:r w:rsidRPr="00762AAF">
        <w:t xml:space="preserve"> or power</w:t>
      </w:r>
      <w:r>
        <w:t>s</w:t>
      </w:r>
      <w:r w:rsidRPr="00762AAF">
        <w:t xml:space="preserve">. </w:t>
      </w:r>
    </w:p>
    <w:p w:rsidR="007201E8" w:rsidRPr="00762AAF" w:rsidRDefault="007201E8" w:rsidP="007201E8">
      <w:pPr>
        <w:numPr>
          <w:ilvl w:val="0"/>
          <w:numId w:val="24"/>
        </w:numPr>
      </w:pPr>
      <w:r w:rsidRPr="00762AAF">
        <w:t xml:space="preserve">In addition, we </w:t>
      </w:r>
      <w:r>
        <w:t xml:space="preserve">must </w:t>
      </w:r>
      <w:r w:rsidRPr="00762AAF">
        <w:t xml:space="preserve">take into account the </w:t>
      </w:r>
      <w:r>
        <w:t>RPPs</w:t>
      </w:r>
      <w:r w:rsidRPr="00762AAF">
        <w:t xml:space="preserve"> when </w:t>
      </w:r>
      <w:r>
        <w:t xml:space="preserve">we </w:t>
      </w:r>
      <w:r w:rsidRPr="00762AAF">
        <w:t>exercis</w:t>
      </w:r>
      <w:r>
        <w:t>e</w:t>
      </w:r>
      <w:r w:rsidRPr="00762AAF">
        <w:t xml:space="preserve"> discretion.</w:t>
      </w:r>
      <w:r w:rsidRPr="00762AAF">
        <w:rPr>
          <w:rStyle w:val="FootnoteReference"/>
        </w:rPr>
        <w:footnoteReference w:id="31"/>
      </w:r>
      <w:r w:rsidRPr="00762AAF">
        <w:t xml:space="preserve"> In the context of the rate of return decision, we take particular account of the following </w:t>
      </w:r>
      <w:r>
        <w:t>RPPs</w:t>
      </w:r>
      <w:r w:rsidRPr="00762AAF">
        <w:t xml:space="preserve">: </w:t>
      </w:r>
    </w:p>
    <w:p w:rsidR="007201E8" w:rsidRPr="00762AAF" w:rsidRDefault="007201E8" w:rsidP="007201E8">
      <w:pPr>
        <w:pStyle w:val="AERbulletlistfirststyle"/>
      </w:pPr>
      <w:r w:rsidRPr="00762AAF">
        <w:t>A service provider should have a reasonable opportunity to recover at least the efficient costs the operator incurs in providing direct control network services.</w:t>
      </w:r>
      <w:r w:rsidRPr="00762AAF">
        <w:rPr>
          <w:rStyle w:val="FootnoteReference"/>
        </w:rPr>
        <w:footnoteReference w:id="32"/>
      </w:r>
    </w:p>
    <w:p w:rsidR="007201E8" w:rsidRPr="00762AAF" w:rsidRDefault="007201E8" w:rsidP="007201E8">
      <w:pPr>
        <w:pStyle w:val="AERbulletlistfirststyle"/>
      </w:pPr>
      <w:r w:rsidRPr="00762AAF">
        <w:t>A service provider should have effective incentives to promote economic efficiency in the direct control network services that it provides. That economic efficiency should include efficient investment in the electricity system, efficient provision of electricity network services, and the efficient use of the electricity system.</w:t>
      </w:r>
      <w:r w:rsidRPr="00762AAF">
        <w:rPr>
          <w:rStyle w:val="FootnoteReference"/>
        </w:rPr>
        <w:footnoteReference w:id="33"/>
      </w:r>
      <w:r w:rsidRPr="00762AAF">
        <w:rPr>
          <w:rStyle w:val="FootnoteReference"/>
        </w:rPr>
        <w:t xml:space="preserve"> </w:t>
      </w:r>
    </w:p>
    <w:p w:rsidR="007201E8" w:rsidRPr="00762AAF" w:rsidRDefault="007201E8" w:rsidP="007201E8">
      <w:pPr>
        <w:pStyle w:val="AERbulletlistfirststyle"/>
      </w:pPr>
      <w:r w:rsidRPr="00762AAF">
        <w:t xml:space="preserve">A price or charge should allow for a return that matches the regulatory and commercial risks </w:t>
      </w:r>
      <w:r>
        <w:t>involved in</w:t>
      </w:r>
      <w:r w:rsidRPr="00762AAF">
        <w:t xml:space="preserve"> providing the regulated service </w:t>
      </w:r>
      <w:r>
        <w:t>to which that</w:t>
      </w:r>
      <w:r w:rsidRPr="00762AAF">
        <w:t xml:space="preserve"> charge relates.</w:t>
      </w:r>
      <w:r w:rsidRPr="00762AAF">
        <w:rPr>
          <w:rStyle w:val="FootnoteReference"/>
        </w:rPr>
        <w:footnoteReference w:id="34"/>
      </w:r>
    </w:p>
    <w:p w:rsidR="007201E8" w:rsidRPr="00762AAF" w:rsidRDefault="007201E8" w:rsidP="007201E8">
      <w:pPr>
        <w:pStyle w:val="AERbulletlistfirststyle"/>
      </w:pPr>
      <w:r w:rsidRPr="00762AAF">
        <w:t>The economic costs and risks of the potential for under or over investment by a service provider in a distribution or transmission system that the service provider uses to provide regulated network services.</w:t>
      </w:r>
      <w:r w:rsidRPr="00762AAF">
        <w:rPr>
          <w:rStyle w:val="FootnoteReference"/>
        </w:rPr>
        <w:footnoteReference w:id="35"/>
      </w:r>
      <w:r w:rsidRPr="00762AAF">
        <w:t xml:space="preserve"> </w:t>
      </w:r>
    </w:p>
    <w:p w:rsidR="007201E8" w:rsidRDefault="007201E8" w:rsidP="007201E8">
      <w:pPr>
        <w:pStyle w:val="AERbulletlistfirststyle"/>
      </w:pPr>
      <w:r w:rsidRPr="00762AAF">
        <w:t>The economic costs and risks of the potential for under or over utilisation of a distribution or transmission system that the service provider uses to provide regulated network services.</w:t>
      </w:r>
      <w:r w:rsidRPr="00762AAF">
        <w:rPr>
          <w:rStyle w:val="FootnoteReference"/>
        </w:rPr>
        <w:footnoteReference w:id="36"/>
      </w:r>
      <w:r w:rsidRPr="00762AAF">
        <w:t xml:space="preserve"> </w:t>
      </w:r>
    </w:p>
    <w:p w:rsidR="007201E8" w:rsidRPr="00B575CE" w:rsidRDefault="007201E8" w:rsidP="000D32D3">
      <w:pPr>
        <w:pStyle w:val="Heading3"/>
        <w:ind w:left="578" w:hanging="578"/>
      </w:pPr>
      <w:bookmarkStart w:id="86" w:name="_Toc450922712"/>
      <w:bookmarkStart w:id="87" w:name="_Toc451678618"/>
      <w:r>
        <w:t>The overall rate of return</w:t>
      </w:r>
      <w:bookmarkEnd w:id="86"/>
      <w:bookmarkEnd w:id="87"/>
    </w:p>
    <w:p w:rsidR="007201E8" w:rsidRDefault="007201E8" w:rsidP="007201E8">
      <w:pPr>
        <w:numPr>
          <w:ilvl w:val="0"/>
          <w:numId w:val="24"/>
        </w:numPr>
      </w:pPr>
      <w:r w:rsidRPr="003248EB">
        <w:t>The</w:t>
      </w:r>
      <w:r>
        <w:t xml:space="preserve"> rules require we determine the</w:t>
      </w:r>
      <w:r w:rsidRPr="003248EB">
        <w:t xml:space="preserve"> allowed rate of return for a regulatory year </w:t>
      </w:r>
      <w:r>
        <w:t xml:space="preserve">as </w:t>
      </w:r>
      <w:r w:rsidRPr="003248EB">
        <w:t xml:space="preserve">a weighted average of the return on equity for the </w:t>
      </w:r>
      <w:r>
        <w:t xml:space="preserve">regulatory </w:t>
      </w:r>
      <w:r w:rsidR="00965241">
        <w:t xml:space="preserve">control </w:t>
      </w:r>
      <w:r>
        <w:t xml:space="preserve">period </w:t>
      </w:r>
      <w:r w:rsidRPr="003248EB">
        <w:t>in which that regulatory year occurs and the return o</w:t>
      </w:r>
      <w:r>
        <w:t>n debt for that regulatory year. This must be determined on a nominal vanilla basis that is consistent with the estimate of the value of imputation credits.</w:t>
      </w:r>
      <w:r w:rsidRPr="00D5405B">
        <w:rPr>
          <w:rStyle w:val="FootnoteReference"/>
        </w:rPr>
        <w:footnoteReference w:id="37"/>
      </w:r>
      <w:r>
        <w:t xml:space="preserve"> </w:t>
      </w:r>
      <w:r w:rsidRPr="00E75E61">
        <w:t xml:space="preserve">In </w:t>
      </w:r>
      <w:r>
        <w:t>determining</w:t>
      </w:r>
      <w:r w:rsidRPr="00E75E61">
        <w:t xml:space="preserve"> the allowed rate of return, </w:t>
      </w:r>
      <w:r>
        <w:t xml:space="preserve">we must have regard to </w:t>
      </w:r>
      <w:r w:rsidRPr="00E75E61">
        <w:t>the desirability of consistent application of financi</w:t>
      </w:r>
      <w:r>
        <w:t>al parameters that are relevant or common to</w:t>
      </w:r>
      <w:r w:rsidRPr="00E75E61">
        <w:t xml:space="preserve"> the return on equity and debt</w:t>
      </w:r>
      <w:r>
        <w:t>.</w:t>
      </w:r>
      <w:r>
        <w:rPr>
          <w:rStyle w:val="FootnoteReference"/>
        </w:rPr>
        <w:footnoteReference w:id="38"/>
      </w:r>
    </w:p>
    <w:p w:rsidR="007201E8" w:rsidRDefault="007201E8" w:rsidP="007201E8">
      <w:pPr>
        <w:numPr>
          <w:ilvl w:val="0"/>
          <w:numId w:val="24"/>
        </w:numPr>
      </w:pPr>
      <w:r>
        <w:t>The rules require that we estimate the return on equity</w:t>
      </w:r>
      <w:r w:rsidRPr="00D14E31">
        <w:t xml:space="preserve"> for a regulatory </w:t>
      </w:r>
      <w:r w:rsidR="00965241">
        <w:t xml:space="preserve">control </w:t>
      </w:r>
      <w:r w:rsidRPr="00D14E31">
        <w:t>period</w:t>
      </w:r>
      <w:r>
        <w:t xml:space="preserve"> </w:t>
      </w:r>
      <w:r w:rsidRPr="00762AAF">
        <w:t xml:space="preserve">such that it contributes to the achievement of the </w:t>
      </w:r>
      <w:r w:rsidRPr="00D14E31">
        <w:t>ARORO. In estimating the return on equity, we have regard to the prevailing conditions in the market for equity funds.</w:t>
      </w:r>
      <w:r w:rsidRPr="00D14E31">
        <w:rPr>
          <w:rStyle w:val="FootnoteReference"/>
        </w:rPr>
        <w:footnoteReference w:id="39"/>
      </w:r>
    </w:p>
    <w:p w:rsidR="007201E8" w:rsidRPr="00762AAF" w:rsidRDefault="007201E8" w:rsidP="007201E8">
      <w:pPr>
        <w:numPr>
          <w:ilvl w:val="0"/>
          <w:numId w:val="24"/>
        </w:numPr>
      </w:pPr>
      <w:r>
        <w:t>We must determine the r</w:t>
      </w:r>
      <w:r w:rsidRPr="00762AAF">
        <w:t xml:space="preserve">eturn on debt for a regulatory year such that that it contributes to the achievement of the </w:t>
      </w:r>
      <w:r>
        <w:t>ARORO</w:t>
      </w:r>
      <w:r w:rsidRPr="00762AAF">
        <w:t>.</w:t>
      </w:r>
      <w:r w:rsidRPr="00762AAF">
        <w:rPr>
          <w:rStyle w:val="FootnoteReference"/>
        </w:rPr>
        <w:footnoteReference w:id="40"/>
      </w:r>
      <w:r>
        <w:t xml:space="preserve"> </w:t>
      </w:r>
      <w:r w:rsidRPr="00762AAF">
        <w:t xml:space="preserve">We </w:t>
      </w:r>
      <w:r>
        <w:t xml:space="preserve">may </w:t>
      </w:r>
      <w:r w:rsidRPr="00762AAF">
        <w:t>estimate the return on debt using a methodology which results in the return on debt (and consequently the allowed rate of return) being or potentially being, different for different regulatory years in the regulatory control period.</w:t>
      </w:r>
      <w:r w:rsidRPr="00762AAF">
        <w:rPr>
          <w:rStyle w:val="FootnoteReference"/>
        </w:rPr>
        <w:footnoteReference w:id="41"/>
      </w:r>
      <w:r>
        <w:t xml:space="preserve"> </w:t>
      </w:r>
      <w:r w:rsidRPr="00762AAF">
        <w:t>In estimating the return on debt we have regard to the following factors:</w:t>
      </w:r>
    </w:p>
    <w:p w:rsidR="007201E8" w:rsidRPr="00762AAF" w:rsidRDefault="007201E8" w:rsidP="007201E8">
      <w:pPr>
        <w:pStyle w:val="AERbulletlistfirststyle"/>
      </w:pPr>
      <w:r>
        <w:t>t</w:t>
      </w:r>
      <w:r w:rsidRPr="00762AAF">
        <w:t xml:space="preserve">he desirability of minimising any difference between the return on debt and the return on debt of a benchmark efficient entity referred to in the </w:t>
      </w:r>
      <w:r>
        <w:t>ARORO.</w:t>
      </w:r>
    </w:p>
    <w:p w:rsidR="007201E8" w:rsidRPr="00762AAF" w:rsidRDefault="007201E8" w:rsidP="007201E8">
      <w:pPr>
        <w:pStyle w:val="AERbulletlistfirststyle"/>
      </w:pPr>
      <w:r>
        <w:t>t</w:t>
      </w:r>
      <w:r w:rsidRPr="00762AAF">
        <w:t>he interrelationship between the return on equity and the return on debt</w:t>
      </w:r>
      <w:r>
        <w:t>.</w:t>
      </w:r>
    </w:p>
    <w:p w:rsidR="007201E8" w:rsidRPr="00762AAF" w:rsidRDefault="007201E8" w:rsidP="007201E8">
      <w:pPr>
        <w:pStyle w:val="AERbulletlistfirststyle"/>
      </w:pPr>
      <w:r>
        <w:t>t</w:t>
      </w:r>
      <w:r w:rsidRPr="00762AAF">
        <w:t>he incentive that the return on debt may provide in relation to capital expenditure over the regulatory control period, including as to the timing of capital expenditure</w:t>
      </w:r>
      <w:r>
        <w:t>.</w:t>
      </w:r>
    </w:p>
    <w:p w:rsidR="007201E8" w:rsidRPr="00796C00" w:rsidRDefault="007201E8" w:rsidP="007201E8">
      <w:pPr>
        <w:pStyle w:val="AERbulletlistfirststyle"/>
      </w:pPr>
      <w:r>
        <w:t>a</w:t>
      </w:r>
      <w:r w:rsidRPr="00762AAF">
        <w:t>ny impacts (including in relation to the costs of servicing debt across regulatory control periods) on a benchmark efficient en</w:t>
      </w:r>
      <w:r>
        <w:t xml:space="preserve">tity referred to in the </w:t>
      </w:r>
      <w:r w:rsidR="009C74CF">
        <w:t xml:space="preserve">ARORO </w:t>
      </w:r>
      <w:r w:rsidRPr="00762AAF">
        <w:t xml:space="preserve"> that could arise as a result of changing the methodology that is used to estimate the return on debt from one regulatory control period to the next.</w:t>
      </w:r>
      <w:r w:rsidRPr="00762AAF">
        <w:rPr>
          <w:rStyle w:val="FootnoteReference"/>
        </w:rPr>
        <w:footnoteReference w:id="42"/>
      </w:r>
      <w:r w:rsidRPr="00762AAF">
        <w:t xml:space="preserve"> </w:t>
      </w:r>
    </w:p>
    <w:p w:rsidR="007201E8" w:rsidRPr="00B575CE" w:rsidRDefault="007201E8" w:rsidP="0056045B">
      <w:pPr>
        <w:pStyle w:val="Heading3"/>
        <w:keepNext/>
        <w:ind w:left="578" w:hanging="578"/>
      </w:pPr>
      <w:bookmarkStart w:id="88" w:name="_Toc450922713"/>
      <w:bookmarkStart w:id="89" w:name="_Ref451543202"/>
      <w:bookmarkStart w:id="90" w:name="_Ref451543246"/>
      <w:bookmarkStart w:id="91" w:name="_Toc451678619"/>
      <w:bookmarkStart w:id="92" w:name="_Ref451679586"/>
      <w:bookmarkStart w:id="93" w:name="_Ref451729468"/>
      <w:r w:rsidRPr="00BB2CB7">
        <w:t>Allowed rate of return objective</w:t>
      </w:r>
      <w:bookmarkEnd w:id="88"/>
      <w:bookmarkEnd w:id="89"/>
      <w:bookmarkEnd w:id="90"/>
      <w:bookmarkEnd w:id="91"/>
      <w:bookmarkEnd w:id="92"/>
      <w:bookmarkEnd w:id="93"/>
    </w:p>
    <w:p w:rsidR="007201E8" w:rsidRPr="005100A9" w:rsidRDefault="007201E8" w:rsidP="0056045B">
      <w:pPr>
        <w:keepNext/>
        <w:numPr>
          <w:ilvl w:val="0"/>
          <w:numId w:val="24"/>
        </w:numPr>
        <w:rPr>
          <w:rStyle w:val="FootnoteReference"/>
        </w:rPr>
      </w:pPr>
      <w:r>
        <w:t xml:space="preserve">We are to determine the allowed rate of return such that it </w:t>
      </w:r>
      <w:r w:rsidRPr="003248EB">
        <w:t xml:space="preserve">achieves the </w:t>
      </w:r>
      <w:r>
        <w:t>ARORO. The objective is:</w:t>
      </w:r>
      <w:r w:rsidRPr="005100A9">
        <w:rPr>
          <w:rStyle w:val="FootnoteReference"/>
        </w:rPr>
        <w:footnoteReference w:id="43"/>
      </w:r>
    </w:p>
    <w:p w:rsidR="007201E8" w:rsidRDefault="007201E8" w:rsidP="0056045B">
      <w:pPr>
        <w:pStyle w:val="AERquote"/>
        <w:keepNext/>
      </w:pPr>
      <w:r w:rsidRPr="005100A9">
        <w:t xml:space="preserve">…that the rate of return for a </w:t>
      </w:r>
      <w:r>
        <w:t>distribution network service provider</w:t>
      </w:r>
      <w:r w:rsidRPr="005100A9">
        <w:t xml:space="preserve"> is to be commensurate with the efficient financing costs of a benchmark efficient entity with a similar degree of ris</w:t>
      </w:r>
      <w:r>
        <w:t xml:space="preserve">k as that which applies to the distribution network </w:t>
      </w:r>
      <w:r w:rsidRPr="005100A9">
        <w:t>service</w:t>
      </w:r>
      <w:r>
        <w:t xml:space="preserve"> provider</w:t>
      </w:r>
      <w:r w:rsidRPr="005100A9">
        <w:t xml:space="preserve"> in respect of the provision of </w:t>
      </w:r>
      <w:r>
        <w:t>standard control services</w:t>
      </w:r>
      <w:r w:rsidRPr="005100A9">
        <w:t>.</w:t>
      </w:r>
    </w:p>
    <w:p w:rsidR="007201E8" w:rsidRDefault="007201E8" w:rsidP="007201E8">
      <w:r w:rsidRPr="00F21B32">
        <w:t>The regulat</w:t>
      </w:r>
      <w:r>
        <w:t>ory regime is an ex-ante (forward looking) regime.</w:t>
      </w:r>
      <w:r>
        <w:rPr>
          <w:rStyle w:val="FootnoteReference"/>
        </w:rPr>
        <w:footnoteReference w:id="44"/>
      </w:r>
      <w:r>
        <w:t xml:space="preserve"> As such, we consider a </w:t>
      </w:r>
      <w:r w:rsidRPr="00723710">
        <w:t>rate of return that meets the ARORO must provide ex-ante compensation for efficient financing costs.</w:t>
      </w:r>
      <w:r>
        <w:rPr>
          <w:rStyle w:val="FootnoteReference"/>
        </w:rPr>
        <w:footnoteReference w:id="45"/>
      </w:r>
      <w:r w:rsidRPr="00723710">
        <w:t xml:space="preserve"> </w:t>
      </w:r>
      <w:r>
        <w:t>This return would give</w:t>
      </w:r>
      <w:r w:rsidRPr="007E018E">
        <w:t xml:space="preserve"> </w:t>
      </w:r>
      <w:r>
        <w:t xml:space="preserve">a </w:t>
      </w:r>
      <w:r w:rsidRPr="007E018E">
        <w:t xml:space="preserve">benchmark efficient entity a reasonable opportunity to recover </w:t>
      </w:r>
      <w:r>
        <w:t>at least</w:t>
      </w:r>
      <w:r w:rsidRPr="007E018E">
        <w:t xml:space="preserve"> </w:t>
      </w:r>
      <w:r>
        <w:t xml:space="preserve">its </w:t>
      </w:r>
      <w:r w:rsidRPr="007E018E">
        <w:t xml:space="preserve">efficient </w:t>
      </w:r>
      <w:r>
        <w:t xml:space="preserve">financing </w:t>
      </w:r>
      <w:r w:rsidRPr="00F243E1">
        <w:t>costs</w:t>
      </w:r>
      <w:r>
        <w:t>. This is a zero net present value (NPV) investment condition, which can be described as follows:</w:t>
      </w:r>
      <w:r>
        <w:rPr>
          <w:rStyle w:val="FootnoteReference"/>
        </w:rPr>
        <w:footnoteReference w:id="46"/>
      </w:r>
      <w:r>
        <w:t xml:space="preserve"> </w:t>
      </w:r>
    </w:p>
    <w:p w:rsidR="007201E8" w:rsidRDefault="007201E8" w:rsidP="007201E8">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7201E8" w:rsidRDefault="007201E8" w:rsidP="007201E8">
      <w:r>
        <w:t>Under our regulatory framework, a benchmark efficient entity's assets are captured in its RAB. The return on capital building block allows a benchmark efficient entity to finance (through debt and equity) investment in its network.</w:t>
      </w:r>
      <w:r>
        <w:rPr>
          <w:rStyle w:val="FootnoteReference"/>
        </w:rPr>
        <w:footnoteReference w:id="47"/>
      </w:r>
      <w:r>
        <w:t xml:space="preserve"> Because investments usually carry a degree of risk, to satisfy the zero NPV condition the allowed rate of return must be sufficient to compensate a benchmark efficient entity's debt and equity investors for the risk of their investment.</w:t>
      </w:r>
      <w:r>
        <w:rPr>
          <w:rStyle w:val="FootnoteReference"/>
        </w:rPr>
        <w:footnoteReference w:id="48"/>
      </w:r>
      <w:r>
        <w:t xml:space="preserve"> </w:t>
      </w:r>
    </w:p>
    <w:p w:rsidR="007201E8" w:rsidRDefault="007201E8" w:rsidP="007201E8">
      <w:pPr>
        <w:pStyle w:val="HeadingBoldBlue"/>
      </w:pPr>
      <w:bookmarkStart w:id="94" w:name="_Toc450922714"/>
      <w:r>
        <w:t>Elements of the ARORO—efficient financing costs</w:t>
      </w:r>
      <w:bookmarkEnd w:id="94"/>
    </w:p>
    <w:p w:rsidR="007201E8" w:rsidRDefault="007201E8" w:rsidP="007201E8">
      <w:r>
        <w:t xml:space="preserve">A key concept in the ARORO is 'efficient financing costs'. 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financing costs are reflected in the prevailing market cost of capital (or WACC) for an investment with a similar degree of risk as that which applies to a service provider in respect of the provision of regulated services.</w:t>
      </w:r>
      <w:r>
        <w:rPr>
          <w:rStyle w:val="FootnoteReference"/>
        </w:rPr>
        <w:footnoteReference w:id="49"/>
      </w:r>
      <w:r w:rsidRPr="00EE36F1">
        <w:t xml:space="preserve"> As Alfred Kahn stated</w:t>
      </w:r>
      <w:r>
        <w:t>, '</w:t>
      </w:r>
      <w:r w:rsidRPr="00EE36F1">
        <w:t>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r>
        <w:t>'.</w:t>
      </w:r>
      <w:r>
        <w:rPr>
          <w:rStyle w:val="FootnoteReference"/>
        </w:rPr>
        <w:footnoteReference w:id="50"/>
      </w:r>
    </w:p>
    <w:p w:rsidR="007201E8" w:rsidRDefault="007201E8" w:rsidP="007201E8">
      <w:r>
        <w:t>We consider employing a rate of return that is commensurate with the prevailing market cost of capital (or WACC) is consistent with the zero NPV investment condition (see above). We also consider economic efficiency more generally is advanced by employing a rate of return that reflects rates in the market for capital finance.</w:t>
      </w:r>
      <w:r>
        <w:rPr>
          <w:rStyle w:val="FootnoteReference"/>
        </w:rPr>
        <w:footnoteReference w:id="51"/>
      </w:r>
      <w:r>
        <w:t xml:space="preserve"> Similarly, Partington and Satchell interpret efficient financing costs as the opportunity cost of capital, which is a market rate of return for assets with a given level of risk.</w:t>
      </w:r>
      <w:r>
        <w:rPr>
          <w:rStyle w:val="FootnoteReference"/>
        </w:rPr>
        <w:footnoteReference w:id="52"/>
      </w:r>
      <w:r>
        <w:t xml:space="preserve"> </w:t>
      </w:r>
    </w:p>
    <w:p w:rsidR="007201E8" w:rsidRDefault="007201E8" w:rsidP="007201E8">
      <w:pPr>
        <w:pStyle w:val="HeadingBoldBlue"/>
      </w:pPr>
      <w:bookmarkStart w:id="95" w:name="_Toc450922715"/>
      <w:r>
        <w:t>Elements of the ARORO—benchmark efficient entity</w:t>
      </w:r>
      <w:bookmarkEnd w:id="95"/>
    </w:p>
    <w:p w:rsidR="007201E8" w:rsidRDefault="007201E8" w:rsidP="007201E8">
      <w:pPr>
        <w:numPr>
          <w:ilvl w:val="0"/>
          <w:numId w:val="24"/>
        </w:numPr>
      </w:pPr>
      <w:r>
        <w:t xml:space="preserve">A key concept in the ARORO is a 'benchmark efficient entity'. It is essential to recognise the context in which this term is used. The ARORO aims at setting </w:t>
      </w:r>
      <w:r w:rsidRPr="00D85725">
        <w:rPr>
          <w:rStyle w:val="AERtextitalic"/>
        </w:rPr>
        <w:t>the efficient financing costs</w:t>
      </w:r>
      <w:r>
        <w:t xml:space="preserve"> of a benchmark efficient entity </w:t>
      </w:r>
      <w:r w:rsidRPr="00D85725">
        <w:rPr>
          <w:rStyle w:val="AERtextitalic"/>
        </w:rPr>
        <w:t>with a similar degree of risk as that which applies to the service provider in respect of the provision of standard control services</w:t>
      </w:r>
      <w:r>
        <w:t>.  Given this, three important concepts to consider are: 'risk', 'similar' and 'standard control services'. Having understood these concepts, we can better understand a benchmark efficient entity to give effect to the ARORO.</w:t>
      </w:r>
    </w:p>
    <w:p w:rsidR="007201E8" w:rsidRPr="00E76063" w:rsidRDefault="007201E8" w:rsidP="007201E8">
      <w:pPr>
        <w:pStyle w:val="HeadingBoldItalic"/>
      </w:pPr>
      <w:r>
        <w:t>'</w:t>
      </w:r>
      <w:r w:rsidRPr="00E76063">
        <w:t>Risk</w:t>
      </w:r>
      <w:r>
        <w:t>'</w:t>
      </w:r>
    </w:p>
    <w:p w:rsidR="007201E8" w:rsidRDefault="007201E8" w:rsidP="007201E8">
      <w:pPr>
        <w:numPr>
          <w:ilvl w:val="0"/>
          <w:numId w:val="24"/>
        </w:numPr>
      </w:pPr>
      <w:r>
        <w:t xml:space="preserve">The risk of a benchmark efficient entity is a core element of the rate of return due to the important relation between risk and required returns in </w:t>
      </w:r>
      <w:r w:rsidRPr="00855447">
        <w:t>finance theory</w:t>
      </w:r>
      <w:r>
        <w:t>.</w:t>
      </w:r>
      <w:r w:rsidRPr="00855447">
        <w:t xml:space="preserve"> </w:t>
      </w:r>
      <w:r>
        <w:t>Risk is the degree of uncertainty about an event</w:t>
      </w:r>
      <w:r w:rsidRPr="00785554">
        <w:t>―</w:t>
      </w:r>
      <w:r>
        <w:t>such as the</w:t>
      </w:r>
      <w:r w:rsidRPr="00855447">
        <w:t xml:space="preserve"> uncertainty around the expectation of the return</w:t>
      </w:r>
      <w:r>
        <w:t xml:space="preserve"> on an investment.</w:t>
      </w:r>
      <w:r>
        <w:rPr>
          <w:rStyle w:val="FootnoteReference"/>
        </w:rPr>
        <w:footnoteReference w:id="53"/>
      </w:r>
      <w:r>
        <w:t xml:space="preserve"> It is strictly a </w:t>
      </w:r>
      <w:r w:rsidRPr="00855447">
        <w:t>forward looking concept</w:t>
      </w:r>
      <w:r>
        <w:t xml:space="preserve"> as no event is uncertain after it has occurred. </w:t>
      </w:r>
    </w:p>
    <w:p w:rsidR="007201E8" w:rsidRDefault="007201E8" w:rsidP="007201E8">
      <w:pPr>
        <w:numPr>
          <w:ilvl w:val="0"/>
          <w:numId w:val="24"/>
        </w:numPr>
      </w:pPr>
      <w:r>
        <w:t>'Risk' has a specific meaning in finance theory. As such, it is important to apply this specific meaning in setting a rate of return that achieves the ARORO. In finance, there are two distinct types of risk</w:t>
      </w:r>
      <w:r w:rsidRPr="00785554">
        <w:t>―</w:t>
      </w:r>
      <w:r>
        <w:t>systematic (market or non-diversifiable) and non-systematic (firm-specific or diversifiable).  That is, in finance:</w:t>
      </w:r>
      <w:r>
        <w:rPr>
          <w:rStyle w:val="FootnoteReference"/>
        </w:rPr>
        <w:footnoteReference w:id="54"/>
      </w:r>
    </w:p>
    <w:p w:rsidR="007201E8" w:rsidRDefault="007201E8" w:rsidP="007201E8">
      <w:pPr>
        <w:pStyle w:val="AERquote"/>
      </w:pPr>
      <w:r>
        <w:t xml:space="preserve">The risk of any share can be broken down into two parts. There is the </w:t>
      </w:r>
      <w:r w:rsidRPr="005772E3">
        <w:rPr>
          <w:rStyle w:val="AERtextitalic"/>
        </w:rPr>
        <w:t>unique risk</w:t>
      </w:r>
      <w:r>
        <w:t xml:space="preserve"> that is peculiar to that share, and there is the </w:t>
      </w:r>
      <w:r w:rsidRPr="005772E3">
        <w:rPr>
          <w:rStyle w:val="AERtextitalic"/>
        </w:rPr>
        <w:t>market risk</w:t>
      </w:r>
      <w:r>
        <w:t xml:space="preserve"> that is associated with market-wide variations. Investors can eliminate unique risk by holding a well-diversified portfolio, but they cannot eliminate market risk. </w:t>
      </w:r>
      <w:r w:rsidRPr="005772E3">
        <w:rPr>
          <w:rStyle w:val="AERtextitalic"/>
        </w:rPr>
        <w:t>All</w:t>
      </w:r>
      <w:r>
        <w:t xml:space="preserve"> the risk of a full diversified portfolio is market risk.</w:t>
      </w:r>
      <w:r w:rsidRPr="00855447">
        <w:t xml:space="preserve"> </w:t>
      </w:r>
    </w:p>
    <w:p w:rsidR="007201E8" w:rsidRDefault="007201E8" w:rsidP="007201E8">
      <w:r>
        <w:t>Similarly, McKenzie and Partington advise:</w:t>
      </w:r>
      <w:r>
        <w:rPr>
          <w:rStyle w:val="FootnoteReference"/>
        </w:rPr>
        <w:footnoteReference w:id="55"/>
      </w:r>
    </w:p>
    <w:p w:rsidR="007201E8" w:rsidRPr="0039604A" w:rsidRDefault="007201E8" w:rsidP="007201E8">
      <w:pPr>
        <w:pStyle w:val="AERquote"/>
      </w:pPr>
      <w:r w:rsidRPr="0039604A">
        <w:t xml:space="preserve">modern finance theory specifies that the risk to be compensated via the WACC is the non-diversifiable, or systematic, component of total risk (in simple terms, that risk which cannot be eliminated by holding stocks in a well diversified portfolio). This risk is measured as covariance, or equivalently beta, risk. </w:t>
      </w:r>
    </w:p>
    <w:p w:rsidR="007201E8" w:rsidRDefault="007201E8" w:rsidP="007201E8">
      <w:r w:rsidRPr="00121A2D">
        <w:t xml:space="preserve">The rate of return allows a benchmark efficient entity to compensate investors for </w:t>
      </w:r>
      <w:r>
        <w:t>the risk of committing capital to fund</w:t>
      </w:r>
      <w:r w:rsidRPr="00121A2D">
        <w:t xml:space="preserve"> investments </w:t>
      </w:r>
      <w:r>
        <w:t>in its</w:t>
      </w:r>
      <w:r w:rsidRPr="00121A2D">
        <w:t xml:space="preserve"> </w:t>
      </w:r>
      <w:r>
        <w:t>network</w:t>
      </w:r>
      <w:r w:rsidRPr="00121A2D">
        <w:t xml:space="preserve">. </w:t>
      </w:r>
      <w:r>
        <w:t>We do not consider</w:t>
      </w:r>
      <w:r w:rsidRPr="00121A2D">
        <w:t xml:space="preserve"> investors require compensation for all risk</w:t>
      </w:r>
      <w:r>
        <w:t xml:space="preserve"> facing a benchmark efficient entity.</w:t>
      </w:r>
      <w:r w:rsidRPr="00121A2D">
        <w:t xml:space="preserve"> </w:t>
      </w:r>
      <w:r>
        <w:t>In setting the allowed return on equity, we provide compensation for the systematic risk that a benchmark efficient entity would face through the equity beta (see section</w:t>
      </w:r>
      <w:r w:rsidR="000F4BC3">
        <w:t xml:space="preserve"> </w:t>
      </w:r>
      <w:r w:rsidR="000F4BC3">
        <w:fldChar w:fldCharType="begin"/>
      </w:r>
      <w:r w:rsidR="000F4BC3">
        <w:instrText xml:space="preserve"> REF _Ref451348548 \r \h </w:instrText>
      </w:r>
      <w:r w:rsidR="000F4BC3">
        <w:fldChar w:fldCharType="separate"/>
      </w:r>
      <w:r w:rsidR="00BA2E8E">
        <w:t>3.4.1</w:t>
      </w:r>
      <w:r w:rsidR="000F4BC3">
        <w:fldChar w:fldCharType="end"/>
      </w:r>
      <w:r>
        <w:t xml:space="preserve">). </w:t>
      </w:r>
      <w:r w:rsidRPr="00630B48">
        <w:t>The equity beta under the Sharpe–Lintner capital asset pricing model (CAPM) measures systematic risk</w:t>
      </w:r>
      <w:r>
        <w:t xml:space="preserve"> as</w:t>
      </w:r>
      <w:r w:rsidRPr="00630B48">
        <w:t xml:space="preserve"> the sensitivity of an asset or business</w:t>
      </w:r>
      <w:r>
        <w:rPr>
          <w:rStyle w:val="FootnoteReference"/>
        </w:rPr>
        <w:footnoteReference w:id="56"/>
      </w:r>
      <w:r w:rsidRPr="00630B48">
        <w:t xml:space="preserve"> to the </w:t>
      </w:r>
      <w:r>
        <w:t>overall movements in the market. It does this by measuring t</w:t>
      </w:r>
      <w:r w:rsidRPr="00630B48">
        <w:t xml:space="preserve">he standardised correlation between the returns on </w:t>
      </w:r>
      <w:r>
        <w:t xml:space="preserve">this </w:t>
      </w:r>
      <w:r w:rsidRPr="00630B48">
        <w:t>asset or business with that of the overall market.</w:t>
      </w:r>
      <w:r>
        <w:rPr>
          <w:rStyle w:val="FootnoteReference"/>
        </w:rPr>
        <w:footnoteReference w:id="57"/>
      </w:r>
      <w:r>
        <w:t xml:space="preserve"> T</w:t>
      </w:r>
      <w:r w:rsidRPr="00CE4978">
        <w:t>he key risks for debt holders are systematic (beta) risk, credit risk</w:t>
      </w:r>
      <w:r>
        <w:t xml:space="preserve"> (the risk of default and credit rating downgrades) </w:t>
      </w:r>
      <w:r w:rsidRPr="00CE4978">
        <w:t>and liquidity risk</w:t>
      </w:r>
      <w:r>
        <w:t>.</w:t>
      </w:r>
      <w:r>
        <w:rPr>
          <w:rStyle w:val="FootnoteReference"/>
        </w:rPr>
        <w:footnoteReference w:id="58"/>
      </w:r>
      <w:r>
        <w:t xml:space="preserve"> In setting the allowed return on debt, we provide compensation for a benchmark efficient entity's efficient costs from facing these risks, as they are included in the promised returns we observe using Bloomberg and RBA data.</w:t>
      </w:r>
      <w:r>
        <w:rPr>
          <w:rStyle w:val="FootnoteReference"/>
        </w:rPr>
        <w:footnoteReference w:id="59"/>
      </w:r>
    </w:p>
    <w:p w:rsidR="007201E8" w:rsidRDefault="007201E8" w:rsidP="007201E8">
      <w:r>
        <w:t xml:space="preserve">As such, </w:t>
      </w:r>
      <w:r w:rsidRPr="00CF5809">
        <w:t xml:space="preserve">when looking at the risks of supplying standard control services, it is important to differentiate between </w:t>
      </w:r>
      <w:r>
        <w:t>risk that is to be compensated through the allowed rate of return (compensable risk) and non-compensable risk</w:t>
      </w:r>
      <w:r w:rsidRPr="00CF5809">
        <w:t>. When developing the Guideline, we commissioned Frontier to explore these risks and to provide advice on what risks we should compensate service providers for through the allowed rate of return.</w:t>
      </w:r>
      <w:r w:rsidRPr="00CF5809">
        <w:rPr>
          <w:rStyle w:val="FootnoteReference"/>
        </w:rPr>
        <w:footnoteReference w:id="60"/>
      </w:r>
      <w:r>
        <w:t xml:space="preserve">    </w:t>
      </w:r>
    </w:p>
    <w:p w:rsidR="007201E8" w:rsidRPr="00CF5809" w:rsidRDefault="007201E8" w:rsidP="007201E8">
      <w:r>
        <w:t>We accept the ARORO requires us to set an allowed rate of return that compensates for the efficient financing costs of a benchmark firm for bearing a similar degree of compensable risk as that which applies to the</w:t>
      </w:r>
      <w:r w:rsidRPr="00B077D0">
        <w:t xml:space="preserve"> </w:t>
      </w:r>
      <w:r>
        <w:t>network</w:t>
      </w:r>
      <w:r w:rsidRPr="00B077D0">
        <w:t xml:space="preserve"> service provider in respect of the provision of </w:t>
      </w:r>
      <w:r>
        <w:t xml:space="preserve">the relevant </w:t>
      </w:r>
      <w:r w:rsidRPr="00B077D0">
        <w:t>regulated services</w:t>
      </w:r>
      <w:r>
        <w:t xml:space="preserve">. This will reflect an ex-ante return that includes a risk premium over the risk free rate for bearing this level of compensable risk.   </w:t>
      </w:r>
    </w:p>
    <w:p w:rsidR="007201E8" w:rsidRPr="004F02FD" w:rsidRDefault="007201E8" w:rsidP="007201E8">
      <w:pPr>
        <w:pStyle w:val="HeadingBoldItalic"/>
      </w:pPr>
      <w:r w:rsidRPr="00E76063">
        <w:t>'</w:t>
      </w:r>
      <w:r w:rsidRPr="004F02FD">
        <w:t>Similar'</w:t>
      </w:r>
    </w:p>
    <w:p w:rsidR="007201E8" w:rsidRDefault="007201E8" w:rsidP="007201E8">
      <w:pPr>
        <w:rPr>
          <w:rStyle w:val="AERbody"/>
        </w:rPr>
      </w:pPr>
      <w:r>
        <w:t>A benchmark efficient entity is to have</w:t>
      </w:r>
      <w:r w:rsidRPr="0046739D">
        <w:t xml:space="preserve"> a similar degree of risk as that which applies to the </w:t>
      </w:r>
      <w:r>
        <w:t>network</w:t>
      </w:r>
      <w:r w:rsidRPr="0046739D">
        <w:t xml:space="preserve"> service provider in respect of the provision of</w:t>
      </w:r>
      <w:r>
        <w:t xml:space="preserve"> the relevant</w:t>
      </w:r>
      <w:r w:rsidRPr="0046739D">
        <w:t xml:space="preserve"> regulated services.</w:t>
      </w:r>
      <w:r>
        <w:rPr>
          <w:rStyle w:val="FootnoteReference"/>
        </w:rPr>
        <w:footnoteReference w:id="61"/>
      </w:r>
      <w:r>
        <w:t xml:space="preserve"> As such, when developing the Guideline, we looked at the concept of 'a similar degree of risk' in some detail. We also sought advice from Frontier Economics on the risks to which energy network service providers are exposed in delivering regulated services.</w:t>
      </w:r>
      <w:r>
        <w:rPr>
          <w:rStyle w:val="FootnoteReference"/>
        </w:rPr>
        <w:footnoteReference w:id="62"/>
      </w:r>
      <w:r>
        <w:t xml:space="preserve"> We concluded the compensable risks facing the different service providers</w:t>
      </w:r>
      <w:r>
        <w:rPr>
          <w:rStyle w:val="FootnoteReference"/>
        </w:rPr>
        <w:footnoteReference w:id="63"/>
      </w:r>
      <w:r>
        <w:t xml:space="preserve"> were 'similar' for the purposes of characterising a benchmark efficient entity.</w:t>
      </w:r>
      <w:r>
        <w:rPr>
          <w:rStyle w:val="FootnoteReference"/>
        </w:rPr>
        <w:footnoteReference w:id="64"/>
      </w:r>
      <w:r>
        <w:t xml:space="preserve"> For this analysis, see chapter three of the Guideline's explanatory statement.</w:t>
      </w:r>
      <w:r>
        <w:rPr>
          <w:rStyle w:val="FootnoteReference"/>
        </w:rPr>
        <w:footnoteReference w:id="65"/>
      </w:r>
    </w:p>
    <w:p w:rsidR="007201E8" w:rsidRDefault="007201E8" w:rsidP="007201E8">
      <w:pPr>
        <w:pStyle w:val="HeadingBoldItalic"/>
        <w:rPr>
          <w:rStyle w:val="AERbody"/>
        </w:rPr>
      </w:pPr>
      <w:r w:rsidRPr="00785554">
        <w:rPr>
          <w:rStyle w:val="AERbody"/>
        </w:rPr>
        <w:t>'Standard control services'</w:t>
      </w:r>
    </w:p>
    <w:p w:rsidR="007201E8" w:rsidRPr="00785554" w:rsidRDefault="007201E8" w:rsidP="004918DD">
      <w:r>
        <w:t>T</w:t>
      </w:r>
      <w:r w:rsidRPr="00785554">
        <w:t>he allowed rate of return is to be commensurate with the efficient financing costs of a benchmark efficient entity with a similar degree of risk as that which applies to the service provider in respect to the provision of standard control services.</w:t>
      </w:r>
      <w:r w:rsidRPr="00785554">
        <w:rPr>
          <w:rStyle w:val="FootnoteReference"/>
        </w:rPr>
        <w:footnoteReference w:id="66"/>
      </w:r>
      <w:r w:rsidRPr="00785554">
        <w:t xml:space="preserve"> As such, it is important to understand how the rules characterise 'standard control services'.</w:t>
      </w:r>
    </w:p>
    <w:p w:rsidR="007201E8" w:rsidRDefault="007201E8" w:rsidP="007201E8">
      <w:r w:rsidRPr="005772E3">
        <w:rPr>
          <w:rStyle w:val="AERbody"/>
        </w:rPr>
        <w:t>The rules define standard control services as a direct control service that is subject to a control mechanism based on a service</w:t>
      </w:r>
      <w:r>
        <w:t xml:space="preserve"> provider's</w:t>
      </w:r>
      <w:r w:rsidRPr="000466C9">
        <w:t xml:space="preserve"> total revenue requirement</w:t>
      </w:r>
      <w:r>
        <w:t>.</w:t>
      </w:r>
      <w:r>
        <w:rPr>
          <w:rStyle w:val="FootnoteReference"/>
        </w:rPr>
        <w:footnoteReference w:id="67"/>
      </w:r>
      <w:r>
        <w:t xml:space="preserve"> The rules define a </w:t>
      </w:r>
      <w:r w:rsidRPr="000466C9">
        <w:t>direct control service</w:t>
      </w:r>
      <w:r>
        <w:t xml:space="preserve"> as </w:t>
      </w:r>
      <w:r w:rsidRPr="000466C9">
        <w:t xml:space="preserve">a direct control network service within the meaning of section 2B of the </w:t>
      </w:r>
      <w:r>
        <w:t>NEL.</w:t>
      </w:r>
      <w:r>
        <w:rPr>
          <w:rStyle w:val="FootnoteReference"/>
        </w:rPr>
        <w:footnoteReference w:id="68"/>
      </w:r>
      <w:r>
        <w:t xml:space="preserve"> The NEL then specifies (underline added):</w:t>
      </w:r>
      <w:r>
        <w:rPr>
          <w:rStyle w:val="FootnoteReference"/>
        </w:rPr>
        <w:footnoteReference w:id="69"/>
      </w:r>
    </w:p>
    <w:p w:rsidR="007201E8" w:rsidRPr="003C2B73" w:rsidRDefault="007201E8" w:rsidP="007201E8">
      <w:pPr>
        <w:pStyle w:val="AERquote"/>
      </w:pPr>
      <w:r w:rsidRPr="003C2B73">
        <w:t>A direct control network service is an electricity network service—</w:t>
      </w:r>
    </w:p>
    <w:p w:rsidR="007201E8" w:rsidRPr="003C2B73" w:rsidRDefault="007201E8" w:rsidP="007201E8">
      <w:pPr>
        <w:pStyle w:val="AERquoteindent2"/>
      </w:pPr>
      <w:r w:rsidRPr="003C2B73">
        <w:t xml:space="preserve">(a) the Rules specify as a service the price for which, or the revenue to be earned from which, </w:t>
      </w:r>
      <w:r w:rsidRPr="00E76F13">
        <w:rPr>
          <w:rStyle w:val="AERtextunderline"/>
        </w:rPr>
        <w:t>must be regulated under a distribution determination or transmission determination</w:t>
      </w:r>
      <w:r w:rsidRPr="003C2B73">
        <w:t>; or</w:t>
      </w:r>
    </w:p>
    <w:p w:rsidR="007201E8" w:rsidRPr="00785554" w:rsidRDefault="007201E8" w:rsidP="007201E8">
      <w:pPr>
        <w:pStyle w:val="AERquoteindent2"/>
        <w:rPr>
          <w:rStyle w:val="AERbody"/>
        </w:rPr>
      </w:pPr>
      <w:r w:rsidRPr="003C2B73">
        <w:t>(b) if the Rules do not do so, the AER specifies, in a distribution determination or transmission determination, as a service the price for which, or the revenue to be earned from which, must be regulated under the distribution determination or transmission determination.</w:t>
      </w:r>
    </w:p>
    <w:p w:rsidR="007201E8" w:rsidRPr="00785554" w:rsidRDefault="007201E8" w:rsidP="007201E8">
      <w:pPr>
        <w:pStyle w:val="HeadingBoldItalic"/>
        <w:rPr>
          <w:rStyle w:val="AERbody"/>
        </w:rPr>
      </w:pPr>
      <w:r w:rsidRPr="00785554">
        <w:rPr>
          <w:rStyle w:val="AERbody"/>
        </w:rPr>
        <w:t>Risk, regulation and a benchmark efficient entity</w:t>
      </w:r>
    </w:p>
    <w:p w:rsidR="007201E8" w:rsidRDefault="007201E8" w:rsidP="007201E8">
      <w:r>
        <w:rPr>
          <w:rStyle w:val="AERbody"/>
        </w:rPr>
        <w:t>T</w:t>
      </w:r>
      <w:r>
        <w:t xml:space="preserve">he rules </w:t>
      </w:r>
      <w:r w:rsidRPr="005F4630">
        <w:t>specify that the allowed rate of return is to be commensurate with the efficient financing costs of a</w:t>
      </w:r>
      <w:r>
        <w:t xml:space="preserve"> benchmark efficient entity</w:t>
      </w:r>
      <w:r w:rsidRPr="005F4630">
        <w:t xml:space="preserve"> with a similar degree of risk as that which applies</w:t>
      </w:r>
      <w:r>
        <w:t>:</w:t>
      </w:r>
      <w:r>
        <w:rPr>
          <w:rStyle w:val="FootnoteReference"/>
        </w:rPr>
        <w:footnoteReference w:id="70"/>
      </w:r>
    </w:p>
    <w:p w:rsidR="007201E8" w:rsidRDefault="007201E8" w:rsidP="007201E8">
      <w:pPr>
        <w:pStyle w:val="AERbulletlistfirststyle"/>
      </w:pPr>
      <w:r w:rsidRPr="005F4630">
        <w:t xml:space="preserve"> to the </w:t>
      </w:r>
      <w:r>
        <w:t xml:space="preserve">service provider in which the decision relates (which will always be a business that is regulated under the rules and NEL/NGL) </w:t>
      </w:r>
    </w:p>
    <w:p w:rsidR="007201E8" w:rsidRDefault="007201E8" w:rsidP="007201E8">
      <w:pPr>
        <w:pStyle w:val="AERbulletlistfirststyle"/>
      </w:pPr>
      <w:r w:rsidRPr="005F4630">
        <w:t>in respect to the provision of standard control services</w:t>
      </w:r>
      <w:r>
        <w:t xml:space="preserve"> (which are regulated services by definition),</w:t>
      </w:r>
      <w:r>
        <w:rPr>
          <w:rStyle w:val="FootnoteReference"/>
        </w:rPr>
        <w:footnoteReference w:id="71"/>
      </w:r>
      <w:r>
        <w:t xml:space="preserve"> which can only be provided by businesses regulated under the rules.</w:t>
      </w:r>
    </w:p>
    <w:p w:rsidR="007201E8" w:rsidRPr="00785554" w:rsidRDefault="007201E8" w:rsidP="004918DD">
      <w:r>
        <w:t>As discussed under 'Risk' above, risk is the degree of uncertainty about an event</w:t>
      </w:r>
      <w:r w:rsidRPr="00785554">
        <w:t>.</w:t>
      </w:r>
      <w:r w:rsidRPr="00785554">
        <w:rPr>
          <w:rStyle w:val="FootnoteReference"/>
        </w:rPr>
        <w:t xml:space="preserve"> </w:t>
      </w:r>
      <w:r w:rsidRPr="00785554">
        <w:rPr>
          <w:rStyle w:val="FootnoteReference"/>
        </w:rPr>
        <w:footnoteReference w:id="72"/>
      </w:r>
      <w:r w:rsidRPr="00785554">
        <w:t xml:space="preserve"> For instance, investing in the share market is risky because there is a spread of possible outcomes. The usual measure of this spread is the standard deviation or variance.</w:t>
      </w:r>
      <w:r w:rsidRPr="00785554">
        <w:rPr>
          <w:rStyle w:val="FootnoteReference"/>
        </w:rPr>
        <w:footnoteReference w:id="73"/>
      </w:r>
      <w:r w:rsidRPr="00785554">
        <w:t xml:space="preserve"> Similarly, the risk of a benchmark efficient entity would be the uncertainty around its expected return. More specifically, the systematic or market risk of a benchmark efficient entity would be the uncertainty around its expected return relative to the expected returns on the market.  We would measure this as the standardised correlation between a benchmark efficient entity's returns with that of the overall market (measured by the equity beta in the CAPM).</w:t>
      </w:r>
      <w:r w:rsidRPr="00785554">
        <w:rPr>
          <w:rStyle w:val="FootnoteReference"/>
        </w:rPr>
        <w:footnoteReference w:id="74"/>
      </w:r>
      <w:r w:rsidRPr="00785554">
        <w:t xml:space="preserve"> </w:t>
      </w:r>
    </w:p>
    <w:p w:rsidR="007201E8" w:rsidRPr="00785554" w:rsidRDefault="007201E8" w:rsidP="004918DD">
      <w:r>
        <w:t xml:space="preserve">Brealey et.al. use the figure </w:t>
      </w:r>
      <w:r w:rsidRPr="00785554">
        <w:t xml:space="preserve">we have presented as </w:t>
      </w:r>
      <w:r w:rsidR="000F4BC3">
        <w:fldChar w:fldCharType="begin"/>
      </w:r>
      <w:r w:rsidR="000F4BC3">
        <w:instrText xml:space="preserve"> REF  _Ref451348568 \* Lower \h </w:instrText>
      </w:r>
      <w:r w:rsidR="000F4BC3">
        <w:fldChar w:fldCharType="separate"/>
      </w:r>
      <w:r w:rsidR="00BA2E8E">
        <w:t xml:space="preserve">figure </w:t>
      </w:r>
      <w:r w:rsidR="00BA2E8E">
        <w:rPr>
          <w:noProof/>
        </w:rPr>
        <w:t>3</w:t>
      </w:r>
      <w:r w:rsidR="00BA2E8E">
        <w:noBreakHyphen/>
      </w:r>
      <w:r w:rsidR="00BA2E8E">
        <w:rPr>
          <w:noProof/>
        </w:rPr>
        <w:t>1</w:t>
      </w:r>
      <w:r w:rsidR="000F4BC3">
        <w:fldChar w:fldCharType="end"/>
      </w:r>
      <w:r w:rsidR="000F4BC3">
        <w:t xml:space="preserve"> </w:t>
      </w:r>
      <w:r w:rsidRPr="00785554">
        <w:t>to illustrate the following.</w:t>
      </w:r>
      <w:r w:rsidRPr="00785554">
        <w:rPr>
          <w:rStyle w:val="FootnoteReference"/>
        </w:rPr>
        <w:footnoteReference w:id="75"/>
      </w:r>
    </w:p>
    <w:p w:rsidR="007201E8" w:rsidRPr="009D3AFA" w:rsidRDefault="007201E8" w:rsidP="009D3AFA">
      <w:pPr>
        <w:pStyle w:val="AERquote"/>
      </w:pPr>
      <w:r w:rsidRPr="009D3AFA">
        <w:t>Investments A and B both have an expected return of 10%, but because investment A has the greater spread of possible returns, it is more risky than B. We can measure this spread by the standard deviation. Investment A has a standard deviation of 15%; B, 7.5%. Most investors would prefer B to A. Investments B and C both have the same standard deviation, but C offers a higher expected return. Most investors would prefer C to B.</w:t>
      </w:r>
    </w:p>
    <w:p w:rsidR="007201E8" w:rsidRPr="00C75038" w:rsidRDefault="007201E8" w:rsidP="007201E8">
      <w:pPr>
        <w:pStyle w:val="Caption"/>
      </w:pPr>
      <w:bookmarkStart w:id="96" w:name="_Ref451348568"/>
      <w:r>
        <w:t xml:space="preserve">Figure </w:t>
      </w:r>
      <w:fldSimple w:instr=" STYLEREF 1 \s ">
        <w:r w:rsidR="00BA2E8E">
          <w:rPr>
            <w:noProof/>
          </w:rPr>
          <w:t>3</w:t>
        </w:r>
      </w:fldSimple>
      <w:r w:rsidR="00A6197A">
        <w:noBreakHyphen/>
      </w:r>
      <w:fldSimple w:instr=" SEQ Figure \* ARABIC \s 1 ">
        <w:r w:rsidR="00BA2E8E">
          <w:rPr>
            <w:noProof/>
          </w:rPr>
          <w:t>1</w:t>
        </w:r>
      </w:fldSimple>
      <w:bookmarkEnd w:id="96"/>
      <w:r>
        <w:tab/>
        <w:t>Risk versus expected return</w:t>
      </w:r>
    </w:p>
    <w:p w:rsidR="007201E8" w:rsidRPr="00785554" w:rsidRDefault="007201E8" w:rsidP="004918DD">
      <w:r w:rsidRPr="007201E8">
        <w:rPr>
          <w:noProof/>
          <w:lang w:eastAsia="en-AU"/>
        </w:rPr>
        <w:drawing>
          <wp:inline distT="0" distB="0" distL="0" distR="0" wp14:anchorId="11066EC8" wp14:editId="3ED4B96F">
            <wp:extent cx="5382895" cy="7706511"/>
            <wp:effectExtent l="0" t="0" r="8255"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82895" cy="7706511"/>
                    </a:xfrm>
                    <a:prstGeom prst="rect">
                      <a:avLst/>
                    </a:prstGeom>
                  </pic:spPr>
                </pic:pic>
              </a:graphicData>
            </a:graphic>
          </wp:inline>
        </w:drawing>
      </w:r>
    </w:p>
    <w:p w:rsidR="007201E8" w:rsidRDefault="007201E8" w:rsidP="007201E8">
      <w:pPr>
        <w:pStyle w:val="AERtablesource"/>
      </w:pPr>
      <w:r>
        <w:t>Source: Brealey</w:t>
      </w:r>
      <w:r w:rsidRPr="001326E8">
        <w:t>, Myers, Allen</w:t>
      </w:r>
      <w:r>
        <w:t xml:space="preserve"> (2011), </w:t>
      </w:r>
      <w:r w:rsidRPr="001326E8">
        <w:t>Figure 8.2</w:t>
      </w:r>
      <w:r>
        <w:t>.</w:t>
      </w:r>
    </w:p>
    <w:p w:rsidR="007201E8" w:rsidRDefault="007201E8" w:rsidP="007201E8">
      <w:r>
        <w:t>We use the above example to explain the relationship between risk and return for a single investment. Investors are generally assumed to prefer an investment with a lower variance for a given expected return under the assumption that investors are risk averse. However, we note that for an investment that is to be included in an investment portfolio the risk that is relevant to its price is the risk it will add to this portfolio. Therefore, under the assumption that in</w:t>
      </w:r>
      <w:r w:rsidR="000F4BC3">
        <w:t>vestors hold fully diversified 'efficient'</w:t>
      </w:r>
      <w:r>
        <w:t xml:space="preserve"> market portfolios, it is an investment's non-diversifiable (or systematic) risk that is relevant. In the case of equity investments, as discussed above, this is measured by the equity beta of the investment. </w:t>
      </w:r>
    </w:p>
    <w:p w:rsidR="007201E8" w:rsidRPr="00785554" w:rsidRDefault="007201E8" w:rsidP="004918DD">
      <w:r>
        <w:t xml:space="preserve">We consider </w:t>
      </w:r>
      <w:r w:rsidRPr="00785554">
        <w:t xml:space="preserve">a benchmark efficient entity </w:t>
      </w:r>
      <w:r w:rsidRPr="00785554">
        <w:rPr>
          <w:rStyle w:val="AERtextitalic"/>
        </w:rPr>
        <w:t>with a similar degree of risk as that which applies to the service provider in the provision of its regulated services</w:t>
      </w:r>
      <w:r w:rsidRPr="00785554">
        <w:t xml:space="preserve"> would be 'a pure play, regulated energy network business operating within Australia' acting efficiently.</w:t>
      </w:r>
      <w:r w:rsidRPr="00785554">
        <w:rPr>
          <w:rStyle w:val="FootnoteReference"/>
        </w:rPr>
        <w:footnoteReference w:id="76"/>
      </w:r>
      <w:r w:rsidRPr="00785554">
        <w:t xml:space="preserve"> </w:t>
      </w:r>
      <w:r w:rsidRPr="00785554">
        <w:rPr>
          <w:rStyle w:val="AERbody"/>
        </w:rPr>
        <w:t xml:space="preserve"> To understand this position, </w:t>
      </w:r>
      <w:r w:rsidRPr="00785554">
        <w:t>it is essential to understand the relationship and distinction between risk and expected returns. All else being equal, we consider an unregulated monopoly will have higher risk and higher expected returns than a regulated monopoly. This is because regulation:</w:t>
      </w:r>
    </w:p>
    <w:p w:rsidR="007201E8" w:rsidRDefault="007201E8" w:rsidP="007201E8">
      <w:pPr>
        <w:pStyle w:val="AERbulletlistfirststyle"/>
      </w:pPr>
      <w:r>
        <w:t xml:space="preserve"> mitigates monopolies from being able to extract monopoly rents, thereby constraining potential profits</w:t>
      </w:r>
    </w:p>
    <w:p w:rsidR="007201E8" w:rsidRDefault="007201E8" w:rsidP="007201E8">
      <w:pPr>
        <w:pStyle w:val="AERbulletlistfirststyle"/>
      </w:pPr>
      <w:r>
        <w:t>increases the certainty of the revenue stream, thereby reducing risk.</w:t>
      </w:r>
    </w:p>
    <w:p w:rsidR="007201E8" w:rsidRPr="00785554" w:rsidRDefault="007201E8" w:rsidP="004918DD">
      <w:r>
        <w:t xml:space="preserve">For clarity, </w:t>
      </w:r>
      <w:r w:rsidRPr="00785554">
        <w:t>regulation reduces both risks that are compensated through the rate of return (for example, demand risk) and risks that would not be compensated through the rate of return (for example, by allowing cost pass throughs for unsystematic risks such as industry-specific tax changes or geographic-specific natural disasters). We only focus on risks that are compensated through the rate of return (compensable risks).</w:t>
      </w:r>
    </w:p>
    <w:p w:rsidR="007201E8" w:rsidRPr="00785554" w:rsidRDefault="007201E8" w:rsidP="004918DD">
      <w:r>
        <w:t xml:space="preserve">Incentive regulation affects </w:t>
      </w:r>
      <w:r w:rsidRPr="00785554">
        <w:t>compensable risks by allowing service providers to earn more stable cash flows with periodic resets of revenues to better reflect actual expenditure. Most unregulated businesses do not have these same protections or restrictions, and so are likely to have a different systematic risk profile. We carefully considered this role when developing the Guideline when considering whether a benchmark efficient entity referred to in the context of the ARORO is likely to be regulated.</w:t>
      </w:r>
      <w:r w:rsidRPr="00785554">
        <w:rPr>
          <w:rStyle w:val="FootnoteReference"/>
        </w:rPr>
        <w:footnoteReference w:id="77"/>
      </w:r>
      <w:r w:rsidRPr="00785554">
        <w:t xml:space="preserve"> Frontier has also recognised the role of regulation in affecting risk in advising:</w:t>
      </w:r>
      <w:r w:rsidRPr="00785554">
        <w:rPr>
          <w:rStyle w:val="FootnoteReference"/>
        </w:rPr>
        <w:footnoteReference w:id="78"/>
      </w:r>
    </w:p>
    <w:p w:rsidR="007201E8" w:rsidRPr="00F23C1C" w:rsidRDefault="007201E8" w:rsidP="007201E8">
      <w:pPr>
        <w:pStyle w:val="AERquote"/>
      </w:pPr>
      <w:r w:rsidRPr="00F23C1C">
        <w:t>The form and nature of regulation applicable to Australian energy networks mitigates most of the business risks they face as compared to the business risks faced by other types of firms in the economy. Regulated revenues are set on a periodic basis and changes in volumes may only affect the timing of revenues (under a revenue cap). Even where revenues fall short of expectations due to lower volumes (as under a price cap), the lower volumes imply that costs would probably also have been lower than expected. Unanticipated or poorly-managed changes in costs are partly borne by customers and only partly by the network business through the building block form of incentive regulation that applies. Stranding and optimisation risks are minimal for energy networks, a complete contrast to businesses operating in other sectors.</w:t>
      </w:r>
    </w:p>
    <w:p w:rsidR="007201E8" w:rsidRDefault="007201E8" w:rsidP="007201E8">
      <w:r>
        <w:t>Consumer Challenge Sub-Panel 3 (CCP3) also recognised this in highlighting the need to take into account the protections provided under the regulatory framework</w:t>
      </w:r>
      <w:r w:rsidRPr="0062715B">
        <w:t xml:space="preserve"> </w:t>
      </w:r>
      <w:r>
        <w:t>when making assessments about a benchmark efficient entity with a similar degree of risk as a service provider. These included risk reductions arising from:</w:t>
      </w:r>
      <w:r>
        <w:rPr>
          <w:rStyle w:val="FootnoteReference"/>
        </w:rPr>
        <w:footnoteReference w:id="79"/>
      </w:r>
    </w:p>
    <w:p w:rsidR="007201E8" w:rsidRPr="003E0036" w:rsidRDefault="007201E8" w:rsidP="007201E8">
      <w:pPr>
        <w:pStyle w:val="AERbulletlistfirststyle"/>
      </w:pPr>
      <w:r w:rsidRPr="003E0036">
        <w:t>a revenue cap</w:t>
      </w:r>
      <w:r>
        <w:t>,</w:t>
      </w:r>
      <w:r w:rsidRPr="003E0036">
        <w:t xml:space="preserve"> which removes volume risk</w:t>
      </w:r>
    </w:p>
    <w:p w:rsidR="007201E8" w:rsidRPr="003E0036" w:rsidRDefault="007201E8" w:rsidP="007201E8">
      <w:pPr>
        <w:pStyle w:val="AERbulletlistfirststyle"/>
      </w:pPr>
      <w:r w:rsidRPr="003E0036">
        <w:t>the indexation of the RAB</w:t>
      </w:r>
      <w:r>
        <w:t>,</w:t>
      </w:r>
      <w:r w:rsidRPr="003E0036">
        <w:t xml:space="preserve"> which protects the value of the underlying assets even when they might otherwise be written down in a commercial environment</w:t>
      </w:r>
    </w:p>
    <w:p w:rsidR="007201E8" w:rsidRPr="003E0036" w:rsidRDefault="007201E8" w:rsidP="007201E8">
      <w:pPr>
        <w:pStyle w:val="AERbulletlistfirststyle"/>
      </w:pPr>
      <w:r w:rsidRPr="003E0036">
        <w:t>the progressive transition to a 10</w:t>
      </w:r>
      <w:r w:rsidRPr="007201E8">
        <w:rPr>
          <w:rFonts w:ascii="Cambria Math" w:hAnsi="Cambria Math" w:cs="Cambria Math"/>
        </w:rPr>
        <w:t>‐</w:t>
      </w:r>
      <w:r w:rsidRPr="003E0036">
        <w:t xml:space="preserve">year trailing average, including annual updating of the </w:t>
      </w:r>
      <w:r>
        <w:t>return on debt.</w:t>
      </w:r>
    </w:p>
    <w:p w:rsidR="007201E8" w:rsidRPr="00785554" w:rsidRDefault="007201E8" w:rsidP="004918DD">
      <w:pPr>
        <w:rPr>
          <w:rStyle w:val="AERbody"/>
        </w:rPr>
      </w:pPr>
      <w:r>
        <w:t>M</w:t>
      </w:r>
      <w:r w:rsidRPr="00785554">
        <w:t xml:space="preserve">any of the risks that the regulatory regime affects are systematic and therefore affect the cost of capital (or rate of return). From being inherently less exposed to systematic risk, regulated service providers have lower </w:t>
      </w:r>
      <w:r w:rsidRPr="00785554">
        <w:rPr>
          <w:rStyle w:val="AERbody"/>
        </w:rPr>
        <w:t>equity betas than if they were unregulated and therefore lower costs of equity. Also</w:t>
      </w:r>
      <w:r w:rsidRPr="00785554">
        <w:t>, given their lower risk cash flows</w:t>
      </w:r>
      <w:r w:rsidRPr="00785554">
        <w:rPr>
          <w:rStyle w:val="AERbody"/>
        </w:rPr>
        <w:t xml:space="preserve">, regulated service providers might issue a </w:t>
      </w:r>
      <w:r w:rsidRPr="00785554">
        <w:t>higher proportion of debt than if they were unregulated. This reduces their cost of capital if debt is cheaper than equity, for example due to taxes or other market imperfections. As a result, we consider a benchmark efficient entity faces lower compensable risk than would otherwise be the case absent regulation. As such, it would have a lower cost of capital.</w:t>
      </w:r>
    </w:p>
    <w:p w:rsidR="007201E8" w:rsidRPr="00785554" w:rsidRDefault="007201E8" w:rsidP="004918DD">
      <w:r>
        <w:rPr>
          <w:rStyle w:val="AERbody"/>
        </w:rPr>
        <w:t xml:space="preserve">Some systematic risks that regulation </w:t>
      </w:r>
      <w:r w:rsidRPr="00785554">
        <w:rPr>
          <w:rStyle w:val="AERbody"/>
        </w:rPr>
        <w:t>reduces include:</w:t>
      </w:r>
    </w:p>
    <w:p w:rsidR="007201E8" w:rsidRDefault="007201E8" w:rsidP="007201E8">
      <w:pPr>
        <w:pStyle w:val="AERbulletlistfirststyle"/>
      </w:pPr>
      <w:r>
        <w:t xml:space="preserve">Demand risk: the </w:t>
      </w:r>
      <w:r w:rsidRPr="005F4630">
        <w:t>revenue or price setting mechanism</w:t>
      </w:r>
      <w:r>
        <w:t xml:space="preserve"> mitigates demand risk. U</w:t>
      </w:r>
      <w:r w:rsidRPr="005F4630">
        <w:t>nder a price cap, service providers may mitigate the risk of forecast error by restructuring tariffs, such that higher fixed charges are se</w:t>
      </w:r>
      <w:r>
        <w:t xml:space="preserve">t to offset falls in demand. </w:t>
      </w:r>
      <w:r w:rsidRPr="005F4630">
        <w:t>Under</w:t>
      </w:r>
      <w:r w:rsidRPr="002D5F81">
        <w:t xml:space="preserve"> a revenue cap, where forecast quantity demanded differs from actual quantity demanded,</w:t>
      </w:r>
      <w:r>
        <w:t xml:space="preserve"> service providers are made whole for any variation through</w:t>
      </w:r>
      <w:r w:rsidRPr="002D5F81">
        <w:t xml:space="preserve"> price adjustments </w:t>
      </w:r>
      <w:r>
        <w:t>in subsequent years</w:t>
      </w:r>
      <w:r w:rsidRPr="002D5F81">
        <w:t>. Further, in most cases, a transmission service provider will determine prices based on historical demand which reduces intra year revenue variations. This effectively mitigates the risk associated with demand volatility.</w:t>
      </w:r>
    </w:p>
    <w:p w:rsidR="007201E8" w:rsidRDefault="007201E8" w:rsidP="007201E8">
      <w:pPr>
        <w:pStyle w:val="AERbulletlistfirststyle"/>
      </w:pPr>
      <w:r>
        <w:t xml:space="preserve">Inflation risk: Regulated service providers face less inflation risk than unregulated businesses. Under the regulatory framework, they effectively expect to receive </w:t>
      </w:r>
      <w:r w:rsidR="000273D3">
        <w:t>a real</w:t>
      </w:r>
      <w:r>
        <w:t xml:space="preserve"> return on their investments in their RABs and to also have their RABs indexed for actual inflation.</w:t>
      </w:r>
    </w:p>
    <w:p w:rsidR="007201E8" w:rsidRDefault="007201E8" w:rsidP="007201E8">
      <w:pPr>
        <w:pStyle w:val="AERbulletlistfirststyle"/>
      </w:pPr>
      <w:r>
        <w:t xml:space="preserve">Interest rate risk: Both regulated and unregulated service providers are exposed to interest rate risk. The regulatory framework effectively moves risk of interest rate movements impacting financing costs onto customers. Where service providers raise capital during the averaging period/s that they know in advance they can further limit their exposure to this risk. To the extent they are unable to raise capital over the averaging period/s, they can still materially reduce their exposure to interest rate risk by hedging the base rate. </w:t>
      </w:r>
    </w:p>
    <w:p w:rsidR="007201E8" w:rsidRDefault="000F4BC3" w:rsidP="007201E8">
      <w:r>
        <w:fldChar w:fldCharType="begin"/>
      </w:r>
      <w:r>
        <w:instrText xml:space="preserve"> REF _Ref451348603 \h </w:instrText>
      </w:r>
      <w:r>
        <w:fldChar w:fldCharType="separate"/>
      </w:r>
      <w:r w:rsidR="00BA2E8E">
        <w:t xml:space="preserve">Table </w:t>
      </w:r>
      <w:r w:rsidR="00BA2E8E">
        <w:rPr>
          <w:noProof/>
        </w:rPr>
        <w:t>3</w:t>
      </w:r>
      <w:r w:rsidR="00BA2E8E">
        <w:noBreakHyphen/>
      </w:r>
      <w:r w:rsidR="00BA2E8E">
        <w:rPr>
          <w:noProof/>
        </w:rPr>
        <w:t>3</w:t>
      </w:r>
      <w:r>
        <w:fldChar w:fldCharType="end"/>
      </w:r>
      <w:r>
        <w:t xml:space="preserve"> s</w:t>
      </w:r>
      <w:r w:rsidR="007201E8">
        <w:t>ummarises a selection of provisions in the rules that have the effect of mitigating various systematic and non-systematic risks.</w:t>
      </w:r>
    </w:p>
    <w:p w:rsidR="007201E8" w:rsidRDefault="007201E8" w:rsidP="007201E8">
      <w:pPr>
        <w:pStyle w:val="Caption"/>
      </w:pPr>
      <w:bookmarkStart w:id="97" w:name="_Ref451348603"/>
      <w:r>
        <w:t xml:space="preserve">Table </w:t>
      </w:r>
      <w:fldSimple w:instr=" STYLEREF 1 \s ">
        <w:r w:rsidR="00BA2E8E">
          <w:rPr>
            <w:noProof/>
          </w:rPr>
          <w:t>3</w:t>
        </w:r>
      </w:fldSimple>
      <w:r w:rsidR="000F4BC3">
        <w:noBreakHyphen/>
      </w:r>
      <w:fldSimple w:instr=" SEQ Table \* ARABIC \s 1 ">
        <w:r w:rsidR="00BA2E8E">
          <w:rPr>
            <w:noProof/>
          </w:rPr>
          <w:t>3</w:t>
        </w:r>
      </w:fldSimple>
      <w:bookmarkEnd w:id="97"/>
      <w:r>
        <w:t>: Key clauses in the rules that mitigate systematic risk</w:t>
      </w:r>
    </w:p>
    <w:tbl>
      <w:tblPr>
        <w:tblStyle w:val="AERtable-text0"/>
        <w:tblW w:w="0" w:type="auto"/>
        <w:tblLook w:val="04A0" w:firstRow="1" w:lastRow="0" w:firstColumn="1" w:lastColumn="0" w:noHBand="0" w:noVBand="1"/>
      </w:tblPr>
      <w:tblGrid>
        <w:gridCol w:w="1526"/>
        <w:gridCol w:w="7167"/>
      </w:tblGrid>
      <w:tr w:rsidR="007201E8" w:rsidTr="007201E8">
        <w:trPr>
          <w:cnfStyle w:val="100000000000" w:firstRow="1" w:lastRow="0" w:firstColumn="0" w:lastColumn="0" w:oddVBand="0" w:evenVBand="0" w:oddHBand="0" w:evenHBand="0" w:firstRowFirstColumn="0" w:firstRowLastColumn="0" w:lastRowFirstColumn="0" w:lastRowLastColumn="0"/>
        </w:trPr>
        <w:tc>
          <w:tcPr>
            <w:tcW w:w="1526" w:type="dxa"/>
          </w:tcPr>
          <w:p w:rsidR="007201E8" w:rsidRPr="007201E8" w:rsidRDefault="007201E8" w:rsidP="007201E8">
            <w:r>
              <w:t>Rule</w:t>
            </w:r>
          </w:p>
        </w:tc>
        <w:tc>
          <w:tcPr>
            <w:tcW w:w="7167" w:type="dxa"/>
          </w:tcPr>
          <w:p w:rsidR="007201E8" w:rsidRPr="007201E8" w:rsidRDefault="007201E8" w:rsidP="007201E8">
            <w:r>
              <w:t>Effect on risk</w:t>
            </w:r>
          </w:p>
        </w:tc>
      </w:tr>
      <w:tr w:rsidR="007201E8" w:rsidTr="007201E8">
        <w:tc>
          <w:tcPr>
            <w:tcW w:w="1526" w:type="dxa"/>
            <w:vAlign w:val="top"/>
          </w:tcPr>
          <w:p w:rsidR="007201E8" w:rsidRPr="007201E8" w:rsidRDefault="007201E8" w:rsidP="007201E8">
            <w:r w:rsidRPr="009378AE">
              <w:t>6.3.2(b)</w:t>
            </w:r>
          </w:p>
          <w:p w:rsidR="007201E8" w:rsidRDefault="007201E8" w:rsidP="007201E8"/>
        </w:tc>
        <w:tc>
          <w:tcPr>
            <w:tcW w:w="7167" w:type="dxa"/>
            <w:vAlign w:val="top"/>
          </w:tcPr>
          <w:p w:rsidR="007201E8" w:rsidRPr="007201E8" w:rsidRDefault="007201E8" w:rsidP="007201E8">
            <w:r w:rsidRPr="009378AE">
              <w:t xml:space="preserve">The term of </w:t>
            </w:r>
            <w:r w:rsidRPr="007201E8">
              <w:t>each regulatory control period is at least 5 years, providing a fixed duration in which a service provider has a regulated return on its assets, revenue certainty, and fixed terms of access for its services.</w:t>
            </w:r>
          </w:p>
        </w:tc>
      </w:tr>
      <w:tr w:rsidR="007201E8" w:rsidTr="007201E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7201E8" w:rsidRPr="007201E8" w:rsidRDefault="007201E8" w:rsidP="007201E8">
            <w:r w:rsidRPr="009378AE">
              <w:t>6.2.6</w:t>
            </w:r>
          </w:p>
        </w:tc>
        <w:tc>
          <w:tcPr>
            <w:tcW w:w="7167" w:type="dxa"/>
            <w:vAlign w:val="top"/>
          </w:tcPr>
          <w:p w:rsidR="007201E8" w:rsidRPr="007201E8" w:rsidRDefault="007201E8" w:rsidP="007201E8">
            <w:r>
              <w:t xml:space="preserve">The AER adopts a </w:t>
            </w:r>
            <w:r w:rsidRPr="007201E8">
              <w:t>control mechanism formula to calculate the total revenue that service providers may collect over a regulatory</w:t>
            </w:r>
            <w:r w:rsidR="00965241">
              <w:t xml:space="preserve"> </w:t>
            </w:r>
            <w:r w:rsidR="00965241" w:rsidRPr="00965241">
              <w:t>control</w:t>
            </w:r>
            <w:r w:rsidRPr="007201E8">
              <w:t xml:space="preserve"> period (and for each year of a regulatory </w:t>
            </w:r>
            <w:r w:rsidR="00965241">
              <w:t xml:space="preserve">control </w:t>
            </w:r>
            <w:r w:rsidRPr="007201E8">
              <w:t xml:space="preserve">period). This control mechanism automatically accounts for indexation and annual increases in efficient input costs.  The control mechanism that the AER adopts (typically in the form of a revenue cap), also ensures a service provider has a guaranteed level of total revenue that it may collect across the regulatory </w:t>
            </w:r>
            <w:r w:rsidR="00965241">
              <w:t xml:space="preserve">control </w:t>
            </w:r>
            <w:r w:rsidRPr="007201E8">
              <w:t xml:space="preserve">period, regardless of unexpected changes in demand.  This significantly limits risks to revenue. </w:t>
            </w:r>
          </w:p>
        </w:tc>
      </w:tr>
      <w:tr w:rsidR="007201E8" w:rsidTr="007201E8">
        <w:tc>
          <w:tcPr>
            <w:tcW w:w="1526" w:type="dxa"/>
            <w:vAlign w:val="top"/>
          </w:tcPr>
          <w:p w:rsidR="007201E8" w:rsidRPr="007201E8" w:rsidRDefault="007201E8" w:rsidP="007201E8">
            <w:r w:rsidRPr="009378AE">
              <w:t>6.5.9</w:t>
            </w:r>
          </w:p>
        </w:tc>
        <w:tc>
          <w:tcPr>
            <w:tcW w:w="7167" w:type="dxa"/>
            <w:vAlign w:val="top"/>
          </w:tcPr>
          <w:p w:rsidR="007201E8" w:rsidRPr="007201E8" w:rsidRDefault="007201E8" w:rsidP="007201E8">
            <w:r w:rsidRPr="009378AE">
              <w:t xml:space="preserve">X factors </w:t>
            </w:r>
            <w:r w:rsidRPr="007201E8">
              <w:t>in the control mechanism smooth revenues across the regulatory control period and limit shocks from the last year of a regulatory control period before the start of the next. The AER sets X factors, among other things, to allow service providers to recover a revenue shortfall in one year in a subsequent year. Through X factors, service providers have a stable and certain level of revenue over each regulatory l period, with reduced risks of short term revenue volatility.</w:t>
            </w:r>
          </w:p>
        </w:tc>
      </w:tr>
      <w:tr w:rsidR="007201E8" w:rsidTr="007201E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7201E8" w:rsidRPr="007201E8" w:rsidRDefault="007201E8" w:rsidP="007201E8">
            <w:r w:rsidRPr="009378AE">
              <w:t>6.18</w:t>
            </w:r>
          </w:p>
        </w:tc>
        <w:tc>
          <w:tcPr>
            <w:tcW w:w="7167" w:type="dxa"/>
            <w:vAlign w:val="top"/>
          </w:tcPr>
          <w:p w:rsidR="007201E8" w:rsidRPr="007201E8" w:rsidRDefault="007201E8" w:rsidP="007201E8">
            <w:r w:rsidRPr="009378AE">
              <w:t xml:space="preserve">The prices </w:t>
            </w:r>
            <w:r w:rsidRPr="007201E8">
              <w:t xml:space="preserve">service providers may charge annually are certain.  They are set through a regulatory process to approve annual pricing proposals. </w:t>
            </w:r>
          </w:p>
        </w:tc>
      </w:tr>
      <w:tr w:rsidR="007201E8" w:rsidTr="007201E8">
        <w:tc>
          <w:tcPr>
            <w:tcW w:w="1526" w:type="dxa"/>
            <w:vAlign w:val="top"/>
          </w:tcPr>
          <w:p w:rsidR="007201E8" w:rsidRPr="007201E8" w:rsidRDefault="007201E8" w:rsidP="007201E8">
            <w:r w:rsidRPr="009378AE">
              <w:t xml:space="preserve">6.4.3(a)(1)-(3), 6.5.1, </w:t>
            </w:r>
            <w:r w:rsidRPr="007201E8">
              <w:t xml:space="preserve">6.5.2, 6.5.5, S6.2.1, S6.2.2B, S6.2.3, </w:t>
            </w:r>
          </w:p>
        </w:tc>
        <w:tc>
          <w:tcPr>
            <w:tcW w:w="7167" w:type="dxa"/>
            <w:vAlign w:val="top"/>
          </w:tcPr>
          <w:p w:rsidR="007201E8" w:rsidRPr="007201E8" w:rsidRDefault="007201E8" w:rsidP="007201E8">
            <w:r w:rsidRPr="009378AE">
              <w:t>The total revenue</w:t>
            </w:r>
            <w:r w:rsidRPr="007201E8">
              <w:t xml:space="preserve"> that the AER determines incorporates a return on and of the service provider's asset base.  The historical asset base rolls forward from one regulatory </w:t>
            </w:r>
            <w:r w:rsidR="00965241">
              <w:t xml:space="preserve">control </w:t>
            </w:r>
            <w:r w:rsidRPr="007201E8">
              <w:t>period to the next and from year to year within each regulatory</w:t>
            </w:r>
            <w:r w:rsidR="00965241">
              <w:t xml:space="preserve"> </w:t>
            </w:r>
            <w:r w:rsidR="00965241" w:rsidRPr="00965241">
              <w:t>control</w:t>
            </w:r>
            <w:r w:rsidRPr="007201E8">
              <w:t xml:space="preserve"> period.  The NER guarantees recovery of historical asset costs through depreciation, the earning of a return on the asset base, indexation and recovery of future efficient capex. This substantially lessens risks in capital investment that might otherwise apply to a business operating in a workably competitive market. An asset that is not utilised or productive may still provide a return under the NER through the setting and rolling forward of the asset base, the return on and of the asset base and the application of indexation.</w:t>
            </w:r>
          </w:p>
        </w:tc>
      </w:tr>
      <w:tr w:rsidR="007201E8" w:rsidTr="007201E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7201E8" w:rsidRPr="007201E8" w:rsidRDefault="007201E8" w:rsidP="007201E8">
            <w:r w:rsidRPr="009378AE">
              <w:t>6.5.2</w:t>
            </w:r>
          </w:p>
        </w:tc>
        <w:tc>
          <w:tcPr>
            <w:tcW w:w="7167" w:type="dxa"/>
            <w:vAlign w:val="top"/>
          </w:tcPr>
          <w:p w:rsidR="007201E8" w:rsidRPr="007201E8" w:rsidRDefault="007201E8" w:rsidP="007201E8">
            <w:r>
              <w:t>T</w:t>
            </w:r>
            <w:r w:rsidRPr="007201E8">
              <w:t xml:space="preserve">he AER sets the rate of return on the asset base by reference to the risks faced by the service provider.  The AER updates this each regulatory </w:t>
            </w:r>
            <w:r w:rsidR="00965241">
              <w:t xml:space="preserve">control </w:t>
            </w:r>
            <w:r w:rsidRPr="007201E8">
              <w:t>period to account for changed market conditions.</w:t>
            </w:r>
          </w:p>
        </w:tc>
      </w:tr>
      <w:tr w:rsidR="007201E8" w:rsidTr="007201E8">
        <w:tc>
          <w:tcPr>
            <w:tcW w:w="1526" w:type="dxa"/>
            <w:vAlign w:val="top"/>
          </w:tcPr>
          <w:p w:rsidR="007201E8" w:rsidRPr="007201E8" w:rsidRDefault="007201E8" w:rsidP="007201E8">
            <w:r w:rsidRPr="009378AE">
              <w:t>6.5.3</w:t>
            </w:r>
          </w:p>
        </w:tc>
        <w:tc>
          <w:tcPr>
            <w:tcW w:w="7167" w:type="dxa"/>
            <w:vAlign w:val="top"/>
          </w:tcPr>
          <w:p w:rsidR="007201E8" w:rsidRPr="007201E8" w:rsidRDefault="007201E8" w:rsidP="007201E8">
            <w:r>
              <w:t>Provision for tax in</w:t>
            </w:r>
            <w:r w:rsidRPr="007201E8">
              <w:t xml:space="preserve"> determining total revenue is required regardless of whether the service provider pays tax.</w:t>
            </w:r>
          </w:p>
        </w:tc>
      </w:tr>
      <w:tr w:rsidR="007201E8" w:rsidTr="007201E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7201E8" w:rsidRPr="007201E8" w:rsidRDefault="007201E8" w:rsidP="007201E8">
            <w:r w:rsidRPr="009378AE">
              <w:t>6.5.6 and 6.5.7</w:t>
            </w:r>
          </w:p>
        </w:tc>
        <w:tc>
          <w:tcPr>
            <w:tcW w:w="7167" w:type="dxa"/>
            <w:vAlign w:val="top"/>
          </w:tcPr>
          <w:p w:rsidR="007201E8" w:rsidRPr="007201E8" w:rsidRDefault="007201E8" w:rsidP="007201E8">
            <w:r w:rsidRPr="009378AE">
              <w:t>The</w:t>
            </w:r>
            <w:r w:rsidRPr="007201E8">
              <w:t xml:space="preserve"> AER assesses expenditure requirements for each service provider by reference to the amount necessary to meet a set of standards and objectives.  These include the need to meet the expected demand for services and to meet quality, reliability, security, and safety standards.  The AER does not assess expenditure by reference to the capacity of consumers to pay.  This removes risks that could otherwise arise in providing a reliable and safe service.  The AER reassesses the requirements of service providers for each regulatory </w:t>
            </w:r>
            <w:r w:rsidR="00965241">
              <w:t xml:space="preserve">control </w:t>
            </w:r>
            <w:r w:rsidRPr="007201E8">
              <w:t>period to account for changes in market conditions and trends.</w:t>
            </w:r>
          </w:p>
        </w:tc>
      </w:tr>
      <w:tr w:rsidR="007201E8" w:rsidTr="007201E8">
        <w:tc>
          <w:tcPr>
            <w:tcW w:w="1526" w:type="dxa"/>
            <w:vAlign w:val="top"/>
          </w:tcPr>
          <w:p w:rsidR="007201E8" w:rsidRPr="007201E8" w:rsidRDefault="007201E8" w:rsidP="007201E8">
            <w:r w:rsidRPr="009378AE">
              <w:t>6.5.10</w:t>
            </w:r>
          </w:p>
        </w:tc>
        <w:tc>
          <w:tcPr>
            <w:tcW w:w="7167" w:type="dxa"/>
            <w:vAlign w:val="top"/>
          </w:tcPr>
          <w:p w:rsidR="007201E8" w:rsidRPr="007201E8" w:rsidRDefault="007201E8" w:rsidP="007201E8">
            <w:r>
              <w:t>Allows service providers to pass through c</w:t>
            </w:r>
            <w:r w:rsidRPr="007201E8">
              <w:t>ertain costs to consumers in circumstances where this might not be possible in a workably competitive market.  For instance, the pass through provisions provide for a pass through of costs that arise through regulatory change.</w:t>
            </w:r>
          </w:p>
        </w:tc>
      </w:tr>
      <w:tr w:rsidR="007201E8" w:rsidTr="007201E8">
        <w:trPr>
          <w:cnfStyle w:val="000000010000" w:firstRow="0" w:lastRow="0" w:firstColumn="0" w:lastColumn="0" w:oddVBand="0" w:evenVBand="0" w:oddHBand="0" w:evenHBand="1" w:firstRowFirstColumn="0" w:firstRowLastColumn="0" w:lastRowFirstColumn="0" w:lastRowLastColumn="0"/>
        </w:trPr>
        <w:tc>
          <w:tcPr>
            <w:tcW w:w="1526" w:type="dxa"/>
            <w:vAlign w:val="top"/>
          </w:tcPr>
          <w:p w:rsidR="007201E8" w:rsidRPr="007201E8" w:rsidRDefault="007201E8" w:rsidP="007201E8">
            <w:r w:rsidRPr="009378AE">
              <w:t>6.5.7(f), 6.6A, chapter 5</w:t>
            </w:r>
          </w:p>
        </w:tc>
        <w:tc>
          <w:tcPr>
            <w:tcW w:w="7167" w:type="dxa"/>
            <w:vAlign w:val="top"/>
          </w:tcPr>
          <w:p w:rsidR="007201E8" w:rsidRPr="007201E8" w:rsidRDefault="007201E8" w:rsidP="007201E8">
            <w:r>
              <w:t>E</w:t>
            </w:r>
            <w:r w:rsidRPr="007201E8">
              <w:t>stablishes a planning regime for DNSPs that assists in predicting future costs and appropriate planning for changes in the commercial environment.  This includes provision for contingent projects during a regulatory control period and longer term projects through the RIT-D process.</w:t>
            </w:r>
          </w:p>
        </w:tc>
      </w:tr>
      <w:tr w:rsidR="007201E8" w:rsidTr="007201E8">
        <w:tc>
          <w:tcPr>
            <w:tcW w:w="1526" w:type="dxa"/>
            <w:vAlign w:val="top"/>
          </w:tcPr>
          <w:p w:rsidR="007201E8" w:rsidRPr="007201E8" w:rsidRDefault="007201E8" w:rsidP="007201E8">
            <w:r w:rsidRPr="009378AE">
              <w:t xml:space="preserve">6.20, </w:t>
            </w:r>
            <w:r w:rsidRPr="007201E8">
              <w:t>6.21, 6.6.1(a1)(d), and RoLR provisions</w:t>
            </w:r>
          </w:p>
        </w:tc>
        <w:tc>
          <w:tcPr>
            <w:tcW w:w="7167" w:type="dxa"/>
            <w:vAlign w:val="top"/>
          </w:tcPr>
          <w:p w:rsidR="007201E8" w:rsidRPr="007201E8" w:rsidRDefault="007201E8" w:rsidP="007201E8">
            <w:r>
              <w:t>Provides</w:t>
            </w:r>
            <w:r w:rsidRPr="007201E8">
              <w:t xml:space="preserve"> for a statutory billing and settlements framework with prudential requirements (and other similar provisions) to minimise financial risk associated with providing and charging for services.  There is also provision for dealing with potential risks associated with retailer insolvency. </w:t>
            </w:r>
          </w:p>
        </w:tc>
      </w:tr>
    </w:tbl>
    <w:p w:rsidR="007201E8" w:rsidRDefault="007201E8" w:rsidP="007201E8">
      <w:pPr>
        <w:pStyle w:val="AERtablesource"/>
      </w:pPr>
      <w:r>
        <w:t>Source: NER, AER analysis.</w:t>
      </w:r>
    </w:p>
    <w:p w:rsidR="007201E8" w:rsidRPr="00785554" w:rsidRDefault="007201E8" w:rsidP="007201E8">
      <w:pPr>
        <w:pStyle w:val="HeadingBoldItalic"/>
        <w:rPr>
          <w:rStyle w:val="AERbody"/>
        </w:rPr>
      </w:pPr>
      <w:r w:rsidRPr="00785554">
        <w:rPr>
          <w:rStyle w:val="AERbody"/>
        </w:rPr>
        <w:t>Outcomes of a workably competitive market</w:t>
      </w:r>
    </w:p>
    <w:p w:rsidR="007201E8" w:rsidRDefault="007201E8" w:rsidP="007201E8">
      <w:pPr>
        <w:numPr>
          <w:ilvl w:val="0"/>
          <w:numId w:val="24"/>
        </w:numPr>
      </w:pPr>
      <w:r>
        <w:rPr>
          <w:rStyle w:val="AERbody"/>
        </w:rPr>
        <w:t>For clarity, we consider the</w:t>
      </w:r>
      <w:r w:rsidDel="0080070C">
        <w:t xml:space="preserve"> </w:t>
      </w:r>
      <w:r>
        <w:t xml:space="preserve">regulatory regime should seek to replicate the outcomes of a workably competitive market to the extent possible (notwithstanding that this is not an explicit requirement of the rules nor the NEL/NGL). We consider that this would entail replicating (to the extent possible while achieving the objectives of regulation) </w:t>
      </w:r>
      <w:r w:rsidRPr="00E64F99">
        <w:t xml:space="preserve">outcomes that a workably competitive market </w:t>
      </w:r>
      <w:r>
        <w:t xml:space="preserve">would theoretically produce </w:t>
      </w:r>
      <w:r w:rsidRPr="00E64F99">
        <w:t>with respect to efficiency and the resulting prices and service levels.</w:t>
      </w:r>
      <w:r>
        <w:rPr>
          <w:rStyle w:val="FootnoteReference"/>
        </w:rPr>
        <w:footnoteReference w:id="80"/>
      </w:r>
      <w:r>
        <w:t xml:space="preserve"> Incentive regulation aims to replicate these outcomes where competition is not available to achieve this. We are in an environment where competition is not viable as energy network service providers are natural monopolies. Consistent with economic theory, </w:t>
      </w:r>
      <w:r w:rsidRPr="00E64F99">
        <w:t>'the essence of natural monopoly is that there are increasing returns in production and that the level of demand is such that only a single firm can be profitable'.</w:t>
      </w:r>
      <w:r w:rsidRPr="00E64F99">
        <w:rPr>
          <w:rStyle w:val="FootnoteReference"/>
        </w:rPr>
        <w:footnoteReference w:id="81"/>
      </w:r>
    </w:p>
    <w:p w:rsidR="007201E8" w:rsidRDefault="007201E8" w:rsidP="007201E8">
      <w:pPr>
        <w:numPr>
          <w:ilvl w:val="0"/>
          <w:numId w:val="24"/>
        </w:numPr>
      </w:pPr>
      <w:r>
        <w:t>Incentive regulation aims to replicate workably competitive market outcomes by:</w:t>
      </w:r>
    </w:p>
    <w:p w:rsidR="007201E8" w:rsidRDefault="007201E8" w:rsidP="007201E8">
      <w:pPr>
        <w:pStyle w:val="AERbulletlistfirststyle"/>
      </w:pPr>
      <w:r>
        <w:t>Constraining monopoly rents by seeking for customers to only pay for efficient costs of providing the service. This results in service providers having a lower rate of return than if they were unregulated.</w:t>
      </w:r>
    </w:p>
    <w:p w:rsidR="007201E8" w:rsidRPr="00E64F99" w:rsidRDefault="007201E8" w:rsidP="007201E8">
      <w:pPr>
        <w:pStyle w:val="AERbulletlistfirststyle"/>
      </w:pPr>
      <w:r>
        <w:t>Incentivising service providers to operate efficiently.</w:t>
      </w:r>
    </w:p>
    <w:p w:rsidR="007201E8" w:rsidRDefault="007201E8" w:rsidP="007201E8">
      <w:r>
        <w:t>Applying the first point to the allowed rate of return, the allowed rate of return should be consistent with the efficient financing cost of providing regulated services.</w:t>
      </w:r>
      <w:r>
        <w:rPr>
          <w:rStyle w:val="FootnoteReference"/>
        </w:rPr>
        <w:footnoteReference w:id="82"/>
      </w:r>
      <w:r>
        <w:t xml:space="preserve"> As</w:t>
      </w:r>
      <w:r w:rsidR="00DD2E09">
        <w:t xml:space="preserve"> we discuss above and in A</w:t>
      </w:r>
      <w:r>
        <w:t xml:space="preserve">ppendix </w:t>
      </w:r>
      <w:r w:rsidR="00DD2E09">
        <w:fldChar w:fldCharType="begin"/>
      </w:r>
      <w:r w:rsidR="00DD2E09">
        <w:instrText xml:space="preserve"> REF _Ref451265869 \r \h </w:instrText>
      </w:r>
      <w:r w:rsidR="00DD2E09">
        <w:fldChar w:fldCharType="separate"/>
      </w:r>
      <w:r w:rsidR="00BA2E8E">
        <w:t>H</w:t>
      </w:r>
      <w:r w:rsidR="00DD2E09">
        <w:fldChar w:fldCharType="end"/>
      </w:r>
      <w:r>
        <w:t>, we consider the current (or prevailing) cost of capital to be the efficient cost of capital. P</w:t>
      </w:r>
      <w:r w:rsidRPr="002624EC">
        <w:t xml:space="preserve">revailing market rates for capital finance </w:t>
      </w:r>
      <w:r>
        <w:t xml:space="preserve">are expected </w:t>
      </w:r>
      <w:r w:rsidRPr="002624EC">
        <w:t>to be competitive.</w:t>
      </w:r>
      <w:r w:rsidRPr="002624EC">
        <w:rPr>
          <w:rStyle w:val="FootnoteReference"/>
        </w:rPr>
        <w:footnoteReference w:id="83"/>
      </w:r>
      <w:r w:rsidRPr="002624EC">
        <w:t xml:space="preserve"> </w:t>
      </w:r>
      <w:r>
        <w:t>P</w:t>
      </w:r>
      <w:r w:rsidRPr="002624EC">
        <w:t xml:space="preserve">revailing market rates </w:t>
      </w:r>
      <w:r>
        <w:t xml:space="preserve">also represent </w:t>
      </w:r>
      <w:r w:rsidRPr="002624EC">
        <w:t>the costs that other service providers will face to enter the market.</w:t>
      </w:r>
      <w:r w:rsidRPr="002624EC">
        <w:rPr>
          <w:rStyle w:val="FootnoteReference"/>
        </w:rPr>
        <w:footnoteReference w:id="84"/>
      </w:r>
    </w:p>
    <w:p w:rsidR="007201E8" w:rsidRDefault="007201E8" w:rsidP="007201E8">
      <w:r>
        <w:t>Applying the second point to the allowed rate of return, we encourage services providers to operate efficiently by</w:t>
      </w:r>
      <w:r w:rsidRPr="00650403">
        <w:rPr>
          <w:rStyle w:val="AERbody"/>
        </w:rPr>
        <w:t xml:space="preserve"> </w:t>
      </w:r>
      <w:r>
        <w:rPr>
          <w:rStyle w:val="AERbody"/>
        </w:rPr>
        <w:t>s</w:t>
      </w:r>
      <w:r w:rsidRPr="00650403">
        <w:rPr>
          <w:rStyle w:val="AERbody"/>
        </w:rPr>
        <w:t>etting an allowed rate of return</w:t>
      </w:r>
      <w:r>
        <w:rPr>
          <w:rStyle w:val="AERbody"/>
        </w:rPr>
        <w:t xml:space="preserve"> that</w:t>
      </w:r>
      <w:r>
        <w:t xml:space="preserve">: </w:t>
      </w:r>
    </w:p>
    <w:p w:rsidR="007201E8" w:rsidRDefault="007201E8" w:rsidP="007201E8">
      <w:pPr>
        <w:pStyle w:val="AERbulletlistfirststyle"/>
        <w:rPr>
          <w:rStyle w:val="AERbody"/>
        </w:rPr>
      </w:pPr>
      <w:r w:rsidRPr="00650403">
        <w:rPr>
          <w:rStyle w:val="AERbody"/>
        </w:rPr>
        <w:t xml:space="preserve">Does not distort investment decisions. </w:t>
      </w:r>
      <w:r>
        <w:rPr>
          <w:rStyle w:val="AERbody"/>
        </w:rPr>
        <w:t xml:space="preserve">This differs from </w:t>
      </w:r>
      <w:r w:rsidRPr="00650403">
        <w:rPr>
          <w:rStyle w:val="AERbody"/>
        </w:rPr>
        <w:t>cost of service regulation</w:t>
      </w:r>
      <w:r>
        <w:rPr>
          <w:rStyle w:val="AERbody"/>
        </w:rPr>
        <w:t>, which entails</w:t>
      </w:r>
      <w:r w:rsidRPr="00650403">
        <w:rPr>
          <w:rStyle w:val="AERbody"/>
        </w:rPr>
        <w:t xml:space="preserve"> </w:t>
      </w:r>
      <w:r>
        <w:rPr>
          <w:rStyle w:val="AERbody"/>
        </w:rPr>
        <w:t>compensating</w:t>
      </w:r>
      <w:r w:rsidRPr="00650403">
        <w:rPr>
          <w:rStyle w:val="AERbody"/>
        </w:rPr>
        <w:t xml:space="preserve"> service provider</w:t>
      </w:r>
      <w:r>
        <w:rPr>
          <w:rStyle w:val="AERbody"/>
        </w:rPr>
        <w:t>s</w:t>
      </w:r>
      <w:r w:rsidRPr="00650403">
        <w:rPr>
          <w:rStyle w:val="AERbody"/>
        </w:rPr>
        <w:t xml:space="preserve"> for </w:t>
      </w:r>
      <w:r>
        <w:rPr>
          <w:rStyle w:val="AERbody"/>
        </w:rPr>
        <w:t>their</w:t>
      </w:r>
      <w:r w:rsidRPr="00650403">
        <w:rPr>
          <w:rStyle w:val="AERbody"/>
        </w:rPr>
        <w:t xml:space="preserve"> actual costs no matter how inefficient.</w:t>
      </w:r>
    </w:p>
    <w:p w:rsidR="007201E8" w:rsidRDefault="007201E8" w:rsidP="007201E8">
      <w:pPr>
        <w:pStyle w:val="AERbulletlistfirststyle"/>
        <w:rPr>
          <w:rStyle w:val="AERbody"/>
        </w:rPr>
      </w:pPr>
      <w:r>
        <w:rPr>
          <w:rStyle w:val="AERbody"/>
        </w:rPr>
        <w:t xml:space="preserve">Is </w:t>
      </w:r>
      <w:r w:rsidRPr="00650403">
        <w:rPr>
          <w:rStyle w:val="AERbody"/>
        </w:rPr>
        <w:t>consistent with the expected return in the competitive capital market (determined by demand and supply) for an investment of similar degree of risk as a service provider supplying regulated services.</w:t>
      </w:r>
    </w:p>
    <w:p w:rsidR="007201E8" w:rsidRDefault="007201E8" w:rsidP="007201E8">
      <w:pPr>
        <w:pStyle w:val="AERbulletlistfirststyle"/>
      </w:pPr>
      <w:r w:rsidRPr="00650403">
        <w:rPr>
          <w:rStyle w:val="AERbody"/>
        </w:rPr>
        <w:t>Incentivises service providers to seek the lowest cost financing (all else being equal).</w:t>
      </w:r>
    </w:p>
    <w:p w:rsidR="007201E8" w:rsidRPr="00E64F99" w:rsidRDefault="007201E8" w:rsidP="007201E8">
      <w:r>
        <w:t xml:space="preserve">For clarity, promoting an efficient competitive outcome would not necessarily </w:t>
      </w:r>
      <w:r w:rsidRPr="00E64F99">
        <w:t xml:space="preserve">entail </w:t>
      </w:r>
      <w:r>
        <w:t>assuming a benchmark efficient entity would</w:t>
      </w:r>
      <w:r w:rsidRPr="00E64F99">
        <w:t xml:space="preserve"> conduct </w:t>
      </w:r>
      <w:r>
        <w:t>all of its</w:t>
      </w:r>
      <w:r w:rsidRPr="00E64F99">
        <w:t xml:space="preserve"> </w:t>
      </w:r>
      <w:r>
        <w:t>activities</w:t>
      </w:r>
      <w:r w:rsidRPr="00E64F99">
        <w:t xml:space="preserve"> as we would imagine an unregulated firm would. </w:t>
      </w:r>
      <w:r>
        <w:t>As before, an unregulated benchmark efficient entity would be a natural monopoly. As Partington and Satchell advise, an unregulated benchmark with monopoly power is not appropriate because, '</w:t>
      </w:r>
      <w:r w:rsidRPr="00247802">
        <w:t>if the benchmark entity is an unregulated firm which has monopoly power, then it will be extracting economic rents</w:t>
      </w:r>
      <w:r>
        <w:t>'.</w:t>
      </w:r>
      <w:r>
        <w:rPr>
          <w:rStyle w:val="FootnoteReference"/>
        </w:rPr>
        <w:footnoteReference w:id="85"/>
      </w:r>
    </w:p>
    <w:p w:rsidR="007201E8" w:rsidRPr="00B575CE" w:rsidRDefault="007201E8" w:rsidP="000D32D3">
      <w:pPr>
        <w:pStyle w:val="Heading3"/>
        <w:ind w:left="578" w:hanging="578"/>
      </w:pPr>
      <w:bookmarkStart w:id="98" w:name="_Toc450922716"/>
      <w:bookmarkStart w:id="99" w:name="_Toc451678620"/>
      <w:r>
        <w:t>Return on debt factors in the rules</w:t>
      </w:r>
      <w:bookmarkEnd w:id="98"/>
      <w:bookmarkEnd w:id="99"/>
    </w:p>
    <w:p w:rsidR="007201E8" w:rsidRPr="002F1CCA" w:rsidRDefault="007201E8" w:rsidP="007201E8">
      <w:pPr>
        <w:numPr>
          <w:ilvl w:val="0"/>
          <w:numId w:val="24"/>
        </w:numPr>
      </w:pPr>
      <w:r w:rsidRPr="002F1CCA">
        <w:t xml:space="preserve">The </w:t>
      </w:r>
      <w:r>
        <w:t xml:space="preserve">rules </w:t>
      </w:r>
      <w:r w:rsidRPr="002F1CCA">
        <w:t>require that we must have regard to the following factors in estimating the return on debt:</w:t>
      </w:r>
      <w:r w:rsidRPr="001437CB">
        <w:rPr>
          <w:rStyle w:val="AERsuperscript"/>
        </w:rPr>
        <w:footnoteReference w:id="86"/>
      </w:r>
    </w:p>
    <w:p w:rsidR="007201E8" w:rsidRPr="002F1CCA" w:rsidRDefault="007201E8" w:rsidP="007201E8">
      <w:pPr>
        <w:pStyle w:val="AERbulletlistfirststyle"/>
      </w:pPr>
      <w:r w:rsidRPr="002F1CCA">
        <w:t xml:space="preserve">The desirability of minimising any difference between the return on debt and the return on debt of a benchmark efficient entity referred to in the </w:t>
      </w:r>
      <w:r>
        <w:t>ARORO</w:t>
      </w:r>
      <w:r w:rsidRPr="002F1CCA">
        <w:t>.</w:t>
      </w:r>
      <w:r w:rsidRPr="001437CB">
        <w:rPr>
          <w:rStyle w:val="AERsuperscript"/>
        </w:rPr>
        <w:footnoteReference w:id="87"/>
      </w:r>
      <w:r w:rsidRPr="002F1CCA">
        <w:t xml:space="preserve"> We understand this factor to mean the difference between the return on debt allowance and the cost of debt a benchmark efficient entity would incur.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7201E8" w:rsidRPr="002F1CCA" w:rsidRDefault="007201E8" w:rsidP="007201E8">
      <w:pPr>
        <w:pStyle w:val="AERbulletlistfirststyle"/>
      </w:pPr>
      <w:r w:rsidRPr="002F1CCA">
        <w:t>The interrelationship between the return on equity and the return on debt.</w:t>
      </w:r>
      <w:r w:rsidRPr="001437CB">
        <w:rPr>
          <w:rStyle w:val="AERsuperscript"/>
        </w:rPr>
        <w:footnoteReference w:id="88"/>
      </w:r>
    </w:p>
    <w:p w:rsidR="007201E8" w:rsidRPr="002F1CCA" w:rsidRDefault="007201E8" w:rsidP="007201E8">
      <w:pPr>
        <w:pStyle w:val="AERbulletlistfirststyle"/>
      </w:pPr>
      <w:r w:rsidRPr="002F1CCA">
        <w:t xml:space="preserve">The incentives that the return on debt may provide in relation to capital expenditure over the </w:t>
      </w:r>
      <w:r>
        <w:t>regulatory control</w:t>
      </w:r>
      <w:r w:rsidRPr="002F1CCA">
        <w:t xml:space="preserve"> period, including as to the timing of any capital expenditure.</w:t>
      </w:r>
      <w:r w:rsidRPr="001437CB">
        <w:rPr>
          <w:rStyle w:val="AERsuperscript"/>
        </w:rPr>
        <w:footnoteReference w:id="89"/>
      </w:r>
    </w:p>
    <w:p w:rsidR="007201E8" w:rsidRPr="002F1CCA" w:rsidRDefault="007201E8" w:rsidP="007201E8">
      <w:pPr>
        <w:pStyle w:val="AERbulletlistfirststyle"/>
      </w:pPr>
      <w:r w:rsidRPr="002F1CCA">
        <w:t xml:space="preserve">Any impacts (including in relation to the costs of servicing debt across </w:t>
      </w:r>
      <w:r w:rsidR="009D3AFA">
        <w:t>regulatory control</w:t>
      </w:r>
      <w:r w:rsidRPr="002F1CCA">
        <w:t xml:space="preserve"> periods) on a benchmark efficient entity referred to in the </w:t>
      </w:r>
      <w:r>
        <w:t>ARORO</w:t>
      </w:r>
      <w:r w:rsidRPr="002F1CCA">
        <w:t xml:space="preserve"> that could arise as a result of changing the methodology that is used to estimate the return on debt from one </w:t>
      </w:r>
      <w:r>
        <w:t>regulatory</w:t>
      </w:r>
      <w:r w:rsidRPr="002F1CCA">
        <w:t xml:space="preserve"> </w:t>
      </w:r>
      <w:r w:rsidR="00965241">
        <w:t xml:space="preserve">control </w:t>
      </w:r>
      <w:r w:rsidRPr="002F1CCA">
        <w:t>period to the next.</w:t>
      </w:r>
      <w:r w:rsidRPr="001437CB">
        <w:rPr>
          <w:rStyle w:val="AERsuperscript"/>
        </w:rPr>
        <w:footnoteReference w:id="90"/>
      </w:r>
    </w:p>
    <w:p w:rsidR="007201E8" w:rsidRDefault="007201E8" w:rsidP="007201E8">
      <w:pPr>
        <w:rPr>
          <w:rStyle w:val="AERbody"/>
        </w:rPr>
      </w:pPr>
      <w:r>
        <w:t>Of these factors above, the latter</w:t>
      </w:r>
      <w:r w:rsidRPr="002F1CCA">
        <w:t xml:space="preserve"> is particularly relevant</w:t>
      </w:r>
      <w:r>
        <w:t>. This is</w:t>
      </w:r>
      <w:r w:rsidRPr="002F1CCA">
        <w:t xml:space="preserve"> </w:t>
      </w:r>
      <w:r>
        <w:t>because</w:t>
      </w:r>
      <w:r w:rsidRPr="002F1CCA">
        <w:t xml:space="preserve"> </w:t>
      </w:r>
      <w:r>
        <w:t>the</w:t>
      </w:r>
      <w:r w:rsidRPr="002F1CCA">
        <w:t xml:space="preserve"> method</w:t>
      </w:r>
      <w:r>
        <w:t>ology for estimating the return on debt</w:t>
      </w:r>
      <w:r w:rsidRPr="002F1CCA">
        <w:t xml:space="preserve"> </w:t>
      </w:r>
      <w:r>
        <w:t>in this decision is</w:t>
      </w:r>
      <w:r w:rsidRPr="002F1CCA">
        <w:t xml:space="preserve"> a change from the method</w:t>
      </w:r>
      <w:r>
        <w:t>ology</w:t>
      </w:r>
      <w:r w:rsidRPr="002F1CCA">
        <w:t xml:space="preserve"> used in the previous </w:t>
      </w:r>
      <w:r>
        <w:t xml:space="preserve">regulatory </w:t>
      </w:r>
      <w:r w:rsidR="00965241">
        <w:t xml:space="preserve">control </w:t>
      </w:r>
      <w:r w:rsidRPr="002F1CCA">
        <w:t>period.</w:t>
      </w:r>
      <w:r w:rsidRPr="001437CB">
        <w:rPr>
          <w:rStyle w:val="AERsuperscript"/>
        </w:rPr>
        <w:footnoteReference w:id="91"/>
      </w:r>
      <w:r w:rsidRPr="001437CB">
        <w:rPr>
          <w:rStyle w:val="AERsuperscript"/>
        </w:rPr>
        <w:t xml:space="preserve"> </w:t>
      </w:r>
      <w:r w:rsidRPr="00FA6A21">
        <w:rPr>
          <w:rStyle w:val="AERbody"/>
        </w:rPr>
        <w:t xml:space="preserve"> </w:t>
      </w:r>
    </w:p>
    <w:p w:rsidR="007201E8" w:rsidRDefault="007201E8" w:rsidP="007201E8">
      <w:pPr>
        <w:rPr>
          <w:rStyle w:val="AERbody"/>
        </w:rPr>
      </w:pPr>
      <w:r>
        <w:t>Our transition between the two methodologies is '</w:t>
      </w:r>
      <w:r w:rsidRPr="00FA6A21">
        <w:t>revenue neutral'</w:t>
      </w:r>
      <w:r>
        <w:t xml:space="preserve"> in a present value sense.</w:t>
      </w:r>
      <w:r w:rsidRPr="00FA6A21">
        <w:t xml:space="preserve"> </w:t>
      </w:r>
      <w:r>
        <w:t>It</w:t>
      </w:r>
      <w:r w:rsidRPr="00FA6A21">
        <w:t xml:space="preserve"> prevents </w:t>
      </w:r>
      <w:r>
        <w:t>'</w:t>
      </w:r>
      <w:r w:rsidRPr="00FA6A21">
        <w:t>wealth transfers</w:t>
      </w:r>
      <w:r>
        <w:t>'</w:t>
      </w:r>
      <w:r>
        <w:rPr>
          <w:rStyle w:val="FootnoteReference"/>
        </w:rPr>
        <w:footnoteReference w:id="92"/>
      </w:r>
      <w:r w:rsidRPr="00FA6A21">
        <w:t xml:space="preserve"> </w:t>
      </w:r>
      <w:r>
        <w:t xml:space="preserve">flowing between a benchmark entity and its consumers because of the change in methodology. </w:t>
      </w:r>
      <w:r>
        <w:rPr>
          <w:rStyle w:val="AERbody"/>
        </w:rPr>
        <w:t>This mitigates any impacts</w:t>
      </w:r>
      <w:r w:rsidRPr="00500629">
        <w:t xml:space="preserve"> </w:t>
      </w:r>
      <w:r w:rsidRPr="00500629">
        <w:rPr>
          <w:rStyle w:val="AERbody"/>
        </w:rPr>
        <w:t xml:space="preserve">on a benchmark efficient entity that could arise as a result </w:t>
      </w:r>
      <w:r w:rsidRPr="002F1CCA">
        <w:t xml:space="preserve">of changing the methodology that is used to estimate the return on debt from one </w:t>
      </w:r>
      <w:r>
        <w:t>regulatory</w:t>
      </w:r>
      <w:r w:rsidR="00965241">
        <w:t xml:space="preserve"> control</w:t>
      </w:r>
      <w:r w:rsidRPr="002F1CCA">
        <w:t xml:space="preserve"> period to the next</w:t>
      </w:r>
      <w:r>
        <w:rPr>
          <w:rStyle w:val="AERbody"/>
        </w:rPr>
        <w:t xml:space="preserve">. </w:t>
      </w:r>
    </w:p>
    <w:p w:rsidR="007201E8" w:rsidRDefault="007201E8" w:rsidP="007201E8">
      <w:r>
        <w:t xml:space="preserve">If we change our </w:t>
      </w:r>
      <w:r w:rsidRPr="002F1CCA">
        <w:t>method</w:t>
      </w:r>
      <w:r>
        <w:t xml:space="preserve"> for estimating the return on debt without a transition, this would</w:t>
      </w:r>
      <w:r w:rsidRPr="00241758">
        <w:t xml:space="preserve"> change the allowed return on capital cash flows</w:t>
      </w:r>
      <w:r>
        <w:t xml:space="preserve"> relative to a continuation of the current (on-the-day) approach. This would</w:t>
      </w:r>
      <w:r w:rsidRPr="00241758">
        <w:t xml:space="preserve"> change the </w:t>
      </w:r>
      <w:r>
        <w:t xml:space="preserve">present </w:t>
      </w:r>
      <w:r w:rsidRPr="00241758">
        <w:t>value of a benchmark efficient entity (which is based on the present value of these expected future cash flows)</w:t>
      </w:r>
      <w:r>
        <w:t>, and this change would only arise due to a change in methodology. Changing the</w:t>
      </w:r>
      <w:r w:rsidRPr="00FA6A21">
        <w:t xml:space="preserve"> value of a benchmark efficient entity</w:t>
      </w:r>
      <w:r>
        <w:t xml:space="preserve"> would only contribute to the achievement of the ARORO if it would be under- or over-valued under the continuation of the current (on-the-day) methodology. There is no evidence before us to indicate the on-the-day approach would have, or would continue to, under- or over-value a benchmark efficient entity. Rather, we consider the on-the-day approach contributes to the achievement of the ARORO. This means it would not have, nor would it continue to, under- or over-value a benchmark efficient entity. On this basis, we consider any transition must be revenue neutral relative to the continuation of the on-the-day methodology. </w:t>
      </w:r>
    </w:p>
    <w:p w:rsidR="007201E8" w:rsidRPr="008D480D" w:rsidRDefault="007201E8" w:rsidP="007201E8">
      <w:r>
        <w:t xml:space="preserve">Further, the rules require that </w:t>
      </w:r>
      <w:r w:rsidRPr="002F1CCA">
        <w:t>if the return on debt method</w:t>
      </w:r>
      <w:r>
        <w:t>ology</w:t>
      </w:r>
      <w:r w:rsidRPr="002F1CCA">
        <w:t xml:space="preserve"> results in an estimate that is, or could be, different for different regulatory years, then the resulting change to the service provider’s total revenue must be effected through the automatic application of a formula that is specified in the decision </w:t>
      </w:r>
      <w:r>
        <w:t xml:space="preserve">for that regulatory </w:t>
      </w:r>
      <w:r w:rsidR="00965241">
        <w:t xml:space="preserve">control </w:t>
      </w:r>
      <w:r>
        <w:t>period</w:t>
      </w:r>
      <w:r w:rsidRPr="002F1CCA">
        <w:t>.</w:t>
      </w:r>
      <w:r w:rsidRPr="002F1CCA">
        <w:rPr>
          <w:rStyle w:val="AERsuperscript"/>
        </w:rPr>
        <w:footnoteReference w:id="93"/>
      </w:r>
      <w:r>
        <w:t xml:space="preserve"> We address this in our section on debt implementation.</w:t>
      </w:r>
    </w:p>
    <w:p w:rsidR="007201E8" w:rsidRPr="00B575CE" w:rsidRDefault="007201E8" w:rsidP="000D32D3">
      <w:pPr>
        <w:pStyle w:val="Heading3"/>
        <w:ind w:left="578" w:hanging="578"/>
      </w:pPr>
      <w:bookmarkStart w:id="100" w:name="_Toc450922717"/>
      <w:bookmarkStart w:id="101" w:name="_Toc451678621"/>
      <w:r>
        <w:t>R</w:t>
      </w:r>
      <w:r w:rsidRPr="00B575CE">
        <w:t>ate of return Guideline</w:t>
      </w:r>
      <w:bookmarkEnd w:id="100"/>
      <w:bookmarkEnd w:id="101"/>
    </w:p>
    <w:p w:rsidR="007201E8" w:rsidRDefault="007201E8" w:rsidP="007201E8">
      <w:r w:rsidRPr="00762AAF">
        <w:t xml:space="preserve">This section sets out the </w:t>
      </w:r>
      <w:r>
        <w:t xml:space="preserve">role and </w:t>
      </w:r>
      <w:r w:rsidRPr="00762AAF">
        <w:t>key elements of the Guideline. The explanatory statement (and appendices) to the Guideline explain our proposed approach in detail which we adopt for this section.</w:t>
      </w:r>
      <w:r w:rsidRPr="00762AAF">
        <w:rPr>
          <w:rStyle w:val="FootnoteReference"/>
        </w:rPr>
        <w:footnoteReference w:id="94"/>
      </w:r>
    </w:p>
    <w:p w:rsidR="007201E8" w:rsidRDefault="007201E8" w:rsidP="007201E8">
      <w:pPr>
        <w:pStyle w:val="HeadingBoldBlue"/>
      </w:pPr>
      <w:bookmarkStart w:id="102" w:name="_Toc450922718"/>
      <w:r>
        <w:t>Role of the Guideline</w:t>
      </w:r>
      <w:bookmarkEnd w:id="102"/>
    </w:p>
    <w:p w:rsidR="007201E8" w:rsidRDefault="007201E8" w:rsidP="007201E8">
      <w:pPr>
        <w:numPr>
          <w:ilvl w:val="0"/>
          <w:numId w:val="24"/>
        </w:numPr>
      </w:pPr>
      <w:r>
        <w:t>Our task is to estimate an allowed rate of return that achieves the ARORO rather than to merely apply the Guideline. Nevertheless, the Guideline has a significant role because any decision to depart from the Guideline must be a reasoned decision.</w:t>
      </w:r>
      <w:r>
        <w:rPr>
          <w:rStyle w:val="FootnoteReference"/>
        </w:rPr>
        <w:footnoteReference w:id="95"/>
      </w:r>
      <w:r w:rsidRPr="00843112">
        <w:t xml:space="preserve"> </w:t>
      </w:r>
      <w:r>
        <w:t>Similarly, service providers</w:t>
      </w:r>
      <w:r w:rsidRPr="00762AAF">
        <w:t xml:space="preserve"> must provide reasons for any proposed departures from the Guideline.</w:t>
      </w:r>
      <w:r w:rsidRPr="00762AAF">
        <w:rPr>
          <w:rStyle w:val="FootnoteReference"/>
        </w:rPr>
        <w:footnoteReference w:id="96"/>
      </w:r>
      <w:r w:rsidRPr="00762AAF">
        <w:t xml:space="preserve"> </w:t>
      </w:r>
      <w:r>
        <w:t>In practice, we have considered submissions on the rate of return made during this determination process anew so that we are satisfied that our estimate of the rate of return achieves the ARORO. Where we receive no new material</w:t>
      </w:r>
      <w:r w:rsidRPr="00864612">
        <w:t xml:space="preserve"> </w:t>
      </w:r>
      <w:r>
        <w:t>or there is no reason to change our Guideline approach, we maintain our view and reasons set out in the Guideline.</w:t>
      </w:r>
    </w:p>
    <w:p w:rsidR="007201E8" w:rsidRDefault="007201E8" w:rsidP="007201E8">
      <w:pPr>
        <w:numPr>
          <w:ilvl w:val="0"/>
          <w:numId w:val="24"/>
        </w:numPr>
      </w:pPr>
      <w:r>
        <w:t>Further, whilst the legislative framework allows us to depart from the Guideline, we would not do so lightly. This is because departing from it may undermine the certainty and predictability that stakeholders have said they value.</w:t>
      </w:r>
      <w:r>
        <w:rPr>
          <w:rStyle w:val="FootnoteReference"/>
        </w:rPr>
        <w:footnoteReference w:id="97"/>
      </w:r>
      <w:r>
        <w:t xml:space="preserve"> However, we would depart from the Guideline if we are satisfied that doing so would result in an outcome that better achieves the ARORO. We consider our approach is consistent with the AEMC's view that, 'the regulator would, in practice, be expected to follow the guidelines unless there had been some genuine change in the evidence'.</w:t>
      </w:r>
      <w:r w:rsidRPr="00696EC1">
        <w:rPr>
          <w:rStyle w:val="FootnoteReference"/>
        </w:rPr>
        <w:footnoteReference w:id="98"/>
      </w:r>
    </w:p>
    <w:p w:rsidR="007201E8" w:rsidRPr="00762AAF" w:rsidRDefault="007201E8" w:rsidP="007201E8">
      <w:pPr>
        <w:numPr>
          <w:ilvl w:val="0"/>
          <w:numId w:val="24"/>
        </w:numPr>
      </w:pPr>
      <w:r>
        <w:t xml:space="preserve">Consistent with the rules, </w:t>
      </w:r>
      <w:r w:rsidRPr="00762AAF">
        <w:t>we published the Guideline</w:t>
      </w:r>
      <w:r>
        <w:t xml:space="preserve"> setting </w:t>
      </w:r>
      <w:r w:rsidRPr="00762AAF">
        <w:t xml:space="preserve">out the estimation methods, financial models, market data and other evidence that we propose to take into account in estimating the </w:t>
      </w:r>
      <w:r>
        <w:t>allowed</w:t>
      </w:r>
      <w:r w:rsidRPr="00762AAF">
        <w:t xml:space="preserve"> return on equity, </w:t>
      </w:r>
      <w:r>
        <w:t xml:space="preserve">allowed </w:t>
      </w:r>
      <w:r w:rsidRPr="00762AAF">
        <w:t>return on debt and the value of imputation tax credits.</w:t>
      </w:r>
      <w:r w:rsidRPr="00762AAF">
        <w:rPr>
          <w:rStyle w:val="FootnoteReference"/>
        </w:rPr>
        <w:footnoteReference w:id="99"/>
      </w:r>
      <w:r w:rsidRPr="00762AAF">
        <w:t xml:space="preserve"> </w:t>
      </w:r>
      <w:r>
        <w:t>The Guideline specifies</w:t>
      </w:r>
      <w:r w:rsidRPr="00762AAF">
        <w:t>:</w:t>
      </w:r>
      <w:r w:rsidRPr="00762AAF">
        <w:rPr>
          <w:rStyle w:val="FootnoteReference"/>
        </w:rPr>
        <w:footnoteReference w:id="100"/>
      </w:r>
    </w:p>
    <w:p w:rsidR="007201E8" w:rsidRPr="00762AAF" w:rsidRDefault="007201E8" w:rsidP="007201E8">
      <w:pPr>
        <w:pStyle w:val="AERbulletlistfirststyle"/>
      </w:pPr>
      <w:r>
        <w:t>t</w:t>
      </w:r>
      <w:r w:rsidRPr="00762AAF">
        <w:t xml:space="preserve">he methodologies we propose to use to estimate the allowed rate of return (derived from the </w:t>
      </w:r>
      <w:r>
        <w:t>allowed</w:t>
      </w:r>
      <w:r w:rsidRPr="00762AAF">
        <w:t xml:space="preserve"> return on equity and debt) for electricity and gas network businesses</w:t>
      </w:r>
    </w:p>
    <w:p w:rsidR="007201E8" w:rsidRPr="00762AAF" w:rsidRDefault="007201E8" w:rsidP="007201E8">
      <w:pPr>
        <w:pStyle w:val="AERbulletlistfirststyle"/>
      </w:pPr>
      <w:r>
        <w:t>t</w:t>
      </w:r>
      <w:r w:rsidRPr="00762AAF">
        <w:t>he method we propose to use to estimate the value of imputation tax credits used to establish a benchmark corporate income tax allowance (see attachment on the value of imputation credits)</w:t>
      </w:r>
    </w:p>
    <w:p w:rsidR="007201E8" w:rsidRDefault="007201E8" w:rsidP="007201E8">
      <w:pPr>
        <w:pStyle w:val="AERbulletlistfirststyle"/>
      </w:pPr>
      <w:r>
        <w:t>h</w:t>
      </w:r>
      <w:r w:rsidRPr="00762AAF">
        <w:t xml:space="preserve">ow these methods will result in an allowed return on equity and return on debt which we are satisfied achieves the </w:t>
      </w:r>
      <w:r>
        <w:t>ARORO</w:t>
      </w:r>
      <w:r w:rsidRPr="00762AAF">
        <w:t>.</w:t>
      </w:r>
    </w:p>
    <w:p w:rsidR="007201E8" w:rsidRDefault="007201E8" w:rsidP="007201E8">
      <w:pPr>
        <w:numPr>
          <w:ilvl w:val="0"/>
          <w:numId w:val="24"/>
        </w:numPr>
      </w:pPr>
      <w:r>
        <w:t>Due to this, the Guideline provides transparency</w:t>
      </w:r>
      <w:r w:rsidRPr="00BC229B">
        <w:t xml:space="preserve"> and predictability for service providers, users and investors as to how we consider changes in market circumstances and make decisions. At the same time, it allows sufficient flexibility for us to account for changing market conditions at the time of each regulatory determination or access arrangement.</w:t>
      </w:r>
      <w:r>
        <w:t xml:space="preserve"> </w:t>
      </w:r>
    </w:p>
    <w:p w:rsidR="007201E8" w:rsidRDefault="007201E8" w:rsidP="007201E8">
      <w:pPr>
        <w:numPr>
          <w:ilvl w:val="0"/>
          <w:numId w:val="24"/>
        </w:numPr>
      </w:pPr>
      <w:r>
        <w:t>In developing the Guideline, we also undertook an extensive consultation process that r</w:t>
      </w:r>
      <w:r w:rsidRPr="001559B4">
        <w:t>esulted in addressing the relevant issues.</w:t>
      </w:r>
      <w:r>
        <w:t xml:space="preserve"> We summarised this consultation process in several recent decisions.</w:t>
      </w:r>
      <w:r>
        <w:rPr>
          <w:rStyle w:val="FootnoteReference"/>
        </w:rPr>
        <w:footnoteReference w:id="101"/>
      </w:r>
      <w:r>
        <w:t xml:space="preserve"> Details of the Guideline development process are also on our website.</w:t>
      </w:r>
      <w:r>
        <w:rPr>
          <w:rStyle w:val="FootnoteReference"/>
        </w:rPr>
        <w:footnoteReference w:id="102"/>
      </w:r>
      <w:r>
        <w:t xml:space="preserve"> </w:t>
      </w:r>
    </w:p>
    <w:p w:rsidR="007201E8" w:rsidRDefault="007201E8" w:rsidP="007201E8">
      <w:pPr>
        <w:pStyle w:val="HeadingBoldBlue"/>
      </w:pPr>
      <w:bookmarkStart w:id="103" w:name="_Toc450922719"/>
      <w:r>
        <w:t>Key elements of the Guideline</w:t>
      </w:r>
      <w:bookmarkEnd w:id="103"/>
      <w:r>
        <w:t xml:space="preserve"> </w:t>
      </w:r>
    </w:p>
    <w:p w:rsidR="007201E8" w:rsidRDefault="007201E8" w:rsidP="007201E8">
      <w:pPr>
        <w:rPr>
          <w:rStyle w:val="AERbody"/>
        </w:rPr>
      </w:pPr>
      <w:r>
        <w:rPr>
          <w:rStyle w:val="AERbody"/>
        </w:rPr>
        <w:t>The Guideline provides transparency on how we propose to estimate key components of the allowed rate of return. We summarise these below.</w:t>
      </w:r>
    </w:p>
    <w:p w:rsidR="007201E8" w:rsidRPr="00762AAF" w:rsidRDefault="007201E8" w:rsidP="007201E8">
      <w:pPr>
        <w:pStyle w:val="HeadingBoldItalic"/>
      </w:pPr>
      <w:r w:rsidRPr="00762AAF">
        <w:t>Application of criteria for assessing information</w:t>
      </w:r>
    </w:p>
    <w:p w:rsidR="007201E8" w:rsidRPr="00762AAF" w:rsidRDefault="007201E8" w:rsidP="007201E8">
      <w:pPr>
        <w:numPr>
          <w:ilvl w:val="0"/>
          <w:numId w:val="24"/>
        </w:numPr>
      </w:pPr>
      <w:r w:rsidRPr="00762AAF">
        <w:t xml:space="preserve">We developed a number of criteria and applied these to inform our regulatory judgement when evaluating material put before us. The criteria are subordinate to the law, the rules and especially the </w:t>
      </w:r>
      <w:r>
        <w:t>ARORO</w:t>
      </w:r>
      <w:r w:rsidRPr="00762AAF">
        <w:t>. We developed them to provide stakeholders greater certainty</w:t>
      </w:r>
      <w:r>
        <w:t xml:space="preserve"> </w:t>
      </w:r>
      <w:r w:rsidRPr="00762AAF">
        <w:t>as to how we intend to exercise our regulatory judgement whilst keeping sufficient flexibility to make decisions consistent with changing market conditions.</w:t>
      </w:r>
      <w:r w:rsidRPr="00762AAF">
        <w:rPr>
          <w:rStyle w:val="FootnoteReference"/>
        </w:rPr>
        <w:footnoteReference w:id="103"/>
      </w:r>
      <w:r w:rsidRPr="00762AAF">
        <w:t xml:space="preserve"> </w:t>
      </w:r>
    </w:p>
    <w:p w:rsidR="007201E8" w:rsidRPr="00762AAF" w:rsidRDefault="007201E8" w:rsidP="007201E8">
      <w:pPr>
        <w:numPr>
          <w:ilvl w:val="0"/>
          <w:numId w:val="24"/>
        </w:numPr>
      </w:pPr>
      <w:r w:rsidRPr="00762AAF">
        <w:t>We proposed to apply assessment criteria to guide our selection and use of estimation methods, models, market data and other evidence which inform our assessment of the overall rate of return. Not all the various estimation methods, financial models, market data and other evidence (information) will be of equal value in determining the rate of return by reference to a benchmark efficient entity</w:t>
      </w:r>
      <w:r w:rsidRPr="00864612">
        <w:t xml:space="preserve"> </w:t>
      </w:r>
      <w:r>
        <w:t>with a similar degree of risk to the service provider in relation to the provision of its regulated services</w:t>
      </w:r>
      <w:r w:rsidRPr="00762AAF">
        <w:t xml:space="preserve">. For example, some information may be more relevant, more feasible to construct, or more reliable than others. We considered that our decisions on the rate of return are more likely to contribute to the achievement of the </w:t>
      </w:r>
      <w:r>
        <w:t>ARORO</w:t>
      </w:r>
      <w:r w:rsidRPr="00762AAF">
        <w:t xml:space="preserve"> because we use estimation methods, financial models, market data and other evidence that are:</w:t>
      </w:r>
    </w:p>
    <w:p w:rsidR="007201E8" w:rsidRPr="00762AAF" w:rsidRDefault="007201E8" w:rsidP="007201E8">
      <w:pPr>
        <w:numPr>
          <w:ilvl w:val="4"/>
          <w:numId w:val="24"/>
        </w:numPr>
      </w:pPr>
      <w:r w:rsidRPr="00762AAF">
        <w:t>where applicable, reflective of economic and finance principles and market information</w:t>
      </w:r>
    </w:p>
    <w:p w:rsidR="007201E8" w:rsidRPr="00762AAF" w:rsidRDefault="007201E8" w:rsidP="007201E8">
      <w:pPr>
        <w:numPr>
          <w:ilvl w:val="5"/>
          <w:numId w:val="24"/>
        </w:numPr>
      </w:pPr>
      <w:r w:rsidRPr="00762AAF">
        <w:t>estimation methods and financial models are consistent with well accepted economic and finance principles and informed by sound empirical analysis and robust data</w:t>
      </w:r>
    </w:p>
    <w:p w:rsidR="007201E8" w:rsidRPr="00762AAF" w:rsidRDefault="007201E8" w:rsidP="007201E8">
      <w:pPr>
        <w:numPr>
          <w:ilvl w:val="4"/>
          <w:numId w:val="24"/>
        </w:numPr>
      </w:pPr>
      <w:r w:rsidRPr="00762AAF">
        <w:t>fit for purpose</w:t>
      </w:r>
    </w:p>
    <w:p w:rsidR="007201E8" w:rsidRPr="00762AAF" w:rsidRDefault="007201E8" w:rsidP="007201E8">
      <w:pPr>
        <w:numPr>
          <w:ilvl w:val="5"/>
          <w:numId w:val="24"/>
        </w:numPr>
      </w:pPr>
      <w:r w:rsidRPr="00762AAF">
        <w:t xml:space="preserve">the use of estimation methods, financial models, market data and other evidence should be consistent with the original purpose for which it was compiled and have regard to the limitations of that purpose </w:t>
      </w:r>
    </w:p>
    <w:p w:rsidR="007201E8" w:rsidRPr="00762AAF" w:rsidRDefault="007201E8" w:rsidP="007201E8">
      <w:pPr>
        <w:numPr>
          <w:ilvl w:val="5"/>
          <w:numId w:val="24"/>
        </w:numPr>
      </w:pPr>
      <w:r w:rsidRPr="00762AAF">
        <w:t xml:space="preserve">promote simple over complex approaches where appropriate </w:t>
      </w:r>
    </w:p>
    <w:p w:rsidR="007201E8" w:rsidRPr="00762AAF" w:rsidRDefault="007201E8" w:rsidP="007201E8">
      <w:pPr>
        <w:numPr>
          <w:ilvl w:val="4"/>
          <w:numId w:val="24"/>
        </w:numPr>
      </w:pPr>
      <w:r w:rsidRPr="00762AAF">
        <w:t>implemented in accordance with good practice</w:t>
      </w:r>
    </w:p>
    <w:p w:rsidR="007201E8" w:rsidRPr="00762AAF" w:rsidRDefault="007201E8" w:rsidP="007201E8">
      <w:pPr>
        <w:numPr>
          <w:ilvl w:val="5"/>
          <w:numId w:val="24"/>
        </w:numPr>
      </w:pPr>
      <w:r w:rsidRPr="00762AAF">
        <w:t>supported by robust, transparent and replicable analysis that is derived from available credible datasets</w:t>
      </w:r>
    </w:p>
    <w:p w:rsidR="007201E8" w:rsidRPr="00762AAF" w:rsidRDefault="007201E8" w:rsidP="007201E8">
      <w:pPr>
        <w:numPr>
          <w:ilvl w:val="4"/>
          <w:numId w:val="24"/>
        </w:numPr>
      </w:pPr>
      <w:r w:rsidRPr="00762AAF">
        <w:t>where models of the return on equity and debt are used these are</w:t>
      </w:r>
    </w:p>
    <w:p w:rsidR="007201E8" w:rsidRPr="00762AAF" w:rsidRDefault="007201E8" w:rsidP="007201E8">
      <w:pPr>
        <w:numPr>
          <w:ilvl w:val="5"/>
          <w:numId w:val="24"/>
        </w:numPr>
      </w:pPr>
      <w:r w:rsidRPr="00762AAF">
        <w:t>based on quantitative modelling that is sufficiently robust as to not be unduly sensitive to errors in inputs estimation</w:t>
      </w:r>
    </w:p>
    <w:p w:rsidR="007201E8" w:rsidRPr="00762AAF" w:rsidRDefault="007201E8" w:rsidP="007201E8">
      <w:pPr>
        <w:numPr>
          <w:ilvl w:val="5"/>
          <w:numId w:val="24"/>
        </w:numPr>
      </w:pPr>
      <w:r w:rsidRPr="00762AAF">
        <w:t>based on quantitative modelling which avoids arbitrary filtering or adjustment of data, which does not have a sound rationale</w:t>
      </w:r>
    </w:p>
    <w:p w:rsidR="007201E8" w:rsidRPr="00762AAF" w:rsidRDefault="007201E8" w:rsidP="007201E8">
      <w:pPr>
        <w:numPr>
          <w:ilvl w:val="4"/>
          <w:numId w:val="24"/>
        </w:numPr>
      </w:pPr>
      <w:r w:rsidRPr="00762AAF">
        <w:t>where market data and other information is used, this information is</w:t>
      </w:r>
    </w:p>
    <w:p w:rsidR="007201E8" w:rsidRPr="00762AAF" w:rsidRDefault="007201E8" w:rsidP="007201E8">
      <w:pPr>
        <w:numPr>
          <w:ilvl w:val="5"/>
          <w:numId w:val="24"/>
        </w:numPr>
      </w:pPr>
      <w:r w:rsidRPr="00762AAF">
        <w:t>credible and verifiable</w:t>
      </w:r>
    </w:p>
    <w:p w:rsidR="007201E8" w:rsidRPr="00762AAF" w:rsidRDefault="007201E8" w:rsidP="007201E8">
      <w:pPr>
        <w:numPr>
          <w:ilvl w:val="5"/>
          <w:numId w:val="24"/>
        </w:numPr>
      </w:pPr>
      <w:r w:rsidRPr="00762AAF">
        <w:t>comparable and timely</w:t>
      </w:r>
    </w:p>
    <w:p w:rsidR="007201E8" w:rsidRPr="00762AAF" w:rsidRDefault="007201E8" w:rsidP="007201E8">
      <w:pPr>
        <w:numPr>
          <w:ilvl w:val="5"/>
          <w:numId w:val="24"/>
        </w:numPr>
      </w:pPr>
      <w:r w:rsidRPr="00762AAF">
        <w:t>clearly sourced</w:t>
      </w:r>
    </w:p>
    <w:p w:rsidR="007201E8" w:rsidRPr="00762AAF" w:rsidRDefault="007201E8" w:rsidP="007201E8">
      <w:pPr>
        <w:numPr>
          <w:ilvl w:val="4"/>
          <w:numId w:val="24"/>
        </w:numPr>
      </w:pPr>
      <w:r w:rsidRPr="00762AAF">
        <w:t>sufficiently flexible as to allow changing market conditions and new information to be reflected in regulatory outcomes, as appropriate.</w:t>
      </w:r>
    </w:p>
    <w:p w:rsidR="007201E8" w:rsidRPr="00762AAF" w:rsidRDefault="007201E8" w:rsidP="007201E8">
      <w:r>
        <w:t>We applied t</w:t>
      </w:r>
      <w:r w:rsidRPr="00762AAF">
        <w:t>hese criteria in this decision to guide us in deciding on the merits of the material before us and the best place to employ the material (if at all).</w:t>
      </w:r>
    </w:p>
    <w:p w:rsidR="007201E8" w:rsidRPr="00762AAF" w:rsidRDefault="007201E8" w:rsidP="007201E8">
      <w:pPr>
        <w:pStyle w:val="HeadingBoldItalic"/>
      </w:pPr>
      <w:r w:rsidRPr="00762AAF">
        <w:t xml:space="preserve">Benchmark efficient entity </w:t>
      </w:r>
    </w:p>
    <w:p w:rsidR="007201E8" w:rsidRDefault="007201E8" w:rsidP="007201E8">
      <w:pPr>
        <w:numPr>
          <w:ilvl w:val="0"/>
          <w:numId w:val="24"/>
        </w:numPr>
      </w:pPr>
      <w:r>
        <w:t>We generally see</w:t>
      </w:r>
      <w:r w:rsidRPr="00762AAF">
        <w:t xml:space="preserve"> a benchmark efficient entity</w:t>
      </w:r>
      <w:r>
        <w:t xml:space="preserve"> with a similar degree of risk as that applying to the service provider in respect of the provision of standard control services  as being </w:t>
      </w:r>
      <w:r w:rsidRPr="00762AAF">
        <w:t>'a pure play, regulated energy network business operating within Australia'.</w:t>
      </w:r>
      <w:r>
        <w:t xml:space="preserve"> This includes the following components:</w:t>
      </w:r>
      <w:r w:rsidRPr="00762AAF">
        <w:rPr>
          <w:rStyle w:val="FootnoteReference"/>
        </w:rPr>
        <w:footnoteReference w:id="104"/>
      </w:r>
    </w:p>
    <w:p w:rsidR="007201E8" w:rsidRDefault="007201E8" w:rsidP="007201E8">
      <w:pPr>
        <w:pStyle w:val="AERbulletlistfirststyle"/>
      </w:pPr>
      <w:r>
        <w:t>Pure play:</w:t>
      </w:r>
      <w:r w:rsidRPr="006E696E">
        <w:t xml:space="preserve"> </w:t>
      </w:r>
      <w:r>
        <w:t>An entity that o</w:t>
      </w:r>
      <w:r w:rsidRPr="00762AAF">
        <w:t xml:space="preserve">ffers services focused in one industry or product area. In this context, </w:t>
      </w:r>
      <w:r>
        <w:t>the industry is</w:t>
      </w:r>
      <w:r w:rsidRPr="00762AAF">
        <w:t xml:space="preserve"> energy network services</w:t>
      </w:r>
      <w:r w:rsidRPr="00864612">
        <w:t xml:space="preserve"> </w:t>
      </w:r>
      <w:r>
        <w:t>and, in particular the services are regulated energy network services</w:t>
      </w:r>
      <w:r w:rsidRPr="00762AAF">
        <w:t>.</w:t>
      </w:r>
    </w:p>
    <w:p w:rsidR="007201E8" w:rsidRDefault="007201E8" w:rsidP="007201E8">
      <w:pPr>
        <w:pStyle w:val="AERbulletlistfirststyle"/>
      </w:pPr>
      <w:r>
        <w:t>Regulated:</w:t>
      </w:r>
      <w:r w:rsidRPr="006E696E">
        <w:t xml:space="preserve"> </w:t>
      </w:r>
      <w:r>
        <w:t>An entity</w:t>
      </w:r>
      <w:r w:rsidRPr="00762AAF">
        <w:t xml:space="preserve"> is subject to economic regulation (that is, revenue </w:t>
      </w:r>
      <w:r>
        <w:t xml:space="preserve">or </w:t>
      </w:r>
      <w:r w:rsidRPr="00762AAF">
        <w:t xml:space="preserve">price cap regulation) </w:t>
      </w:r>
      <w:r>
        <w:t>that makes it comparable for the purposes of assessing risk in the provision of regulated services. Comparable risk is an important component of the ARORO.</w:t>
      </w:r>
    </w:p>
    <w:p w:rsidR="007201E8" w:rsidRPr="00762AAF" w:rsidRDefault="007201E8" w:rsidP="007201E8">
      <w:pPr>
        <w:pStyle w:val="AERbulletlistfirststyle"/>
      </w:pPr>
      <w:r>
        <w:t>Energy network business:</w:t>
      </w:r>
      <w:r w:rsidRPr="006E696E">
        <w:t xml:space="preserve"> </w:t>
      </w:r>
      <w:r w:rsidRPr="00762AAF">
        <w:t>Energy network refers to a gas distribution, gas transmission, electricity distribution or electricity transmission business.</w:t>
      </w:r>
    </w:p>
    <w:p w:rsidR="007201E8" w:rsidRPr="006E696E" w:rsidRDefault="007201E8" w:rsidP="007201E8">
      <w:pPr>
        <w:pStyle w:val="AERbulletlistfirststyle"/>
      </w:pPr>
      <w:r>
        <w:t>Operating in Australia:</w:t>
      </w:r>
      <w:r w:rsidRPr="006E696E">
        <w:t xml:space="preserve"> </w:t>
      </w:r>
      <w:r>
        <w:t xml:space="preserve">An </w:t>
      </w:r>
      <w:r w:rsidRPr="006E696E">
        <w:t>entity operating within Australia as the location of a business determines the conditions under which the business operates. This includes the regulatory regime, tax laws, industry structure and broader economic environment</w:t>
      </w:r>
      <w:r>
        <w:t>.</w:t>
      </w:r>
    </w:p>
    <w:p w:rsidR="007201E8" w:rsidRPr="00762AAF" w:rsidRDefault="007201E8" w:rsidP="007201E8">
      <w:pPr>
        <w:pStyle w:val="HeadingBoldItalic"/>
      </w:pPr>
      <w:r w:rsidRPr="00762AAF">
        <w:t>Gearing</w:t>
      </w:r>
    </w:p>
    <w:p w:rsidR="007201E8" w:rsidRPr="00762AAF" w:rsidRDefault="007201E8" w:rsidP="007201E8">
      <w:pPr>
        <w:numPr>
          <w:ilvl w:val="0"/>
          <w:numId w:val="24"/>
        </w:numPr>
      </w:pPr>
      <w:r>
        <w:t>We base t</w:t>
      </w:r>
      <w:r w:rsidRPr="00762AAF">
        <w:t xml:space="preserve">he weight </w:t>
      </w:r>
      <w:r>
        <w:t>to</w:t>
      </w:r>
      <w:r w:rsidRPr="00762AAF">
        <w:t xml:space="preserve"> give to the point estimates of the return on equity and the return on debt to derive the overall rate of return </w:t>
      </w:r>
      <w:r>
        <w:t>on</w:t>
      </w:r>
      <w:r w:rsidRPr="00762AAF">
        <w:t xml:space="preserve"> our gearing ratio point estimate of 60 per cent. We give 60 per cent weight to debt and 40 per cent to equity.</w:t>
      </w:r>
      <w:r w:rsidRPr="00762AAF">
        <w:rPr>
          <w:rStyle w:val="FootnoteReference"/>
        </w:rPr>
        <w:footnoteReference w:id="105"/>
      </w:r>
    </w:p>
    <w:p w:rsidR="007201E8" w:rsidRPr="00762AAF" w:rsidRDefault="007201E8" w:rsidP="007201E8">
      <w:pPr>
        <w:pStyle w:val="HeadingBoldItalic"/>
      </w:pPr>
      <w:r w:rsidRPr="00762AAF">
        <w:t>Return on equity</w:t>
      </w:r>
    </w:p>
    <w:p w:rsidR="007201E8" w:rsidRPr="00762AAF" w:rsidRDefault="007201E8" w:rsidP="007201E8">
      <w:pPr>
        <w:numPr>
          <w:ilvl w:val="0"/>
          <w:numId w:val="24"/>
        </w:numPr>
      </w:pPr>
      <w:r w:rsidRPr="00762AAF">
        <w:t xml:space="preserve">We proposed to estimate the </w:t>
      </w:r>
      <w:r>
        <w:t>allowed</w:t>
      </w:r>
      <w:r w:rsidRPr="00762AAF">
        <w:t xml:space="preserve"> return on equity using the six steps set out in the flow chart in</w:t>
      </w:r>
      <w:r w:rsidR="000F4BC3">
        <w:t xml:space="preserve"> </w:t>
      </w:r>
      <w:r w:rsidR="000F4BC3">
        <w:fldChar w:fldCharType="begin"/>
      </w:r>
      <w:r w:rsidR="000F4BC3">
        <w:instrText xml:space="preserve"> REF  _Ref451348629 \* Lower \h </w:instrText>
      </w:r>
      <w:r w:rsidR="000F4BC3">
        <w:fldChar w:fldCharType="separate"/>
      </w:r>
      <w:r w:rsidR="00BA2E8E" w:rsidRPr="00762AAF">
        <w:t xml:space="preserve">figure </w:t>
      </w:r>
      <w:r w:rsidR="00BA2E8E">
        <w:rPr>
          <w:noProof/>
        </w:rPr>
        <w:t>3</w:t>
      </w:r>
      <w:r w:rsidR="00BA2E8E">
        <w:noBreakHyphen/>
      </w:r>
      <w:r w:rsidR="00BA2E8E">
        <w:rPr>
          <w:noProof/>
        </w:rPr>
        <w:t>2</w:t>
      </w:r>
      <w:r w:rsidR="000F4BC3">
        <w:fldChar w:fldCharType="end"/>
      </w:r>
      <w:r>
        <w:t>. For t</w:t>
      </w:r>
      <w:r w:rsidRPr="00762AAF">
        <w:t xml:space="preserve">he reasons for adopting </w:t>
      </w:r>
      <w:r>
        <w:t xml:space="preserve">this process, see </w:t>
      </w:r>
      <w:r w:rsidRPr="00762AAF">
        <w:t>the documents and submissions considered during the different stages of developing the Guideline. These include our issues</w:t>
      </w:r>
      <w:r>
        <w:t xml:space="preserve"> paper and consultation paper</w:t>
      </w:r>
      <w:r w:rsidRPr="00762AAF">
        <w:t xml:space="preserve"> and draft and final explanatory statements</w:t>
      </w:r>
      <w:r>
        <w:t xml:space="preserve"> to the Guideline</w:t>
      </w:r>
      <w:r w:rsidRPr="00762AAF">
        <w:t>.</w:t>
      </w:r>
      <w:r w:rsidRPr="00762AAF">
        <w:rPr>
          <w:rStyle w:val="FootnoteReference"/>
        </w:rPr>
        <w:footnoteReference w:id="106"/>
      </w:r>
    </w:p>
    <w:p w:rsidR="007201E8" w:rsidRPr="00762AAF" w:rsidRDefault="007201E8" w:rsidP="007201E8">
      <w:pPr>
        <w:pStyle w:val="Caption"/>
      </w:pPr>
      <w:bookmarkStart w:id="104" w:name="_Ref451348629"/>
      <w:r w:rsidRPr="00762AAF">
        <w:t xml:space="preserve">Figure </w:t>
      </w:r>
      <w:fldSimple w:instr=" STYLEREF 1 \s ">
        <w:r w:rsidR="00BA2E8E">
          <w:rPr>
            <w:noProof/>
          </w:rPr>
          <w:t>3</w:t>
        </w:r>
      </w:fldSimple>
      <w:r w:rsidR="00A6197A">
        <w:noBreakHyphen/>
      </w:r>
      <w:fldSimple w:instr=" SEQ Figure \* ARABIC \s 1 ">
        <w:r w:rsidR="00BA2E8E">
          <w:rPr>
            <w:noProof/>
          </w:rPr>
          <w:t>2</w:t>
        </w:r>
      </w:fldSimple>
      <w:bookmarkEnd w:id="104"/>
      <w:r w:rsidRPr="00762AAF">
        <w:tab/>
        <w:t xml:space="preserve">Flowchart of the AER’s proposed approach to estimating the </w:t>
      </w:r>
      <w:r>
        <w:t>allowed</w:t>
      </w:r>
      <w:r w:rsidRPr="00762AAF">
        <w:t xml:space="preserve"> return on equity</w:t>
      </w:r>
    </w:p>
    <w:p w:rsidR="007201E8" w:rsidRPr="00762AAF" w:rsidRDefault="007201E8" w:rsidP="007201E8">
      <w:pPr>
        <w:numPr>
          <w:ilvl w:val="0"/>
          <w:numId w:val="24"/>
        </w:numPr>
      </w:pPr>
      <w:r w:rsidRPr="007201E8">
        <w:rPr>
          <w:noProof/>
          <w:lang w:eastAsia="en-AU"/>
        </w:rPr>
        <w:drawing>
          <wp:inline distT="0" distB="0" distL="0" distR="0" wp14:anchorId="59F9E07E" wp14:editId="622619E3">
            <wp:extent cx="5729739" cy="7488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7">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7201E8" w:rsidRPr="00F06EAD" w:rsidRDefault="007201E8" w:rsidP="007201E8">
      <w:pPr>
        <w:rPr>
          <w:rStyle w:val="AERbody"/>
        </w:rPr>
      </w:pPr>
    </w:p>
    <w:p w:rsidR="007201E8" w:rsidRPr="00762AAF" w:rsidRDefault="007201E8" w:rsidP="007201E8"/>
    <w:p w:rsidR="007201E8" w:rsidRPr="00762AAF" w:rsidRDefault="007201E8" w:rsidP="007201E8">
      <w:pPr>
        <w:pStyle w:val="HeadingBoldItalic"/>
      </w:pPr>
      <w:r w:rsidRPr="00762AAF">
        <w:t>Return on debt</w:t>
      </w:r>
    </w:p>
    <w:p w:rsidR="007201E8" w:rsidRDefault="007201E8" w:rsidP="007201E8">
      <w:pPr>
        <w:pStyle w:val="ListParagraph"/>
        <w:numPr>
          <w:ilvl w:val="0"/>
          <w:numId w:val="24"/>
        </w:numPr>
      </w:pPr>
      <w:r>
        <w:t>We proposed to:</w:t>
      </w:r>
    </w:p>
    <w:p w:rsidR="007201E8" w:rsidRPr="00762AAF" w:rsidRDefault="007201E8" w:rsidP="007201E8">
      <w:pPr>
        <w:pStyle w:val="AERbulletlistfirststyle"/>
      </w:pPr>
      <w:r w:rsidRPr="00762AAF">
        <w:t>estimate a</w:t>
      </w:r>
      <w:r>
        <w:t xml:space="preserve"> return on debt using the</w:t>
      </w:r>
      <w:r w:rsidRPr="00762AAF">
        <w:t xml:space="preserve"> on-the-day </w:t>
      </w:r>
      <w:r>
        <w:t xml:space="preserve">approach </w:t>
      </w:r>
      <w:r w:rsidRPr="00762AAF">
        <w:t>(that is, based on prevailing market conditions</w:t>
      </w:r>
      <w:r>
        <w:t xml:space="preserve"> near the commencement of the regulatory control period</w:t>
      </w:r>
      <w:r w:rsidRPr="00762AAF">
        <w:t>) in</w:t>
      </w:r>
      <w:r>
        <w:t xml:space="preserve"> the first regulatory year (2016) of the 2016</w:t>
      </w:r>
      <w:r w:rsidRPr="00762AAF">
        <w:t xml:space="preserve">–20 </w:t>
      </w:r>
      <w:r>
        <w:t xml:space="preserve">regulatory control </w:t>
      </w:r>
      <w:r w:rsidRPr="00762AAF">
        <w:t>period, and</w:t>
      </w:r>
    </w:p>
    <w:p w:rsidR="007201E8" w:rsidRPr="00762AAF" w:rsidRDefault="007201E8" w:rsidP="007201E8">
      <w:pPr>
        <w:pStyle w:val="AERbulletlistfirststyle"/>
      </w:pPr>
      <w:r w:rsidRPr="00762AAF">
        <w:t xml:space="preserve">gradually transition this </w:t>
      </w:r>
      <w:r>
        <w:t xml:space="preserve">approach </w:t>
      </w:r>
      <w:r w:rsidRPr="00762AAF">
        <w:t>into a trailing average (that is, a moving historical average) over 10 years</w:t>
      </w:r>
      <w:r>
        <w:t xml:space="preserve"> by annually </w:t>
      </w:r>
      <w:r w:rsidRPr="00762AAF">
        <w:t xml:space="preserve">updating 10 per cent of the return on debt to reflect prevailing market conditions in that </w:t>
      </w:r>
      <w:r>
        <w:t>year</w:t>
      </w:r>
      <w:r w:rsidRPr="00762AAF">
        <w:t>.</w:t>
      </w:r>
      <w:r w:rsidRPr="00762AAF">
        <w:rPr>
          <w:rStyle w:val="FootnoteReference"/>
        </w:rPr>
        <w:footnoteReference w:id="107"/>
      </w:r>
    </w:p>
    <w:p w:rsidR="007201E8" w:rsidRPr="00762AAF" w:rsidRDefault="007201E8" w:rsidP="007201E8">
      <w:r w:rsidRPr="00762AAF">
        <w:t xml:space="preserve"> </w:t>
      </w:r>
      <w:r>
        <w:t>We also proposed</w:t>
      </w:r>
      <w:r w:rsidRPr="00762AAF">
        <w:t xml:space="preserve"> to estimate the return on debt in each regulatory year by reference to:</w:t>
      </w:r>
    </w:p>
    <w:p w:rsidR="007201E8" w:rsidRPr="00762AAF" w:rsidRDefault="007201E8" w:rsidP="007201E8">
      <w:pPr>
        <w:pStyle w:val="AERbulletlistfirststyle"/>
      </w:pPr>
      <w:r w:rsidRPr="00762AAF">
        <w:t>a benchmark credit rating of BBB+</w:t>
      </w:r>
    </w:p>
    <w:p w:rsidR="007201E8" w:rsidRPr="00762AAF" w:rsidRDefault="007201E8" w:rsidP="007201E8">
      <w:pPr>
        <w:pStyle w:val="AERbulletlistfirststyle"/>
      </w:pPr>
      <w:r w:rsidRPr="00762AAF">
        <w:t>a benchmark term of debt of 10 years</w:t>
      </w:r>
    </w:p>
    <w:p w:rsidR="007201E8" w:rsidRPr="00762AAF" w:rsidRDefault="007201E8" w:rsidP="007201E8">
      <w:pPr>
        <w:pStyle w:val="AERbulletlistfirststyle"/>
      </w:pPr>
      <w:r w:rsidRPr="00762AAF">
        <w:t>independent third party data series—specifically, a simple average of the broad BBB rated debt data series published by the RBA and Bloomberg, adjusted to reflect a 10 year estimate and other adjustments</w:t>
      </w:r>
      <w:r>
        <w:rPr>
          <w:rStyle w:val="FootnoteReference"/>
        </w:rPr>
        <w:footnoteReference w:id="108"/>
      </w:r>
    </w:p>
    <w:p w:rsidR="007201E8" w:rsidRPr="00762AAF" w:rsidRDefault="007201E8" w:rsidP="007201E8">
      <w:pPr>
        <w:pStyle w:val="AERbulletlistfirststyle"/>
      </w:pPr>
      <w:r w:rsidRPr="00762AAF">
        <w:t xml:space="preserve">an averaging period for each regulatory year of between 10 business days and 12 months (nominated by the service provider), with that period being as close as practical to the start of each regulatory year and also consistent with other conditions that we </w:t>
      </w:r>
      <w:r>
        <w:t>proposed in the G</w:t>
      </w:r>
      <w:r w:rsidRPr="00762AAF">
        <w:t>uideline.</w:t>
      </w:r>
      <w:r w:rsidRPr="00762AAF">
        <w:rPr>
          <w:rStyle w:val="FootnoteReference"/>
        </w:rPr>
        <w:footnoteReference w:id="109"/>
      </w:r>
    </w:p>
    <w:p w:rsidR="007201E8" w:rsidRPr="00762AAF" w:rsidRDefault="007201E8" w:rsidP="007201E8">
      <w:pPr>
        <w:pStyle w:val="HeadingBoldItalic"/>
      </w:pPr>
      <w:r w:rsidRPr="00762AAF">
        <w:t>Mid period WACC adjustment</w:t>
      </w:r>
    </w:p>
    <w:p w:rsidR="007201E8" w:rsidRDefault="007201E8" w:rsidP="007201E8">
      <w:pPr>
        <w:numPr>
          <w:ilvl w:val="0"/>
          <w:numId w:val="24"/>
        </w:numPr>
      </w:pPr>
      <w:r w:rsidRPr="00762AAF">
        <w:t xml:space="preserve">We proposed </w:t>
      </w:r>
      <w:r>
        <w:t xml:space="preserve">to </w:t>
      </w:r>
      <w:r w:rsidRPr="00762AAF">
        <w:t>annually</w:t>
      </w:r>
      <w:r>
        <w:t xml:space="preserve"> update</w:t>
      </w:r>
      <w:r w:rsidRPr="00762AAF">
        <w:t xml:space="preserve"> </w:t>
      </w:r>
      <w:r>
        <w:t>the</w:t>
      </w:r>
      <w:r w:rsidRPr="00762AAF">
        <w:t xml:space="preserve"> overall rate of return estimate because</w:t>
      </w:r>
      <w:r>
        <w:t xml:space="preserve"> we are required to update</w:t>
      </w:r>
      <w:r w:rsidRPr="00762AAF">
        <w:t xml:space="preserve"> the return on debt annually.</w:t>
      </w:r>
      <w:r w:rsidRPr="00762AAF">
        <w:rPr>
          <w:rStyle w:val="FootnoteReference"/>
        </w:rPr>
        <w:footnoteReference w:id="110"/>
      </w:r>
      <w:r w:rsidRPr="00762AAF">
        <w:t xml:space="preserve"> We recently published amendments to the transmission and distribution post tax revenue model (PTRM) to enable </w:t>
      </w:r>
      <w:r>
        <w:t>applying annual updates</w:t>
      </w:r>
      <w:r w:rsidRPr="00762AAF">
        <w:t>.</w:t>
      </w:r>
      <w:r w:rsidRPr="00762AAF">
        <w:rPr>
          <w:rStyle w:val="FootnoteReference"/>
        </w:rPr>
        <w:footnoteReference w:id="111"/>
      </w:r>
    </w:p>
    <w:p w:rsidR="007201E8" w:rsidRPr="00B575CE" w:rsidRDefault="007201E8" w:rsidP="000D32D3">
      <w:pPr>
        <w:pStyle w:val="Heading3"/>
        <w:ind w:left="578" w:hanging="578"/>
      </w:pPr>
      <w:bookmarkStart w:id="105" w:name="_Toc450922720"/>
      <w:bookmarkStart w:id="106" w:name="_Toc451678622"/>
      <w:r>
        <w:t>Interrelationships</w:t>
      </w:r>
      <w:bookmarkEnd w:id="105"/>
      <w:bookmarkEnd w:id="106"/>
    </w:p>
    <w:p w:rsidR="007201E8" w:rsidRPr="00785554" w:rsidRDefault="007201E8" w:rsidP="007201E8">
      <w:r w:rsidRPr="00E75E61">
        <w:t xml:space="preserve">In </w:t>
      </w:r>
      <w:r w:rsidRPr="00785554">
        <w:t>determining the allowed rate of return, we must have regard to any interrelationships between estimates of financial parameters that are relevant to the estimates of the return on equity and the return on debt.</w:t>
      </w:r>
      <w:r w:rsidRPr="00785554">
        <w:rPr>
          <w:rStyle w:val="FootnoteReference"/>
        </w:rPr>
        <w:footnoteReference w:id="112"/>
      </w:r>
      <w:r w:rsidRPr="00785554">
        <w:t xml:space="preserve"> In this section, we discuss the key interrelationships in our rate of return decision. The Guideline also describes these interrelationships in detail where we have had regard to them in developing our approach. The manner in which we consider these interrelationships is also set out as part of our reasoning and analysis in appendices to this attachment.</w:t>
      </w:r>
    </w:p>
    <w:p w:rsidR="007201E8" w:rsidRPr="00762AAF" w:rsidRDefault="007201E8" w:rsidP="007201E8">
      <w:pPr>
        <w:numPr>
          <w:ilvl w:val="0"/>
          <w:numId w:val="24"/>
        </w:numPr>
      </w:pPr>
      <w:r w:rsidRPr="00762AAF">
        <w:t>We estimate a rate of return for a benchmark efficient entity which is then applied to a specific service provider</w:t>
      </w:r>
      <w:r>
        <w:t>,</w:t>
      </w:r>
      <w:r w:rsidRPr="00762AAF">
        <w:t xml:space="preserve"> rather than determining the returns of a specific service provider based on </w:t>
      </w:r>
      <w:r>
        <w:t xml:space="preserve">all of </w:t>
      </w:r>
      <w:r w:rsidRPr="00762AAF">
        <w:t>its specific circumstances.</w:t>
      </w:r>
      <w:r w:rsidRPr="00762AAF">
        <w:rPr>
          <w:rStyle w:val="FootnoteReference"/>
        </w:rPr>
        <w:footnoteReference w:id="113"/>
      </w:r>
      <w:r w:rsidRPr="00762AAF">
        <w:t xml:space="preserve"> This is the same whether estimating the return on equity or return on debt as separate components. We set a rate of return that is commensurate with the efficient financing costs of a benchmark efficient entity with a similar degree of risk as the service provider in respect of the provision of standard control services. This provides a reasonable opportunity to recover at least </w:t>
      </w:r>
      <w:r>
        <w:t xml:space="preserve">the </w:t>
      </w:r>
      <w:r w:rsidRPr="00762AAF">
        <w:t>efficient</w:t>
      </w:r>
      <w:r>
        <w:t xml:space="preserve"> financing</w:t>
      </w:r>
      <w:r w:rsidRPr="00762AAF">
        <w:t xml:space="preserve"> costs</w:t>
      </w:r>
      <w:r>
        <w:t xml:space="preserve"> of providing those services</w:t>
      </w:r>
      <w:r w:rsidRPr="00762AAF">
        <w:t>.</w:t>
      </w:r>
      <w:r w:rsidRPr="00762AAF">
        <w:rPr>
          <w:rStyle w:val="FootnoteReference"/>
        </w:rPr>
        <w:footnoteReference w:id="114"/>
      </w:r>
      <w:r w:rsidRPr="00762AAF">
        <w:t xml:space="preserve"> The service providers' actual returns could </w:t>
      </w:r>
      <w:r>
        <w:t>differ from</w:t>
      </w:r>
      <w:r w:rsidRPr="00762AAF">
        <w:t xml:space="preserve"> th</w:t>
      </w:r>
      <w:r>
        <w:t>ose of a</w:t>
      </w:r>
      <w:r w:rsidRPr="00762AAF">
        <w:t xml:space="preserve"> benchmark</w:t>
      </w:r>
      <w:r>
        <w:t xml:space="preserve"> entity</w:t>
      </w:r>
      <w:r w:rsidRPr="00762AAF">
        <w:t xml:space="preserve"> depending on how efficiently it operates its business. This is consistent with incentive regulation. That is, our rate of return approach drives efficient outcomes by creating the correct incentive by </w:t>
      </w:r>
      <w:r>
        <w:t>requiring</w:t>
      </w:r>
      <w:r w:rsidRPr="00762AAF">
        <w:t xml:space="preserve"> service providers to retain (fund) any additional income (costs) by outperforming (underperforming) the efficient benchmark.</w:t>
      </w:r>
      <w:r w:rsidRPr="00762AAF">
        <w:rPr>
          <w:rStyle w:val="FootnoteReference"/>
        </w:rPr>
        <w:footnoteReference w:id="115"/>
      </w:r>
    </w:p>
    <w:p w:rsidR="007201E8" w:rsidRPr="00762AAF" w:rsidRDefault="007201E8" w:rsidP="007201E8">
      <w:pPr>
        <w:numPr>
          <w:ilvl w:val="0"/>
          <w:numId w:val="24"/>
        </w:numPr>
      </w:pPr>
      <w:r w:rsidRPr="00762AAF">
        <w:t>We apply a benchmark approach and an i</w:t>
      </w:r>
      <w:r>
        <w:t>ncentive regulatory framework. One should not view a</w:t>
      </w:r>
      <w:r w:rsidRPr="00762AAF">
        <w:t>ny component or relevant parameter adopted for estimating the rate of return in isolation. In developing our approach and implementing it to derive the overall rate of return we are cognisant of a number of interrelationships relating to the estimation of the return on equity and debt and underlying input parameters.</w:t>
      </w:r>
    </w:p>
    <w:p w:rsidR="007201E8" w:rsidRPr="00762AAF" w:rsidRDefault="007201E8" w:rsidP="007201E8">
      <w:pPr>
        <w:rPr>
          <w:rStyle w:val="Strong"/>
        </w:rPr>
      </w:pPr>
      <w:r>
        <w:rPr>
          <w:rStyle w:val="Strong"/>
        </w:rPr>
        <w:t>A</w:t>
      </w:r>
      <w:r w:rsidRPr="00762AAF">
        <w:rPr>
          <w:rStyle w:val="Strong"/>
        </w:rPr>
        <w:t xml:space="preserve"> benchmark </w:t>
      </w:r>
    </w:p>
    <w:p w:rsidR="007201E8" w:rsidRPr="00762AAF" w:rsidRDefault="007201E8" w:rsidP="007201E8">
      <w:pPr>
        <w:numPr>
          <w:ilvl w:val="0"/>
          <w:numId w:val="24"/>
        </w:numPr>
      </w:pPr>
      <w:r>
        <w:t>In the Guideline and for this decision, w</w:t>
      </w:r>
      <w:r w:rsidRPr="00762AAF">
        <w:t xml:space="preserve">e </w:t>
      </w:r>
      <w:r>
        <w:t xml:space="preserve">have </w:t>
      </w:r>
      <w:r w:rsidRPr="00762AAF">
        <w:t>adopt</w:t>
      </w:r>
      <w:r>
        <w:t>ed</w:t>
      </w:r>
      <w:r w:rsidRPr="00762AAF">
        <w:t xml:space="preserve"> a </w:t>
      </w:r>
      <w:r>
        <w:t xml:space="preserve">hypothetical </w:t>
      </w:r>
      <w:r w:rsidRPr="00762AAF">
        <w:t xml:space="preserve">benchmark efficient entity </w:t>
      </w:r>
      <w:r>
        <w:t xml:space="preserve">that is common </w:t>
      </w:r>
      <w:r w:rsidRPr="00762AAF">
        <w:t xml:space="preserve">across all service providers. In deciding on a benchmark we considered </w:t>
      </w:r>
      <w:r>
        <w:t xml:space="preserve">the </w:t>
      </w:r>
      <w:r w:rsidRPr="00762AAF">
        <w:t>different types of risks and different risk drivers that may have the potential to lead to different risk exposures</w:t>
      </w:r>
      <w:r w:rsidRPr="00864612">
        <w:t xml:space="preserve"> </w:t>
      </w:r>
      <w:r>
        <w:t>for different businesses in the provision of their services</w:t>
      </w:r>
      <w:r w:rsidRPr="00762AAF">
        <w:t xml:space="preserve">. We also noted that the rate of return compensates investors only for non–diversifiable risks (systematic risks) </w:t>
      </w:r>
      <w:r>
        <w:t>while</w:t>
      </w:r>
      <w:r w:rsidRPr="00762AAF">
        <w:t xml:space="preserve"> other types of risks are compensated via cash flows and some may not be compensated at all.</w:t>
      </w:r>
      <w:r w:rsidRPr="00762AAF">
        <w:rPr>
          <w:rStyle w:val="FootnoteReference"/>
        </w:rPr>
        <w:footnoteReference w:id="116"/>
      </w:r>
      <w:r w:rsidRPr="00762AAF">
        <w:t xml:space="preserve"> These interrelationships between the types of risk and the required compensation via the rate of return are an important factor.</w:t>
      </w:r>
      <w:r w:rsidRPr="00762AAF">
        <w:rPr>
          <w:rStyle w:val="FootnoteReference"/>
        </w:rPr>
        <w:footnoteReference w:id="117"/>
      </w:r>
      <w:r w:rsidRPr="00762AAF">
        <w:t xml:space="preserve"> </w:t>
      </w:r>
      <w:r>
        <w:t>After careful analysis, our</w:t>
      </w:r>
      <w:r w:rsidRPr="00762AAF">
        <w:t xml:space="preserve"> view is that </w:t>
      </w:r>
      <w:r>
        <w:t>a benchmark eff</w:t>
      </w:r>
      <w:r w:rsidRPr="00762AAF">
        <w:t xml:space="preserve">icient entity would face a similar degree of risk </w:t>
      </w:r>
      <w:r>
        <w:t>to each of the service providers</w:t>
      </w:r>
      <w:r w:rsidRPr="00762AAF">
        <w:t xml:space="preserve"> irrespective of the: </w:t>
      </w:r>
    </w:p>
    <w:p w:rsidR="007201E8" w:rsidRPr="00762AAF" w:rsidRDefault="007201E8" w:rsidP="007201E8">
      <w:pPr>
        <w:pStyle w:val="AERbulletlistfirststyle"/>
      </w:pPr>
      <w:r w:rsidRPr="00762AAF">
        <w:t>energy type (gas or electricity)</w:t>
      </w:r>
    </w:p>
    <w:p w:rsidR="007201E8" w:rsidRPr="00762AAF" w:rsidRDefault="007201E8" w:rsidP="007201E8">
      <w:pPr>
        <w:pStyle w:val="AERbulletlistfirststyle"/>
      </w:pPr>
      <w:r w:rsidRPr="00762AAF">
        <w:t>network type (distribution or transmission)</w:t>
      </w:r>
    </w:p>
    <w:p w:rsidR="007201E8" w:rsidRPr="00762AAF" w:rsidRDefault="007201E8" w:rsidP="007201E8">
      <w:pPr>
        <w:pStyle w:val="AERbulletlistfirststyle"/>
      </w:pPr>
      <w:r w:rsidRPr="00762AAF">
        <w:t>ownership type (government or private)</w:t>
      </w:r>
    </w:p>
    <w:p w:rsidR="007201E8" w:rsidRPr="00762AAF" w:rsidRDefault="007201E8" w:rsidP="007201E8">
      <w:pPr>
        <w:pStyle w:val="AERbulletlistfirststyle"/>
      </w:pPr>
      <w:r w:rsidRPr="00762AAF">
        <w:t>size of the service provider (big or small).</w:t>
      </w:r>
    </w:p>
    <w:p w:rsidR="007201E8" w:rsidRPr="00762AAF" w:rsidRDefault="007201E8" w:rsidP="007201E8">
      <w:pPr>
        <w:numPr>
          <w:ilvl w:val="0"/>
          <w:numId w:val="24"/>
        </w:numPr>
        <w:rPr>
          <w:rStyle w:val="Strong"/>
        </w:rPr>
      </w:pPr>
      <w:r w:rsidRPr="00762AAF">
        <w:rPr>
          <w:rStyle w:val="Strong"/>
        </w:rPr>
        <w:t>Domestic market</w:t>
      </w:r>
    </w:p>
    <w:p w:rsidR="007201E8" w:rsidRPr="00762AAF" w:rsidRDefault="007201E8" w:rsidP="007201E8">
      <w:pPr>
        <w:numPr>
          <w:ilvl w:val="0"/>
          <w:numId w:val="24"/>
        </w:numPr>
      </w:pPr>
      <w:r w:rsidRPr="00762AAF">
        <w:t xml:space="preserve">We </w:t>
      </w:r>
      <w:r>
        <w:t>generally consider that</w:t>
      </w:r>
      <w:r w:rsidRPr="00762AAF">
        <w:t xml:space="preserve"> the Australian market </w:t>
      </w:r>
      <w:r>
        <w:t>i</w:t>
      </w:r>
      <w:r w:rsidRPr="00762AAF">
        <w:t xml:space="preserve">s the market within which </w:t>
      </w:r>
      <w:r>
        <w:t>a benchmark eff</w:t>
      </w:r>
      <w:r w:rsidRPr="00762AAF">
        <w:t xml:space="preserve">icient entity </w:t>
      </w:r>
      <w:r>
        <w:t xml:space="preserve">would </w:t>
      </w:r>
      <w:r w:rsidRPr="00762AAF">
        <w:t>operate</w:t>
      </w:r>
      <w:r>
        <w:t xml:space="preserve"> to make it properly comparable in degree of risk to a service provider</w:t>
      </w:r>
      <w:r w:rsidRPr="00762AAF">
        <w:t>. This recognises that the location of a business determines the conditions under which the business operates and these include the regulatory regime, tax laws, industry structure and broader economic environment. As most of these conditions will be different from those prevailing for overseas entities, the risk profile of overseas entities is likely to differ from those within Australia. Consequently, the returns required are also likely to differ. Hence, when estimating input parameters for the S</w:t>
      </w:r>
      <w:r>
        <w:t>harpe-</w:t>
      </w:r>
      <w:r w:rsidRPr="00762AAF">
        <w:t>L</w:t>
      </w:r>
      <w:r>
        <w:t xml:space="preserve">intner </w:t>
      </w:r>
      <w:r w:rsidRPr="00762AAF">
        <w:t>CAPM we place most reliance on Australian market data whilst using overseas data informatively.</w:t>
      </w:r>
    </w:p>
    <w:p w:rsidR="007201E8" w:rsidRPr="00762AAF" w:rsidRDefault="007201E8" w:rsidP="007201E8">
      <w:pPr>
        <w:rPr>
          <w:rStyle w:val="Strong"/>
        </w:rPr>
      </w:pPr>
      <w:r w:rsidRPr="00762AAF">
        <w:rPr>
          <w:rStyle w:val="Strong"/>
        </w:rPr>
        <w:t>Benchmark gearing</w:t>
      </w:r>
    </w:p>
    <w:p w:rsidR="007201E8" w:rsidRPr="00762AAF" w:rsidRDefault="007201E8" w:rsidP="007201E8">
      <w:r w:rsidRPr="00762AAF">
        <w:t>We apply a benchmark efficient level of gearing of 60 per cent, as noted above. This benchmark gearing level is used:</w:t>
      </w:r>
    </w:p>
    <w:p w:rsidR="007201E8" w:rsidRPr="00762AAF" w:rsidRDefault="007201E8" w:rsidP="007201E8">
      <w:pPr>
        <w:pStyle w:val="AERbulletlistfirststyle"/>
      </w:pPr>
      <w:r w:rsidRPr="00762AAF">
        <w:t xml:space="preserve">to weight the </w:t>
      </w:r>
      <w:r>
        <w:t>allowed</w:t>
      </w:r>
      <w:r w:rsidRPr="00762AAF">
        <w:t xml:space="preserve"> return on debt and equity to derive the overall </w:t>
      </w:r>
      <w:r>
        <w:t xml:space="preserve">allowed </w:t>
      </w:r>
      <w:r w:rsidRPr="00762AAF">
        <w:t>rate of return using the WACC formula</w:t>
      </w:r>
    </w:p>
    <w:p w:rsidR="007201E8" w:rsidRPr="00762AAF" w:rsidRDefault="007201E8" w:rsidP="007201E8">
      <w:pPr>
        <w:pStyle w:val="AERbulletlistfirststyle"/>
      </w:pPr>
      <w:r w:rsidRPr="00762AAF">
        <w:t>to re-lever asset betas for the purposes of comparing the levels of systematic risk across businesses which is relevant for the equity beta estimate.</w:t>
      </w:r>
    </w:p>
    <w:p w:rsidR="007201E8" w:rsidRPr="00762AAF" w:rsidRDefault="007201E8" w:rsidP="007201E8">
      <w:r w:rsidRPr="00762AAF">
        <w:t>We adopt a benchmark credit rating which is BBB+ or its equivalent for the purposes of estimating the return on debt. To derive this benchmark rating and the gearing ratio, we reviewed a sample of regulated network</w:t>
      </w:r>
      <w:r>
        <w:t xml:space="preserve"> providers</w:t>
      </w:r>
      <w:r w:rsidRPr="00762AAF">
        <w:t xml:space="preserve">. Amongst a number of other factors, a regulated service provider's actual gearing levels have a direct relationship to its credit ratings. Hence, our findings on the benchmark gearing ratio of 60 per cent and the benchmark credit rating are interrelated given </w:t>
      </w:r>
      <w:r>
        <w:t>we derive</w:t>
      </w:r>
      <w:r w:rsidRPr="00762AAF">
        <w:t xml:space="preserve"> the underlying evidence from a sample of regulated network service providers.</w:t>
      </w:r>
      <w:r w:rsidRPr="00762AAF">
        <w:rPr>
          <w:rStyle w:val="FootnoteReference"/>
        </w:rPr>
        <w:footnoteReference w:id="118"/>
      </w:r>
    </w:p>
    <w:p w:rsidR="007201E8" w:rsidRPr="00762AAF" w:rsidRDefault="007201E8" w:rsidP="0056045B">
      <w:pPr>
        <w:keepNext/>
        <w:rPr>
          <w:rStyle w:val="Strong"/>
        </w:rPr>
      </w:pPr>
      <w:r w:rsidRPr="00762AAF">
        <w:rPr>
          <w:rStyle w:val="Strong"/>
        </w:rPr>
        <w:t>Term of the rate of return</w:t>
      </w:r>
    </w:p>
    <w:p w:rsidR="007201E8" w:rsidRPr="00762AAF" w:rsidRDefault="007201E8" w:rsidP="0056045B">
      <w:pPr>
        <w:keepNext/>
        <w:numPr>
          <w:ilvl w:val="0"/>
          <w:numId w:val="24"/>
        </w:numPr>
      </w:pPr>
      <w:r w:rsidRPr="00762AAF">
        <w:t>We adopt a 10 year term for our overall rate of return.</w:t>
      </w:r>
      <w:r w:rsidRPr="00762AAF">
        <w:rPr>
          <w:rStyle w:val="FootnoteReference"/>
        </w:rPr>
        <w:footnoteReference w:id="119"/>
      </w:r>
      <w:r w:rsidRPr="00762AAF">
        <w:t xml:space="preserve"> This results in the following economic interdependencies that impact on the implementation of our return on equity and debt estimation methods:</w:t>
      </w:r>
    </w:p>
    <w:p w:rsidR="007201E8" w:rsidRPr="00762AAF" w:rsidRDefault="007201E8" w:rsidP="007201E8">
      <w:pPr>
        <w:pStyle w:val="AERbulletlistfirststyle"/>
      </w:pPr>
      <w:r>
        <w:t>t</w:t>
      </w:r>
      <w:r w:rsidRPr="00762AAF">
        <w:t>he risk free rate used for estimating the return on equity is a 10 year forward looking rate</w:t>
      </w:r>
    </w:p>
    <w:p w:rsidR="007201E8" w:rsidRPr="00762AAF" w:rsidRDefault="007201E8" w:rsidP="007201E8">
      <w:pPr>
        <w:pStyle w:val="AERbulletlistfirststyle"/>
      </w:pPr>
      <w:r>
        <w:t>t</w:t>
      </w:r>
      <w:r w:rsidRPr="00762AAF">
        <w:t>he market risk premium (MRP) estimate is for a 10 year forward looking period</w:t>
      </w:r>
    </w:p>
    <w:p w:rsidR="007201E8" w:rsidRPr="003337B3" w:rsidRDefault="007201E8" w:rsidP="007201E8">
      <w:pPr>
        <w:pStyle w:val="AERbulletlistfirststyle"/>
      </w:pPr>
      <w:r>
        <w:t>w</w:t>
      </w:r>
      <w:r w:rsidRPr="00762AAF">
        <w:t>e adopt a 10 year debt term for estimating the return on debt.</w:t>
      </w:r>
    </w:p>
    <w:p w:rsidR="007201E8" w:rsidRPr="00B575CE" w:rsidRDefault="007201E8" w:rsidP="000D32D3">
      <w:pPr>
        <w:pStyle w:val="Heading3"/>
        <w:ind w:left="578" w:hanging="578"/>
      </w:pPr>
      <w:bookmarkStart w:id="107" w:name="_Toc450922721"/>
      <w:bookmarkStart w:id="108" w:name="_Toc451678623"/>
      <w:r>
        <w:t>Consideration of relevant material</w:t>
      </w:r>
      <w:bookmarkEnd w:id="107"/>
      <w:bookmarkEnd w:id="108"/>
    </w:p>
    <w:p w:rsidR="007201E8" w:rsidRDefault="007201E8" w:rsidP="007201E8">
      <w:r>
        <w:t>In making regulatory decisions, we are to have regard to information provided in regulatory proposals and submissions.</w:t>
      </w:r>
      <w:r>
        <w:rPr>
          <w:rStyle w:val="FootnoteReference"/>
        </w:rPr>
        <w:footnoteReference w:id="120"/>
      </w:r>
      <w:r>
        <w:t xml:space="preserve"> We also consider a broad range of material more generally. This is consistent with </w:t>
      </w:r>
      <w:r>
        <w:rPr>
          <w:rStyle w:val="AERbody"/>
        </w:rPr>
        <w:t>t</w:t>
      </w:r>
      <w:r w:rsidRPr="00AB3B54">
        <w:rPr>
          <w:rStyle w:val="AERbody"/>
        </w:rPr>
        <w:t xml:space="preserve">he </w:t>
      </w:r>
      <w:r>
        <w:rPr>
          <w:rStyle w:val="AERbody"/>
        </w:rPr>
        <w:t xml:space="preserve">rate of return framework that requires we have regard to </w:t>
      </w:r>
      <w:r w:rsidRPr="00AB3B54">
        <w:rPr>
          <w:rStyle w:val="AERbody"/>
        </w:rPr>
        <w:t>a wide range of relevant estimation methods, financial models, market data and other evidence.</w:t>
      </w:r>
      <w:r>
        <w:rPr>
          <w:rStyle w:val="FootnoteReference"/>
        </w:rPr>
        <w:footnoteReference w:id="121"/>
      </w:r>
      <w:r>
        <w:rPr>
          <w:rStyle w:val="AERbody"/>
        </w:rPr>
        <w:t xml:space="preserve"> </w:t>
      </w:r>
      <w:r w:rsidRPr="00284B79">
        <w:t>Th</w:t>
      </w:r>
      <w:r>
        <w:t xml:space="preserve">is is also consistent with statements of the AEMC that consider the rules are intended to permit </w:t>
      </w:r>
      <w:r w:rsidRPr="00284B79">
        <w:t>us to take account of a broad range of information</w:t>
      </w:r>
      <w:r>
        <w:t xml:space="preserve"> to improve</w:t>
      </w:r>
      <w:r w:rsidRPr="00284B79">
        <w:t xml:space="preserve"> the required rate of return</w:t>
      </w:r>
      <w:r>
        <w:t xml:space="preserve"> estimate</w:t>
      </w:r>
      <w:r w:rsidRPr="00284B79">
        <w:t>.</w:t>
      </w:r>
      <w:r>
        <w:rPr>
          <w:rStyle w:val="FootnoteReference"/>
        </w:rPr>
        <w:footnoteReference w:id="122"/>
      </w:r>
      <w:r w:rsidRPr="00284B79">
        <w:t xml:space="preserve"> </w:t>
      </w:r>
    </w:p>
    <w:p w:rsidR="007201E8" w:rsidRDefault="007201E8" w:rsidP="007201E8">
      <w:r>
        <w:t>In the following sections, we summarise how we have considered a large range of material. This includes, but is not limited to:</w:t>
      </w:r>
    </w:p>
    <w:p w:rsidR="007201E8" w:rsidRDefault="007201E8" w:rsidP="007201E8">
      <w:pPr>
        <w:pStyle w:val="AERbulletlistfirststyle"/>
      </w:pPr>
      <w:r>
        <w:t>service provider proposals</w:t>
      </w:r>
    </w:p>
    <w:p w:rsidR="007201E8" w:rsidRDefault="007201E8" w:rsidP="007201E8">
      <w:pPr>
        <w:pStyle w:val="AERbulletlistfirststyle"/>
      </w:pPr>
      <w:r>
        <w:t>expert reports</w:t>
      </w:r>
    </w:p>
    <w:p w:rsidR="007201E8" w:rsidRDefault="007201E8" w:rsidP="007201E8">
      <w:pPr>
        <w:pStyle w:val="AERbulletlistfirststyle"/>
      </w:pPr>
      <w:r>
        <w:t>stakeholder submissions</w:t>
      </w:r>
    </w:p>
    <w:p w:rsidR="007201E8" w:rsidRPr="00A77770" w:rsidRDefault="007201E8" w:rsidP="007201E8">
      <w:pPr>
        <w:pStyle w:val="AERbulletlistfirststyle"/>
      </w:pPr>
      <w:r>
        <w:t>recent Tribunal decisions.</w:t>
      </w:r>
    </w:p>
    <w:p w:rsidR="007201E8" w:rsidRDefault="007201E8" w:rsidP="007201E8">
      <w:pPr>
        <w:pStyle w:val="HeadingBoldBlue"/>
      </w:pPr>
      <w:bookmarkStart w:id="109" w:name="_Toc450922722"/>
      <w:r>
        <w:t>Service providers' proposals</w:t>
      </w:r>
      <w:bookmarkEnd w:id="109"/>
    </w:p>
    <w:p w:rsidR="007201E8" w:rsidRDefault="007201E8" w:rsidP="007201E8">
      <w:r>
        <w:t xml:space="preserve">The revised regulatory proposals that we are currently considering (including </w:t>
      </w:r>
      <w:r w:rsidR="004918DD">
        <w:t xml:space="preserve">CitiPower's </w:t>
      </w:r>
      <w:r>
        <w:t>revised proposal) have challenged most aspects of the Guideline approach (and methods) to estimating the return on equity and debt. We have reviewed the material submitted since our preliminary decisions, and considered the reasons for the proposed departures from the Guideline. We have taken into account stakeholder submissions on our preliminary decisions, and on service providers' revised and initial proposals.</w:t>
      </w:r>
    </w:p>
    <w:p w:rsidR="007201E8" w:rsidRDefault="007201E8" w:rsidP="007201E8">
      <w:pPr>
        <w:numPr>
          <w:ilvl w:val="0"/>
          <w:numId w:val="24"/>
        </w:numPr>
      </w:pPr>
      <w:r>
        <w:t>In doing so, we have undertaken two interdependent tasks as required by the rules:</w:t>
      </w:r>
    </w:p>
    <w:p w:rsidR="007201E8" w:rsidRPr="00796C00" w:rsidRDefault="007201E8" w:rsidP="007201E8">
      <w:pPr>
        <w:pStyle w:val="AERbulletlistfirststyle"/>
      </w:pPr>
      <w:r>
        <w:t xml:space="preserve">consider whether the proposed departures would better achieve the ARORO such that we should depart from the </w:t>
      </w:r>
      <w:r w:rsidRPr="00796C00">
        <w:t>Guideline</w:t>
      </w:r>
    </w:p>
    <w:p w:rsidR="007201E8" w:rsidRDefault="007201E8" w:rsidP="007201E8">
      <w:pPr>
        <w:pStyle w:val="AERbulletlistfirststyle"/>
      </w:pPr>
      <w:r>
        <w:t xml:space="preserve">determine a rate of return that we are satisfied achieves the ARORO.  </w:t>
      </w:r>
    </w:p>
    <w:p w:rsidR="007201E8" w:rsidRPr="00785554" w:rsidRDefault="007201E8" w:rsidP="000F4BC3">
      <w:r>
        <w:t>T</w:t>
      </w:r>
      <w:r w:rsidRPr="00785554">
        <w:t>he service providers that submitted regulatory proposals and revised regulatory proposals that we are currently considering have submitted a large volume of material in support of their proposals.</w:t>
      </w:r>
      <w:r w:rsidRPr="00785554">
        <w:rPr>
          <w:rStyle w:val="FootnoteReference"/>
        </w:rPr>
        <w:footnoteReference w:id="123"/>
      </w:r>
      <w:r w:rsidRPr="00785554">
        <w:t xml:space="preserve"> We reviewed this material to identify what is new. Where service providers submitted new material, we reviewed this and considered its implications in determining the return that meets the ARORO and whether we should depart from the Guideline. We also referred this material to our consultants for their consideration prior to making our preliminary and final decisions. Our considerations are throughout this rate of return attachment and relevant appendices.</w:t>
      </w:r>
    </w:p>
    <w:p w:rsidR="007201E8" w:rsidRPr="00785554" w:rsidRDefault="007201E8" w:rsidP="000F4BC3">
      <w:r>
        <w:t>W</w:t>
      </w:r>
      <w:r w:rsidRPr="00785554">
        <w:t>hile we consider each regulatory proposal afresh, much of the material currently before us is the same material we considered in making our decisions in 2015.</w:t>
      </w:r>
      <w:r w:rsidRPr="00785554">
        <w:rPr>
          <w:rStyle w:val="FootnoteReference"/>
        </w:rPr>
        <w:footnoteReference w:id="124"/>
      </w:r>
      <w:r w:rsidRPr="00785554">
        <w:t xml:space="preserve"> For this final decision, unless stated otherwise, we adopt the rate of return analysis and reasoning as set out in our most recent final decisions in October 2015.</w:t>
      </w:r>
      <w:r w:rsidRPr="00785554">
        <w:rPr>
          <w:rStyle w:val="FootnoteReference"/>
        </w:rPr>
        <w:footnoteReference w:id="125"/>
      </w:r>
    </w:p>
    <w:p w:rsidR="007201E8" w:rsidRPr="00785554" w:rsidRDefault="007201E8" w:rsidP="000F4BC3">
      <w:r>
        <w:t>Our October 2015 final decisions c</w:t>
      </w:r>
      <w:r w:rsidRPr="00785554">
        <w:t>omprehensively set out our allowed rate of return analysis and reasoning.</w:t>
      </w:r>
      <w:r w:rsidRPr="00785554">
        <w:rPr>
          <w:rStyle w:val="FootnoteReference"/>
        </w:rPr>
        <w:footnoteReference w:id="126"/>
      </w:r>
      <w:r w:rsidRPr="00785554">
        <w:t xml:space="preserve"> During these reset processes, we also considered a number of other regulatory resets.</w:t>
      </w:r>
      <w:r w:rsidRPr="00785554">
        <w:rPr>
          <w:rStyle w:val="FootnoteReference"/>
        </w:rPr>
        <w:footnoteReference w:id="127"/>
      </w:r>
      <w:r w:rsidRPr="00785554">
        <w:t xml:space="preserve"> TasNetworks' original proposal did not propose any departures from the Guideline. TasNetworks and Directlink adopted our return on equity draft decisions. At that time, the other service providers proposed varying reasons, material and propositions to justify their proposed departures from the Guideline and their proposals to not accept our draft decisions. Further, the service providers submitted a large volume of material in support of their proposals. Much of this material was not new to us and we had considered it when developing the Guideline and again in making our decisions. Nonetheless, we comprehensively reviewed all of this material. We also referred this material to our consultants for their consideration prior to publishing decisions in 2015.</w:t>
      </w:r>
      <w:r w:rsidRPr="00785554">
        <w:rPr>
          <w:rStyle w:val="FootnoteReference"/>
        </w:rPr>
        <w:footnoteReference w:id="128"/>
      </w:r>
      <w:r w:rsidRPr="00785554">
        <w:t xml:space="preserve"> </w:t>
      </w:r>
    </w:p>
    <w:p w:rsidR="007201E8" w:rsidRPr="00FC3B81" w:rsidRDefault="007201E8" w:rsidP="007201E8">
      <w:pPr>
        <w:pStyle w:val="HeadingBoldBlue"/>
        <w:numPr>
          <w:ilvl w:val="0"/>
          <w:numId w:val="24"/>
        </w:numPr>
      </w:pPr>
      <w:bookmarkStart w:id="110" w:name="_Toc450922723"/>
      <w:r>
        <w:t>Expert reports</w:t>
      </w:r>
      <w:bookmarkEnd w:id="110"/>
    </w:p>
    <w:p w:rsidR="007201E8" w:rsidRPr="00AC1D0D" w:rsidRDefault="007201E8" w:rsidP="007201E8">
      <w:pPr>
        <w:numPr>
          <w:ilvl w:val="0"/>
          <w:numId w:val="24"/>
        </w:numPr>
      </w:pPr>
      <w:r>
        <w:t xml:space="preserve">We </w:t>
      </w:r>
      <w:r w:rsidRPr="00AC1D0D">
        <w:t xml:space="preserve">commissioned expert advice from the following finance experts to assist us in making </w:t>
      </w:r>
      <w:r>
        <w:t xml:space="preserve">our </w:t>
      </w:r>
      <w:r w:rsidRPr="00AC1D0D">
        <w:t>decision</w:t>
      </w:r>
      <w:r>
        <w:t>s</w:t>
      </w:r>
      <w:r w:rsidRPr="00AC1D0D">
        <w:t>:</w:t>
      </w:r>
    </w:p>
    <w:p w:rsidR="007201E8" w:rsidRDefault="007201E8" w:rsidP="007201E8">
      <w:pPr>
        <w:pStyle w:val="AERbulletlistfirststyle"/>
      </w:pPr>
      <w:r>
        <w:t>Professor Michael McKenzie, University of Liverpool</w:t>
      </w:r>
      <w:r w:rsidRPr="00796C00">
        <w:t>.</w:t>
      </w:r>
      <w:r w:rsidRPr="00796C00">
        <w:rPr>
          <w:rStyle w:val="FootnoteReference"/>
        </w:rPr>
        <w:footnoteReference w:id="129"/>
      </w:r>
    </w:p>
    <w:p w:rsidR="007201E8" w:rsidRPr="00796C00" w:rsidRDefault="007201E8" w:rsidP="007201E8">
      <w:pPr>
        <w:pStyle w:val="AERbulletlistfirststyle"/>
      </w:pPr>
      <w:r>
        <w:t>Professor Stephen Satchell, Trinity College, Cambridge University</w:t>
      </w:r>
      <w:r>
        <w:rPr>
          <w:rStyle w:val="FootnoteReference"/>
        </w:rPr>
        <w:footnoteReference w:id="130"/>
      </w:r>
    </w:p>
    <w:p w:rsidR="007201E8" w:rsidRPr="00796C00" w:rsidRDefault="007201E8" w:rsidP="007201E8">
      <w:pPr>
        <w:pStyle w:val="AERbulletlistfirststyle"/>
      </w:pPr>
      <w:r>
        <w:t>Associate professor Graham Partington, University of Sydney</w:t>
      </w:r>
      <w:r w:rsidRPr="00796C00">
        <w:t>.</w:t>
      </w:r>
      <w:r w:rsidRPr="00796C00">
        <w:rPr>
          <w:rStyle w:val="FootnoteReference"/>
        </w:rPr>
        <w:footnoteReference w:id="131"/>
      </w:r>
    </w:p>
    <w:p w:rsidR="007201E8" w:rsidRDefault="007201E8" w:rsidP="007201E8">
      <w:pPr>
        <w:pStyle w:val="AERbulletlistfirststyle"/>
      </w:pPr>
      <w:r>
        <w:t>Associate professor John Handley, University of Melbourne</w:t>
      </w:r>
      <w:r w:rsidRPr="00796C00">
        <w:t>.</w:t>
      </w:r>
      <w:r w:rsidRPr="00796C00">
        <w:rPr>
          <w:rStyle w:val="FootnoteReference"/>
        </w:rPr>
        <w:footnoteReference w:id="132"/>
      </w:r>
    </w:p>
    <w:p w:rsidR="007201E8" w:rsidRDefault="007201E8" w:rsidP="007201E8">
      <w:pPr>
        <w:pStyle w:val="AERbulletlistfirststyle"/>
      </w:pPr>
      <w:r>
        <w:t>Dr Martin Lally, Capital Financial Consultants</w:t>
      </w:r>
      <w:r w:rsidRPr="00796C00">
        <w:t>.</w:t>
      </w:r>
      <w:r w:rsidRPr="00796C00">
        <w:rPr>
          <w:rStyle w:val="FootnoteReference"/>
        </w:rPr>
        <w:footnoteReference w:id="133"/>
      </w:r>
    </w:p>
    <w:p w:rsidR="007201E8" w:rsidRPr="00796C00" w:rsidRDefault="007201E8" w:rsidP="007201E8">
      <w:pPr>
        <w:pStyle w:val="AERbulletlistfirststyle"/>
      </w:pPr>
      <w:r>
        <w:t>Chairmont, a financial market practitioner.</w:t>
      </w:r>
      <w:r>
        <w:rPr>
          <w:rStyle w:val="FootnoteReference"/>
        </w:rPr>
        <w:footnoteReference w:id="134"/>
      </w:r>
    </w:p>
    <w:p w:rsidR="007201E8" w:rsidRDefault="007201E8" w:rsidP="007201E8">
      <w:pPr>
        <w:numPr>
          <w:ilvl w:val="0"/>
          <w:numId w:val="24"/>
        </w:numPr>
      </w:pPr>
      <w:r>
        <w:t>We received advice from Professor Olan Henry, University of Liverpool, on estimating the equity beta. We commissioned this during the Guideline development process and published the final report in April 2014.</w:t>
      </w:r>
      <w:r>
        <w:rPr>
          <w:rStyle w:val="FootnoteReference"/>
        </w:rPr>
        <w:footnoteReference w:id="135"/>
      </w:r>
      <w:r>
        <w:t xml:space="preserve"> We also received advice on return on debt estimation from the ACCC Regulatory Economic Unit (REU).</w:t>
      </w:r>
      <w:r>
        <w:rPr>
          <w:rStyle w:val="FootnoteReference"/>
        </w:rPr>
        <w:footnoteReference w:id="136"/>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These reports have also assisted us in making our decision</w:t>
      </w:r>
      <w:r>
        <w:t>.</w:t>
      </w:r>
      <w:r w:rsidRPr="00AC1D0D">
        <w:t xml:space="preserve"> </w:t>
      </w:r>
    </w:p>
    <w:p w:rsidR="007201E8" w:rsidRDefault="007201E8" w:rsidP="007201E8">
      <w:pPr>
        <w:pStyle w:val="HeadingBoldBlue"/>
        <w:numPr>
          <w:ilvl w:val="0"/>
          <w:numId w:val="24"/>
        </w:numPr>
      </w:pPr>
      <w:bookmarkStart w:id="111" w:name="_Toc450922724"/>
      <w:r>
        <w:t>Stakeholder submissions</w:t>
      </w:r>
      <w:bookmarkEnd w:id="111"/>
    </w:p>
    <w:p w:rsidR="007201E8" w:rsidRDefault="007201E8" w:rsidP="007201E8">
      <w:r>
        <w:t xml:space="preserve">Stakeholders made submissions specific to </w:t>
      </w:r>
      <w:r w:rsidR="004918DD">
        <w:t>CitiPower</w:t>
      </w:r>
      <w:r>
        <w:t xml:space="preserve"> which we have considered</w:t>
      </w:r>
      <w:r w:rsidR="004918DD">
        <w:t>.</w:t>
      </w:r>
      <w:r w:rsidR="004918DD">
        <w:rPr>
          <w:rStyle w:val="FootnoteReference"/>
        </w:rPr>
        <w:footnoteReference w:id="137"/>
      </w:r>
      <w:r w:rsidR="004918DD">
        <w:t xml:space="preserve"> </w:t>
      </w:r>
      <w:r>
        <w:t>In making this decision, we have also considered material submitted for the recent decisions published in April, June and October 2015. Overall, in making these recent decisions we received a large number of submissions on the original proposals, preliminary decisions and revised rate of return proposals.</w:t>
      </w:r>
      <w:r>
        <w:rPr>
          <w:rStyle w:val="FootnoteReference"/>
        </w:rPr>
        <w:footnoteReference w:id="138"/>
      </w:r>
      <w:r w:rsidRPr="00C75F28">
        <w:rPr>
          <w:rStyle w:val="FootnoteReference"/>
        </w:rPr>
        <w:t xml:space="preserve"> </w:t>
      </w:r>
      <w:r>
        <w:t xml:space="preserve">Most of these submissions, including those on </w:t>
      </w:r>
      <w:r w:rsidR="004918DD">
        <w:t>CitiPower's</w:t>
      </w:r>
      <w:r>
        <w:t xml:space="preserve"> revised proposal and our preliminary decision, had commentary relating to the rate of return.</w:t>
      </w:r>
    </w:p>
    <w:p w:rsidR="007201E8" w:rsidRDefault="007201E8" w:rsidP="007201E8">
      <w:r>
        <w:t>We received detailed input on the rate of return from the Consumer Challenge Panel (CCP). This included input form the CCP Sub Panel 3 (CCP3) on the current Victorian electricity distribution processes.</w:t>
      </w:r>
      <w:r>
        <w:rPr>
          <w:rStyle w:val="FootnoteReference"/>
        </w:rPr>
        <w:footnoteReference w:id="139"/>
      </w:r>
      <w:r>
        <w:t xml:space="preserve"> Also see advice from CCP Sub Panel 8 (CCP8) on the current gas access arrangement processes.</w:t>
      </w:r>
      <w:r>
        <w:rPr>
          <w:rStyle w:val="FootnoteReference"/>
        </w:rPr>
        <w:footnoteReference w:id="140"/>
      </w:r>
    </w:p>
    <w:p w:rsidR="007201E8" w:rsidRDefault="007201E8" w:rsidP="007201E8">
      <w:pPr>
        <w:pStyle w:val="HeadingBoldBlue"/>
      </w:pPr>
      <w:bookmarkStart w:id="112" w:name="_Toc450922725"/>
      <w:r>
        <w:t>Consideration of recent Tribunal decisions</w:t>
      </w:r>
      <w:bookmarkEnd w:id="112"/>
    </w:p>
    <w:p w:rsidR="007201E8" w:rsidRDefault="007201E8" w:rsidP="007201E8">
      <w:pPr>
        <w:numPr>
          <w:ilvl w:val="0"/>
          <w:numId w:val="24"/>
        </w:numPr>
      </w:pPr>
      <w:r>
        <w:t>The Tribunal recently reviewed and upheld several aspects of our approach to estimating the rate of return. These included:</w:t>
      </w:r>
      <w:r>
        <w:rPr>
          <w:rStyle w:val="FootnoteReference"/>
        </w:rPr>
        <w:footnoteReference w:id="141"/>
      </w:r>
    </w:p>
    <w:p w:rsidR="007201E8" w:rsidRDefault="007201E8" w:rsidP="007201E8">
      <w:pPr>
        <w:pStyle w:val="AERbulletlistfirststyle"/>
      </w:pPr>
      <w:r>
        <w:t xml:space="preserve">our approach to estimating the return on equity by applying the Guideline approach referred to as the foundation model approach </w:t>
      </w:r>
    </w:p>
    <w:p w:rsidR="007201E8" w:rsidRPr="00454ED0" w:rsidRDefault="007201E8" w:rsidP="007201E8">
      <w:pPr>
        <w:pStyle w:val="AERbulletlistfirststyle"/>
      </w:pPr>
      <w:r>
        <w:t>our approach to specifying t</w:t>
      </w:r>
      <w:r w:rsidRPr="00454ED0">
        <w:t xml:space="preserve">he benchmark credit rating </w:t>
      </w:r>
      <w:r>
        <w:t>at BBB+ rather than BBB as preferred by some of the service providers</w:t>
      </w:r>
    </w:p>
    <w:p w:rsidR="007201E8" w:rsidRDefault="007201E8" w:rsidP="007201E8">
      <w:pPr>
        <w:pStyle w:val="AERbulletlistfirststyle"/>
      </w:pPr>
      <w:r>
        <w:t xml:space="preserve">our approach to estimating </w:t>
      </w:r>
      <w:r w:rsidRPr="000C234A">
        <w:t xml:space="preserve">the allowed return on debt using </w:t>
      </w:r>
      <w:r>
        <w:t xml:space="preserve">a </w:t>
      </w:r>
      <w:r w:rsidRPr="000C234A">
        <w:t>simple average of the RBA and Bloomberg data series</w:t>
      </w:r>
      <w:r>
        <w:t>, rather than the</w:t>
      </w:r>
      <w:r w:rsidRPr="000C234A">
        <w:t xml:space="preserve"> RBA data series alone </w:t>
      </w:r>
      <w:r>
        <w:t xml:space="preserve">as preferred by some of the service providers. </w:t>
      </w:r>
    </w:p>
    <w:p w:rsidR="007201E8" w:rsidRPr="00785554" w:rsidRDefault="007201E8" w:rsidP="000F4BC3">
      <w:r>
        <w:t>We have maintained our approach to estimating these components of the allowed rate of return in th</w:t>
      </w:r>
      <w:r w:rsidRPr="00785554">
        <w:t>is decision.</w:t>
      </w:r>
    </w:p>
    <w:p w:rsidR="007201E8" w:rsidRPr="00785554" w:rsidRDefault="007201E8" w:rsidP="000F4BC3">
      <w:r>
        <w:t xml:space="preserve">The Tribunal also recently reviewed our approach to applying a full </w:t>
      </w:r>
      <w:r w:rsidRPr="00785554">
        <w:t>transition from an on-the-day to a trailing average allowed return on debt for certain electricity distribution businesses operating in NSW and the ACT, and a gas distribution business in NSW. The Tribunal found error in our approach and remitted this matter back to us to make a decision on introducing the trailing average approach in accordance with several reasons outlined in its decision.</w:t>
      </w:r>
      <w:r w:rsidRPr="00785554">
        <w:rPr>
          <w:rStyle w:val="FootnoteReference"/>
        </w:rPr>
        <w:footnoteReference w:id="142"/>
      </w:r>
      <w:r w:rsidRPr="00785554">
        <w:t xml:space="preserve"> On 24 March 2016, we applied to the Federal Court for judicial review of this aspect of the Tribunal's decision. In particular, we have applied for review on:</w:t>
      </w:r>
    </w:p>
    <w:p w:rsidR="007201E8" w:rsidRDefault="007201E8" w:rsidP="007201E8">
      <w:pPr>
        <w:pStyle w:val="AERbulletlistfirststyle"/>
      </w:pPr>
      <w:r>
        <w:t>the Tribunal's finding that a</w:t>
      </w:r>
      <w:r w:rsidRPr="001F6E19">
        <w:t xml:space="preserve"> benchmark efficient entity referred to in the NER</w:t>
      </w:r>
      <w:r>
        <w:t xml:space="preserve"> </w:t>
      </w:r>
      <w:r w:rsidRPr="001F6E19">
        <w:t xml:space="preserve">6.5.2(c) </w:t>
      </w:r>
      <w:r>
        <w:t>would be an un</w:t>
      </w:r>
      <w:r w:rsidRPr="001F6E19">
        <w:t>regulated entity</w:t>
      </w:r>
      <w:r w:rsidRPr="004D4000">
        <w:rPr>
          <w:rStyle w:val="FootnoteReference"/>
        </w:rPr>
        <w:t xml:space="preserve"> </w:t>
      </w:r>
      <w:r>
        <w:rPr>
          <w:rStyle w:val="FootnoteReference"/>
        </w:rPr>
        <w:footnoteReference w:id="143"/>
      </w:r>
      <w:r>
        <w:t xml:space="preserve"> </w:t>
      </w:r>
    </w:p>
    <w:p w:rsidR="007201E8" w:rsidRDefault="007201E8" w:rsidP="007201E8">
      <w:pPr>
        <w:pStyle w:val="AERbulletlistfirststyle"/>
      </w:pPr>
      <w:r>
        <w:t>t</w:t>
      </w:r>
      <w:r w:rsidRPr="00323742">
        <w:t>he Tribunal's rejection of a single benchmark efficient entity for those service providers</w:t>
      </w:r>
    </w:p>
    <w:p w:rsidR="007201E8" w:rsidRDefault="007201E8" w:rsidP="007201E8">
      <w:pPr>
        <w:pStyle w:val="AERbulletlistfirststyle"/>
      </w:pPr>
      <w:r>
        <w:t>t</w:t>
      </w:r>
      <w:r w:rsidRPr="00323742">
        <w:t>he Tribunal's approach to the interpretation of cl.</w:t>
      </w:r>
      <w:r w:rsidR="000F4BC3">
        <w:t xml:space="preserve"> </w:t>
      </w:r>
      <w:r>
        <w:t>6.5.2(k)(4) of the NER</w:t>
      </w:r>
      <w:r w:rsidRPr="001F6E19">
        <w:t>.</w:t>
      </w:r>
      <w:r>
        <w:rPr>
          <w:rStyle w:val="FootnoteReference"/>
        </w:rPr>
        <w:footnoteReference w:id="144"/>
      </w:r>
      <w:r w:rsidRPr="001F6E19">
        <w:t xml:space="preserve"> </w:t>
      </w:r>
    </w:p>
    <w:p w:rsidR="008D02F0" w:rsidRDefault="008D02F0" w:rsidP="008D02F0">
      <w:pPr>
        <w:pStyle w:val="Heading2"/>
      </w:pPr>
      <w:bookmarkStart w:id="113" w:name="_Toc437001929"/>
      <w:bookmarkStart w:id="114" w:name="_Ref443996201"/>
      <w:bookmarkStart w:id="115" w:name="_Toc451678624"/>
      <w:r>
        <w:t>Reasons for final decision</w:t>
      </w:r>
      <w:bookmarkEnd w:id="113"/>
      <w:bookmarkEnd w:id="114"/>
      <w:bookmarkEnd w:id="115"/>
    </w:p>
    <w:p w:rsidR="008D02F0" w:rsidRPr="00D67998" w:rsidRDefault="008D02F0" w:rsidP="008D02F0">
      <w:pPr>
        <w:numPr>
          <w:ilvl w:val="0"/>
          <w:numId w:val="24"/>
        </w:numPr>
      </w:pPr>
      <w:r>
        <w:t xml:space="preserve">Our allowed rate of return is a weighted average of the return on equity and debt determined on a nominal vanilla basis (that is, a vanilla WACC). </w:t>
      </w:r>
      <w:r w:rsidRPr="00D67998">
        <w:t>It has been estimated consistently with the estimation of the value of imputation credits.</w:t>
      </w:r>
      <w:r w:rsidRPr="00D67998">
        <w:rPr>
          <w:rStyle w:val="FootnoteReference"/>
        </w:rPr>
        <w:footnoteReference w:id="145"/>
      </w:r>
      <w:r w:rsidRPr="00D67998">
        <w:rPr>
          <w:rStyle w:val="FootnoteReference"/>
        </w:rPr>
        <w:t xml:space="preserve"> </w:t>
      </w:r>
      <w:r w:rsidRPr="00D67998">
        <w:t xml:space="preserve"> </w:t>
      </w:r>
    </w:p>
    <w:p w:rsidR="008D02F0" w:rsidRPr="00D67998" w:rsidRDefault="008D02F0" w:rsidP="008D02F0">
      <w:pPr>
        <w:numPr>
          <w:ilvl w:val="0"/>
          <w:numId w:val="24"/>
        </w:numPr>
      </w:pPr>
      <w:r w:rsidRPr="00D67998">
        <w:t>In deriving the WACC, and the estimated efficient debt and equity financing costs, we have applied the benchmark efficient entity gearing ratio of 0.6 (debt):0.4 (equity) that we proposed in the Guideline. We have no reason to depart from this gearing ratio.</w:t>
      </w:r>
      <w:r w:rsidRPr="00D67998">
        <w:rPr>
          <w:rStyle w:val="FootnoteReference"/>
        </w:rPr>
        <w:footnoteReference w:id="146"/>
      </w:r>
      <w:r w:rsidRPr="00D67998">
        <w:t xml:space="preserve"> </w:t>
      </w:r>
    </w:p>
    <w:p w:rsidR="008D02F0" w:rsidRDefault="008D02F0" w:rsidP="008D02F0">
      <w:r>
        <w:t>In making this decision we have considered issues that have been raised by CitiPower as well as different service providers and stakeholders in our recently published regulatory determinations. While we have addressed matters specifically raised by CitiPower</w:t>
      </w:r>
      <w:r w:rsidRPr="00D67998">
        <w:t xml:space="preserve"> </w:t>
      </w:r>
      <w:r>
        <w:t>and/or stakeholders in this decision process, much of our analysis and reasoning also addresses maters raised by service providers (and stakeholders) in their regulatory determination processes. All of this material informs our view on CitiPower's revised</w:t>
      </w:r>
      <w:r w:rsidRPr="00D67998">
        <w:t xml:space="preserve"> </w:t>
      </w:r>
      <w:r>
        <w:t xml:space="preserve">proposal and also underpins our decision on the return on equity that contributes to the achievement of the </w:t>
      </w:r>
      <w:r w:rsidR="009C74CF">
        <w:t>ARORO</w:t>
      </w:r>
      <w:r>
        <w:t>.</w:t>
      </w:r>
      <w:r>
        <w:rPr>
          <w:rStyle w:val="FootnoteReference"/>
        </w:rPr>
        <w:footnoteReference w:id="147"/>
      </w:r>
      <w:r>
        <w:t xml:space="preserve"> That is, a return commensurate with the efficient financing costs of a benchmark efficient entity with a similar degree of risk as that which applies to CitiPower</w:t>
      </w:r>
      <w:r w:rsidRPr="00D67998">
        <w:t xml:space="preserve"> </w:t>
      </w:r>
      <w:r>
        <w:t>in respect of the provision of standard control services.</w:t>
      </w:r>
      <w:r>
        <w:rPr>
          <w:rStyle w:val="FootnoteReference"/>
        </w:rPr>
        <w:footnoteReference w:id="148"/>
      </w:r>
    </w:p>
    <w:p w:rsidR="008D02F0" w:rsidRDefault="008D02F0" w:rsidP="000F4BC3">
      <w:pPr>
        <w:numPr>
          <w:ilvl w:val="0"/>
          <w:numId w:val="24"/>
        </w:numPr>
      </w:pPr>
      <w:r>
        <w:t xml:space="preserve">We discuss our reasons for the return on equity and return on debt under the separate subheadings, </w:t>
      </w:r>
      <w:r>
        <w:fldChar w:fldCharType="begin"/>
      </w:r>
      <w:r>
        <w:instrText xml:space="preserve"> REF _Ref430958591 \r \h </w:instrText>
      </w:r>
      <w:r>
        <w:fldChar w:fldCharType="separate"/>
      </w:r>
      <w:r w:rsidR="00925C1E">
        <w:t>3.4.1</w:t>
      </w:r>
      <w:r>
        <w:fldChar w:fldCharType="end"/>
      </w:r>
      <w:r>
        <w:t xml:space="preserve"> and </w:t>
      </w:r>
      <w:r w:rsidR="00925C1E">
        <w:fldChar w:fldCharType="begin"/>
      </w:r>
      <w:r w:rsidR="00925C1E">
        <w:instrText xml:space="preserve"> REF _Ref451543236 \r \h </w:instrText>
      </w:r>
      <w:r w:rsidR="00925C1E">
        <w:fldChar w:fldCharType="separate"/>
      </w:r>
      <w:r w:rsidR="00925C1E">
        <w:t>3.4.2</w:t>
      </w:r>
      <w:r w:rsidR="00925C1E">
        <w:fldChar w:fldCharType="end"/>
      </w:r>
      <w:r w:rsidR="000F4BC3">
        <w:t xml:space="preserve"> </w:t>
      </w:r>
      <w:r>
        <w:t>respectively.</w:t>
      </w:r>
      <w:r w:rsidR="000F4BC3">
        <w:t xml:space="preserve"> </w:t>
      </w:r>
      <w:r>
        <w:t xml:space="preserve">Subsections </w:t>
      </w:r>
      <w:r w:rsidR="000F4BC3">
        <w:fldChar w:fldCharType="begin"/>
      </w:r>
      <w:r w:rsidR="000F4BC3">
        <w:instrText xml:space="preserve"> REF _Ref451348718 \r \h </w:instrText>
      </w:r>
      <w:r w:rsidR="000F4BC3">
        <w:fldChar w:fldCharType="separate"/>
      </w:r>
      <w:r w:rsidR="00925C1E">
        <w:t>3.4.3</w:t>
      </w:r>
      <w:r w:rsidR="000F4BC3">
        <w:fldChar w:fldCharType="end"/>
      </w:r>
      <w:r w:rsidR="000F4BC3">
        <w:t xml:space="preserve"> and </w:t>
      </w:r>
      <w:r w:rsidR="000F4BC3">
        <w:fldChar w:fldCharType="begin"/>
      </w:r>
      <w:r w:rsidR="000F4BC3">
        <w:instrText xml:space="preserve"> REF _Ref451348720 \r \h </w:instrText>
      </w:r>
      <w:r w:rsidR="000F4BC3">
        <w:fldChar w:fldCharType="separate"/>
      </w:r>
      <w:r w:rsidR="00925C1E">
        <w:t>3.4.4</w:t>
      </w:r>
      <w:r w:rsidR="000F4BC3">
        <w:fldChar w:fldCharType="end"/>
      </w:r>
      <w:r>
        <w:t xml:space="preserve"> set out the gearing ratio and our expected inflation rate for the </w:t>
      </w:r>
      <w:r w:rsidR="00AA5870">
        <w:t xml:space="preserve">2016–20 </w:t>
      </w:r>
      <w:r w:rsidR="000F4BC3">
        <w:t>regulatory control</w:t>
      </w:r>
      <w:r>
        <w:t xml:space="preserve"> period.</w:t>
      </w:r>
    </w:p>
    <w:p w:rsidR="008D02F0" w:rsidRDefault="008D02F0" w:rsidP="000D32D3">
      <w:pPr>
        <w:pStyle w:val="Heading3"/>
        <w:ind w:left="578" w:hanging="578"/>
      </w:pPr>
      <w:bookmarkStart w:id="116" w:name="_Ref430958591"/>
      <w:bookmarkStart w:id="117" w:name="_Toc433446503"/>
      <w:bookmarkStart w:id="118" w:name="_Ref451348548"/>
      <w:bookmarkStart w:id="119" w:name="_Toc451678625"/>
      <w:r w:rsidRPr="00796C00">
        <w:t>Return on equity</w:t>
      </w:r>
      <w:bookmarkEnd w:id="116"/>
      <w:bookmarkEnd w:id="117"/>
      <w:bookmarkEnd w:id="118"/>
      <w:bookmarkEnd w:id="119"/>
      <w:r w:rsidRPr="00796C00">
        <w:t xml:space="preserve"> </w:t>
      </w:r>
    </w:p>
    <w:p w:rsidR="002734D3" w:rsidRDefault="002734D3" w:rsidP="002734D3">
      <w:pPr>
        <w:numPr>
          <w:ilvl w:val="0"/>
          <w:numId w:val="24"/>
        </w:numPr>
      </w:pPr>
      <w:bookmarkStart w:id="120" w:name="_Ref430958623"/>
      <w:bookmarkStart w:id="121" w:name="_Toc433446504"/>
      <w:r>
        <w:t xml:space="preserve">Our return on equity estimate is 7.0 per cent. We consider that 7.0 per cent is the best estimate to combine with a return on debt estimate to form an overall allowed rate of return that achieves the </w:t>
      </w:r>
      <w:r w:rsidR="009C74CF">
        <w:t>ARORO</w:t>
      </w:r>
      <w:r>
        <w:t>. We also consider that 7.0 per cent is consistent with the prevailing conditions in the market for equity funds.</w:t>
      </w:r>
    </w:p>
    <w:p w:rsidR="002734D3" w:rsidRDefault="002734D3" w:rsidP="002734D3">
      <w:pPr>
        <w:numPr>
          <w:ilvl w:val="0"/>
          <w:numId w:val="24"/>
        </w:numPr>
      </w:pPr>
      <w:r>
        <w:t>We hold these views because:</w:t>
      </w:r>
    </w:p>
    <w:p w:rsidR="002734D3" w:rsidRDefault="002734D3" w:rsidP="002734D3">
      <w:pPr>
        <w:pStyle w:val="AERbulletlistfirststyle"/>
      </w:pPr>
      <w:r>
        <w:t>We derive our estimate using the Sharpe–Lintner CAPM, which:</w:t>
      </w:r>
    </w:p>
    <w:p w:rsidR="002734D3" w:rsidRDefault="002734D3" w:rsidP="002734D3">
      <w:pPr>
        <w:pStyle w:val="AERbulletlistsecondstyle"/>
      </w:pPr>
      <w:r w:rsidRPr="001174B8">
        <w:t>transparently presents the key risk and reward trade-off</w:t>
      </w:r>
      <w:r>
        <w:rPr>
          <w:rStyle w:val="FootnoteReference"/>
        </w:rPr>
        <w:footnoteReference w:id="149"/>
      </w:r>
      <w:r w:rsidRPr="001174B8">
        <w:t xml:space="preserve"> that is at the heart of our task</w:t>
      </w:r>
      <w:r>
        <w:rPr>
          <w:rStyle w:val="FootnoteReference"/>
        </w:rPr>
        <w:footnoteReference w:id="150"/>
      </w:r>
    </w:p>
    <w:p w:rsidR="002734D3" w:rsidRDefault="002734D3" w:rsidP="002734D3">
      <w:pPr>
        <w:pStyle w:val="AERbulletlistsecond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51"/>
      </w:r>
    </w:p>
    <w:p w:rsidR="002734D3" w:rsidRDefault="002734D3" w:rsidP="002734D3">
      <w:pPr>
        <w:pStyle w:val="AERbulletlistsecondstyle"/>
      </w:pPr>
      <w:r>
        <w:t>has well-accepted and unbiased methods for estimating its parameters, and these parameters can be estimated with tolerable accuracy, unlike the alternative models proposed by service providers.</w:t>
      </w:r>
    </w:p>
    <w:p w:rsidR="002734D3" w:rsidRPr="004C2E1A" w:rsidRDefault="002734D3" w:rsidP="002734D3">
      <w:pPr>
        <w:pStyle w:val="AERbulletlistfirststyle"/>
        <w:rPr>
          <w:rStyle w:val="AERtexthighlight"/>
        </w:rPr>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rsidR="001A4F7D">
        <w:t xml:space="preserve"> equity</w:t>
      </w:r>
      <w:r w:rsidR="007D79AD">
        <w:t xml:space="preserve"> (see Appendix D and E for more discussions)</w:t>
      </w:r>
      <w:r>
        <w:t>.</w:t>
      </w:r>
    </w:p>
    <w:p w:rsidR="002734D3" w:rsidRPr="002734D3" w:rsidRDefault="002734D3" w:rsidP="002734D3">
      <w:pPr>
        <w:pStyle w:val="AERbulletlistfirststyle"/>
        <w:rPr>
          <w:rStyle w:val="AERtexthighlight"/>
          <w:shd w:val="clear" w:color="auto" w:fill="auto"/>
        </w:rPr>
      </w:pPr>
      <w:r w:rsidRPr="002734D3">
        <w:rPr>
          <w:rStyle w:val="AERtexthighlight"/>
          <w:shd w:val="clear" w:color="auto" w:fill="auto"/>
        </w:rPr>
        <w:t>Our estimate is supported by comparison to estimates from the Wright specification of the CAPM, broker reports, valuation reports, and other regulators' decisions.</w:t>
      </w:r>
    </w:p>
    <w:p w:rsidR="002734D3" w:rsidRDefault="002734D3" w:rsidP="002734D3">
      <w:pPr>
        <w:pStyle w:val="AERbulletlistfirststyle"/>
      </w:pPr>
      <w:r>
        <w:t>The consistency over time of our Sharpe-Lintner CAPM estimation approach (reflective of a risk premium above a prevailing risk free rate) has been supportive of investment. While taking into account the downward trends in both our risk premium and the risk free rate,</w:t>
      </w:r>
      <w:r>
        <w:rPr>
          <w:rStyle w:val="FootnoteReference"/>
        </w:rPr>
        <w:footnoteReference w:id="152"/>
      </w:r>
      <w:r>
        <w:t xml:space="preserve"> service providers have continued to invest in their networks and propose to continue to grow their asset bases.</w:t>
      </w:r>
      <w:r w:rsidRPr="00B005DF">
        <w:rPr>
          <w:rStyle w:val="FootnoteReference"/>
        </w:rPr>
        <w:footnoteReference w:id="153"/>
      </w:r>
      <w:r>
        <w:rPr>
          <w:rStyle w:val="AERtexthighlight"/>
        </w:rPr>
        <w:t xml:space="preserve"> </w:t>
      </w:r>
    </w:p>
    <w:p w:rsidR="002734D3" w:rsidRPr="00B005DF" w:rsidRDefault="002734D3" w:rsidP="002734D3">
      <w:pPr>
        <w:pStyle w:val="AERbulletlistfirststyle"/>
      </w:pPr>
      <w:r>
        <w:t>Our return on equity estimate is approximately 141 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For </w:t>
      </w:r>
      <w:r>
        <w:t>a</w:t>
      </w:r>
      <w:r w:rsidRPr="00B005DF">
        <w:t xml:space="preserve"> benchmark efficient entity with a similar degree of risk as </w:t>
      </w:r>
      <w:r>
        <w:t>CitiPower</w:t>
      </w:r>
      <w:r w:rsidRPr="00B005DF">
        <w:t>, we would not expect the return on equity to be a long way above the prevailing return on debt.</w:t>
      </w:r>
      <w:r w:rsidRPr="00B005DF">
        <w:rPr>
          <w:rStyle w:val="FootnoteReference"/>
        </w:rPr>
        <w:footnoteReference w:id="154"/>
      </w:r>
    </w:p>
    <w:p w:rsidR="002734D3" w:rsidRDefault="002734D3" w:rsidP="002734D3">
      <w:pPr>
        <w:pStyle w:val="AERbulletlistfirststyle"/>
      </w:pPr>
      <w:r>
        <w:t>We have come to this estimate following the application of our foundation model approach, which:</w:t>
      </w:r>
    </w:p>
    <w:p w:rsidR="002734D3" w:rsidRDefault="002734D3" w:rsidP="002734D3">
      <w:pPr>
        <w:pStyle w:val="AERbulletlistsecondstyle"/>
      </w:pPr>
      <w:r>
        <w:t xml:space="preserve">involves consideration of all relevant material submitted to us, and the role for each piece of material that would best achieve the </w:t>
      </w:r>
      <w:r w:rsidR="009C74CF">
        <w:t>ARORO</w:t>
      </w:r>
      <w:r>
        <w:t>; and</w:t>
      </w:r>
    </w:p>
    <w:p w:rsidR="002734D3" w:rsidRDefault="002734D3" w:rsidP="002734D3">
      <w:pPr>
        <w:pStyle w:val="AERbulletlistsecondstyle"/>
      </w:pPr>
      <w:r>
        <w:t>was developed through extensive consultation during our Guideline review process.</w:t>
      </w:r>
    </w:p>
    <w:p w:rsidR="002734D3" w:rsidRDefault="002734D3" w:rsidP="002734D3">
      <w:pPr>
        <w:numPr>
          <w:ilvl w:val="0"/>
          <w:numId w:val="24"/>
        </w:numPr>
      </w:pPr>
      <w:r>
        <w:t>The Sharpe-Lintner CAPM provides that the return on equity can be calculated as the risk-free return and a premium for risk above the risk-free rate, with the risk premium calculated as the product of the market risk premium and equity beta.</w:t>
      </w:r>
      <w:r w:rsidRPr="00E2361E">
        <w:rPr>
          <w:rStyle w:val="FootnoteReference"/>
        </w:rPr>
        <w:footnoteReference w:id="155"/>
      </w:r>
      <w:r>
        <w:t xml:space="preserve"> Our Sharpe-Lintner CAPM estimate is based on:</w:t>
      </w:r>
    </w:p>
    <w:p w:rsidR="002734D3" w:rsidRDefault="002734D3" w:rsidP="002734D3">
      <w:pPr>
        <w:pStyle w:val="AERbulletlistfirststyle"/>
      </w:pPr>
      <w:r>
        <w:t>a prevailing risk free rate estimate of 2.48 per cent</w:t>
      </w:r>
    </w:p>
    <w:p w:rsidR="002734D3" w:rsidRDefault="002734D3" w:rsidP="002734D3">
      <w:pPr>
        <w:pStyle w:val="AERbulletlistfirststyle"/>
      </w:pPr>
      <w:r>
        <w:t xml:space="preserve">a market risk premium estimate of 6.5 per cent, and </w:t>
      </w:r>
    </w:p>
    <w:p w:rsidR="002734D3" w:rsidRPr="002A6826" w:rsidRDefault="002734D3" w:rsidP="002734D3">
      <w:pPr>
        <w:pStyle w:val="AERbulletlistfirststyle"/>
      </w:pPr>
      <w:r>
        <w:t>an equity beta estimate of 0.7.</w:t>
      </w:r>
      <w:r>
        <w:rPr>
          <w:rStyle w:val="FootnoteReference"/>
        </w:rPr>
        <w:footnoteReference w:id="156"/>
      </w:r>
      <w:r>
        <w:t xml:space="preserve"> </w:t>
      </w:r>
    </w:p>
    <w:p w:rsidR="002734D3" w:rsidRDefault="002734D3" w:rsidP="002734D3">
      <w:pPr>
        <w:numPr>
          <w:ilvl w:val="0"/>
          <w:numId w:val="24"/>
        </w:numPr>
      </w:pPr>
      <w:r>
        <w:t>Our derivation of these parameter estimates is outlined in the subsections below.</w:t>
      </w:r>
    </w:p>
    <w:p w:rsidR="002734D3" w:rsidRDefault="002734D3" w:rsidP="002734D3">
      <w:pPr>
        <w:numPr>
          <w:ilvl w:val="0"/>
          <w:numId w:val="24"/>
        </w:numPr>
      </w:pPr>
      <w:r>
        <w:t>The following aspects of our return on equity estimate have broad agreement from both service providers and consumer groups:</w:t>
      </w:r>
    </w:p>
    <w:p w:rsidR="002734D3" w:rsidRDefault="002734D3" w:rsidP="002734D3">
      <w:pPr>
        <w:pStyle w:val="AERbulletlistfirststyle"/>
      </w:pPr>
      <w:r>
        <w:t>The Sharpe-Lintner CAPM, at least in combination with other relevant material, is valuable for estimating return on equity</w:t>
      </w:r>
    </w:p>
    <w:p w:rsidR="002734D3" w:rsidRDefault="002734D3" w:rsidP="002734D3">
      <w:pPr>
        <w:pStyle w:val="AERbulletlistfirststyle"/>
      </w:pPr>
      <w:r>
        <w:t>The risk free rate should be estimated as the yield, averaged over a 20 business day averaging period, on Australian government securities with a ten-year term-to-maturity.</w:t>
      </w:r>
      <w:r>
        <w:rPr>
          <w:rStyle w:val="FootnoteReference"/>
        </w:rPr>
        <w:footnoteReference w:id="157"/>
      </w:r>
    </w:p>
    <w:p w:rsidR="002734D3" w:rsidRDefault="002734D3" w:rsidP="002734D3">
      <w:pPr>
        <w:pStyle w:val="AERbulletlistfirststyle"/>
      </w:pPr>
      <w:r>
        <w:t>Market risk premium estimates should be informed by historical stock returns and (to some extent) dividend growth model estimates.</w:t>
      </w:r>
    </w:p>
    <w:p w:rsidR="002734D3" w:rsidRDefault="002734D3" w:rsidP="002734D3">
      <w:pPr>
        <w:pStyle w:val="AERbulletlistfirststyle"/>
      </w:pPr>
      <w:r>
        <w:t>Equity beta estimates should be informed by regression estimates of the equity beta of relevant Australian and, to some extent, international energy network businesses.</w:t>
      </w:r>
    </w:p>
    <w:p w:rsidR="002734D3" w:rsidRDefault="002734D3" w:rsidP="002734D3">
      <w:pPr>
        <w:pStyle w:val="AERbulletlistfirststyle"/>
      </w:pPr>
      <w:r>
        <w:t>The Wright specification of the CAPM, and return on equity estimates from broker and valuation reports, are relevant material that can inform return on equity estimation.</w:t>
      </w:r>
    </w:p>
    <w:p w:rsidR="002734D3" w:rsidRDefault="002734D3" w:rsidP="002734D3">
      <w:r>
        <w:t>There was also broad agreement from consumer groups on the application of our foundation model approach as set out in our Guideline. In applying our foundation model approach, some consumer groups supported our parameter estimates of 6.5 per cent for market risk premium and 0.7 for equity beta</w:t>
      </w:r>
      <w:r>
        <w:rPr>
          <w:rStyle w:val="FootnoteReference"/>
        </w:rPr>
        <w:footnoteReference w:id="158"/>
      </w:r>
      <w:r>
        <w:t xml:space="preserve"> while others submitted that these parameters should be lower.</w:t>
      </w:r>
      <w:r>
        <w:rPr>
          <w:rStyle w:val="FootnoteReference"/>
        </w:rPr>
        <w:footnoteReference w:id="159"/>
      </w:r>
    </w:p>
    <w:p w:rsidR="002734D3" w:rsidRDefault="002734D3" w:rsidP="002734D3">
      <w:r>
        <w:t>Origin Energy submitted that we have</w:t>
      </w:r>
      <w:r w:rsidRPr="009F571B">
        <w:t xml:space="preserve"> adopted a balanced and pragmatic approach that provides certain and predictable outcomes for investors and provides a balance between the views of consumer groups and the network businesses</w:t>
      </w:r>
      <w:r>
        <w:t>.</w:t>
      </w:r>
      <w:r>
        <w:rPr>
          <w:rStyle w:val="FootnoteReference"/>
        </w:rPr>
        <w:footnoteReference w:id="160"/>
      </w:r>
      <w:r w:rsidRPr="00ED6D11">
        <w:t xml:space="preserve"> </w:t>
      </w:r>
      <w:r>
        <w:t>AGL submitted support for our Rate of Return Guideline as an equitable balance between the interests of the distribution networks and energy consumers.</w:t>
      </w:r>
      <w:r>
        <w:rPr>
          <w:rStyle w:val="FootnoteReference"/>
        </w:rPr>
        <w:footnoteReference w:id="161"/>
      </w:r>
      <w:r w:rsidRPr="00ED6D11">
        <w:t xml:space="preserve"> </w:t>
      </w:r>
      <w:r>
        <w:t xml:space="preserve">The Energy Users Coalition of Victoria (EUCV) noted that </w:t>
      </w:r>
      <w:r w:rsidRPr="00C85589">
        <w:t>consumers have accepted the guideline as being equitable and appropriate</w:t>
      </w:r>
      <w:r>
        <w:t>.</w:t>
      </w:r>
      <w:r>
        <w:rPr>
          <w:rStyle w:val="FootnoteReference"/>
        </w:rPr>
        <w:footnoteReference w:id="162"/>
      </w:r>
      <w:r w:rsidRPr="00ED6D11">
        <w:t xml:space="preserve"> </w:t>
      </w:r>
      <w:r>
        <w:t>The Consumer Challenger Panel (sub-panel 3) (</w:t>
      </w:r>
      <w:r w:rsidRPr="00ED6D11">
        <w:t>CCP3</w:t>
      </w:r>
      <w:r>
        <w:t>)</w:t>
      </w:r>
      <w:r w:rsidRPr="00ED6D11">
        <w:t xml:space="preserve"> noted that the AER should continue to apply the </w:t>
      </w:r>
      <w:r>
        <w:t>return on equity</w:t>
      </w:r>
      <w:r w:rsidRPr="00ED6D11">
        <w:t xml:space="preserve"> methodology set out in the Guideline because the regulated businesses have not provided sufficient reasons to move away from it.</w:t>
      </w:r>
      <w:r w:rsidRPr="00ED6D11">
        <w:rPr>
          <w:rStyle w:val="FootnoteReference"/>
        </w:rPr>
        <w:footnoteReference w:id="163"/>
      </w:r>
    </w:p>
    <w:p w:rsidR="002734D3" w:rsidRDefault="002734D3" w:rsidP="002734D3">
      <w:r>
        <w:t>While there was general support for our parameter estimates, consumer groups also submitted that these parameter estimates reflect a 'cumulative conservatism' that may result in over-estimating the return on equity.</w:t>
      </w:r>
      <w:r w:rsidRPr="002B7A06">
        <w:rPr>
          <w:rStyle w:val="FootnoteReference"/>
        </w:rPr>
        <w:t xml:space="preserve"> </w:t>
      </w:r>
      <w:r>
        <w:rPr>
          <w:rStyle w:val="FootnoteReference"/>
        </w:rPr>
        <w:footnoteReference w:id="164"/>
      </w:r>
      <w:r>
        <w:t xml:space="preserve"> However, in supporting our parameter estimates, consumer groups submitted that they valued the predictability and transparency resulting from the application of our Guideline and foundation model approach.</w:t>
      </w:r>
      <w:r>
        <w:rPr>
          <w:rStyle w:val="FootnoteReference"/>
        </w:rPr>
        <w:footnoteReference w:id="165"/>
      </w:r>
    </w:p>
    <w:p w:rsidR="002734D3" w:rsidRDefault="002734D3" w:rsidP="002734D3">
      <w:pPr>
        <w:numPr>
          <w:ilvl w:val="0"/>
          <w:numId w:val="24"/>
        </w:numPr>
      </w:pPr>
      <w:r>
        <w:t>Service providers disagreed with us on the relative merits of relevant material, as well as some of our methodological choices, submitting that:</w:t>
      </w:r>
    </w:p>
    <w:p w:rsidR="002734D3" w:rsidRDefault="002734D3" w:rsidP="002734D3">
      <w:pPr>
        <w:pStyle w:val="AERbulletlistfirststyle"/>
      </w:pPr>
      <w:r>
        <w:t>The Black CAPM, Fama-French model, and dividend growth model can reliably inform an overall return on equity estimate and compensate for biases existing in the Sharpe-Lintner CAPM.</w:t>
      </w:r>
    </w:p>
    <w:p w:rsidR="002734D3" w:rsidRDefault="002734D3" w:rsidP="002734D3">
      <w:pPr>
        <w:pStyle w:val="AERbulletlistfirststyle"/>
      </w:pPr>
      <w:r>
        <w:t>In estimating the market risk premium we should afford greater weight to estimates from our dividend growth model, from valuation reports, and from the Wright specification of the CAPM; while affording less weight to estimates from surveys and other regulators' decisions. Further, we have incorrectly utilised this evidence.</w:t>
      </w:r>
    </w:p>
    <w:p w:rsidR="002734D3" w:rsidRDefault="002734D3" w:rsidP="002734D3">
      <w:pPr>
        <w:pStyle w:val="AERbulletlistfirststyle"/>
      </w:pPr>
      <w:r>
        <w:t>The regression evidence of equity betas for relevant businesses, which should not be restricted to regulated energy businesses, indicates that our equity beta estimate should be greater than 0.7. Further, our conceptual analysis of equity beta relies on an incorrect assessment of risk,</w:t>
      </w:r>
      <w:r>
        <w:rPr>
          <w:rStyle w:val="FootnoteReference"/>
        </w:rPr>
        <w:footnoteReference w:id="166"/>
      </w:r>
      <w:r>
        <w:t xml:space="preserve"> and our application of the theory of the Black CAPM should be quantified.</w:t>
      </w:r>
    </w:p>
    <w:p w:rsidR="002734D3" w:rsidRDefault="002734D3" w:rsidP="002734D3">
      <w:pPr>
        <w:pStyle w:val="AERbulletlistfirststyle"/>
      </w:pPr>
      <w:r>
        <w:t>In comparing our initial return on equity estimate, based on the Sharpe-Lintner CAPM, against a range of other independent material, we have incorrectly adjusted and interpreted evidence from the Wright approach, broker reports, valuation reports, and other regulators' decisions.</w:t>
      </w:r>
    </w:p>
    <w:p w:rsidR="00A81D60" w:rsidRPr="00A81D60" w:rsidRDefault="00A81D60" w:rsidP="00A81D60">
      <w:pPr>
        <w:pStyle w:val="AERbulletlistfirststyle"/>
        <w:rPr>
          <w:rStyle w:val="AERtexthighlight"/>
          <w:shd w:val="clear" w:color="auto" w:fill="auto"/>
        </w:rPr>
      </w:pPr>
      <w:r w:rsidRPr="00A81D60">
        <w:rPr>
          <w:rStyle w:val="AERtexthighlight"/>
          <w:shd w:val="clear" w:color="auto" w:fill="auto"/>
        </w:rPr>
        <w:t>Our foundation model approach follows movements in the risk free rate too closely, resulting in a return that is too low in the current market.</w:t>
      </w:r>
    </w:p>
    <w:p w:rsidR="002734D3" w:rsidRDefault="002734D3" w:rsidP="002734D3">
      <w:pPr>
        <w:numPr>
          <w:ilvl w:val="0"/>
          <w:numId w:val="24"/>
        </w:numPr>
      </w:pPr>
      <w:r>
        <w:t>These issues are discussed in turn below. W</w:t>
      </w:r>
      <w:r w:rsidRPr="00B005DF">
        <w:t>e are not satisfied that</w:t>
      </w:r>
      <w:r>
        <w:t xml:space="preserve"> any</w:t>
      </w:r>
      <w:r w:rsidRPr="00B005DF">
        <w:t xml:space="preserve"> information </w:t>
      </w:r>
      <w:r>
        <w:t xml:space="preserve">submitted to us </w:t>
      </w:r>
      <w:r w:rsidRPr="00B005DF">
        <w:t xml:space="preserve">indicates </w:t>
      </w:r>
      <w:r>
        <w:t xml:space="preserve">that </w:t>
      </w:r>
      <w:r w:rsidRPr="00B005DF">
        <w:t>a departure from</w:t>
      </w:r>
      <w:r>
        <w:t xml:space="preserve"> </w:t>
      </w:r>
      <w:r w:rsidRPr="00B005DF">
        <w:t xml:space="preserve">the </w:t>
      </w:r>
      <w:r>
        <w:t>G</w:t>
      </w:r>
      <w:r w:rsidRPr="00B005DF">
        <w:t xml:space="preserve">uideline would </w:t>
      </w:r>
      <w:r>
        <w:t>contribute to the achievement of</w:t>
      </w:r>
      <w:r w:rsidRPr="00B005DF">
        <w:t xml:space="preserve"> the </w:t>
      </w:r>
      <w:r w:rsidR="009C74CF">
        <w:t>ARORO</w:t>
      </w:r>
      <w:r w:rsidRPr="00B005DF">
        <w:t xml:space="preserve">. </w:t>
      </w:r>
      <w:r>
        <w:t>In addition to the reasons outlined in the subsections below, w</w:t>
      </w:r>
      <w:r w:rsidRPr="00B005DF">
        <w:t xml:space="preserve">e </w:t>
      </w:r>
      <w:r>
        <w:t>consider</w:t>
      </w:r>
      <w:r w:rsidRPr="00B005DF">
        <w:t xml:space="preserve"> the importance placed by all stakeholders on predictability and </w:t>
      </w:r>
      <w:r>
        <w:t>transparency</w:t>
      </w:r>
      <w:r w:rsidRPr="00B005DF">
        <w:t xml:space="preserve"> is important to </w:t>
      </w:r>
      <w:r>
        <w:t xml:space="preserve">contribute to the </w:t>
      </w:r>
      <w:r w:rsidRPr="00B005DF">
        <w:t>achiev</w:t>
      </w:r>
      <w:r>
        <w:t>ement of</w:t>
      </w:r>
      <w:r w:rsidRPr="00B005DF">
        <w:t xml:space="preserve"> the </w:t>
      </w:r>
      <w:r w:rsidR="009C74CF">
        <w:t>ARORO</w:t>
      </w:r>
      <w:r>
        <w:t>.</w:t>
      </w:r>
      <w:r>
        <w:rPr>
          <w:rStyle w:val="FootnoteReference"/>
        </w:rPr>
        <w:footnoteReference w:id="167"/>
      </w:r>
    </w:p>
    <w:p w:rsidR="00DD32A1" w:rsidRPr="0032489B" w:rsidRDefault="00DD32A1" w:rsidP="00DD32A1">
      <w:pPr>
        <w:pStyle w:val="HeadingBoldBlue"/>
        <w:numPr>
          <w:ilvl w:val="0"/>
          <w:numId w:val="24"/>
        </w:numPr>
        <w:rPr>
          <w:rStyle w:val="AERtextorange"/>
        </w:rPr>
      </w:pPr>
      <w:bookmarkStart w:id="122" w:name="_Toc443923181"/>
      <w:bookmarkStart w:id="123" w:name="_Ref451679114"/>
      <w:r>
        <w:rPr>
          <w:rStyle w:val="AERtextorange"/>
        </w:rPr>
        <w:t>Services providers' proposed multi-model approach</w:t>
      </w:r>
      <w:bookmarkEnd w:id="122"/>
      <w:bookmarkEnd w:id="123"/>
    </w:p>
    <w:p w:rsidR="00DD32A1" w:rsidRDefault="00DD32A1" w:rsidP="00DD32A1">
      <w:r>
        <w:t>Our return on equity estimate of 7.0 per cent is derived from our application of the Sharpe-Lintner CAPM as our foundation model. We consider the Sharpe-Lintner CAPM is the best model for estimating the efficient costs of equity financing because it:</w:t>
      </w:r>
    </w:p>
    <w:p w:rsidR="00DD32A1" w:rsidRDefault="00DD32A1" w:rsidP="00DD32A1">
      <w:pPr>
        <w:pStyle w:val="AERbulletlistfirststyle"/>
      </w:pPr>
      <w:r w:rsidRPr="001174B8">
        <w:t>transparently presents the key risk and reward trade-off</w:t>
      </w:r>
      <w:r>
        <w:rPr>
          <w:rStyle w:val="FootnoteReference"/>
        </w:rPr>
        <w:footnoteReference w:id="168"/>
      </w:r>
      <w:r w:rsidRPr="001174B8">
        <w:t xml:space="preserve"> that is at the heart of our task</w:t>
      </w:r>
      <w:r>
        <w:rPr>
          <w:rStyle w:val="FootnoteReference"/>
        </w:rPr>
        <w:footnoteReference w:id="169"/>
      </w:r>
    </w:p>
    <w:p w:rsidR="00DD32A1" w:rsidRDefault="00DD32A1" w:rsidP="00DD32A1">
      <w:pPr>
        <w:pStyle w:val="AERbulletlistfirststyle"/>
      </w:pPr>
      <w:r w:rsidRPr="00D50D12">
        <w:t xml:space="preserve">is widely </w:t>
      </w:r>
      <w:r>
        <w:t xml:space="preserve">and consistently </w:t>
      </w:r>
      <w:r w:rsidRPr="00D50D12">
        <w:t>used for estimating the expected return on equity</w:t>
      </w:r>
      <w:r>
        <w:t xml:space="preserve"> </w:t>
      </w:r>
      <w:r w:rsidRPr="00D50D12">
        <w:t xml:space="preserve">by </w:t>
      </w:r>
      <w:r w:rsidRPr="001174B8">
        <w:t xml:space="preserve">financial </w:t>
      </w:r>
      <w:r w:rsidRPr="00D50D12">
        <w:t>market practitioners</w:t>
      </w:r>
      <w:r>
        <w:t>,</w:t>
      </w:r>
      <w:r w:rsidRPr="00D50D12">
        <w:t xml:space="preserve"> academics, and other regulators</w:t>
      </w:r>
      <w:r w:rsidRPr="00F63640">
        <w:rPr>
          <w:rStyle w:val="FootnoteReference"/>
        </w:rPr>
        <w:footnoteReference w:id="170"/>
      </w:r>
    </w:p>
    <w:p w:rsidR="00DD32A1" w:rsidRDefault="00DD32A1" w:rsidP="00DD32A1">
      <w:pPr>
        <w:pStyle w:val="AERbulletlistfirststyle"/>
      </w:pPr>
      <w:r>
        <w:t>has well-accepted and unbiased methods for estimating its parameters, and these parameters can be estimated with tolerable accuracy, unlike the alternative models proposed by service providers.</w:t>
      </w:r>
    </w:p>
    <w:p w:rsidR="00DD32A1" w:rsidRPr="0051262A" w:rsidRDefault="00DD32A1" w:rsidP="00DD32A1">
      <w:r w:rsidRPr="0051262A">
        <w:t>Our consultants have also agreed with our use of the Sharpe-Lintner CAPM as the foundation model. Handley stated:</w:t>
      </w:r>
      <w:r w:rsidRPr="0051262A">
        <w:rPr>
          <w:rStyle w:val="FootnoteReference"/>
        </w:rPr>
        <w:footnoteReference w:id="171"/>
      </w:r>
    </w:p>
    <w:p w:rsidR="00DD32A1" w:rsidRPr="00D50D12" w:rsidRDefault="00DD32A1" w:rsidP="00DD32A1">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DD32A1" w:rsidRPr="0051262A" w:rsidRDefault="00DD32A1" w:rsidP="00DD32A1">
      <w:r w:rsidRPr="0051262A">
        <w:t>McKenzie and Partington indicated with respect to the Sharpe–Lintner CAPM:</w:t>
      </w:r>
      <w:r w:rsidRPr="0051262A">
        <w:rPr>
          <w:rStyle w:val="FootnoteReference"/>
        </w:rPr>
        <w:footnoteReference w:id="172"/>
      </w:r>
    </w:p>
    <w:p w:rsidR="00DD32A1" w:rsidRDefault="00DD32A1" w:rsidP="00DD32A1">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w:t>
      </w:r>
    </w:p>
    <w:p w:rsidR="00DD32A1" w:rsidRDefault="00DD32A1" w:rsidP="00DD32A1">
      <w:r>
        <w:t>Since publishing our Guideline service providers have submitted that the use of additional models</w:t>
      </w:r>
      <w:r w:rsidRPr="0051262A">
        <w:t xml:space="preserve"> </w:t>
      </w:r>
      <w:r>
        <w:t>for estimating the return on equity, and various methods for combining the models, would result in an improved estimate. The additional models submitted by service providers are the Black CAPM, Fama-French model, the dividend growth model, and the historical and Wright specifications to the Sharpe-Lintner CAPM.</w:t>
      </w:r>
      <w:r w:rsidRPr="00050D2D">
        <w:t xml:space="preserve"> </w:t>
      </w:r>
      <w:r>
        <w:t xml:space="preserve"> </w:t>
      </w:r>
    </w:p>
    <w:p w:rsidR="00DD32A1" w:rsidRDefault="00DD32A1" w:rsidP="00DD32A1">
      <w:r>
        <w:t xml:space="preserve">We consider the relative merits of this material in detail in section </w:t>
      </w:r>
      <w:r w:rsidR="00646E62">
        <w:fldChar w:fldCharType="begin"/>
      </w:r>
      <w:r w:rsidR="00646E62">
        <w:instrText xml:space="preserve"> REF _Ref451675743 \r \h </w:instrText>
      </w:r>
      <w:r w:rsidR="00646E62">
        <w:fldChar w:fldCharType="separate"/>
      </w:r>
      <w:r w:rsidR="00BA2E8E">
        <w:t>B</w:t>
      </w:r>
      <w:r w:rsidR="00646E62">
        <w:fldChar w:fldCharType="end"/>
      </w:r>
      <w:r w:rsidR="00646E62">
        <w:t xml:space="preserve"> </w:t>
      </w:r>
      <w:r>
        <w:t xml:space="preserve">of this attachment. In summary, we consider that the models other than the Sharpe-Lintner CAPM are too unreliable and at risk of potential bias to be relied upon. </w:t>
      </w:r>
      <w:r w:rsidRPr="00CB12BC">
        <w:t>G</w:t>
      </w:r>
      <w:r>
        <w:t>iven the limitations of the other equity models proposed by the service providers, we consider that:</w:t>
      </w:r>
    </w:p>
    <w:p w:rsidR="00DD32A1" w:rsidRPr="00B005DF" w:rsidRDefault="00DD32A1" w:rsidP="00DD32A1">
      <w:pPr>
        <w:pStyle w:val="AERbulletlistfirststyle"/>
      </w:pPr>
      <w:r>
        <w:t>These models should not form part of our foundation model approach, either as the sole model or as part of a multi-model approach</w:t>
      </w:r>
      <w:r w:rsidRPr="00B005DF">
        <w:t>.</w:t>
      </w:r>
    </w:p>
    <w:p w:rsidR="00DD32A1" w:rsidRPr="00B005DF" w:rsidRDefault="00DD32A1" w:rsidP="00DD32A1">
      <w:pPr>
        <w:pStyle w:val="AERbulletlistfirststyle"/>
      </w:pPr>
      <w:r>
        <w:t xml:space="preserve">The Wright approach, the dividend growth model, and the theory underpinning the Black CAPM may provide some (albeit limited) insights. This material has been used to inform our overall return on equity estimate (Wright) or the estimation of Sharpe-Lintner CAPM </w:t>
      </w:r>
      <w:r w:rsidRPr="00B005DF">
        <w:t xml:space="preserve">parameters (Black CAPM and </w:t>
      </w:r>
      <w:r>
        <w:t>dividend growth model</w:t>
      </w:r>
      <w:r w:rsidRPr="00B005DF">
        <w:t>).</w:t>
      </w:r>
      <w:r w:rsidRPr="00B005DF">
        <w:rPr>
          <w:rStyle w:val="FootnoteReference"/>
        </w:rPr>
        <w:footnoteReference w:id="173"/>
      </w:r>
    </w:p>
    <w:p w:rsidR="00DD32A1" w:rsidRDefault="00DD32A1" w:rsidP="00DD32A1">
      <w:pPr>
        <w:pStyle w:val="AERbulletlistfirststyle"/>
      </w:pPr>
      <w:r>
        <w:t xml:space="preserve">The Fama-French model and historical specification of the Sharpe-Lintner CAPM should not be used to inform our return on equity estimate in any capacity. </w:t>
      </w:r>
    </w:p>
    <w:p w:rsidR="00DD32A1" w:rsidRDefault="00DD32A1" w:rsidP="00DD32A1">
      <w:r>
        <w:t>Consumers and other stakeholders generally supported our use of the Sharp-Lintner CAPM and our foundation model approach.</w:t>
      </w:r>
      <w:r>
        <w:rPr>
          <w:rStyle w:val="FootnoteReference"/>
        </w:rPr>
        <w:footnoteReference w:id="174"/>
      </w:r>
      <w:r>
        <w:t xml:space="preserve"> </w:t>
      </w:r>
    </w:p>
    <w:p w:rsidR="00DD32A1" w:rsidRDefault="00DD32A1" w:rsidP="00DD32A1">
      <w:r>
        <w:t>Service providers generally expressed preference towards estimating the return on equity by combining estimates from the Sharpe-Lintner CAPM, Black CAPM, Fama-French model, and dividend growth model (the multi model approach).</w:t>
      </w:r>
      <w:r>
        <w:rPr>
          <w:rStyle w:val="FootnoteReference"/>
        </w:rPr>
        <w:footnoteReference w:id="175"/>
      </w:r>
      <w:r>
        <w:t xml:space="preserve"> </w:t>
      </w:r>
    </w:p>
    <w:p w:rsidR="00DD32A1" w:rsidRDefault="00DD32A1" w:rsidP="00DD32A1">
      <w:r>
        <w:t>Service providers also expressed a second preference for an alternative implementation of the Sharpe-Lintner CAPM, in which the equity beta is increased to account for the low-beta and book-to-market biases</w:t>
      </w:r>
      <w:r w:rsidRPr="00AC264F">
        <w:t xml:space="preserve"> </w:t>
      </w:r>
      <w:r>
        <w:t>using outputs from the Black CAPM and the Fama-French model respectively.</w:t>
      </w:r>
      <w:r w:rsidRPr="00177FBB">
        <w:rPr>
          <w:rStyle w:val="FootnoteReference"/>
        </w:rPr>
        <w:footnoteReference w:id="176"/>
      </w:r>
      <w:r w:rsidRPr="00177FBB">
        <w:t xml:space="preserve"> </w:t>
      </w:r>
      <w:r>
        <w:t>However, we consider that Frontier's Sharpe-Lintner CAPM appears to be effectively another multi-model approach, applying a 75 per cent weight to the return on equity estimate from its Black CAPM and 25 per cent weight to its Fama-French model estimate.</w:t>
      </w:r>
      <w:r>
        <w:rPr>
          <w:rStyle w:val="FootnoteReference"/>
        </w:rPr>
        <w:footnoteReference w:id="177"/>
      </w:r>
      <w:r>
        <w:t xml:space="preserve"> </w:t>
      </w:r>
    </w:p>
    <w:p w:rsidR="00DD32A1" w:rsidRDefault="00DD32A1" w:rsidP="00DD32A1">
      <w:r>
        <w:t>The service providers submit that either approach better reflects efficient costs of equity financing, and that our foundation model approach results in an estimate of the required return on equity that is too low.</w:t>
      </w:r>
      <w:r w:rsidRPr="00177FBB">
        <w:rPr>
          <w:rStyle w:val="FootnoteReference"/>
        </w:rPr>
        <w:t xml:space="preserve"> </w:t>
      </w:r>
      <w:r w:rsidRPr="00177FBB">
        <w:rPr>
          <w:rStyle w:val="FootnoteReference"/>
        </w:rPr>
        <w:footnoteReference w:id="178"/>
      </w:r>
      <w:r w:rsidRPr="00177FBB">
        <w:t xml:space="preserve"> </w:t>
      </w:r>
    </w:p>
    <w:p w:rsidR="00DD32A1" w:rsidRDefault="00DD32A1" w:rsidP="00DD32A1">
      <w:pPr>
        <w:numPr>
          <w:ilvl w:val="0"/>
          <w:numId w:val="24"/>
        </w:numPr>
      </w:pPr>
      <w:r>
        <w:t>We note that service providers have raised similar arguments in previous submissions and revenue determinations.</w:t>
      </w:r>
      <w:r w:rsidRPr="00177FBB">
        <w:rPr>
          <w:rStyle w:val="FootnoteReference"/>
        </w:rPr>
        <w:t xml:space="preserve"> </w:t>
      </w:r>
      <w:r w:rsidRPr="00177FBB">
        <w:rPr>
          <w:rStyle w:val="FootnoteReference"/>
        </w:rPr>
        <w:footnoteReference w:id="179"/>
      </w:r>
      <w:r>
        <w:t xml:space="preserve"> They effectively revolve around the following claims: </w:t>
      </w:r>
    </w:p>
    <w:p w:rsidR="00DD32A1" w:rsidRDefault="00DD32A1" w:rsidP="00DD32A1">
      <w:pPr>
        <w:pStyle w:val="AERbulletlistfirststyle"/>
      </w:pPr>
      <w:r>
        <w:t>That</w:t>
      </w:r>
      <w:r w:rsidRPr="004A6CD1">
        <w:t xml:space="preserve"> </w:t>
      </w:r>
      <w:r>
        <w:t>empirical</w:t>
      </w:r>
      <w:r w:rsidRPr="004A6CD1">
        <w:t xml:space="preserve"> evid</w:t>
      </w:r>
      <w:r>
        <w:t xml:space="preserve">ence shows that the Sharpe-Lintner </w:t>
      </w:r>
      <w:r w:rsidRPr="004A6CD1">
        <w:t xml:space="preserve">CAPM </w:t>
      </w:r>
      <w:r>
        <w:t>is downwardly biased</w:t>
      </w:r>
      <w:r w:rsidRPr="004A6CD1">
        <w:t xml:space="preserve"> and that there are alternative models available</w:t>
      </w:r>
      <w:r>
        <w:t xml:space="preserve"> that can reliably</w:t>
      </w:r>
      <w:r w:rsidRPr="004A6CD1">
        <w:t xml:space="preserve"> address </w:t>
      </w:r>
      <w:r>
        <w:t>these</w:t>
      </w:r>
      <w:r w:rsidRPr="004A6CD1">
        <w:t xml:space="preserve"> </w:t>
      </w:r>
      <w:r>
        <w:t>biases,</w:t>
      </w:r>
      <w:r w:rsidRPr="00177FBB">
        <w:rPr>
          <w:rStyle w:val="FootnoteReference"/>
        </w:rPr>
        <w:footnoteReference w:id="180"/>
      </w:r>
      <w:r w:rsidRPr="00177FBB">
        <w:t xml:space="preserve"> </w:t>
      </w:r>
      <w:r>
        <w:t xml:space="preserve"> specifically:</w:t>
      </w:r>
    </w:p>
    <w:p w:rsidR="00DD32A1" w:rsidRDefault="00DD32A1" w:rsidP="00DD32A1">
      <w:pPr>
        <w:pStyle w:val="AERbulletlistsecondstyle"/>
      </w:pPr>
      <w:r>
        <w:t xml:space="preserve">the Black CAPM can address low beta bias in the Sharpe-Lintner CAPM (a tendency for the Sharpe-Lintner CAPM to estimate a downwardly-biased return on equity for stocks with an equity beta less than one), and </w:t>
      </w:r>
    </w:p>
    <w:p w:rsidR="00DD32A1" w:rsidRDefault="00DD32A1" w:rsidP="00DD32A1">
      <w:pPr>
        <w:pStyle w:val="AERbulletlistsecondstyle"/>
      </w:pPr>
      <w:r>
        <w:t>the Fama-French model can address book-to-market bias in the Sharpe-Lintner CAPM (a tendency for the Sharpe-Lintner CAPM to estimate a downwardly-biased return on equity for stocks with low book-to-market ratios)</w:t>
      </w:r>
    </w:p>
    <w:p w:rsidR="00DD32A1" w:rsidRPr="00A75D2F" w:rsidRDefault="00DD32A1" w:rsidP="00DD32A1">
      <w:pPr>
        <w:pStyle w:val="AERbulletlistfirststyle"/>
      </w:pPr>
      <w:r w:rsidRPr="00A75D2F">
        <w:t xml:space="preserve">The dividend growth model more accurately and reliably reflects investors' prevailing </w:t>
      </w:r>
      <w:r>
        <w:t>required</w:t>
      </w:r>
      <w:r w:rsidRPr="00A75D2F">
        <w:t xml:space="preserve"> return on equity, and provides a better consideration of prevailing market conditions, than the Sharpe-Lintner CAPM. </w:t>
      </w:r>
    </w:p>
    <w:p w:rsidR="00DD32A1" w:rsidRDefault="00DD32A1" w:rsidP="00DD32A1">
      <w:pPr>
        <w:numPr>
          <w:ilvl w:val="0"/>
          <w:numId w:val="24"/>
        </w:numPr>
      </w:pPr>
      <w:r>
        <w:t>In their revised proposals, services providers provided new expert reports from Frontier and HoustonKemp to further support their views.</w:t>
      </w:r>
      <w:r>
        <w:rPr>
          <w:rStyle w:val="FootnoteReference"/>
        </w:rPr>
        <w:footnoteReference w:id="181"/>
      </w:r>
    </w:p>
    <w:p w:rsidR="00DD32A1" w:rsidRDefault="00DD32A1" w:rsidP="00DD32A1">
      <w:pPr>
        <w:numPr>
          <w:ilvl w:val="0"/>
          <w:numId w:val="24"/>
        </w:numPr>
      </w:pPr>
      <w:r>
        <w:t>We are not satisfied that the service providers' proposed application of other equity models</w:t>
      </w:r>
      <w:r>
        <w:rPr>
          <w:rStyle w:val="FootnoteReference"/>
        </w:rPr>
        <w:footnoteReference w:id="182"/>
      </w:r>
      <w:r>
        <w:t xml:space="preserve"> will result in a return on equity that is commensurate with efficient financing costs (given the risk of CitiPower's regulated services).</w:t>
      </w:r>
      <w:r>
        <w:rPr>
          <w:rStyle w:val="FootnoteReference"/>
        </w:rPr>
        <w:footnoteReference w:id="183"/>
      </w:r>
      <w:r>
        <w:t xml:space="preserve"> We consider there is overwhelming evidence that the Sharpe-Lintner CAPM is the current standard-bearer for estimating expected equity returns. </w:t>
      </w:r>
    </w:p>
    <w:p w:rsidR="00DD32A1" w:rsidRDefault="00DD32A1" w:rsidP="00DD32A1">
      <w:pPr>
        <w:numPr>
          <w:ilvl w:val="0"/>
          <w:numId w:val="24"/>
        </w:numPr>
      </w:pPr>
      <w:r w:rsidRPr="00F912F9">
        <w:t xml:space="preserve">Our consultant, </w:t>
      </w:r>
      <w:r>
        <w:t xml:space="preserve">Partington and Satchell, noted that </w:t>
      </w:r>
      <w:r w:rsidRPr="007D3497">
        <w:t xml:space="preserve">the </w:t>
      </w:r>
      <w:r>
        <w:t>'</w:t>
      </w:r>
      <w:r w:rsidRPr="007D3497">
        <w:t>SLCAPM remains the premier model used to estimate the cost of capital in practice, by both industry and regulators</w:t>
      </w:r>
      <w:r>
        <w:t>' and has wide agreement</w:t>
      </w:r>
      <w:r w:rsidRPr="007D3497">
        <w:t xml:space="preserve"> </w:t>
      </w:r>
      <w:r>
        <w:t>as '</w:t>
      </w:r>
      <w:r w:rsidRPr="007D3497">
        <w:t>a model of equilibrium expected returns</w:t>
      </w:r>
      <w:r>
        <w:t>'</w:t>
      </w:r>
      <w:r w:rsidRPr="007D3497">
        <w:t>.</w:t>
      </w:r>
      <w:r>
        <w:rPr>
          <w:rStyle w:val="FootnoteReference"/>
        </w:rPr>
        <w:footnoteReference w:id="184"/>
      </w:r>
    </w:p>
    <w:p w:rsidR="00DD32A1" w:rsidRDefault="00DD32A1" w:rsidP="00DD32A1">
      <w:pPr>
        <w:numPr>
          <w:ilvl w:val="0"/>
          <w:numId w:val="24"/>
        </w:numPr>
      </w:pPr>
      <w:r w:rsidRPr="00F912F9">
        <w:t xml:space="preserve">Partington and Satchell </w:t>
      </w:r>
      <w:r>
        <w:t xml:space="preserve">also </w:t>
      </w:r>
      <w:r w:rsidRPr="00F912F9">
        <w:t xml:space="preserve">noted that the parsimony and observability of the Sharpe–Lintner CAPM </w:t>
      </w:r>
      <w:r>
        <w:t>'</w:t>
      </w:r>
      <w:r w:rsidRPr="00F912F9">
        <w:t>reduces opportunities for cherry picking and also provides the opportunity for a relatively transparent implementation</w:t>
      </w:r>
      <w:r>
        <w:t>'</w:t>
      </w:r>
      <w:r w:rsidRPr="00F912F9">
        <w:t>.</w:t>
      </w:r>
      <w:r>
        <w:rPr>
          <w:rStyle w:val="FootnoteReference"/>
        </w:rPr>
        <w:footnoteReference w:id="185"/>
      </w:r>
    </w:p>
    <w:p w:rsidR="00DD32A1" w:rsidRDefault="00DD32A1" w:rsidP="00DD32A1">
      <w:pPr>
        <w:numPr>
          <w:ilvl w:val="0"/>
          <w:numId w:val="24"/>
        </w:numPr>
        <w:rPr>
          <w:rStyle w:val="AERbody"/>
        </w:rPr>
      </w:pPr>
      <w:r w:rsidRPr="009423EC">
        <w:rPr>
          <w:rStyle w:val="AERbody"/>
        </w:rPr>
        <w:t>We do not agree that our application of the Sharpe-Lintner CAPM</w:t>
      </w:r>
      <w:r>
        <w:rPr>
          <w:rStyle w:val="AERbody"/>
        </w:rPr>
        <w:t xml:space="preserve">, given our choice of appropriate parameters, </w:t>
      </w:r>
      <w:r w:rsidRPr="009423EC">
        <w:rPr>
          <w:rStyle w:val="AERbody"/>
        </w:rPr>
        <w:t>is downwardly biased for either low beta bias or book-to-market bias.</w:t>
      </w:r>
      <w:r>
        <w:rPr>
          <w:rStyle w:val="AERbody"/>
        </w:rPr>
        <w:t xml:space="preserve"> We do not consider that reliable estimates of the return on equity can be derived from the Black CAPM, Fama-French model, or dividend growth model. </w:t>
      </w:r>
    </w:p>
    <w:p w:rsidR="00DD32A1" w:rsidRDefault="00DD32A1" w:rsidP="00DD32A1">
      <w:pPr>
        <w:numPr>
          <w:ilvl w:val="0"/>
          <w:numId w:val="24"/>
        </w:numPr>
      </w:pPr>
      <w:r>
        <w:t>We have considered and responded to these issues and the associated supporting material in our previous decisions.</w:t>
      </w:r>
      <w:r>
        <w:rPr>
          <w:rStyle w:val="FootnoteReference"/>
        </w:rPr>
        <w:footnoteReference w:id="186"/>
      </w:r>
      <w:r>
        <w:t xml:space="preserve"> That reasoning remains valid here. We respond to each of the issues raised in </w:t>
      </w:r>
      <w:r>
        <w:fldChar w:fldCharType="begin"/>
      </w:r>
      <w:r>
        <w:instrText xml:space="preserve"> REF  _Ref446349201 \* Lower \h </w:instrText>
      </w:r>
      <w:r>
        <w:fldChar w:fldCharType="separate"/>
      </w:r>
      <w:r w:rsidR="00BA2E8E">
        <w:t xml:space="preserve">table </w:t>
      </w:r>
      <w:r w:rsidR="00BA2E8E">
        <w:rPr>
          <w:noProof/>
        </w:rPr>
        <w:t>3</w:t>
      </w:r>
      <w:r w:rsidR="00BA2E8E">
        <w:noBreakHyphen/>
      </w:r>
      <w:r w:rsidR="00BA2E8E">
        <w:rPr>
          <w:noProof/>
        </w:rPr>
        <w:t>4</w:t>
      </w:r>
      <w:r>
        <w:fldChar w:fldCharType="end"/>
      </w:r>
      <w:r>
        <w:t>.</w:t>
      </w:r>
    </w:p>
    <w:p w:rsidR="00DD32A1" w:rsidRPr="007D2133" w:rsidRDefault="00DD32A1" w:rsidP="00DD32A1">
      <w:pPr>
        <w:rPr>
          <w:rStyle w:val="AERbody"/>
        </w:rPr>
      </w:pPr>
      <w:r>
        <w:rPr>
          <w:rStyle w:val="AERbody"/>
        </w:rPr>
        <w:t>We also note that o</w:t>
      </w:r>
      <w:r w:rsidRPr="002F6C93">
        <w:rPr>
          <w:rStyle w:val="AERbody"/>
        </w:rPr>
        <w:t>ur consideration of the relative merits of the Sharpe-Lintner CAPM, Black CAPM, Fama-French model, and dividend growth model are supported</w:t>
      </w:r>
      <w:r>
        <w:rPr>
          <w:rStyle w:val="AERbody"/>
        </w:rPr>
        <w:t xml:space="preserve"> by the widespread use of the Sharpe-Lintner </w:t>
      </w:r>
      <w:r w:rsidRPr="002F6C93">
        <w:rPr>
          <w:rStyle w:val="AERbody"/>
        </w:rPr>
        <w:t>CAPM over the other models by market participants including brokers, valuers,</w:t>
      </w:r>
      <w:r>
        <w:rPr>
          <w:rStyle w:val="AERbody"/>
        </w:rPr>
        <w:t xml:space="preserve"> and </w:t>
      </w:r>
      <w:r w:rsidRPr="002F6C93">
        <w:rPr>
          <w:rStyle w:val="AERbody"/>
        </w:rPr>
        <w:t>other regulators</w:t>
      </w:r>
      <w:r>
        <w:rPr>
          <w:rStyle w:val="AERbody"/>
        </w:rPr>
        <w:t>.</w:t>
      </w:r>
      <w:r>
        <w:rPr>
          <w:rStyle w:val="FootnoteReference"/>
        </w:rPr>
        <w:footnoteReference w:id="187"/>
      </w:r>
      <w:r>
        <w:rPr>
          <w:rStyle w:val="AERbody"/>
        </w:rPr>
        <w:t xml:space="preserve"> </w:t>
      </w:r>
      <w:r>
        <w:t xml:space="preserve">Further, </w:t>
      </w:r>
      <w:r w:rsidRPr="00971D38">
        <w:t xml:space="preserve">our </w:t>
      </w:r>
      <w:r>
        <w:t xml:space="preserve">application of the Sharpe-Lintner CAPM in our </w:t>
      </w:r>
      <w:r w:rsidRPr="00971D38">
        <w:t xml:space="preserve">foundation model approach </w:t>
      </w:r>
      <w:r>
        <w:t xml:space="preserve">and </w:t>
      </w:r>
      <w:r w:rsidRPr="00971D38">
        <w:t xml:space="preserve">our return on equity estimate </w:t>
      </w:r>
      <w:r>
        <w:t>are</w:t>
      </w:r>
      <w:r w:rsidRPr="00971D38">
        <w:t xml:space="preserve"> </w:t>
      </w:r>
      <w:r>
        <w:t>supported by</w:t>
      </w:r>
      <w:r w:rsidRPr="00971D38">
        <w:t xml:space="preserve"> a range of relevant material including market-based evidence (</w:t>
      </w:r>
      <w:r>
        <w:t xml:space="preserve">see </w:t>
      </w:r>
      <w:r w:rsidRPr="007D2133">
        <w:rPr>
          <w:rStyle w:val="AERbody"/>
        </w:rPr>
        <w:t>'</w:t>
      </w:r>
      <w:r w:rsidRPr="007D2133">
        <w:rPr>
          <w:rStyle w:val="AERbody"/>
        </w:rPr>
        <w:fldChar w:fldCharType="begin"/>
      </w:r>
      <w:r w:rsidRPr="007D2133">
        <w:rPr>
          <w:rStyle w:val="AERbody"/>
        </w:rPr>
        <w:instrText xml:space="preserve"> REF _Ref446347167 \h  \* MERGEFORMAT </w:instrText>
      </w:r>
      <w:r w:rsidRPr="007D2133">
        <w:rPr>
          <w:rStyle w:val="AERbody"/>
        </w:rPr>
      </w:r>
      <w:r w:rsidRPr="007D2133">
        <w:rPr>
          <w:rStyle w:val="AERbody"/>
        </w:rPr>
        <w:fldChar w:fldCharType="separate"/>
      </w:r>
      <w:r w:rsidR="00BA2E8E" w:rsidRPr="00BA2E8E">
        <w:rPr>
          <w:rStyle w:val="AERbody"/>
        </w:rPr>
        <w:t>The overall return on equity</w:t>
      </w:r>
      <w:r w:rsidRPr="007D2133">
        <w:rPr>
          <w:rStyle w:val="AERbody"/>
        </w:rPr>
        <w:fldChar w:fldCharType="end"/>
      </w:r>
      <w:r w:rsidRPr="007D2133">
        <w:rPr>
          <w:rStyle w:val="AERbody"/>
        </w:rPr>
        <w:t xml:space="preserve">' </w:t>
      </w:r>
      <w:r w:rsidRPr="007D2133">
        <w:rPr>
          <w:rStyle w:val="AERbody"/>
        </w:rPr>
        <w:fldChar w:fldCharType="begin"/>
      </w:r>
      <w:r w:rsidRPr="007D2133">
        <w:rPr>
          <w:rStyle w:val="AERbody"/>
        </w:rPr>
        <w:instrText xml:space="preserve"> REF _Ref446347167 \p \h  \* MERGEFORMAT </w:instrText>
      </w:r>
      <w:r w:rsidRPr="007D2133">
        <w:rPr>
          <w:rStyle w:val="AERbody"/>
        </w:rPr>
      </w:r>
      <w:r w:rsidRPr="007D2133">
        <w:rPr>
          <w:rStyle w:val="AERbody"/>
        </w:rPr>
        <w:fldChar w:fldCharType="separate"/>
      </w:r>
      <w:r w:rsidR="00BA2E8E">
        <w:rPr>
          <w:rStyle w:val="AERbody"/>
        </w:rPr>
        <w:t>below</w:t>
      </w:r>
      <w:r w:rsidRPr="007D2133">
        <w:rPr>
          <w:rStyle w:val="AERbody"/>
        </w:rPr>
        <w:fldChar w:fldCharType="end"/>
      </w:r>
      <w:r w:rsidRPr="007D2133">
        <w:rPr>
          <w:rStyle w:val="AERbody"/>
        </w:rPr>
        <w:t>).</w:t>
      </w:r>
    </w:p>
    <w:p w:rsidR="00DD32A1" w:rsidRPr="00971D38" w:rsidRDefault="00DD32A1" w:rsidP="00DD32A1">
      <w:pPr>
        <w:pStyle w:val="Caption"/>
      </w:pPr>
      <w:bookmarkStart w:id="124" w:name="_Ref446349201"/>
      <w:r>
        <w:t xml:space="preserve">Table </w:t>
      </w:r>
      <w:r w:rsidRPr="009D786E">
        <w:fldChar w:fldCharType="begin"/>
      </w:r>
      <w:r>
        <w:instrText xml:space="preserve"> STYLEREF 1 \s </w:instrText>
      </w:r>
      <w:r w:rsidRPr="009D786E">
        <w:fldChar w:fldCharType="separate"/>
      </w:r>
      <w:r w:rsidR="00BA2E8E">
        <w:rPr>
          <w:noProof/>
        </w:rPr>
        <w:t>3</w:t>
      </w:r>
      <w:r w:rsidRPr="009D786E">
        <w:fldChar w:fldCharType="end"/>
      </w:r>
      <w:r>
        <w:noBreakHyphen/>
      </w:r>
      <w:r w:rsidRPr="009D786E">
        <w:fldChar w:fldCharType="begin"/>
      </w:r>
      <w:r>
        <w:instrText xml:space="preserve"> SEQ Table \* ARABIC \s 1 </w:instrText>
      </w:r>
      <w:r w:rsidRPr="009D786E">
        <w:fldChar w:fldCharType="separate"/>
      </w:r>
      <w:r w:rsidR="00BA2E8E">
        <w:rPr>
          <w:noProof/>
        </w:rPr>
        <w:t>4</w:t>
      </w:r>
      <w:r w:rsidRPr="009D786E">
        <w:fldChar w:fldCharType="end"/>
      </w:r>
      <w:bookmarkEnd w:id="124"/>
      <w:r>
        <w:tab/>
        <w:t>Issues raised about our use of equity models</w:t>
      </w:r>
    </w:p>
    <w:tbl>
      <w:tblPr>
        <w:tblStyle w:val="AERtable-text0"/>
        <w:tblW w:w="0" w:type="auto"/>
        <w:tblLook w:val="04A0" w:firstRow="1" w:lastRow="0" w:firstColumn="1" w:lastColumn="0" w:noHBand="0" w:noVBand="1"/>
      </w:tblPr>
      <w:tblGrid>
        <w:gridCol w:w="1809"/>
        <w:gridCol w:w="6884"/>
      </w:tblGrid>
      <w:tr w:rsidR="00DD32A1" w:rsidTr="00B52359">
        <w:trPr>
          <w:cnfStyle w:val="100000000000" w:firstRow="1" w:lastRow="0" w:firstColumn="0" w:lastColumn="0" w:oddVBand="0" w:evenVBand="0" w:oddHBand="0" w:evenHBand="0" w:firstRowFirstColumn="0" w:firstRowLastColumn="0" w:lastRowFirstColumn="0" w:lastRowLastColumn="0"/>
        </w:trPr>
        <w:tc>
          <w:tcPr>
            <w:tcW w:w="1809" w:type="dxa"/>
          </w:tcPr>
          <w:p w:rsidR="00DD32A1" w:rsidRPr="00DD32A1" w:rsidRDefault="00DD32A1" w:rsidP="00DD32A1">
            <w:r>
              <w:t>Issue</w:t>
            </w:r>
          </w:p>
        </w:tc>
        <w:tc>
          <w:tcPr>
            <w:tcW w:w="6884" w:type="dxa"/>
          </w:tcPr>
          <w:p w:rsidR="00DD32A1" w:rsidRPr="00DD32A1" w:rsidRDefault="00DD32A1" w:rsidP="00DD32A1">
            <w:r>
              <w:t xml:space="preserve">Summary of </w:t>
            </w:r>
            <w:r w:rsidRPr="00DD32A1">
              <w:t>our response</w:t>
            </w:r>
          </w:p>
        </w:tc>
      </w:tr>
      <w:tr w:rsidR="00DD32A1" w:rsidTr="00B52359">
        <w:tc>
          <w:tcPr>
            <w:tcW w:w="1809" w:type="dxa"/>
          </w:tcPr>
          <w:p w:rsidR="00DD32A1" w:rsidRPr="00DD32A1" w:rsidRDefault="00DD32A1" w:rsidP="00DD32A1">
            <w:r>
              <w:t xml:space="preserve">A </w:t>
            </w:r>
            <w:r w:rsidRPr="00DD32A1">
              <w:t>multi-model approach results in a more reliable estimate of the return on equity than a single-model approach, regardless of the models used.</w:t>
            </w:r>
            <w:r w:rsidRPr="00DD32A1">
              <w:rPr>
                <w:rStyle w:val="FootnoteReference"/>
              </w:rPr>
              <w:t xml:space="preserve"> </w:t>
            </w:r>
            <w:r w:rsidRPr="00DD32A1">
              <w:rPr>
                <w:rStyle w:val="FootnoteReference"/>
              </w:rPr>
              <w:footnoteReference w:id="188"/>
            </w:r>
          </w:p>
          <w:p w:rsidR="00DD32A1" w:rsidRPr="00DD32A1" w:rsidRDefault="00DD32A1" w:rsidP="00DD32A1">
            <w:r>
              <w:t>The AER must run the Black CAPM, Fama-French model and dividend growth model in order to have regard to them.</w:t>
            </w:r>
            <w:r w:rsidRPr="00DD32A1">
              <w:rPr>
                <w:rStyle w:val="FootnoteReference"/>
              </w:rPr>
              <w:t xml:space="preserve"> </w:t>
            </w:r>
            <w:r w:rsidRPr="00DD32A1">
              <w:rPr>
                <w:rStyle w:val="FootnoteReference"/>
              </w:rPr>
              <w:footnoteReference w:id="189"/>
            </w:r>
          </w:p>
        </w:tc>
        <w:tc>
          <w:tcPr>
            <w:tcW w:w="6884" w:type="dxa"/>
          </w:tcPr>
          <w:p w:rsidR="00DD32A1" w:rsidRPr="00DD32A1" w:rsidRDefault="00DD32A1" w:rsidP="00DD32A1">
            <w:r>
              <w:t>W</w:t>
            </w:r>
            <w:r w:rsidRPr="00DD32A1">
              <w:t>e are not (in principle) averse to a multi-model approach where the models are equally valid for the intended objective.</w:t>
            </w:r>
            <w:r w:rsidRPr="00DD32A1">
              <w:rPr>
                <w:rStyle w:val="FootnoteReference"/>
              </w:rPr>
              <w:footnoteReference w:id="190"/>
            </w:r>
            <w:r w:rsidRPr="00DD32A1">
              <w:t xml:space="preserve"> However, we are not satisfied that is the case. Having regard to relevant material must include having regard to the relative merits of the material. Partington has emphasised the dangers of simply combining information from different models. He advised that:</w:t>
            </w:r>
            <w:r w:rsidRPr="00DD32A1">
              <w:rPr>
                <w:rStyle w:val="FootnoteReference"/>
              </w:rPr>
              <w:t xml:space="preserve"> </w:t>
            </w:r>
            <w:r w:rsidRPr="00DD32A1">
              <w:rPr>
                <w:rStyle w:val="FootnoteReference"/>
              </w:rPr>
              <w:footnoteReference w:id="191"/>
            </w:r>
          </w:p>
          <w:p w:rsidR="00DD32A1" w:rsidRPr="00DD32A1" w:rsidRDefault="00DD32A1" w:rsidP="00DD32A1">
            <w:pPr>
              <w:pStyle w:val="Quote"/>
            </w:pPr>
            <w:r w:rsidRPr="005A3DD3">
              <w:t>It is by no means assured that more information will result in a better estimate if that information is of poor quality or is downright misleading</w:t>
            </w:r>
            <w:r w:rsidRPr="00DD32A1">
              <w:t>…it cannot be taken for granted that a number is meaningful without fully understanding the context in which it is estimated.</w:t>
            </w:r>
          </w:p>
          <w:p w:rsidR="00DD32A1" w:rsidRPr="00DD32A1" w:rsidRDefault="00DD32A1" w:rsidP="00DD32A1">
            <w:r>
              <w:t xml:space="preserve">Partington and Satchell also cautioned against 'giving these models significant weight in a regulatory setting' due to their weaknesses such as </w:t>
            </w:r>
            <w:r w:rsidRPr="00DD32A1">
              <w:t>being prone to manipulation and lack of wide-spread use in practice.</w:t>
            </w:r>
            <w:r w:rsidRPr="00DD32A1">
              <w:rPr>
                <w:rStyle w:val="FootnoteReference"/>
              </w:rPr>
              <w:footnoteReference w:id="192"/>
            </w:r>
          </w:p>
          <w:p w:rsidR="00DD32A1" w:rsidRPr="00DD32A1" w:rsidRDefault="00DD32A1" w:rsidP="00646E62">
            <w:r>
              <w:t xml:space="preserve">For the reasons outlined in the remainder of this table and in section </w:t>
            </w:r>
            <w:r w:rsidR="00646E62">
              <w:fldChar w:fldCharType="begin"/>
            </w:r>
            <w:r w:rsidR="00646E62">
              <w:instrText xml:space="preserve"> REF _Ref451675824 \r \h </w:instrText>
            </w:r>
            <w:r w:rsidR="00646E62">
              <w:fldChar w:fldCharType="separate"/>
            </w:r>
            <w:r w:rsidR="00BA2E8E">
              <w:t>B</w:t>
            </w:r>
            <w:r w:rsidR="00646E62">
              <w:fldChar w:fldCharType="end"/>
            </w:r>
            <w:r w:rsidR="00646E62">
              <w:t xml:space="preserve"> </w:t>
            </w:r>
            <w:r w:rsidRPr="00DD32A1">
              <w:t>we do not consider that quanti</w:t>
            </w:r>
            <w:r>
              <w:t>t</w:t>
            </w:r>
            <w:r w:rsidRPr="00DD32A1">
              <w:t>ative application of the Black CAPM, Fama-French model or the dividend growth model (for estimating return on equity) would be beneficial. Neither do we consider that it is necessary to run the models to have regard to them.</w:t>
            </w:r>
            <w:r w:rsidRPr="00DD32A1">
              <w:rPr>
                <w:rStyle w:val="FootnoteReference"/>
              </w:rPr>
              <w:footnoteReference w:id="193"/>
            </w:r>
          </w:p>
        </w:tc>
      </w:tr>
      <w:tr w:rsidR="00DD32A1" w:rsidTr="00B52359">
        <w:trPr>
          <w:cnfStyle w:val="000000010000" w:firstRow="0" w:lastRow="0" w:firstColumn="0" w:lastColumn="0" w:oddVBand="0" w:evenVBand="0" w:oddHBand="0" w:evenHBand="1" w:firstRowFirstColumn="0" w:firstRowLastColumn="0" w:lastRowFirstColumn="0" w:lastRowLastColumn="0"/>
        </w:trPr>
        <w:tc>
          <w:tcPr>
            <w:tcW w:w="1809" w:type="dxa"/>
          </w:tcPr>
          <w:p w:rsidR="00DD32A1" w:rsidRPr="00DD32A1" w:rsidRDefault="00DD32A1" w:rsidP="00DD32A1">
            <w:r>
              <w:t>Use of the Black CAPM can address the Sharpe-Lintner CAPM’s limitation of having low beta bias.</w:t>
            </w:r>
            <w:r w:rsidRPr="00DD32A1">
              <w:rPr>
                <w:rStyle w:val="FootnoteReference"/>
              </w:rPr>
              <w:t xml:space="preserve"> </w:t>
            </w:r>
            <w:r w:rsidRPr="00DD32A1">
              <w:rPr>
                <w:rStyle w:val="FootnoteReference"/>
              </w:rPr>
              <w:footnoteReference w:id="194"/>
            </w:r>
          </w:p>
        </w:tc>
        <w:tc>
          <w:tcPr>
            <w:tcW w:w="6884" w:type="dxa"/>
          </w:tcPr>
          <w:p w:rsidR="00DD32A1" w:rsidRPr="00DD32A1" w:rsidRDefault="00DD32A1" w:rsidP="00DD32A1">
            <w:r>
              <w:t>We consider</w:t>
            </w:r>
            <w:r w:rsidRPr="00DD32A1">
              <w:t xml:space="preserve"> there may be merit in the theory underpinning the Black CAPM. We recognise that the Black CAPM theory involves different underpinning assum</w:t>
            </w:r>
            <w:r>
              <w:t>p</w:t>
            </w:r>
            <w:r w:rsidRPr="00DD32A1">
              <w:t>tions to the Sharpe-Lintner CAPM that result in a higher return on equity than the Sharpe-Lintner CAPM when equity beta is less than one. We also recognise that Black CAPM theory may provide one possible explanation for the performance of the Sharpe-Lintner CAPM in empirical literature, although there are competing alternative explanations, and we note that the assumptions underpinning the Black CAPM appear no more realistic than those of the Sharpe-Lintner CAPM. It is important to note that all models with simplifying assumptions will likely be affected by market imperfections when they are applied in a practical setting.</w:t>
            </w:r>
          </w:p>
          <w:p w:rsidR="00DD32A1" w:rsidRPr="00DD32A1" w:rsidRDefault="00DD32A1" w:rsidP="00DD32A1">
            <w:r>
              <w:t>However, we consider that there are no generally accepted methods for estimating the Black CAPM's parameters, resulting in it being sensitive to input assumptions and creating potential for biased results. We also note that there appears no widespread use of the Black CAPM by market practitioners.</w:t>
            </w:r>
          </w:p>
          <w:p w:rsidR="00DD32A1" w:rsidRPr="00DD32A1" w:rsidRDefault="00DD32A1" w:rsidP="00DD32A1">
            <w:r>
              <w:t xml:space="preserve">These views are supported by </w:t>
            </w:r>
            <w:r w:rsidRPr="00DD32A1">
              <w:t>Partington and Satchell who reiterate concerns with implementing the Black CAPM.</w:t>
            </w:r>
            <w:r w:rsidRPr="00DD32A1">
              <w:rPr>
                <w:rStyle w:val="FootnoteReference"/>
              </w:rPr>
              <w:footnoteReference w:id="195"/>
            </w:r>
            <w:r w:rsidRPr="00DD32A1">
              <w:t xml:space="preserve"> Partington and Satchell noted that the “low beta bias” is a 'tendency for low beta stocks to overperform and high beta stocks to underperform relative to the CAPM… this does not necessarily imply anything other than that the stocks have outperformed or underperformed.</w:t>
            </w:r>
            <w:r w:rsidRPr="00DD32A1">
              <w:rPr>
                <w:rStyle w:val="FootnoteReference"/>
              </w:rPr>
              <w:footnoteReference w:id="196"/>
            </w:r>
            <w:r w:rsidRPr="00DD32A1">
              <w:t xml:space="preserve"> </w:t>
            </w:r>
          </w:p>
          <w:p w:rsidR="00DD32A1" w:rsidRPr="00DD32A1" w:rsidRDefault="00DD32A1" w:rsidP="00693E77">
            <w:r>
              <w:t xml:space="preserve">For these reasons, we consider that the accuracy and reliability of our return on equity estimate is not improved by estimating the Black CAPM. However, we consider that the theory of the Black CAPM may be used to inform our return on equity estimate. As the implications of the theory of the Black CAPM are relative to the size of our estimated equity beta, we consider it is prudent to have regard to this material in our consideration of equity beta. </w:t>
            </w:r>
            <w:r w:rsidRPr="00DD32A1">
              <w:t xml:space="preserve">More detail on our consideration of the Black CAPM is in section </w:t>
            </w:r>
            <w:r w:rsidRPr="00DD32A1">
              <w:fldChar w:fldCharType="begin"/>
            </w:r>
            <w:r w:rsidRPr="00DD32A1">
              <w:instrText xml:space="preserve"> REF _Ref449007419 \r \h </w:instrText>
            </w:r>
            <w:r w:rsidRPr="00DD32A1">
              <w:fldChar w:fldCharType="separate"/>
            </w:r>
            <w:r w:rsidR="00BA2E8E">
              <w:t>B.2</w:t>
            </w:r>
            <w:r w:rsidRPr="00DD32A1">
              <w:fldChar w:fldCharType="end"/>
            </w:r>
            <w:r w:rsidRPr="00DD32A1">
              <w:t>.</w:t>
            </w:r>
          </w:p>
        </w:tc>
      </w:tr>
      <w:tr w:rsidR="00DD32A1" w:rsidTr="00B52359">
        <w:tc>
          <w:tcPr>
            <w:tcW w:w="1809" w:type="dxa"/>
          </w:tcPr>
          <w:p w:rsidR="00DD32A1" w:rsidRPr="00DD32A1" w:rsidRDefault="00DD32A1" w:rsidP="00DD32A1">
            <w:r>
              <w:t>We</w:t>
            </w:r>
            <w:r w:rsidRPr="00DD32A1">
              <w:t xml:space="preserve"> have not justified how the selection of input parameters adequately corrects for biased estimates from the Sharpe-Lintner CAPM.</w:t>
            </w:r>
            <w:r w:rsidRPr="00DD32A1">
              <w:rPr>
                <w:rStyle w:val="FootnoteReference"/>
              </w:rPr>
              <w:t xml:space="preserve"> </w:t>
            </w:r>
            <w:r w:rsidRPr="00DD32A1">
              <w:rPr>
                <w:rStyle w:val="FootnoteReference"/>
              </w:rPr>
              <w:footnoteReference w:id="197"/>
            </w:r>
          </w:p>
        </w:tc>
        <w:tc>
          <w:tcPr>
            <w:tcW w:w="6884" w:type="dxa"/>
          </w:tcPr>
          <w:p w:rsidR="00DD32A1" w:rsidRPr="00DD32A1" w:rsidRDefault="00DD32A1" w:rsidP="00DD32A1">
            <w:pPr>
              <w:rPr>
                <w:rStyle w:val="AERtextsize8"/>
              </w:rPr>
            </w:pPr>
            <w:r w:rsidRPr="006A40BF">
              <w:rPr>
                <w:rStyle w:val="AERtextsize8"/>
              </w:rPr>
              <w:t xml:space="preserve">We do not use the theory underlying the Black CAPM to apply a specific </w:t>
            </w:r>
            <w:r w:rsidRPr="00DD32A1">
              <w:rPr>
                <w:rStyle w:val="AERtextsize8"/>
              </w:rPr>
              <w:t xml:space="preserve">uplift to the equity beta. We do not accept that our use of the theory underlying the Black CAPM implies that we consider the Sharpe-Lintner CAPM produces biased return on equity estimates. </w:t>
            </w:r>
          </w:p>
          <w:p w:rsidR="00DD32A1" w:rsidRPr="00DD32A1" w:rsidRDefault="00DD32A1" w:rsidP="00DD32A1">
            <w:r w:rsidRPr="00772A69">
              <w:rPr>
                <w:rStyle w:val="AERtextsize8"/>
              </w:rPr>
              <w:t>For more detail see sections D.4, D.5.3, and A.2 of Attachment 3 to CitiPower's preliminary decision.</w:t>
            </w:r>
          </w:p>
        </w:tc>
      </w:tr>
      <w:tr w:rsidR="00DD32A1" w:rsidTr="00B52359">
        <w:trPr>
          <w:cnfStyle w:val="000000010000" w:firstRow="0" w:lastRow="0" w:firstColumn="0" w:lastColumn="0" w:oddVBand="0" w:evenVBand="0" w:oddHBand="0" w:evenHBand="1" w:firstRowFirstColumn="0" w:firstRowLastColumn="0" w:lastRowFirstColumn="0" w:lastRowLastColumn="0"/>
        </w:trPr>
        <w:tc>
          <w:tcPr>
            <w:tcW w:w="1809" w:type="dxa"/>
          </w:tcPr>
          <w:p w:rsidR="00DD32A1" w:rsidRPr="00DD32A1" w:rsidRDefault="00DD32A1" w:rsidP="00DD32A1">
            <w:r>
              <w:t>V</w:t>
            </w:r>
            <w:r w:rsidRPr="00DD32A1">
              <w:t>aluers uplift their return on equity estimates to a larger extent for businesses with a relatively low equity beta.</w:t>
            </w:r>
            <w:r w:rsidRPr="00DD32A1">
              <w:rPr>
                <w:rStyle w:val="FootnoteReference"/>
              </w:rPr>
              <w:t xml:space="preserve"> </w:t>
            </w:r>
            <w:r w:rsidRPr="00DD32A1">
              <w:rPr>
                <w:rStyle w:val="FootnoteReference"/>
              </w:rPr>
              <w:footnoteReference w:id="198"/>
            </w:r>
            <w:r w:rsidRPr="00DD32A1">
              <w:t xml:space="preserve"> Broker reports apply a version of the Black CAPM in practice.</w:t>
            </w:r>
            <w:r w:rsidRPr="00DD32A1">
              <w:rPr>
                <w:rStyle w:val="FootnoteReference"/>
              </w:rPr>
              <w:t xml:space="preserve"> </w:t>
            </w:r>
            <w:r w:rsidRPr="00DD32A1">
              <w:rPr>
                <w:rStyle w:val="FootnoteReference"/>
              </w:rPr>
              <w:footnoteReference w:id="199"/>
            </w:r>
          </w:p>
        </w:tc>
        <w:tc>
          <w:tcPr>
            <w:tcW w:w="6884" w:type="dxa"/>
          </w:tcPr>
          <w:p w:rsidR="00DD32A1" w:rsidRPr="00DD32A1" w:rsidRDefault="00DD32A1" w:rsidP="00DD32A1">
            <w:r w:rsidRPr="0047603E">
              <w:t xml:space="preserve">We </w:t>
            </w:r>
            <w:r w:rsidRPr="00DD32A1">
              <w:t>consider that there is not enough data in Incenta's analysis for accurate inferences to be drawn. The results shown in Figure 4.2 of Incenta's report appear highly sensitive to one data point, and are based on valuation reports from only one firm. None of the valuation reports dated between 10 April 2013 and 28 February 2015 explicitly mentioned low-beta bias or the Black CAPM as a reason for an uplift (or at all in any context). There does not appear to be a strong correlation (in any direction) between the uplifts in these reports and the size of the equity beta estimate. At least one broker has recently stated that it had previously used a static valuation methodology, hence any difference between the broker's risk free rate estimate and the yield on government bonds did not necessarily reflect an intentional uplift.</w:t>
            </w:r>
          </w:p>
          <w:p w:rsidR="00DD32A1" w:rsidRPr="00DD32A1" w:rsidRDefault="00DD32A1" w:rsidP="00DD32A1">
            <w:r>
              <w:t>For more details, see section E.7 of Attachment 3 to our preliminary decision for CitiPower.</w:t>
            </w:r>
          </w:p>
        </w:tc>
      </w:tr>
      <w:tr w:rsidR="00DD32A1" w:rsidTr="00B52359">
        <w:tc>
          <w:tcPr>
            <w:tcW w:w="1809" w:type="dxa"/>
          </w:tcPr>
          <w:p w:rsidR="00DD32A1" w:rsidRPr="00DD32A1" w:rsidRDefault="00DD32A1" w:rsidP="00DD32A1">
            <w:r>
              <w:t xml:space="preserve">Use of the Fama-French </w:t>
            </w:r>
            <w:r w:rsidRPr="00DD32A1">
              <w:t>model can address the Sharpe-Lintner CAPM’s limitation of having book-to-market bias.</w:t>
            </w:r>
            <w:r w:rsidRPr="00DD32A1">
              <w:rPr>
                <w:rStyle w:val="FootnoteReference"/>
              </w:rPr>
              <w:t xml:space="preserve"> </w:t>
            </w:r>
            <w:r w:rsidRPr="00DD32A1">
              <w:rPr>
                <w:rStyle w:val="FootnoteReference"/>
              </w:rPr>
              <w:footnoteReference w:id="200"/>
            </w:r>
          </w:p>
        </w:tc>
        <w:tc>
          <w:tcPr>
            <w:tcW w:w="6884" w:type="dxa"/>
          </w:tcPr>
          <w:p w:rsidR="00DD32A1" w:rsidRPr="00DD32A1" w:rsidRDefault="00DD32A1" w:rsidP="00DD32A1">
            <w:r w:rsidRPr="003C22B1">
              <w:t xml:space="preserve">We </w:t>
            </w:r>
            <w:r w:rsidRPr="00DD32A1">
              <w:t>are not convinced that the Sharpe-Lintner CAPM is downwardly biased for stocks with a high book-to-market ratio. We are concerned that the Fama-French model lacks well-accepted theoretical foundations, and as a consequence it is not clear that the size and value factors in the model reflect ex ante priced risk factors. This uncertainty is further compounded by the numerous specifications of the Fama-French model that produce different estimates of the return on equity.</w:t>
            </w:r>
          </w:p>
          <w:p w:rsidR="00DD32A1" w:rsidRPr="00DD32A1" w:rsidRDefault="00DD32A1" w:rsidP="00DD32A1">
            <w:r w:rsidRPr="003C22B1">
              <w:t xml:space="preserve">We </w:t>
            </w:r>
            <w:r w:rsidRPr="00DD32A1">
              <w:t xml:space="preserve">also consider that the Fama-French model is not suitable for estimating the required return on equity due to concerns with its sensitivity to input assumptions, complexity, and potential for bias given there are no generally accepted methods for estimating its parameters. We also note that there appears no widespread use of the model by market practitioners. More detail on our consideration of the Fama-French model is in section </w:t>
            </w:r>
            <w:r w:rsidRPr="00DD32A1">
              <w:fldChar w:fldCharType="begin"/>
            </w:r>
            <w:r w:rsidRPr="00DD32A1">
              <w:instrText xml:space="preserve"> REF _Ref449007420 \r \h </w:instrText>
            </w:r>
            <w:r w:rsidRPr="00DD32A1">
              <w:fldChar w:fldCharType="separate"/>
            </w:r>
            <w:r w:rsidR="00BA2E8E">
              <w:t>B.3</w:t>
            </w:r>
            <w:r w:rsidRPr="00DD32A1">
              <w:fldChar w:fldCharType="end"/>
            </w:r>
            <w:r w:rsidRPr="00DD32A1">
              <w:t>.</w:t>
            </w:r>
          </w:p>
          <w:p w:rsidR="00DD32A1" w:rsidRPr="00DD32A1" w:rsidRDefault="00DD32A1" w:rsidP="00DD32A1">
            <w:r>
              <w:t xml:space="preserve">Partington and Satchell </w:t>
            </w:r>
            <w:r w:rsidRPr="00DD32A1">
              <w:t>reiterated that the Fama-French model lack theoretical foundation and is 'still to [gain acceptance] in the world of practice', 'being increasingly questioned'.</w:t>
            </w:r>
            <w:r w:rsidRPr="00DD32A1">
              <w:rPr>
                <w:rStyle w:val="FootnoteReference"/>
              </w:rPr>
              <w:footnoteReference w:id="201"/>
            </w:r>
            <w:r w:rsidRPr="00DD32A1">
              <w:t xml:space="preserve"> They also noted that this model can be prone to manipulation. </w:t>
            </w:r>
          </w:p>
        </w:tc>
      </w:tr>
      <w:tr w:rsidR="00DD32A1" w:rsidTr="00B52359">
        <w:trPr>
          <w:cnfStyle w:val="000000010000" w:firstRow="0" w:lastRow="0" w:firstColumn="0" w:lastColumn="0" w:oddVBand="0" w:evenVBand="0" w:oddHBand="0" w:evenHBand="1" w:firstRowFirstColumn="0" w:firstRowLastColumn="0" w:lastRowFirstColumn="0" w:lastRowLastColumn="0"/>
        </w:trPr>
        <w:tc>
          <w:tcPr>
            <w:tcW w:w="1809" w:type="dxa"/>
          </w:tcPr>
          <w:p w:rsidR="00DD32A1" w:rsidRPr="00DD32A1" w:rsidRDefault="00DD32A1" w:rsidP="00DD32A1">
            <w:r>
              <w:t>The Black CAPM and Fama-French model are</w:t>
            </w:r>
            <w:r w:rsidRPr="00DD32A1">
              <w:t xml:space="preserve"> well-respected and widely used.</w:t>
            </w:r>
            <w:r w:rsidRPr="00DD32A1">
              <w:rPr>
                <w:rStyle w:val="FootnoteReference"/>
              </w:rPr>
              <w:t xml:space="preserve"> </w:t>
            </w:r>
            <w:r w:rsidRPr="00DD32A1">
              <w:rPr>
                <w:rStyle w:val="FootnoteReference"/>
              </w:rPr>
              <w:footnoteReference w:id="202"/>
            </w:r>
          </w:p>
        </w:tc>
        <w:tc>
          <w:tcPr>
            <w:tcW w:w="6884" w:type="dxa"/>
          </w:tcPr>
          <w:p w:rsidR="00DD32A1" w:rsidRPr="00DD32A1" w:rsidRDefault="00DD32A1" w:rsidP="00DD32A1">
            <w:r>
              <w:t>We acknowledge that the Black CAPM and Fama</w:t>
            </w:r>
            <w:r w:rsidRPr="00DD32A1">
              <w:t>-French model have been discussed at length in academic literature. However, we have not been presented with evidence that the models have been widely applied by market practitioners. We examined 78 suitable valuat</w:t>
            </w:r>
            <w:r>
              <w:t>i</w:t>
            </w:r>
            <w:r w:rsidRPr="00DD32A1">
              <w:t>on reports dated between May 2013 and January 2016, and none appeared to estimate the Black CAPM or Fama-French model. There is no indication that the broker reports we have examined estimate these models. There has been some limited use of the Black CAPM by US regulators,</w:t>
            </w:r>
            <w:r w:rsidRPr="00DD32A1">
              <w:rPr>
                <w:rStyle w:val="FootnoteReference"/>
              </w:rPr>
              <w:footnoteReference w:id="203"/>
            </w:r>
            <w:r w:rsidRPr="00DD32A1">
              <w:t xml:space="preserve"> but we are not aware of any use of these models by Australian regulators.</w:t>
            </w:r>
          </w:p>
          <w:p w:rsidR="00DD32A1" w:rsidRPr="00DD32A1" w:rsidRDefault="00DD32A1" w:rsidP="00DD32A1">
            <w:r>
              <w:t xml:space="preserve">Partington and Satchell </w:t>
            </w:r>
            <w:r w:rsidRPr="00DD32A1">
              <w:t>also noted that these models are not widely used in practice.</w:t>
            </w:r>
            <w:r w:rsidRPr="00DD32A1">
              <w:rPr>
                <w:rStyle w:val="FootnoteReference"/>
              </w:rPr>
              <w:footnoteReference w:id="204"/>
            </w:r>
          </w:p>
        </w:tc>
      </w:tr>
      <w:tr w:rsidR="00DD32A1" w:rsidTr="00B52359">
        <w:tc>
          <w:tcPr>
            <w:tcW w:w="1809" w:type="dxa"/>
          </w:tcPr>
          <w:p w:rsidR="00DD32A1" w:rsidRPr="00DD32A1" w:rsidRDefault="00DD32A1" w:rsidP="00DD32A1">
            <w:r>
              <w:t xml:space="preserve">Use of the dividend growth model to estimate return on equity provides a better incorporation of prevailing market </w:t>
            </w:r>
            <w:r w:rsidRPr="00DD32A1">
              <w:t>conditions.</w:t>
            </w:r>
            <w:r w:rsidRPr="00DD32A1">
              <w:rPr>
                <w:rStyle w:val="FootnoteReference"/>
              </w:rPr>
              <w:t xml:space="preserve"> </w:t>
            </w:r>
            <w:r w:rsidRPr="00DD32A1">
              <w:rPr>
                <w:rStyle w:val="FootnoteReference"/>
              </w:rPr>
              <w:footnoteReference w:id="205"/>
            </w:r>
          </w:p>
        </w:tc>
        <w:tc>
          <w:tcPr>
            <w:tcW w:w="6884" w:type="dxa"/>
          </w:tcPr>
          <w:p w:rsidR="00DD32A1" w:rsidRPr="00DD32A1" w:rsidRDefault="00DD32A1" w:rsidP="00DD32A1">
            <w:r>
              <w:t xml:space="preserve">We consider that the dividend growth model is very sensitive to input assumptions, particularly the long-term growth rate. We consider there is potential for biased results from dividend growth models as there is no generally accepted method for estimating the long-term growth rate in dividends per share for individual businesses or sectors. We also consider that dividend growth models are likely to be biased in the current market, due to concerns about slow-changing dividend forecasts, bias in analysts' forecasts, and to the extent that there is a term structure for the return on equity. </w:t>
            </w:r>
            <w:r w:rsidRPr="00DD32A1">
              <w:t>Our consultant, Partington and Satchell</w:t>
            </w:r>
            <w:r>
              <w:t xml:space="preserve">, also share long-standing </w:t>
            </w:r>
            <w:r w:rsidRPr="00DD32A1">
              <w:t>concern</w:t>
            </w:r>
            <w:r>
              <w:t>s</w:t>
            </w:r>
            <w:r w:rsidRPr="00DD32A1">
              <w:t xml:space="preserve"> on these issues.</w:t>
            </w:r>
            <w:r w:rsidRPr="00DD32A1">
              <w:rPr>
                <w:rStyle w:val="FootnoteReference"/>
              </w:rPr>
              <w:footnoteReference w:id="206"/>
            </w:r>
          </w:p>
          <w:p w:rsidR="00DD32A1" w:rsidRPr="00DD32A1" w:rsidRDefault="00DD32A1" w:rsidP="00DD32A1">
            <w:r>
              <w:t xml:space="preserve">Given these concerns, we do not consider that the dividend growth model at this time provides a more reliable indication of prevailing market conditions than the Sharpe-Lintner CAPM. </w:t>
            </w:r>
          </w:p>
          <w:p w:rsidR="00DD32A1" w:rsidRPr="00DD32A1" w:rsidRDefault="00DD32A1" w:rsidP="00C74F7B">
            <w:r>
              <w:t>More detail of our consideration of the dividend growth model is in section</w:t>
            </w:r>
            <w:r w:rsidRPr="00DD32A1">
              <w:t xml:space="preserve"> </w:t>
            </w:r>
            <w:r w:rsidRPr="00DD32A1">
              <w:fldChar w:fldCharType="begin"/>
            </w:r>
            <w:r w:rsidRPr="00DD32A1">
              <w:instrText xml:space="preserve"> REF _Ref449007421 \r \h </w:instrText>
            </w:r>
            <w:r w:rsidRPr="00DD32A1">
              <w:fldChar w:fldCharType="separate"/>
            </w:r>
            <w:r w:rsidR="00BA2E8E">
              <w:t>B.4</w:t>
            </w:r>
            <w:r w:rsidRPr="00DD32A1">
              <w:fldChar w:fldCharType="end"/>
            </w:r>
            <w:r w:rsidR="00BA2E8E">
              <w:t>.</w:t>
            </w:r>
            <w:r w:rsidRPr="00DD32A1">
              <w:t xml:space="preserve"> </w:t>
            </w:r>
          </w:p>
        </w:tc>
      </w:tr>
      <w:tr w:rsidR="00DD32A1" w:rsidTr="00B52359">
        <w:trPr>
          <w:cnfStyle w:val="000000010000" w:firstRow="0" w:lastRow="0" w:firstColumn="0" w:lastColumn="0" w:oddVBand="0" w:evenVBand="0" w:oddHBand="0" w:evenHBand="1" w:firstRowFirstColumn="0" w:firstRowLastColumn="0" w:lastRowFirstColumn="0" w:lastRowLastColumn="0"/>
        </w:trPr>
        <w:tc>
          <w:tcPr>
            <w:tcW w:w="1809" w:type="dxa"/>
          </w:tcPr>
          <w:p w:rsidR="00DD32A1" w:rsidRPr="00DD32A1" w:rsidRDefault="00DD32A1" w:rsidP="00DD32A1">
            <w:r>
              <w:t>Our</w:t>
            </w:r>
            <w:r w:rsidRPr="00DD32A1">
              <w:t xml:space="preserve"> foundation model approach prevents other relevant material from being properly considered.</w:t>
            </w:r>
            <w:r w:rsidRPr="00DD32A1">
              <w:rPr>
                <w:rStyle w:val="FootnoteReference"/>
              </w:rPr>
              <w:t xml:space="preserve"> </w:t>
            </w:r>
            <w:r w:rsidRPr="00DD32A1">
              <w:rPr>
                <w:rStyle w:val="FootnoteReference"/>
              </w:rPr>
              <w:footnoteReference w:id="207"/>
            </w:r>
          </w:p>
        </w:tc>
        <w:tc>
          <w:tcPr>
            <w:tcW w:w="6884" w:type="dxa"/>
          </w:tcPr>
          <w:p w:rsidR="00DD32A1" w:rsidRPr="00DD32A1" w:rsidRDefault="00DD32A1" w:rsidP="00DD32A1">
            <w:r>
              <w:t>T</w:t>
            </w:r>
            <w:r w:rsidRPr="00DD32A1">
              <w:t>his mischaracterises our approach. As part of our foundation model approach, we assign a role to relevant information (including financial models) based on a consideration of their strengths, weaknesses and suitability for our regulatory task. We identify and assess each of the models on their merits and determine a role for them.</w:t>
            </w:r>
          </w:p>
        </w:tc>
      </w:tr>
    </w:tbl>
    <w:p w:rsidR="00DB0499" w:rsidRPr="0032489B" w:rsidRDefault="00DB0499" w:rsidP="00DB0499">
      <w:pPr>
        <w:pStyle w:val="HeadingBoldBlue"/>
        <w:numPr>
          <w:ilvl w:val="0"/>
          <w:numId w:val="24"/>
        </w:numPr>
        <w:rPr>
          <w:rStyle w:val="AERtextorange"/>
        </w:rPr>
      </w:pPr>
      <w:bookmarkStart w:id="125" w:name="_Toc443923183"/>
      <w:r>
        <w:rPr>
          <w:rStyle w:val="AERtextorange"/>
        </w:rPr>
        <w:t>Estimating the market risk premium</w:t>
      </w:r>
      <w:bookmarkEnd w:id="125"/>
    </w:p>
    <w:p w:rsidR="00DB0499" w:rsidRDefault="00DB0499" w:rsidP="00DB0499">
      <w:pPr>
        <w:numPr>
          <w:ilvl w:val="0"/>
          <w:numId w:val="24"/>
        </w:numPr>
      </w:pPr>
      <w:r>
        <w:t>Our estimate of the prevailing market risk premium for this decision is 6.5 per cent. This is a forward-looking estimate of the risk premium—the return above the government bond rate—on the market portfolio required by investors with a ten-year investment horizon.</w:t>
      </w:r>
    </w:p>
    <w:p w:rsidR="00DB0499" w:rsidRDefault="00DB0499" w:rsidP="00DB0499">
      <w:r>
        <w:t xml:space="preserve">We consider 6.5 per cent to be the best estimate of the market risk premium to contribute to the achievement of the </w:t>
      </w:r>
      <w:r w:rsidR="009C74CF">
        <w:t xml:space="preserve">ARORO </w:t>
      </w:r>
      <w:r>
        <w:t>because:</w:t>
      </w:r>
    </w:p>
    <w:p w:rsidR="00DB0499" w:rsidRDefault="00DB0499" w:rsidP="00DB0499">
      <w:pPr>
        <w:pStyle w:val="AERbulletlistfirststyle"/>
      </w:pPr>
      <w:r>
        <w:t>it is supported by our consideration of all relevant material submitted to us (following consideration of their relative merits)</w:t>
      </w:r>
    </w:p>
    <w:p w:rsidR="00DB0499" w:rsidRDefault="00DB0499" w:rsidP="00DB0499">
      <w:pPr>
        <w:pStyle w:val="AERbulletlistfirststyle"/>
      </w:pPr>
      <w:r>
        <w:t>it is corroborated</w:t>
      </w:r>
      <w:r w:rsidDel="00DA7338">
        <w:t xml:space="preserve"> </w:t>
      </w:r>
      <w:r>
        <w:t>by our cross-checks on the overall return on equity and equity risk premium. This further</w:t>
      </w:r>
      <w:r w:rsidR="00603E97">
        <w:t xml:space="preserve"> </w:t>
      </w:r>
      <w:r>
        <w:t>supports our estimate of the equity risk premium (of which the market risk premium is a component)</w:t>
      </w:r>
    </w:p>
    <w:p w:rsidR="00DB0499" w:rsidRDefault="00DB0499" w:rsidP="00DB0499">
      <w:pPr>
        <w:pStyle w:val="AERbulletlistfirststyle"/>
      </w:pPr>
      <w:r>
        <w:t>it provides a balanced outcome between submissions by service providers and other stakeholders.</w:t>
      </w:r>
    </w:p>
    <w:p w:rsidR="00DB0499" w:rsidRDefault="00DB0499" w:rsidP="00DB0499">
      <w:pPr>
        <w:numPr>
          <w:ilvl w:val="0"/>
          <w:numId w:val="24"/>
        </w:numPr>
      </w:pPr>
      <w:r>
        <w:fldChar w:fldCharType="begin"/>
      </w:r>
      <w:r>
        <w:instrText xml:space="preserve"> REF _Ref446266907 \h </w:instrText>
      </w:r>
      <w:r>
        <w:fldChar w:fldCharType="separate"/>
      </w:r>
      <w:r w:rsidR="00BA2E8E">
        <w:t xml:space="preserve">Figure </w:t>
      </w:r>
      <w:r w:rsidR="00BA2E8E">
        <w:rPr>
          <w:noProof/>
        </w:rPr>
        <w:t>3</w:t>
      </w:r>
      <w:r w:rsidR="00BA2E8E">
        <w:noBreakHyphen/>
      </w:r>
      <w:r w:rsidR="00BA2E8E">
        <w:rPr>
          <w:noProof/>
        </w:rPr>
        <w:t>3</w:t>
      </w:r>
      <w:r>
        <w:fldChar w:fldCharType="end"/>
      </w:r>
      <w:r>
        <w:t xml:space="preserve"> shows the market risk prem</w:t>
      </w:r>
      <w:r w:rsidR="00603E97">
        <w:t>i</w:t>
      </w:r>
      <w:r>
        <w:t xml:space="preserve">um estimates from the relevant material that has informed our decision. These estimates range from 4.8 per cent to 8.89 per cent. </w:t>
      </w:r>
    </w:p>
    <w:p w:rsidR="00DB0499" w:rsidRDefault="00DB0499" w:rsidP="00DB0499">
      <w:pPr>
        <w:pStyle w:val="Caption"/>
        <w:numPr>
          <w:ilvl w:val="0"/>
          <w:numId w:val="24"/>
        </w:numPr>
      </w:pPr>
      <w:bookmarkStart w:id="126" w:name="_Ref446266907"/>
      <w:bookmarkStart w:id="127" w:name="_Ref417222210"/>
      <w:r>
        <w:t xml:space="preserve">Figure </w:t>
      </w:r>
      <w:fldSimple w:instr=" STYLEREF 1 \s ">
        <w:r w:rsidR="00BA2E8E">
          <w:rPr>
            <w:noProof/>
          </w:rPr>
          <w:t>3</w:t>
        </w:r>
      </w:fldSimple>
      <w:r w:rsidR="00A6197A">
        <w:noBreakHyphen/>
      </w:r>
      <w:fldSimple w:instr=" SEQ Figure \* ARABIC \s 1 ">
        <w:r w:rsidR="00BA2E8E">
          <w:rPr>
            <w:noProof/>
          </w:rPr>
          <w:t>3</w:t>
        </w:r>
      </w:fldSimple>
      <w:bookmarkEnd w:id="126"/>
      <w:r>
        <w:tab/>
        <w:t xml:space="preserve">Comparison of estimates of the market risk premium </w:t>
      </w:r>
    </w:p>
    <w:bookmarkEnd w:id="127"/>
    <w:p w:rsidR="00DB0499" w:rsidRPr="005A629D" w:rsidRDefault="00C27F06" w:rsidP="00DB0499">
      <w:pPr>
        <w:pStyle w:val="AERtablesource"/>
      </w:pPr>
      <w:r w:rsidRPr="00C27F06">
        <w:rPr>
          <w:noProof/>
          <w:lang w:eastAsia="en-AU"/>
        </w:rPr>
        <w:drawing>
          <wp:inline distT="0" distB="0" distL="0" distR="0" wp14:anchorId="690A2CEF" wp14:editId="466AABAF">
            <wp:extent cx="5382895" cy="2892642"/>
            <wp:effectExtent l="0" t="0" r="8255"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82895" cy="2892642"/>
                    </a:xfrm>
                    <a:prstGeom prst="rect">
                      <a:avLst/>
                    </a:prstGeom>
                    <a:noFill/>
                    <a:ln>
                      <a:noFill/>
                    </a:ln>
                  </pic:spPr>
                </pic:pic>
              </a:graphicData>
            </a:graphic>
          </wp:inline>
        </w:drawing>
      </w:r>
    </w:p>
    <w:p w:rsidR="00DB0499" w:rsidRPr="005A629D" w:rsidRDefault="00DB0499" w:rsidP="00DB0499">
      <w:pPr>
        <w:pStyle w:val="AERtablesource"/>
      </w:pPr>
      <w:r w:rsidRPr="005A629D">
        <w:t xml:space="preserve">Source:     AER analysis </w:t>
      </w:r>
    </w:p>
    <w:p w:rsidR="00DB0499" w:rsidRPr="005A629D" w:rsidRDefault="00DB0499" w:rsidP="00DB0499">
      <w:pPr>
        <w:pStyle w:val="AERtablesource"/>
      </w:pPr>
      <w:r w:rsidRPr="003720E1">
        <w:t>Note:  </w:t>
      </w:r>
      <w:r w:rsidR="00DD2550">
        <w:t>      </w:t>
      </w:r>
      <w:r w:rsidRPr="003720E1">
        <w:t>The average of each state r</w:t>
      </w:r>
      <w:r w:rsidR="0093426A">
        <w:t>egulator's most recent decision</w:t>
      </w:r>
      <w:r w:rsidRPr="003720E1">
        <w:t xml:space="preserve"> on the </w:t>
      </w:r>
      <w:r w:rsidRPr="00DC64DA">
        <w:t>market risk premium</w:t>
      </w:r>
      <w:r>
        <w:t xml:space="preserve"> </w:t>
      </w:r>
      <w:r w:rsidRPr="003720E1">
        <w:t xml:space="preserve">forms the point estimate (6.4 per cent) for other regulator estimates. The top of this range </w:t>
      </w:r>
      <w:r w:rsidR="0093426A">
        <w:t>(</w:t>
      </w:r>
      <w:r w:rsidRPr="003720E1">
        <w:t>7.6 per cent</w:t>
      </w:r>
      <w:r w:rsidR="0093426A">
        <w:t>) is from the ERA, while the bottom of this range (</w:t>
      </w:r>
      <w:r w:rsidRPr="003720E1">
        <w:t>6.0 per cent</w:t>
      </w:r>
      <w:r w:rsidR="0093426A">
        <w:t>) is from</w:t>
      </w:r>
      <w:r w:rsidRPr="003720E1">
        <w:t xml:space="preserve"> ESCV, ESCOSA, NTUC, TER and the ACCC.</w:t>
      </w:r>
      <w:r>
        <w:rPr>
          <w:rStyle w:val="FootnoteReference"/>
        </w:rPr>
        <w:footnoteReference w:id="208"/>
      </w:r>
      <w:r w:rsidRPr="005A629D">
        <w:t xml:space="preserve"> The stakeholder submissions range is intended to reflect the views of consumer groups and those who use/</w:t>
      </w:r>
      <w:r w:rsidR="006177A6">
        <w:t xml:space="preserve">engage with the energy network </w:t>
      </w:r>
      <w:r w:rsidRPr="005A629D">
        <w:t xml:space="preserve">or pipeline, and as such it does not include submissions from </w:t>
      </w:r>
      <w:r w:rsidR="0093426A">
        <w:t>services providers</w:t>
      </w:r>
      <w:r w:rsidRPr="005A629D">
        <w:t xml:space="preserve">. The bottom and top of the stakeholder range comes from the Victorian Energy Consumer and </w:t>
      </w:r>
      <w:r w:rsidRPr="003720E1">
        <w:t>User Alliance (VECUA)</w:t>
      </w:r>
      <w:r>
        <w:t>, Energy Consumer Coalition of South Australia (ECCSA), Origin Energy and Consumer Challenge Panel (CCP)</w:t>
      </w:r>
      <w:r w:rsidRPr="003720E1">
        <w:t>.</w:t>
      </w:r>
      <w:r>
        <w:rPr>
          <w:rStyle w:val="FootnoteReference"/>
        </w:rPr>
        <w:footnoteReference w:id="209"/>
      </w:r>
      <w:r w:rsidRPr="005A629D">
        <w:t xml:space="preserve"> The bottom and top of the service provider proposed range comes from APTNT's (Amadeus gas pipeline) proposal.</w:t>
      </w:r>
      <w:r>
        <w:rPr>
          <w:rStyle w:val="FootnoteReference"/>
        </w:rPr>
        <w:footnoteReference w:id="210"/>
      </w:r>
    </w:p>
    <w:p w:rsidR="00DB0499" w:rsidRDefault="00DB0499" w:rsidP="00DB0499">
      <w:pPr>
        <w:numPr>
          <w:ilvl w:val="0"/>
          <w:numId w:val="24"/>
        </w:numPr>
      </w:pPr>
      <w:r>
        <w:t xml:space="preserve">We derive our point estimate from within this range by considering the relative merits of all of the relevant material. The application of our approach is set out as follows: </w:t>
      </w:r>
    </w:p>
    <w:p w:rsidR="00DB0499" w:rsidRDefault="00DB0499" w:rsidP="00DB0499">
      <w:pPr>
        <w:pStyle w:val="AERbulletlistfirststyle"/>
      </w:pPr>
      <w:r>
        <w:t>Historical excess returns provide our baseline estimate and indicates a market risk premium of approximately 5.5 to 6.0 per cent from a range of 4.8 per cent to 6.0 per cent. We c</w:t>
      </w:r>
      <w:r w:rsidR="00603E97">
        <w:t>onsider both geometric and arith</w:t>
      </w:r>
      <w:r>
        <w:t>metic averages of historical returns. However, we consider there may be evidence of bias in the geometric averages.</w:t>
      </w:r>
      <w:r>
        <w:rPr>
          <w:rStyle w:val="FootnoteReference"/>
        </w:rPr>
        <w:footnoteReference w:id="211"/>
      </w:r>
      <w:r>
        <w:t xml:space="preserve"> Therefore, our range for historical returns is based on arithmetic averages.</w:t>
      </w:r>
    </w:p>
    <w:p w:rsidR="00DB0499" w:rsidRDefault="00DB0499" w:rsidP="00DB0499">
      <w:pPr>
        <w:pStyle w:val="AERbulletlistfirststyle"/>
      </w:pPr>
      <w:r>
        <w:t>Dividend growth model estimates indicate a market risk premium estimate above this baseline with a range of 7.68 to 8.89 per cent. We consider our dividend growth model is theoretically sound but that there are many limitations in practically implementing this model. We are not confident that the recent increases in estimates of the market risk premium from these models necessarily reflect an increase in the 'true' expected ten-year forward looking market risk premium. We consider our, and other, dividend growth models are likely to produce upward biased estimates in the current market.</w:t>
      </w:r>
      <w:r>
        <w:rPr>
          <w:rStyle w:val="FootnoteReference"/>
        </w:rPr>
        <w:footnoteReference w:id="212"/>
      </w:r>
      <w:r>
        <w:t xml:space="preserve"> We also consider our, and other, models may not accurately track changes in the return on equity for the market.</w:t>
      </w:r>
      <w:r>
        <w:rPr>
          <w:rStyle w:val="FootnoteReference"/>
        </w:rPr>
        <w:footnoteReference w:id="213"/>
      </w:r>
      <w:r>
        <w:t xml:space="preserve"> See section </w:t>
      </w:r>
      <w:r>
        <w:fldChar w:fldCharType="begin"/>
      </w:r>
      <w:r>
        <w:instrText xml:space="preserve"> REF _Ref449007421 \r \h </w:instrText>
      </w:r>
      <w:r>
        <w:fldChar w:fldCharType="separate"/>
      </w:r>
      <w:r w:rsidR="00BA2E8E">
        <w:t>B.4</w:t>
      </w:r>
      <w:r>
        <w:fldChar w:fldCharType="end"/>
      </w:r>
      <w:r>
        <w:t xml:space="preserve"> for more detail these limitations. For these reasons, we do not consider that the dividend growth model estimates are reliable on their own, but that they do provide some support for a point estimate above the range from historical returns. </w:t>
      </w:r>
    </w:p>
    <w:p w:rsidR="00DB0499" w:rsidRDefault="00DB0499" w:rsidP="00DB0499">
      <w:pPr>
        <w:pStyle w:val="AERbulletlistfirststyle"/>
      </w:pPr>
      <w:r>
        <w:t xml:space="preserve">Survey evidence supports a market risk premium around 6.0 to 6.5 per cent. Other regulators' estimates are used as a cross check and indicate a market risk premium estimate of around 6.5 per cent is reasonable. Conditioning variables indicate that there has not been a material change in market conditions since our preliminary decision. See sections </w:t>
      </w:r>
      <w:r>
        <w:fldChar w:fldCharType="begin"/>
      </w:r>
      <w:r>
        <w:instrText xml:space="preserve"> REF _Ref446272549 \r \h </w:instrText>
      </w:r>
      <w:r>
        <w:fldChar w:fldCharType="separate"/>
      </w:r>
      <w:r w:rsidR="00BA2E8E">
        <w:t>F.1</w:t>
      </w:r>
      <w:r>
        <w:fldChar w:fldCharType="end"/>
      </w:r>
      <w:r>
        <w:t xml:space="preserve">, </w:t>
      </w:r>
      <w:r w:rsidR="00262F70">
        <w:fldChar w:fldCharType="begin"/>
      </w:r>
      <w:r w:rsidR="00262F70">
        <w:instrText xml:space="preserve"> REF _Ref451416189 \r \h </w:instrText>
      </w:r>
      <w:r w:rsidR="00262F70">
        <w:fldChar w:fldCharType="separate"/>
      </w:r>
      <w:r w:rsidR="00BA2E8E">
        <w:t>F.4</w:t>
      </w:r>
      <w:r w:rsidR="00262F70">
        <w:fldChar w:fldCharType="end"/>
      </w:r>
      <w:r>
        <w:t xml:space="preserve">, and </w:t>
      </w:r>
      <w:r w:rsidR="00262F70">
        <w:fldChar w:fldCharType="begin"/>
      </w:r>
      <w:r w:rsidR="00262F70">
        <w:instrText xml:space="preserve"> REF _Ref451678201 \r \h </w:instrText>
      </w:r>
      <w:r w:rsidR="00262F70">
        <w:fldChar w:fldCharType="separate"/>
      </w:r>
      <w:r w:rsidR="00BA2E8E">
        <w:t>E</w:t>
      </w:r>
      <w:r w:rsidR="00262F70">
        <w:fldChar w:fldCharType="end"/>
      </w:r>
      <w:r w:rsidR="00262F70">
        <w:t xml:space="preserve"> </w:t>
      </w:r>
      <w:r>
        <w:t>for more detail on this material.</w:t>
      </w:r>
    </w:p>
    <w:p w:rsidR="00DB0499" w:rsidRDefault="00DB0499" w:rsidP="00DB0499">
      <w:r>
        <w:t>Stakeholder submissions since our preliminary decision (excluding submissions by service providers) have generally supported a market risk premium at or below the 6.5 per cent which we estimated in our preliminary decision. For example:</w:t>
      </w:r>
    </w:p>
    <w:p w:rsidR="00DB0499" w:rsidRPr="001367D6" w:rsidRDefault="00DB0499" w:rsidP="00DB0499">
      <w:pPr>
        <w:pStyle w:val="AERbulletlistfirststyle"/>
      </w:pPr>
      <w:r>
        <w:t xml:space="preserve">The </w:t>
      </w:r>
      <w:r w:rsidRPr="001367D6">
        <w:t>Victorian Energy Consumer and User Alliance (</w:t>
      </w:r>
      <w:r>
        <w:t>VECUA) continued to recommend a</w:t>
      </w:r>
      <w:r w:rsidRPr="001367D6">
        <w:t xml:space="preserve"> </w:t>
      </w:r>
      <w:r w:rsidRPr="00A265D2">
        <w:t xml:space="preserve">market risk premium </w:t>
      </w:r>
      <w:r w:rsidRPr="001367D6">
        <w:t>of 5.0 per cent, at the bottom of the range determined in the Guideline.</w:t>
      </w:r>
      <w:r w:rsidRPr="001367D6">
        <w:rPr>
          <w:rStyle w:val="FootnoteReference"/>
        </w:rPr>
        <w:footnoteReference w:id="214"/>
      </w:r>
      <w:r w:rsidRPr="001367D6">
        <w:t xml:space="preserve"> </w:t>
      </w:r>
      <w:r>
        <w:t>VECUA submitted that t</w:t>
      </w:r>
      <w:r w:rsidRPr="001367D6">
        <w:t>his appeared to be based on outcome-based considerations regarding the profitability and low risk of service providers and decisions made by other regulators, as well as a view that the AER should exercise its discretion in a more balanced manner.</w:t>
      </w:r>
      <w:r>
        <w:rPr>
          <w:rStyle w:val="FootnoteReference"/>
        </w:rPr>
        <w:footnoteReference w:id="215"/>
      </w:r>
    </w:p>
    <w:p w:rsidR="00DB0499" w:rsidRPr="001367D6" w:rsidRDefault="00DB0499" w:rsidP="00DB0499">
      <w:pPr>
        <w:pStyle w:val="AERbulletlistfirststyle"/>
      </w:pPr>
      <w:r>
        <w:t>The Energy Consumers Coalition of South Australia (ECCSA) commented that</w:t>
      </w:r>
      <w:r w:rsidRPr="001367D6">
        <w:t xml:space="preserve"> the </w:t>
      </w:r>
      <w:r w:rsidRPr="00A265D2">
        <w:t xml:space="preserve">market risk premium </w:t>
      </w:r>
      <w:r w:rsidRPr="001367D6">
        <w:t xml:space="preserve">estimate in our preliminary decision, as it was set at the higher end of the credible range, added ‘considerable conservatism’ into the </w:t>
      </w:r>
      <w:r>
        <w:t>rate of return</w:t>
      </w:r>
      <w:r w:rsidRPr="001367D6">
        <w:t xml:space="preserve"> calculation.</w:t>
      </w:r>
      <w:r w:rsidRPr="001367D6">
        <w:rPr>
          <w:rStyle w:val="FootnoteReference"/>
        </w:rPr>
        <w:footnoteReference w:id="216"/>
      </w:r>
    </w:p>
    <w:p w:rsidR="00DB0499" w:rsidRDefault="00DB0499" w:rsidP="00DB0499">
      <w:pPr>
        <w:pStyle w:val="AERbulletlistfirststyle"/>
      </w:pPr>
      <w:r>
        <w:t xml:space="preserve">Origin Energy continued to support our </w:t>
      </w:r>
      <w:r w:rsidRPr="00A265D2">
        <w:t xml:space="preserve">market risk premium </w:t>
      </w:r>
      <w:r>
        <w:t>estimate of 6.5 per cent</w:t>
      </w:r>
      <w:r w:rsidRPr="007725F8">
        <w:t xml:space="preserve"> as this better reflects the efficient financing costs of a business exposed to the level of risk that applies to an Australian regulated network business</w:t>
      </w:r>
      <w:r>
        <w:t>.</w:t>
      </w:r>
      <w:r w:rsidRPr="004D154B">
        <w:rPr>
          <w:rStyle w:val="FootnoteReference"/>
        </w:rPr>
        <w:footnoteReference w:id="217"/>
      </w:r>
    </w:p>
    <w:p w:rsidR="00DB0499" w:rsidRPr="001367D6" w:rsidRDefault="00DB0499" w:rsidP="00DB0499">
      <w:pPr>
        <w:pStyle w:val="AERbulletlistfirststyle"/>
      </w:pPr>
      <w:r>
        <w:t>In a separate regulatory process, t</w:t>
      </w:r>
      <w:r w:rsidRPr="001367D6">
        <w:t xml:space="preserve">he </w:t>
      </w:r>
      <w:r w:rsidR="001B231A">
        <w:t>Consumer Challenge Panel (</w:t>
      </w:r>
      <w:r w:rsidRPr="001367D6">
        <w:t>CCP</w:t>
      </w:r>
      <w:r w:rsidR="001B231A">
        <w:t>)</w:t>
      </w:r>
      <w:r w:rsidRPr="001367D6">
        <w:t xml:space="preserve"> advised that we could still set a </w:t>
      </w:r>
      <w:r w:rsidRPr="00A265D2">
        <w:t xml:space="preserve">market risk premium </w:t>
      </w:r>
      <w:r w:rsidRPr="001367D6">
        <w:t xml:space="preserve">of 6 per cent or below, commenting that a point estimate within our range but lower than those set </w:t>
      </w:r>
      <w:r>
        <w:t xml:space="preserve">by </w:t>
      </w:r>
      <w:r w:rsidRPr="001367D6">
        <w:t>us to date would be ‘more in the long term interests of consumers while still meeting investors’ rights to an adequate return on capital invested’.</w:t>
      </w:r>
      <w:r w:rsidRPr="001367D6">
        <w:rPr>
          <w:rStyle w:val="FootnoteReference"/>
        </w:rPr>
        <w:footnoteReference w:id="218"/>
      </w:r>
    </w:p>
    <w:p w:rsidR="00DB0499" w:rsidRDefault="00DB0499" w:rsidP="00DB0499">
      <w:r>
        <w:t xml:space="preserve">Most service providers proposed a </w:t>
      </w:r>
      <w:r w:rsidRPr="00707D90">
        <w:t xml:space="preserve">market risk premium </w:t>
      </w:r>
      <w:r>
        <w:t>of 7.8 to 7.9 per cent, based on SFG’s</w:t>
      </w:r>
      <w:r>
        <w:rPr>
          <w:rStyle w:val="FootnoteReference"/>
        </w:rPr>
        <w:footnoteReference w:id="219"/>
      </w:r>
      <w:r>
        <w:t xml:space="preserve"> weighted average of estimates from the dividend growth model, </w:t>
      </w:r>
      <w:r w:rsidRPr="00FE65B9">
        <w:t>historical excess returns, the Wright approach</w:t>
      </w:r>
      <w:r>
        <w:t xml:space="preserve">, and independent valuation reports. In its revised access arrangement proposal, </w:t>
      </w:r>
      <w:r w:rsidRPr="00CA4C4F">
        <w:t>APTN</w:t>
      </w:r>
      <w:r>
        <w:t>T</w:t>
      </w:r>
      <w:r w:rsidRPr="00CA4C4F">
        <w:t xml:space="preserve"> </w:t>
      </w:r>
      <w:r>
        <w:t xml:space="preserve">appeared to use a </w:t>
      </w:r>
      <w:r w:rsidRPr="00707D90">
        <w:t xml:space="preserve">market risk premium </w:t>
      </w:r>
      <w:r>
        <w:t>range of 7.48 to 8.58 per cent based on the Wright approach.</w:t>
      </w:r>
      <w:r>
        <w:rPr>
          <w:rStyle w:val="FootnoteReference"/>
        </w:rPr>
        <w:footnoteReference w:id="220"/>
      </w:r>
      <w:r>
        <w:t xml:space="preserve"> However, it also used an estimated </w:t>
      </w:r>
      <w:r w:rsidRPr="00707D90">
        <w:t xml:space="preserve">market risk premium </w:t>
      </w:r>
      <w:r>
        <w:t>of 6.1 per cent in its consideration of the Fama-French three-factor model.</w:t>
      </w:r>
      <w:r>
        <w:rPr>
          <w:rStyle w:val="FootnoteReference"/>
        </w:rPr>
        <w:footnoteReference w:id="221"/>
      </w:r>
    </w:p>
    <w:p w:rsidR="00DB0499" w:rsidRDefault="00DB0499" w:rsidP="00DB0499">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_Ref446275314 \h </w:instrText>
      </w:r>
      <w:r>
        <w:fldChar w:fldCharType="separate"/>
      </w:r>
      <w:r w:rsidR="00BA2E8E">
        <w:t xml:space="preserve">Table </w:t>
      </w:r>
      <w:r w:rsidR="00BA2E8E">
        <w:rPr>
          <w:noProof/>
        </w:rPr>
        <w:t>3</w:t>
      </w:r>
      <w:r w:rsidR="00BA2E8E">
        <w:noBreakHyphen/>
      </w:r>
      <w:r w:rsidR="00BA2E8E">
        <w:rPr>
          <w:noProof/>
        </w:rPr>
        <w:t>5</w:t>
      </w:r>
      <w:r>
        <w:fldChar w:fldCharType="end"/>
      </w:r>
      <w:r>
        <w:t xml:space="preserve"> sets out stakeholder views on our use of relevant material and our responses. </w:t>
      </w: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9C74CF">
        <w:t xml:space="preserve">ARORO </w:t>
      </w:r>
      <w:r>
        <w:t>and the National Electricity Objective</w:t>
      </w:r>
      <w:r w:rsidRPr="00B005DF">
        <w:t xml:space="preserve">. </w:t>
      </w:r>
      <w:r>
        <w:t xml:space="preserve"> </w:t>
      </w:r>
    </w:p>
    <w:p w:rsidR="00DB0499" w:rsidRPr="005F7128" w:rsidRDefault="00DB0499" w:rsidP="00DB0499">
      <w:pPr>
        <w:pStyle w:val="Caption"/>
      </w:pPr>
      <w:bookmarkStart w:id="128" w:name="_Ref446275314"/>
      <w:bookmarkStart w:id="129" w:name="_Ref444171050"/>
      <w:r>
        <w:t xml:space="preserve">Table </w:t>
      </w:r>
      <w:fldSimple w:instr=" STYLEREF 1 \s ">
        <w:r w:rsidR="00BA2E8E">
          <w:rPr>
            <w:noProof/>
          </w:rPr>
          <w:t>3</w:t>
        </w:r>
      </w:fldSimple>
      <w:r w:rsidR="000F4BC3">
        <w:noBreakHyphen/>
      </w:r>
      <w:fldSimple w:instr=" SEQ Table \* ARABIC \s 1 ">
        <w:r w:rsidR="00BA2E8E">
          <w:rPr>
            <w:noProof/>
          </w:rPr>
          <w:t>5</w:t>
        </w:r>
      </w:fldSimple>
      <w:bookmarkEnd w:id="128"/>
      <w:r>
        <w:tab/>
        <w:t>Issues raised about estimating market risk premium</w:t>
      </w:r>
      <w:bookmarkEnd w:id="129"/>
    </w:p>
    <w:tbl>
      <w:tblPr>
        <w:tblStyle w:val="AERtable-text0"/>
        <w:tblW w:w="0" w:type="auto"/>
        <w:tblLook w:val="04A0" w:firstRow="1" w:lastRow="0" w:firstColumn="1" w:lastColumn="0" w:noHBand="0" w:noVBand="1"/>
      </w:tblPr>
      <w:tblGrid>
        <w:gridCol w:w="1951"/>
        <w:gridCol w:w="6742"/>
      </w:tblGrid>
      <w:tr w:rsidR="00DB0499" w:rsidTr="00DB0499">
        <w:trPr>
          <w:cnfStyle w:val="100000000000" w:firstRow="1" w:lastRow="0" w:firstColumn="0" w:lastColumn="0" w:oddVBand="0" w:evenVBand="0" w:oddHBand="0" w:evenHBand="0" w:firstRowFirstColumn="0" w:firstRowLastColumn="0" w:lastRowFirstColumn="0" w:lastRowLastColumn="0"/>
        </w:trPr>
        <w:tc>
          <w:tcPr>
            <w:tcW w:w="1951" w:type="dxa"/>
          </w:tcPr>
          <w:p w:rsidR="00DB0499" w:rsidRPr="00DB0499" w:rsidRDefault="00DB0499" w:rsidP="00DB0499">
            <w:r>
              <w:t>Issue</w:t>
            </w:r>
          </w:p>
        </w:tc>
        <w:tc>
          <w:tcPr>
            <w:tcW w:w="6742" w:type="dxa"/>
          </w:tcPr>
          <w:p w:rsidR="00DB0499" w:rsidRPr="00DB0499" w:rsidRDefault="00DB0499" w:rsidP="00DB0499">
            <w:r>
              <w:t>O</w:t>
            </w:r>
            <w:r w:rsidRPr="00DB0499">
              <w:t>ur response</w:t>
            </w:r>
          </w:p>
        </w:tc>
      </w:tr>
      <w:tr w:rsidR="00DB0499" w:rsidTr="00DB0499">
        <w:tc>
          <w:tcPr>
            <w:tcW w:w="1951" w:type="dxa"/>
          </w:tcPr>
          <w:p w:rsidR="00DB0499" w:rsidRPr="00DB0499" w:rsidRDefault="00DB0499" w:rsidP="004F058A">
            <w:pPr>
              <w:rPr>
                <w:rStyle w:val="AERtextsize8"/>
              </w:rPr>
            </w:pPr>
            <w:r>
              <w:rPr>
                <w:rStyle w:val="AERtextsize8"/>
              </w:rPr>
              <w:t xml:space="preserve">Our approach </w:t>
            </w:r>
            <w:r w:rsidRPr="00DB0499">
              <w:rPr>
                <w:rStyle w:val="AERtextsize8"/>
              </w:rPr>
              <w:t xml:space="preserve">provides no real regard to the </w:t>
            </w:r>
            <w:r w:rsidR="004F058A">
              <w:rPr>
                <w:rStyle w:val="AERtextsize8"/>
              </w:rPr>
              <w:t>dividend growth model</w:t>
            </w:r>
          </w:p>
        </w:tc>
        <w:tc>
          <w:tcPr>
            <w:tcW w:w="6742" w:type="dxa"/>
          </w:tcPr>
          <w:p w:rsidR="00DB0499" w:rsidRPr="00DB0499" w:rsidRDefault="00DB0499" w:rsidP="001A4F7D">
            <w:pPr>
              <w:rPr>
                <w:rStyle w:val="AERtextsize8"/>
              </w:rPr>
            </w:pPr>
            <w:r w:rsidRPr="00133A9B">
              <w:t xml:space="preserve">Consistent </w:t>
            </w:r>
            <w:r w:rsidRPr="00DB0499">
              <w:t xml:space="preserve">with the rate of return Guideline, we use </w:t>
            </w:r>
            <w:r w:rsidR="004F058A">
              <w:t>dividend growth model</w:t>
            </w:r>
            <w:r w:rsidRPr="00DB0499">
              <w:t xml:space="preserve"> estimates (from our preferred construction of the </w:t>
            </w:r>
            <w:r w:rsidR="004F058A">
              <w:t>dividend growth model</w:t>
            </w:r>
            <w:r w:rsidRPr="00DB0499">
              <w:t xml:space="preserve">) to inform the estimate of the </w:t>
            </w:r>
            <w:r w:rsidR="004F058A">
              <w:t>market risk premium</w:t>
            </w:r>
            <w:r w:rsidRPr="00DB0499">
              <w:t>, having regard to evidence that the output from the models is very sensitive  to  input  assumptions  and  lik</w:t>
            </w:r>
            <w:r w:rsidR="00D00EEF">
              <w:t>ely  to  show  an  upward  bias in current</w:t>
            </w:r>
            <w:r w:rsidRPr="00DB0499">
              <w:t xml:space="preserve"> market conditions. This extent is appropriate given </w:t>
            </w:r>
            <w:r w:rsidR="004F058A">
              <w:t xml:space="preserve">the </w:t>
            </w:r>
            <w:r w:rsidRPr="00DB0499">
              <w:t>limitations</w:t>
            </w:r>
            <w:r w:rsidR="004F058A">
              <w:t xml:space="preserve"> of dividend growth models</w:t>
            </w:r>
            <w:r w:rsidRPr="00DB0499">
              <w:t xml:space="preserve">. </w:t>
            </w:r>
            <w:r w:rsidRPr="00DB0499">
              <w:rPr>
                <w:rStyle w:val="AERtextsize8"/>
              </w:rPr>
              <w:t xml:space="preserve">See </w:t>
            </w:r>
            <w:r w:rsidR="001A4F7D">
              <w:rPr>
                <w:rStyle w:val="AERtextsize8"/>
              </w:rPr>
              <w:t xml:space="preserve">section </w:t>
            </w:r>
            <w:r w:rsidR="001A4F7D">
              <w:rPr>
                <w:rStyle w:val="AERtextsize8"/>
              </w:rPr>
              <w:fldChar w:fldCharType="begin"/>
            </w:r>
            <w:r w:rsidR="001A4F7D">
              <w:rPr>
                <w:rStyle w:val="AERtextsize8"/>
              </w:rPr>
              <w:instrText xml:space="preserve"> REF _Ref449007421 \r \h </w:instrText>
            </w:r>
            <w:r w:rsidR="001A4F7D">
              <w:rPr>
                <w:rStyle w:val="AERtextsize8"/>
              </w:rPr>
            </w:r>
            <w:r w:rsidR="001A4F7D">
              <w:rPr>
                <w:rStyle w:val="AERtextsize8"/>
              </w:rPr>
              <w:fldChar w:fldCharType="separate"/>
            </w:r>
            <w:r w:rsidR="001A4F7D">
              <w:rPr>
                <w:rStyle w:val="AERtextsize8"/>
              </w:rPr>
              <w:t>B.4</w:t>
            </w:r>
            <w:r w:rsidR="001A4F7D">
              <w:rPr>
                <w:rStyle w:val="AERtextsize8"/>
              </w:rPr>
              <w:fldChar w:fldCharType="end"/>
            </w:r>
            <w:r w:rsidRPr="00DB0499">
              <w:rPr>
                <w:rStyle w:val="AERtextsize8"/>
              </w:rPr>
              <w:t xml:space="preserve"> for details on the models limitations. </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1951" w:type="dxa"/>
          </w:tcPr>
          <w:p w:rsidR="00DB0499" w:rsidRPr="00DB0499" w:rsidRDefault="00DB0499" w:rsidP="00DB0499">
            <w:pPr>
              <w:rPr>
                <w:rStyle w:val="AERtextsize8"/>
              </w:rPr>
            </w:pPr>
            <w:r w:rsidRPr="007C153E">
              <w:rPr>
                <w:rStyle w:val="AERtextsize8"/>
              </w:rPr>
              <w:t>The Wright approach to estimating historical stock returns is useful for estimating market risk premium</w:t>
            </w:r>
          </w:p>
        </w:tc>
        <w:tc>
          <w:tcPr>
            <w:tcW w:w="6742" w:type="dxa"/>
          </w:tcPr>
          <w:p w:rsidR="00DB0499" w:rsidRPr="007C153E" w:rsidRDefault="00DB0499" w:rsidP="00DB0499">
            <w:pPr>
              <w:numPr>
                <w:ilvl w:val="0"/>
                <w:numId w:val="24"/>
              </w:numPr>
              <w:rPr>
                <w:rStyle w:val="AERtextsize8"/>
              </w:rPr>
            </w:pPr>
            <w:r>
              <w:rPr>
                <w:rStyle w:val="AERtextsize8"/>
              </w:rPr>
              <w:t>Our consideration of the Wright approach is informative of our market risk premium estimate: as a cross-check on our overall return on equity, it is a cross-check on our return on equity parameters, including the market risk premium. However, w</w:t>
            </w:r>
            <w:r w:rsidRPr="007C153E">
              <w:rPr>
                <w:rStyle w:val="AERtextsize8"/>
              </w:rPr>
              <w:t>hile we have used a range from the Wright</w:t>
            </w:r>
            <w:r>
              <w:rPr>
                <w:rStyle w:val="AERtextsize8"/>
              </w:rPr>
              <w:t xml:space="preserve"> approach to</w:t>
            </w:r>
            <w:r w:rsidRPr="007C153E">
              <w:rPr>
                <w:rStyle w:val="AERtextsize8"/>
              </w:rPr>
              <w:t xml:space="preserve"> CAPM specification to inform the overall return on equity, we have placed little reliance on this information given </w:t>
            </w:r>
            <w:r>
              <w:rPr>
                <w:rStyle w:val="AERtextsize8"/>
              </w:rPr>
              <w:t>w</w:t>
            </w:r>
            <w:r w:rsidRPr="007C153E">
              <w:rPr>
                <w:rStyle w:val="AERtextsize8"/>
              </w:rPr>
              <w:t xml:space="preserve">e do not agree with </w:t>
            </w:r>
            <w:r>
              <w:rPr>
                <w:rStyle w:val="AERtextsize8"/>
              </w:rPr>
              <w:t>its historical</w:t>
            </w:r>
            <w:r w:rsidRPr="007C153E">
              <w:rPr>
                <w:rStyle w:val="AERtextsize8"/>
              </w:rPr>
              <w:t xml:space="preserve"> form. The CAPM is a forward looking asset pricing model.</w:t>
            </w:r>
            <w:r w:rsidRPr="007A10C2">
              <w:rPr>
                <w:rStyle w:val="FootnoteReference"/>
              </w:rPr>
              <w:footnoteReference w:id="222"/>
            </w:r>
            <w:r w:rsidRPr="007C153E">
              <w:rPr>
                <w:rStyle w:val="AERtextsize8"/>
              </w:rPr>
              <w:t xml:space="preserve"> Historical data (such as historical excess returns on the market) may be used as a basis for estimates of the input parameters into the model where they are good evidence of forward looking parameters. However, we do not consider using historically based estimates that are clearly not representative of the forward looking rate will result in an unbiased estimate of the return on equity.</w:t>
            </w:r>
            <w:r>
              <w:rPr>
                <w:rStyle w:val="AERtextsize8"/>
              </w:rPr>
              <w:t xml:space="preserve"> Further details of our reasons are in section </w:t>
            </w:r>
            <w:r>
              <w:rPr>
                <w:rStyle w:val="AERtextsize8"/>
              </w:rPr>
              <w:fldChar w:fldCharType="begin"/>
            </w:r>
            <w:r>
              <w:rPr>
                <w:rStyle w:val="AERtextsize8"/>
              </w:rPr>
              <w:instrText xml:space="preserve"> REF _Ref449018117 \r \h </w:instrText>
            </w:r>
            <w:r>
              <w:rPr>
                <w:rStyle w:val="AERtextsize8"/>
              </w:rPr>
            </w:r>
            <w:r>
              <w:rPr>
                <w:rStyle w:val="AERtextsize8"/>
              </w:rPr>
              <w:fldChar w:fldCharType="separate"/>
            </w:r>
            <w:r w:rsidR="00BA2E8E">
              <w:rPr>
                <w:rStyle w:val="AERtextsize8"/>
              </w:rPr>
              <w:t>B.5</w:t>
            </w:r>
            <w:r>
              <w:rPr>
                <w:rStyle w:val="AERtextsize8"/>
              </w:rPr>
              <w:fldChar w:fldCharType="end"/>
            </w:r>
            <w:r>
              <w:rPr>
                <w:rStyle w:val="AERtextsize8"/>
              </w:rPr>
              <w:t xml:space="preserve"> of this attachment.</w:t>
            </w:r>
          </w:p>
        </w:tc>
      </w:tr>
      <w:tr w:rsidR="00DB0499" w:rsidTr="00DB0499">
        <w:tc>
          <w:tcPr>
            <w:tcW w:w="1951" w:type="dxa"/>
          </w:tcPr>
          <w:p w:rsidR="00DB0499" w:rsidRPr="00DB0499" w:rsidRDefault="00DB0499" w:rsidP="00DB0499">
            <w:pPr>
              <w:rPr>
                <w:rStyle w:val="AERtextsize8"/>
              </w:rPr>
            </w:pPr>
            <w:r w:rsidRPr="007C153E">
              <w:rPr>
                <w:rStyle w:val="AERtextsize8"/>
              </w:rPr>
              <w:t>Information from valuation reports is useful for estimating market risk premium</w:t>
            </w:r>
          </w:p>
        </w:tc>
        <w:tc>
          <w:tcPr>
            <w:tcW w:w="6742" w:type="dxa"/>
          </w:tcPr>
          <w:p w:rsidR="00DB0499" w:rsidRPr="00DB0499" w:rsidRDefault="00DB0499" w:rsidP="00DB0499">
            <w:pPr>
              <w:rPr>
                <w:rStyle w:val="AERtextsize8"/>
              </w:rPr>
            </w:pPr>
            <w:r>
              <w:rPr>
                <w:rStyle w:val="AERtextsize8"/>
              </w:rPr>
              <w:t>Our consideration of valuation reports is informative of our market risk premium estimate: as a cross-check on our overall ret</w:t>
            </w:r>
            <w:r w:rsidRPr="00DB0499">
              <w:rPr>
                <w:rStyle w:val="AERtextsize8"/>
              </w:rPr>
              <w:t xml:space="preserve">urn on equity, they are a cross-check on our return on equity parameters, including the market risk premium. </w:t>
            </w:r>
            <w:r w:rsidRPr="00DB0499">
              <w:t xml:space="preserve">Valuation reports have a different objective to the </w:t>
            </w:r>
            <w:r w:rsidR="009C74CF">
              <w:t>A</w:t>
            </w:r>
            <w:r w:rsidR="009C74CF" w:rsidRPr="009C74CF">
              <w:t>RORO</w:t>
            </w:r>
            <w:r w:rsidRPr="00DB0499">
              <w:t xml:space="preserve">, which may make their estimates unsuitable for our purpose. This effect is likely more prevalent for input parameters than the overall return on equity. A lack of transparency on how the return on equity estimates are derived prevents adjusting for these effects. These limitations are discussed further in section </w:t>
            </w:r>
            <w:r w:rsidRPr="00DB0499">
              <w:fldChar w:fldCharType="begin"/>
            </w:r>
            <w:r w:rsidRPr="00DB0499">
              <w:instrText xml:space="preserve"> REF _Ref446280177 \r \h </w:instrText>
            </w:r>
            <w:r w:rsidRPr="00DB0499">
              <w:fldChar w:fldCharType="separate"/>
            </w:r>
            <w:r w:rsidR="00BA2E8E">
              <w:t>F.5</w:t>
            </w:r>
            <w:r w:rsidRPr="00DB0499">
              <w:fldChar w:fldCharType="end"/>
            </w:r>
            <w:r w:rsidRPr="00DB0499">
              <w:t>.</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1951" w:type="dxa"/>
          </w:tcPr>
          <w:p w:rsidR="00DB0499" w:rsidRPr="00DB0499" w:rsidRDefault="00DB0499" w:rsidP="00DB0499">
            <w:pPr>
              <w:rPr>
                <w:rStyle w:val="AERtextsize8"/>
              </w:rPr>
            </w:pPr>
            <w:r w:rsidRPr="007C153E">
              <w:rPr>
                <w:rStyle w:val="AERtextsize8"/>
              </w:rPr>
              <w:t>Surveys should not be relied upon</w:t>
            </w:r>
            <w:r w:rsidRPr="00DB0499">
              <w:rPr>
                <w:rStyle w:val="AERtextsize8"/>
              </w:rPr>
              <w:t xml:space="preserve"> as survey responses are unlikely to be independent</w:t>
            </w:r>
          </w:p>
        </w:tc>
        <w:tc>
          <w:tcPr>
            <w:tcW w:w="6742" w:type="dxa"/>
          </w:tcPr>
          <w:p w:rsidR="00DB0499" w:rsidRPr="00DB0499" w:rsidRDefault="00DB0499" w:rsidP="00DB0499">
            <w:pPr>
              <w:rPr>
                <w:rStyle w:val="AERtextsize8"/>
              </w:rPr>
            </w:pPr>
            <w:r w:rsidRPr="0048679F">
              <w:rPr>
                <w:rStyle w:val="AERtextsize8"/>
              </w:rPr>
              <w:t xml:space="preserve">While survey estimates are intended to provide an arm’s length assessment, we would not expect them to necessarily have complete impartiality. Survey estimates may strive for objective views but it seems unlikely that they will be entirely uninfluenced by commercial and other external interests. </w:t>
            </w:r>
            <w:r w:rsidRPr="00DB0499">
              <w:rPr>
                <w:rStyle w:val="AERtextsize8"/>
              </w:rPr>
              <w:t>Respondents may also display some 'herding' behaviour. Therefore, we view that survey estimates supply relevant, but not definitive, information and considerable care needs to be taken in the analysis and interpretation of such estimates. Nonetheless, survey estimates explore investor expectations about the market risk premium by directly asking investors and market practitioners what their expectations are and/or what they apply in practice, and we consider this remains useful for informing our market risk premium estimate.</w:t>
            </w:r>
          </w:p>
        </w:tc>
      </w:tr>
      <w:tr w:rsidR="00DB0499" w:rsidTr="00DB0499">
        <w:trPr>
          <w:trHeight w:val="1274"/>
        </w:trPr>
        <w:tc>
          <w:tcPr>
            <w:tcW w:w="1951" w:type="dxa"/>
          </w:tcPr>
          <w:p w:rsidR="00DB0499" w:rsidRPr="00DB0499" w:rsidRDefault="00DB0499" w:rsidP="00DB0499">
            <w:pPr>
              <w:rPr>
                <w:rStyle w:val="AERtextsize8"/>
              </w:rPr>
            </w:pPr>
            <w:r w:rsidRPr="00F825D9">
              <w:rPr>
                <w:rStyle w:val="AERtextsize8"/>
              </w:rPr>
              <w:t xml:space="preserve">HoustonKemp's analysis of valuation reports </w:t>
            </w:r>
            <w:r w:rsidRPr="00DB0499">
              <w:rPr>
                <w:rStyle w:val="AERtextsize8"/>
              </w:rPr>
              <w:t>indicates an inverse relationship between the risk free rate and the market risk premium</w:t>
            </w:r>
          </w:p>
        </w:tc>
        <w:tc>
          <w:tcPr>
            <w:tcW w:w="6742" w:type="dxa"/>
          </w:tcPr>
          <w:p w:rsidR="00DB0499" w:rsidRPr="00DB0499" w:rsidRDefault="00DB0499" w:rsidP="00DB0499">
            <w:r>
              <w:t xml:space="preserve">The relationship found by HoustonKemp is driven by the difference between the valuer's chosen risk free rate and the yield on </w:t>
            </w:r>
            <w:r w:rsidRPr="00DB0499">
              <w:t>Australian government securities.</w:t>
            </w:r>
            <w:r w:rsidRPr="00DB0499">
              <w:rPr>
                <w:rStyle w:val="FootnoteReference"/>
              </w:rPr>
              <w:footnoteReference w:id="223"/>
            </w:r>
            <w:r w:rsidRPr="00DB0499">
              <w:t xml:space="preserve"> We continue to be unsatisfied that this difference reflects uplift to the market risk premium, or is a widespread and persistent practice. Further detail of our reasons are in section </w:t>
            </w:r>
            <w:r w:rsidRPr="00DB0499">
              <w:fldChar w:fldCharType="begin"/>
            </w:r>
            <w:r w:rsidRPr="00DB0499">
              <w:instrText xml:space="preserve"> REF _Ref446278671 \r \h </w:instrText>
            </w:r>
            <w:r w:rsidRPr="00DB0499">
              <w:fldChar w:fldCharType="separate"/>
            </w:r>
            <w:r w:rsidR="00BA2E8E">
              <w:t>F.5</w:t>
            </w:r>
            <w:r w:rsidRPr="00DB0499">
              <w:fldChar w:fldCharType="end"/>
            </w:r>
            <w:r w:rsidRPr="00DB0499">
              <w:t xml:space="preserve"> of this attachment.</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1951" w:type="dxa"/>
          </w:tcPr>
          <w:p w:rsidR="00DB0499" w:rsidRPr="00DB0499" w:rsidRDefault="00DB0499" w:rsidP="00DB0499">
            <w:pPr>
              <w:rPr>
                <w:rStyle w:val="AERtextsize8"/>
              </w:rPr>
            </w:pPr>
            <w:r w:rsidRPr="00F825D9">
              <w:rPr>
                <w:rStyle w:val="AERtextsize8"/>
              </w:rPr>
              <w:t xml:space="preserve">Our concern about sticky dividends creating bias in the dividend growth model is not material in the current </w:t>
            </w:r>
            <w:r w:rsidRPr="00DB0499">
              <w:rPr>
                <w:rStyle w:val="AERtextsize8"/>
              </w:rPr>
              <w:t>market as dividends are forecast to grow from 2015 to 2017</w:t>
            </w:r>
            <w:r w:rsidRPr="00DB0499">
              <w:rPr>
                <w:rStyle w:val="FootnoteReference"/>
              </w:rPr>
              <w:footnoteReference w:id="224"/>
            </w:r>
          </w:p>
        </w:tc>
        <w:tc>
          <w:tcPr>
            <w:tcW w:w="6742" w:type="dxa"/>
          </w:tcPr>
          <w:p w:rsidR="00DB0499" w:rsidRPr="00DB0499" w:rsidRDefault="00DB0499" w:rsidP="008A4057">
            <w:r>
              <w:t xml:space="preserve">We consider that sticky dividends </w:t>
            </w:r>
            <w:r w:rsidR="00D00EEF">
              <w:t xml:space="preserve">may </w:t>
            </w:r>
            <w:r>
              <w:t>creat</w:t>
            </w:r>
            <w:r w:rsidR="00D00EEF">
              <w:t xml:space="preserve">e </w:t>
            </w:r>
            <w:r>
              <w:t>bias in the dividend growth model</w:t>
            </w:r>
            <w:r w:rsidR="00D00EEF">
              <w:t>, and there is no reason to believe that this bias</w:t>
            </w:r>
            <w:r>
              <w:t xml:space="preserve"> is </w:t>
            </w:r>
            <w:r w:rsidR="00D00EEF">
              <w:t xml:space="preserve">not </w:t>
            </w:r>
            <w:r>
              <w:t xml:space="preserve">material in the current market. </w:t>
            </w:r>
            <w:r w:rsidRPr="00DB0499">
              <w:t>Frontier submitted that</w:t>
            </w:r>
            <w:r w:rsidR="008A4057">
              <w:t xml:space="preserve"> </w:t>
            </w:r>
            <w:r w:rsidR="008A4057" w:rsidRPr="00DB0499">
              <w:t xml:space="preserve">market capitalisation weighted average </w:t>
            </w:r>
            <w:r w:rsidR="008A4057">
              <w:t>earnings per share</w:t>
            </w:r>
            <w:r w:rsidRPr="00DB0499">
              <w:t xml:space="preserve"> </w:t>
            </w:r>
            <w:r w:rsidR="008A4057">
              <w:t>are</w:t>
            </w:r>
            <w:r w:rsidRPr="00DB0499">
              <w:t xml:space="preserve"> forecasted </w:t>
            </w:r>
            <w:r w:rsidR="008A4057">
              <w:t>to increase from</w:t>
            </w:r>
            <w:r w:rsidRPr="00DB0499">
              <w:t xml:space="preserve"> 2015 to 2017.  We consider that expectations reflected in market prices are longer-term than to 2017, such that expectations post-2017 may have greater effect on prices than expectations for 2015 to 2017. Moreover, </w:t>
            </w:r>
            <w:r w:rsidR="008A4057">
              <w:t>RBA data suggests that forecast</w:t>
            </w:r>
            <w:r w:rsidRPr="00DB0499">
              <w:t xml:space="preserve"> growth in earnings per share will likely slow over the 2015-16 and 2016-17 financial years.</w:t>
            </w:r>
            <w:r w:rsidRPr="00DB0499">
              <w:rPr>
                <w:rStyle w:val="FootnoteReference"/>
              </w:rPr>
              <w:footnoteReference w:id="225"/>
            </w:r>
            <w:r w:rsidRPr="00DB0499">
              <w:t xml:space="preserve"> We do not consider it is certain that investors expect positive growth in dividends per share post-2017.</w:t>
            </w:r>
          </w:p>
        </w:tc>
      </w:tr>
      <w:tr w:rsidR="00DB0499" w:rsidTr="00DB0499">
        <w:tc>
          <w:tcPr>
            <w:tcW w:w="1951" w:type="dxa"/>
          </w:tcPr>
          <w:p w:rsidR="00DB0499" w:rsidRPr="00DB0499" w:rsidRDefault="00DB0499" w:rsidP="00DB0499">
            <w:pPr>
              <w:rPr>
                <w:rStyle w:val="AERtextsize8"/>
              </w:rPr>
            </w:pPr>
            <w:r w:rsidRPr="00F825D9">
              <w:rPr>
                <w:rStyle w:val="AERtextsize8"/>
              </w:rPr>
              <w:t>Our concern about upwards bias in analysts' dividend forecasts is not material in the current market</w:t>
            </w:r>
          </w:p>
        </w:tc>
        <w:tc>
          <w:tcPr>
            <w:tcW w:w="6742" w:type="dxa"/>
          </w:tcPr>
          <w:p w:rsidR="00DB0499" w:rsidRPr="001135E9" w:rsidRDefault="00DB0499" w:rsidP="00DB0499">
            <w:pPr>
              <w:numPr>
                <w:ilvl w:val="0"/>
                <w:numId w:val="24"/>
              </w:numPr>
            </w:pPr>
            <w:r w:rsidRPr="00B4711B">
              <w:t>Analyst forecasts are well understood to be upward</w:t>
            </w:r>
            <w:r>
              <w:t>ly</w:t>
            </w:r>
            <w:r w:rsidRPr="00B4711B">
              <w:t xml:space="preserve"> biased.</w:t>
            </w:r>
            <w:r>
              <w:rPr>
                <w:rStyle w:val="FootnoteReference"/>
              </w:rPr>
              <w:footnoteReference w:id="226"/>
            </w:r>
            <w:r w:rsidRPr="00B4711B">
              <w:t xml:space="preserve"> </w:t>
            </w:r>
            <w:r>
              <w:t xml:space="preserve">Although we show the effect of potential bias of ten percent (see section </w:t>
            </w:r>
            <w:r>
              <w:fldChar w:fldCharType="begin"/>
            </w:r>
            <w:r>
              <w:instrText xml:space="preserve"> REF _Ref443651537 \r \h </w:instrText>
            </w:r>
            <w:r>
              <w:fldChar w:fldCharType="separate"/>
            </w:r>
            <w:r w:rsidR="00BA2E8E">
              <w:t>D.2</w:t>
            </w:r>
            <w:r>
              <w:fldChar w:fldCharType="end"/>
            </w:r>
            <w:r>
              <w:t xml:space="preserve">), the extent of any bias is unclear. No stakeholder has proposed methods to estimate the extent of any bias, and such methods may be complex, without widespread acceptance, and open to gaming. For this reason, we do not apply an adjustment. </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1951" w:type="dxa"/>
          </w:tcPr>
          <w:p w:rsidR="00DB0499" w:rsidRPr="00DB0499" w:rsidRDefault="00DB0499" w:rsidP="00DB0499">
            <w:pPr>
              <w:rPr>
                <w:rStyle w:val="AERtextsize8"/>
              </w:rPr>
            </w:pPr>
            <w:r w:rsidRPr="00F825D9">
              <w:rPr>
                <w:rStyle w:val="AERtextsize8"/>
              </w:rPr>
              <w:t>Our concern about upwards bias in analysts' dividend forecasts is not relevant as the forecasts reflect analysts' implied discount rates</w:t>
            </w:r>
          </w:p>
        </w:tc>
        <w:tc>
          <w:tcPr>
            <w:tcW w:w="6742" w:type="dxa"/>
          </w:tcPr>
          <w:p w:rsidR="00DB0499" w:rsidRPr="001566F2" w:rsidRDefault="00DB0499" w:rsidP="00DB0499">
            <w:pPr>
              <w:numPr>
                <w:ilvl w:val="0"/>
                <w:numId w:val="24"/>
              </w:numPr>
            </w:pPr>
            <w:r w:rsidRPr="00952754">
              <w:t>If analysts’ dividend and price forecasts are biased, it is also plausible that the analysts’ implied return on equity is biased.</w:t>
            </w:r>
            <w:r w:rsidRPr="00B4711B">
              <w:t xml:space="preserve"> McKenzie and Partington also consider that analysts’ forecasts are slow to adjust to changing information.</w:t>
            </w:r>
            <w:r w:rsidRPr="00B4711B">
              <w:rPr>
                <w:rStyle w:val="FootnoteReference"/>
              </w:rPr>
              <w:footnoteReference w:id="227"/>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tc>
      </w:tr>
      <w:tr w:rsidR="00DB0499" w:rsidTr="00DB0499">
        <w:tc>
          <w:tcPr>
            <w:tcW w:w="1951" w:type="dxa"/>
          </w:tcPr>
          <w:p w:rsidR="00DB0499" w:rsidRPr="00DB0499" w:rsidRDefault="00DB0499" w:rsidP="00603E97">
            <w:pPr>
              <w:rPr>
                <w:rStyle w:val="AERtextsize8"/>
              </w:rPr>
            </w:pPr>
            <w:r w:rsidRPr="00F825D9">
              <w:rPr>
                <w:rStyle w:val="AERtextsize8"/>
              </w:rPr>
              <w:t>NERA's adjustment to historical stock returns is more reliable than the ASX's adjustment</w:t>
            </w:r>
          </w:p>
        </w:tc>
        <w:tc>
          <w:tcPr>
            <w:tcW w:w="6742" w:type="dxa"/>
          </w:tcPr>
          <w:p w:rsidR="00DB0499" w:rsidRPr="00DB0499" w:rsidRDefault="00DB0499" w:rsidP="00603E97">
            <w:r>
              <w:rPr>
                <w:rStyle w:val="AERtextsize8"/>
              </w:rPr>
              <w:t xml:space="preserve">We do not consider </w:t>
            </w:r>
            <w:r w:rsidRPr="00DB0499">
              <w:rPr>
                <w:rStyle w:val="AERtextsize8"/>
              </w:rPr>
              <w:t>NERA's adjustment, which is based on less than ten data points out of 300, represents a material improvement in reliability</w:t>
            </w:r>
            <w:r w:rsidRPr="00DB0499">
              <w:t>. NERA has also not reconciled the data it uses for its adjustment to the data of the original series. Further details o</w:t>
            </w:r>
            <w:r w:rsidR="00BA2E8E">
              <w:t xml:space="preserve">f our reasons are in section </w:t>
            </w:r>
            <w:r w:rsidR="00BA2E8E">
              <w:fldChar w:fldCharType="begin"/>
            </w:r>
            <w:r w:rsidR="00BA2E8E">
              <w:instrText xml:space="preserve"> REF _Ref449007421 \r \h </w:instrText>
            </w:r>
            <w:r w:rsidR="00BA2E8E">
              <w:fldChar w:fldCharType="separate"/>
            </w:r>
            <w:r w:rsidR="00BA2E8E">
              <w:t>B.4</w:t>
            </w:r>
            <w:r w:rsidR="00BA2E8E">
              <w:fldChar w:fldCharType="end"/>
            </w:r>
            <w:r w:rsidRPr="00DB0499">
              <w:t xml:space="preserve"> of this attachment.   </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1951" w:type="dxa"/>
          </w:tcPr>
          <w:p w:rsidR="00DB0499" w:rsidRPr="00DB0499" w:rsidRDefault="00DB0499" w:rsidP="00DB0499">
            <w:r>
              <w:t>Arithmetic averaging of historical stock returns is more appropriate than geometric averaging</w:t>
            </w:r>
          </w:p>
        </w:tc>
        <w:tc>
          <w:tcPr>
            <w:tcW w:w="6742" w:type="dxa"/>
          </w:tcPr>
          <w:p w:rsidR="00DB0499" w:rsidRPr="00DB0499" w:rsidRDefault="00DB0499" w:rsidP="008A4057">
            <w:pPr>
              <w:rPr>
                <w:rStyle w:val="AERtextsize8"/>
              </w:rPr>
            </w:pPr>
            <w:r>
              <w:t xml:space="preserve">In estimating the </w:t>
            </w:r>
            <w:r w:rsidRPr="00DB0499">
              <w:t>market risk premium, we have regard to both arithmetic and geometric average historical exc</w:t>
            </w:r>
            <w:r w:rsidR="008A4057">
              <w:t xml:space="preserve">ess returns. </w:t>
            </w:r>
            <w:r w:rsidRPr="00DB0499">
              <w:t>Partington and Satchell recommended the consideration of both arithmetic and geometric averages, tempered by an understanding of the potential biases in both.</w:t>
            </w:r>
            <w:r w:rsidRPr="00DB0499">
              <w:rPr>
                <w:rStyle w:val="FootnoteReference"/>
              </w:rPr>
              <w:footnoteReference w:id="228"/>
            </w:r>
            <w:r w:rsidRPr="00DB0499">
              <w:t xml:space="preserve"> Also, they supported this position in their most recent 2016 report.</w:t>
            </w:r>
            <w:r w:rsidRPr="00DB0499">
              <w:rPr>
                <w:rStyle w:val="FootnoteReference"/>
              </w:rPr>
              <w:footnoteReference w:id="229"/>
            </w:r>
            <w:r w:rsidRPr="00DB0499">
              <w:t xml:space="preserve"> Further details o</w:t>
            </w:r>
            <w:r w:rsidR="00BA2E8E">
              <w:t xml:space="preserve">f our reasons are in section </w:t>
            </w:r>
            <w:r w:rsidR="00BA2E8E">
              <w:fldChar w:fldCharType="begin"/>
            </w:r>
            <w:r w:rsidR="00BA2E8E">
              <w:instrText xml:space="preserve"> REF _Ref451678814 \r \h </w:instrText>
            </w:r>
            <w:r w:rsidR="00BA2E8E">
              <w:fldChar w:fldCharType="separate"/>
            </w:r>
            <w:r w:rsidR="00BA2E8E">
              <w:t>C.3</w:t>
            </w:r>
            <w:r w:rsidR="00BA2E8E">
              <w:fldChar w:fldCharType="end"/>
            </w:r>
            <w:r w:rsidRPr="00DB0499">
              <w:t xml:space="preserve"> of this attachment.   </w:t>
            </w:r>
          </w:p>
        </w:tc>
      </w:tr>
      <w:tr w:rsidR="00DB0499" w:rsidTr="00DB0499">
        <w:tc>
          <w:tcPr>
            <w:tcW w:w="1951" w:type="dxa"/>
          </w:tcPr>
          <w:p w:rsidR="00DB0499" w:rsidRPr="00DB0499" w:rsidRDefault="00DB0499" w:rsidP="00DB0499">
            <w:r>
              <w:t xml:space="preserve">We should </w:t>
            </w:r>
            <w:r w:rsidRPr="00DB0499">
              <w:t>use only the longest sample period, and we should not use overlapping sample periods, when estimating historical stock returns</w:t>
            </w:r>
          </w:p>
        </w:tc>
        <w:tc>
          <w:tcPr>
            <w:tcW w:w="6742" w:type="dxa"/>
          </w:tcPr>
          <w:p w:rsidR="00DB0499" w:rsidRPr="00DB0499" w:rsidRDefault="00DB0499" w:rsidP="00DB0499">
            <w:pPr>
              <w:rPr>
                <w:rStyle w:val="AERtextsize8"/>
              </w:rPr>
            </w:pPr>
            <w:r w:rsidRPr="006B7989">
              <w:rPr>
                <w:rStyle w:val="AERtextsize8"/>
              </w:rPr>
              <w:t xml:space="preserve">Partington and Satchell </w:t>
            </w:r>
            <w:r w:rsidRPr="00DB0499">
              <w:rPr>
                <w:rStyle w:val="AERtextsize8"/>
              </w:rPr>
              <w:t>considered that, although it reduces the precision of the estimates, there are reasons for using multiple sampling periods, such as possible structural breaks in the data and issues regarding data quality.</w:t>
            </w:r>
            <w:r w:rsidRPr="00DB0499">
              <w:rPr>
                <w:rStyle w:val="FootnoteReference"/>
              </w:rPr>
              <w:footnoteReference w:id="230"/>
            </w:r>
            <w:r w:rsidRPr="00DB0499">
              <w:rPr>
                <w:rStyle w:val="AERtextsize8"/>
              </w:rPr>
              <w:t xml:space="preserve"> We consider that concerns about data quality become increasingly important the further back into the past one looks. We have regard to five sampling periods because each has different strengths and weaknesses. Further detail of our reasons can be found in section C.1.2 of Attachment 3 to our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1951" w:type="dxa"/>
          </w:tcPr>
          <w:p w:rsidR="00DB0499" w:rsidRPr="00DB0499" w:rsidRDefault="00DB0499" w:rsidP="00DB0499">
            <w:r>
              <w:t xml:space="preserve">SFG's method for adjusting dividend imputation </w:t>
            </w:r>
            <w:r w:rsidRPr="00DB0499">
              <w:t xml:space="preserve">is </w:t>
            </w:r>
            <w:r w:rsidRPr="00DB0499">
              <w:rPr>
                <w:rStyle w:val="AERtextsize8"/>
              </w:rPr>
              <w:t>more consistent with how we adjust for imputation credits in the post-tax revenue model.</w:t>
            </w:r>
            <w:r w:rsidRPr="00DB0499">
              <w:rPr>
                <w:rStyle w:val="FootnoteReference"/>
              </w:rPr>
              <w:footnoteReference w:id="231"/>
            </w:r>
          </w:p>
        </w:tc>
        <w:tc>
          <w:tcPr>
            <w:tcW w:w="6742" w:type="dxa"/>
          </w:tcPr>
          <w:p w:rsidR="00DB0499" w:rsidRPr="00DB0499" w:rsidRDefault="00DB0499" w:rsidP="00DB0499">
            <w:pPr>
              <w:numPr>
                <w:ilvl w:val="0"/>
                <w:numId w:val="24"/>
              </w:numPr>
              <w:rPr>
                <w:rStyle w:val="AERtextsize8"/>
              </w:rPr>
            </w:pPr>
            <w:r w:rsidRPr="006B7989">
              <w:rPr>
                <w:rStyle w:val="AERtextsize8"/>
              </w:rPr>
              <w:t>We d</w:t>
            </w:r>
            <w:r>
              <w:rPr>
                <w:rStyle w:val="AERtextsize8"/>
              </w:rPr>
              <w:t>o</w:t>
            </w:r>
            <w:r w:rsidRPr="006B7989">
              <w:rPr>
                <w:rStyle w:val="AERtextsize8"/>
              </w:rPr>
              <w:t xml:space="preserve"> not agree</w:t>
            </w:r>
            <w:r>
              <w:rPr>
                <w:rStyle w:val="AERtextsize8"/>
              </w:rPr>
              <w:t xml:space="preserve"> that there is a consistency issue between our imputation adjustment approach and the post-tax revenue model.</w:t>
            </w:r>
            <w:r w:rsidRPr="006B7989">
              <w:rPr>
                <w:rStyle w:val="AERtextsize8"/>
              </w:rPr>
              <w:t xml:space="preserve"> </w:t>
            </w:r>
            <w:r>
              <w:rPr>
                <w:rStyle w:val="AERtextsize8"/>
              </w:rPr>
              <w:t>We also consider that SFG's method is likely to overestimate the market risk premium as it assumes returns are provided entirely from dividends. Further detail of our reasons can be found in section C.6 of Attachment 3 to our preliminary decision.</w:t>
            </w:r>
            <w:r w:rsidRPr="00952754">
              <w:rPr>
                <w:rStyle w:val="AERtextsize8"/>
              </w:rPr>
              <w:t xml:space="preserve"> </w:t>
            </w:r>
          </w:p>
        </w:tc>
      </w:tr>
      <w:tr w:rsidR="00DB0499" w:rsidTr="00DB0499">
        <w:tc>
          <w:tcPr>
            <w:tcW w:w="1951" w:type="dxa"/>
          </w:tcPr>
          <w:p w:rsidR="00DB0499" w:rsidRPr="00DB0499" w:rsidRDefault="00DB0499" w:rsidP="00DB0499">
            <w:r>
              <w:t>We arbitrarily adjust</w:t>
            </w:r>
            <w:r w:rsidRPr="00DB0499">
              <w:t xml:space="preserve"> the long-term dividend growth rate used in our dividend growth model</w:t>
            </w:r>
          </w:p>
        </w:tc>
        <w:tc>
          <w:tcPr>
            <w:tcW w:w="6742" w:type="dxa"/>
          </w:tcPr>
          <w:p w:rsidR="00DB0499" w:rsidRPr="00DB0499" w:rsidRDefault="00DB0499" w:rsidP="00DB0499">
            <w:r>
              <w:t xml:space="preserve">We use the long-term growth rate in real </w:t>
            </w:r>
            <w:r w:rsidR="008A4057">
              <w:t>gross domestic product (</w:t>
            </w:r>
            <w:r>
              <w:t>GDP</w:t>
            </w:r>
            <w:r w:rsidR="008A4057">
              <w:t>)</w:t>
            </w:r>
            <w:r>
              <w:t xml:space="preserve"> as a proxy for the long-term growth rate in dividends. To get an estimate of long-term growth in dividends per share, we adjust the long-term growth rate in real GDP (dividends) downwards to account for the net creation of new shares through share issuances and new companies. The size of our adjustment is not arbitrary but based on the available evidence. F</w:t>
            </w:r>
            <w:r w:rsidRPr="00DB0499">
              <w:rPr>
                <w:rStyle w:val="AERtextsize8"/>
              </w:rPr>
              <w:t>urther detail of our reasons can be found in section B.2.1 of Attachment 3 to our preliminary decision.</w:t>
            </w:r>
          </w:p>
        </w:tc>
      </w:tr>
    </w:tbl>
    <w:p w:rsidR="00DB0499" w:rsidRPr="0032489B" w:rsidRDefault="00DB0499" w:rsidP="00DB0499">
      <w:pPr>
        <w:pStyle w:val="HeadingBoldBlue"/>
        <w:numPr>
          <w:ilvl w:val="0"/>
          <w:numId w:val="24"/>
        </w:numPr>
        <w:rPr>
          <w:rStyle w:val="AERtextorange"/>
        </w:rPr>
      </w:pPr>
      <w:bookmarkStart w:id="130" w:name="_Toc443923184"/>
      <w:bookmarkStart w:id="131" w:name="_Ref451677263"/>
      <w:bookmarkStart w:id="132" w:name="_Ref451678289"/>
      <w:bookmarkStart w:id="133" w:name="_Ref451678299"/>
      <w:bookmarkStart w:id="134" w:name="_Ref451678303"/>
      <w:r>
        <w:rPr>
          <w:rStyle w:val="AERtextorange"/>
        </w:rPr>
        <w:t>Estimating equity beta</w:t>
      </w:r>
      <w:bookmarkEnd w:id="130"/>
      <w:bookmarkEnd w:id="131"/>
      <w:bookmarkEnd w:id="132"/>
      <w:bookmarkEnd w:id="133"/>
      <w:bookmarkEnd w:id="134"/>
    </w:p>
    <w:p w:rsidR="00DB0499" w:rsidRDefault="00DB0499" w:rsidP="00DB0499">
      <w:pPr>
        <w:numPr>
          <w:ilvl w:val="0"/>
          <w:numId w:val="24"/>
        </w:numPr>
        <w:rPr>
          <w:rStyle w:val="AERbody"/>
        </w:rPr>
      </w:pPr>
      <w:r>
        <w:t>E</w:t>
      </w:r>
      <w:r w:rsidRPr="003A198B">
        <w:t xml:space="preserve">quity beta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232"/>
      </w:r>
      <w:r>
        <w:t xml:space="preserve"> </w:t>
      </w:r>
    </w:p>
    <w:p w:rsidR="00DB0499" w:rsidRDefault="00DB0499" w:rsidP="00DB0499">
      <w:pPr>
        <w:numPr>
          <w:ilvl w:val="0"/>
          <w:numId w:val="24"/>
        </w:numPr>
      </w:pPr>
      <w:r w:rsidRPr="003A198B">
        <w:rPr>
          <w:rStyle w:val="AERbody"/>
        </w:rPr>
        <w:t>We adopt an equity beta point estimate of 0.7 from a range of 0.4 to 0.7</w:t>
      </w:r>
      <w:r w:rsidRPr="00B90B7A">
        <w:rPr>
          <w:rStyle w:val="AERbody"/>
        </w:rPr>
        <w:t xml:space="preserve">. </w:t>
      </w:r>
      <w:r>
        <w:rPr>
          <w:rStyle w:val="AERbody"/>
        </w:rPr>
        <w:t>Our equity beta estimate is required to be commensurate with a similar degree of risk as that which applies to CitiPower's provision of regulated electricity network services.</w:t>
      </w:r>
      <w:r>
        <w:rPr>
          <w:rStyle w:val="FootnoteReference"/>
        </w:rPr>
        <w:footnoteReference w:id="233"/>
      </w:r>
      <w:r>
        <w:rPr>
          <w:rStyle w:val="AERbody"/>
        </w:rPr>
        <w:t xml:space="preserve"> </w:t>
      </w:r>
      <w:r w:rsidRPr="00B90B7A">
        <w:rPr>
          <w:rStyle w:val="AERbody"/>
        </w:rPr>
        <w:t xml:space="preserve">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w:t>
      </w:r>
      <w:r>
        <w:rPr>
          <w:rStyle w:val="AERbody"/>
        </w:rPr>
        <w:t>reflects a similar degree of</w:t>
      </w:r>
      <w:r w:rsidRPr="00B90B7A">
        <w:rPr>
          <w:rStyle w:val="AERbody"/>
        </w:rPr>
        <w:t xml:space="preserve"> systematic risk a</w:t>
      </w:r>
      <w:r>
        <w:rPr>
          <w:rStyle w:val="AERbody"/>
        </w:rPr>
        <w:t>s</w:t>
      </w:r>
      <w:r w:rsidRPr="00B90B7A">
        <w:rPr>
          <w:rStyle w:val="AERbody"/>
        </w:rPr>
        <w:t xml:space="preserve"> </w:t>
      </w:r>
      <w:r>
        <w:rPr>
          <w:rStyle w:val="AERbody"/>
        </w:rPr>
        <w:t>CitiPower</w:t>
      </w:r>
      <w:r w:rsidRPr="00B90B7A">
        <w:rPr>
          <w:rStyle w:val="AERbody"/>
        </w:rPr>
        <w:t xml:space="preserve"> is exposed to </w:t>
      </w:r>
      <w:r>
        <w:rPr>
          <w:rStyle w:val="AERbody"/>
        </w:rPr>
        <w:t>in providing regulated services</w:t>
      </w:r>
      <w:r w:rsidRPr="00B90B7A">
        <w:rPr>
          <w:rStyle w:val="AERbody"/>
        </w:rPr>
        <w:t>.</w:t>
      </w:r>
      <w:r w:rsidRPr="00A71CB9">
        <w:t xml:space="preserve"> </w:t>
      </w:r>
      <w:r>
        <w:t>We hold this view because:</w:t>
      </w:r>
    </w:p>
    <w:p w:rsidR="00DB0499" w:rsidRDefault="00DB0499" w:rsidP="00DB0499">
      <w:pPr>
        <w:pStyle w:val="AERbulletlistfirststyle"/>
      </w:pPr>
      <w:r>
        <w:t xml:space="preserve">Our range and point estimate are based on direct measurements (that is, empirical estimates) of the equity beta that businesses with a similar degree of risk as CitiPower have exhibited in the past. We consider these are reliable indicators of the prevailing, forward-looking equity beta for an efficient business (or benchmark efficient entity) with a similar degree of risk as CitiPower. </w:t>
      </w:r>
    </w:p>
    <w:p w:rsidR="00DB0499" w:rsidRDefault="00DB0499" w:rsidP="00DB0499">
      <w:pPr>
        <w:pStyle w:val="AERbulletlistfirststyle"/>
        <w:rPr>
          <w:rStyle w:val="AERbody"/>
        </w:rPr>
      </w:pPr>
      <w:r>
        <w:t>Our range</w:t>
      </w:r>
      <w:r w:rsidRPr="00B90B7A">
        <w:rPr>
          <w:rStyle w:val="AERbody"/>
        </w:rPr>
        <w:t xml:space="preserve"> </w:t>
      </w:r>
      <w:r>
        <w:rPr>
          <w:rStyle w:val="AERbody"/>
        </w:rPr>
        <w:t>and point estimate are</w:t>
      </w:r>
      <w:r w:rsidRPr="00B90B7A">
        <w:rPr>
          <w:rStyle w:val="AERbody"/>
        </w:rPr>
        <w:t xml:space="preserve"> consistent with our conceptual analysis</w:t>
      </w:r>
      <w:r>
        <w:rPr>
          <w:rStyle w:val="AERbody"/>
        </w:rPr>
        <w:t xml:space="preserve">. This </w:t>
      </w:r>
      <w:r w:rsidRPr="00B90B7A">
        <w:rPr>
          <w:rStyle w:val="AERbody"/>
        </w:rPr>
        <w:t xml:space="preserve">suggests the systematic risk of </w:t>
      </w:r>
      <w:r>
        <w:rPr>
          <w:rStyle w:val="AERbody"/>
        </w:rPr>
        <w:t>CitiPower</w:t>
      </w:r>
      <w:r>
        <w:rPr>
          <w:rStyle w:val="FootnoteReference"/>
        </w:rPr>
        <w:footnoteReference w:id="234"/>
      </w:r>
      <w:r w:rsidRPr="00B90B7A">
        <w:rPr>
          <w:rStyle w:val="AERbody"/>
        </w:rPr>
        <w:t xml:space="preserve"> would be less than the systematic risk of </w:t>
      </w:r>
      <w:r>
        <w:rPr>
          <w:rStyle w:val="AERbody"/>
        </w:rPr>
        <w:t>the</w:t>
      </w:r>
      <w:r w:rsidRPr="00B90B7A">
        <w:rPr>
          <w:rStyle w:val="AERbody"/>
        </w:rPr>
        <w:t xml:space="preserve"> market </w:t>
      </w:r>
      <w:r>
        <w:rPr>
          <w:rStyle w:val="AERbody"/>
        </w:rPr>
        <w:t>as a whole</w:t>
      </w:r>
      <w:r w:rsidRPr="00B90B7A">
        <w:rPr>
          <w:rStyle w:val="AERbody"/>
        </w:rPr>
        <w:t xml:space="preserve"> (that is, </w:t>
      </w:r>
      <w:r>
        <w:rPr>
          <w:rStyle w:val="AERbody"/>
        </w:rPr>
        <w:t xml:space="preserve">its equity beta would be </w:t>
      </w:r>
      <w:r w:rsidRPr="00B90B7A">
        <w:rPr>
          <w:rStyle w:val="AERbody"/>
        </w:rPr>
        <w:t xml:space="preserve">less than 1.0). </w:t>
      </w:r>
      <w:r>
        <w:rPr>
          <w:rStyle w:val="AERbody"/>
        </w:rPr>
        <w:t>Our conceptual analysis is supported by McKenzie and Partington.</w:t>
      </w:r>
      <w:r>
        <w:rPr>
          <w:rStyle w:val="FootnoteReference"/>
        </w:rPr>
        <w:footnoteReference w:id="235"/>
      </w:r>
    </w:p>
    <w:p w:rsidR="00DB0499" w:rsidRDefault="00DB0499" w:rsidP="00DB0499">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 xml:space="preserve"> are reasonably consistent with an equity beta towards the upper end of our range. </w:t>
      </w:r>
      <w:r w:rsidRPr="00482D74">
        <w:rPr>
          <w:rStyle w:val="AERbody"/>
        </w:rPr>
        <w:t xml:space="preserve">For firms with an equity beta below 1.0, the Black CAPM theory may support </w:t>
      </w:r>
      <w:r>
        <w:rPr>
          <w:rStyle w:val="AERbody"/>
        </w:rPr>
        <w:t xml:space="preserve">using </w:t>
      </w:r>
      <w:r w:rsidRPr="00482D74">
        <w:rPr>
          <w:rStyle w:val="AERbody"/>
        </w:rPr>
        <w:t xml:space="preserve">a higher equity </w:t>
      </w:r>
      <w:r>
        <w:rPr>
          <w:rStyle w:val="AERbody"/>
        </w:rPr>
        <w:t xml:space="preserve">beta </w:t>
      </w:r>
      <w:r w:rsidRPr="00482D74">
        <w:rPr>
          <w:rStyle w:val="AERbody"/>
        </w:rPr>
        <w:t xml:space="preserve">than </w:t>
      </w:r>
      <w:r>
        <w:rPr>
          <w:rStyle w:val="AERbody"/>
        </w:rPr>
        <w:t>those estimated from businesses with a similar degree of risk as CitiPower when used within a Sharpe-Lintner CAPM</w:t>
      </w:r>
      <w:r w:rsidRPr="00482D74">
        <w:rPr>
          <w:rStyle w:val="AERbody"/>
        </w:rPr>
        <w:t xml:space="preserve">. </w:t>
      </w:r>
      <w:r>
        <w:rPr>
          <w:rStyle w:val="AERbody"/>
        </w:rPr>
        <w:t>This is a result of t</w:t>
      </w:r>
      <w:r w:rsidRPr="00482D74">
        <w:rPr>
          <w:rStyle w:val="AERbody"/>
        </w:rPr>
        <w:t>he Black CAPM relax</w:t>
      </w:r>
      <w:r>
        <w:rPr>
          <w:rStyle w:val="AERbody"/>
        </w:rPr>
        <w:t>ing</w:t>
      </w:r>
      <w:r w:rsidRPr="00482D74">
        <w:rPr>
          <w:rStyle w:val="AERbody"/>
        </w:rPr>
        <w:t xml:space="preserve"> an assumption underlying the S</w:t>
      </w:r>
      <w:r>
        <w:rPr>
          <w:rStyle w:val="AERbody"/>
        </w:rPr>
        <w:t>harpe-</w:t>
      </w:r>
      <w:r w:rsidRPr="00482D74">
        <w:rPr>
          <w:rStyle w:val="AERbody"/>
        </w:rPr>
        <w:t>L</w:t>
      </w:r>
      <w:r>
        <w:rPr>
          <w:rStyle w:val="AERbody"/>
        </w:rPr>
        <w:t xml:space="preserve">intner </w:t>
      </w:r>
      <w:r w:rsidRPr="00482D74">
        <w:rPr>
          <w:rStyle w:val="AERbody"/>
        </w:rPr>
        <w:t>CAPM, which allows for unlimited borrowing and lending at the risk free rate.</w:t>
      </w:r>
      <w:r w:rsidRPr="00482D74">
        <w:rPr>
          <w:rStyle w:val="FootnoteReference"/>
        </w:rPr>
        <w:footnoteReference w:id="236"/>
      </w:r>
      <w:r w:rsidRPr="00482D74">
        <w:rPr>
          <w:rStyle w:val="AERbody"/>
        </w:rPr>
        <w:t xml:space="preserve"> However, we do not consider the theory underlying the Black CAPM warrants a specific uplift or adjustment to the equity beta point estimate. </w:t>
      </w:r>
      <w:r>
        <w:rPr>
          <w:rStyle w:val="AERbody"/>
        </w:rPr>
        <w:t xml:space="preserve">The reasons for our use of the Black CAPM theory are set out in more detail in section </w:t>
      </w:r>
      <w:r>
        <w:rPr>
          <w:rStyle w:val="AERbody"/>
        </w:rPr>
        <w:fldChar w:fldCharType="begin"/>
      </w:r>
      <w:r>
        <w:rPr>
          <w:rStyle w:val="AERbody"/>
        </w:rPr>
        <w:instrText xml:space="preserve"> REF _Ref448924785 \r \h </w:instrText>
      </w:r>
      <w:r>
        <w:rPr>
          <w:rStyle w:val="AERbody"/>
        </w:rPr>
      </w:r>
      <w:r>
        <w:rPr>
          <w:rStyle w:val="AERbody"/>
        </w:rPr>
        <w:fldChar w:fldCharType="separate"/>
      </w:r>
      <w:r w:rsidR="00BA2E8E">
        <w:rPr>
          <w:rStyle w:val="AERbody"/>
        </w:rPr>
        <w:t>B.2.3</w:t>
      </w:r>
      <w:r>
        <w:rPr>
          <w:rStyle w:val="AERbody"/>
        </w:rPr>
        <w:fldChar w:fldCharType="end"/>
      </w:r>
      <w:r>
        <w:rPr>
          <w:rStyle w:val="AERbody"/>
        </w:rPr>
        <w:t>.</w:t>
      </w:r>
    </w:p>
    <w:p w:rsidR="00DB0499" w:rsidRDefault="00DB0499" w:rsidP="00DB0499">
      <w:pPr>
        <w:pStyle w:val="AERbulletlistfirststyle"/>
      </w:pPr>
      <w:r>
        <w:rPr>
          <w:rStyle w:val="AERbody"/>
        </w:rPr>
        <w:t>W</w:t>
      </w:r>
      <w:r w:rsidRPr="002D3111">
        <w:rPr>
          <w:rStyle w:val="AERbody"/>
        </w:rPr>
        <w:t xml:space="preserve">e </w:t>
      </w:r>
      <w:r>
        <w:rPr>
          <w:rStyle w:val="AERbody"/>
        </w:rPr>
        <w:t>recognise</w:t>
      </w:r>
      <w:r w:rsidRPr="002D3111">
        <w:rPr>
          <w:rStyle w:val="AERbody"/>
        </w:rPr>
        <w:t xml:space="preserve"> the importance of providing stakeholders with </w:t>
      </w:r>
      <w:r>
        <w:rPr>
          <w:rStyle w:val="AERbody"/>
        </w:rPr>
        <w:t>transparency</w:t>
      </w:r>
      <w:r w:rsidRPr="002D3111">
        <w:rPr>
          <w:rStyle w:val="AERbody"/>
        </w:rPr>
        <w:t xml:space="preserve"> and predictability in our rate of return decisions, which we consider is consistent with </w:t>
      </w:r>
      <w:r>
        <w:rPr>
          <w:rStyle w:val="AERbody"/>
        </w:rPr>
        <w:t>the achievement of</w:t>
      </w:r>
      <w:r w:rsidRPr="002D3111">
        <w:rPr>
          <w:rStyle w:val="AERbody"/>
        </w:rPr>
        <w:t xml:space="preserve"> the </w:t>
      </w:r>
      <w:r w:rsidR="009C74CF">
        <w:t>ARORO</w:t>
      </w:r>
      <w:r>
        <w:rPr>
          <w:rStyle w:val="AERbody"/>
        </w:rPr>
        <w:t>.</w:t>
      </w:r>
      <w:r>
        <w:rPr>
          <w:rStyle w:val="FootnoteReference"/>
        </w:rPr>
        <w:footnoteReference w:id="237"/>
      </w:r>
      <w:r>
        <w:rPr>
          <w:rStyle w:val="AERbody"/>
        </w:rPr>
        <w:t xml:space="preserve"> In this context, a point estimate of 0.7 is consistent with our Guideline (which was developed following extensive consultation) and is a</w:t>
      </w:r>
      <w:r w:rsidRPr="00662172">
        <w:rPr>
          <w:rStyle w:val="AERbody"/>
        </w:rPr>
        <w:t xml:space="preserve"> </w:t>
      </w:r>
      <w:r>
        <w:rPr>
          <w:rStyle w:val="AERbody"/>
        </w:rPr>
        <w:t>modest</w:t>
      </w:r>
      <w:r w:rsidRPr="00662172">
        <w:rPr>
          <w:rStyle w:val="AERbody"/>
        </w:rPr>
        <w:t xml:space="preserve"> step down from previous regulatory determinations</w:t>
      </w:r>
      <w:r>
        <w:rPr>
          <w:rStyle w:val="AERbody"/>
        </w:rPr>
        <w:t>.</w:t>
      </w:r>
      <w:r>
        <w:rPr>
          <w:rStyle w:val="FootnoteReference"/>
        </w:rPr>
        <w:footnoteReference w:id="238"/>
      </w:r>
      <w:r w:rsidRPr="00662172">
        <w:rPr>
          <w:rStyle w:val="AERbody"/>
        </w:rPr>
        <w:t xml:space="preserve"> </w:t>
      </w:r>
      <w:r>
        <w:rPr>
          <w:rStyle w:val="AERbody"/>
        </w:rPr>
        <w:t>It also</w:t>
      </w:r>
      <w:r w:rsidRPr="00662172">
        <w:rPr>
          <w:rStyle w:val="AERbody"/>
        </w:rPr>
        <w:t xml:space="preserve"> recognises the uncertainty inherent in estimating unobservable parameters, such as the equity beta</w:t>
      </w:r>
      <w:r>
        <w:rPr>
          <w:rStyle w:val="AERbody"/>
        </w:rPr>
        <w:t xml:space="preserve"> for a benchmark efficient entity</w:t>
      </w:r>
      <w:r w:rsidRPr="00662172">
        <w:rPr>
          <w:rStyle w:val="AERbody"/>
        </w:rPr>
        <w:t>.</w:t>
      </w:r>
    </w:p>
    <w:p w:rsidR="00DB0499" w:rsidRDefault="00DB0499" w:rsidP="00DB0499">
      <w:r>
        <w:t xml:space="preserve">Our direct measurements of the equity beta for businesses with a similar degree of risk as CitiPower are primarily </w:t>
      </w:r>
      <w:r w:rsidRPr="00B90B7A">
        <w:rPr>
          <w:rStyle w:val="AERbody"/>
        </w:rPr>
        <w:t xml:space="preserve">based on </w:t>
      </w:r>
      <w:r>
        <w:t xml:space="preserve">an expert report from Professor Olan Henry (Henry), which uses data for </w:t>
      </w:r>
      <w:r w:rsidRPr="00B90B7A">
        <w:rPr>
          <w:rStyle w:val="AERbody"/>
        </w:rPr>
        <w:t xml:space="preserve">a set of Australian energy </w:t>
      </w:r>
      <w:r>
        <w:rPr>
          <w:rStyle w:val="AERbody"/>
        </w:rPr>
        <w:t>network</w:t>
      </w:r>
      <w:r w:rsidRPr="00B90B7A">
        <w:rPr>
          <w:rStyle w:val="AERbody"/>
        </w:rPr>
        <w:t xml:space="preserve"> </w:t>
      </w:r>
      <w:r>
        <w:rPr>
          <w:rStyle w:val="AERbody"/>
        </w:rPr>
        <w:t>businesses</w:t>
      </w:r>
      <w:r w:rsidRPr="00B90B7A">
        <w:rPr>
          <w:rStyle w:val="AERbody"/>
        </w:rPr>
        <w:t xml:space="preserve"> </w:t>
      </w:r>
      <w:r>
        <w:t>up to 28 June 2013.</w:t>
      </w:r>
      <w:r>
        <w:rPr>
          <w:rStyle w:val="FootnoteReference"/>
        </w:rPr>
        <w:footnoteReference w:id="239"/>
      </w:r>
      <w:r>
        <w:t xml:space="preserve"> We also consider a number of other empirical studies of the equity beta of Australian energy network businesses. These empirical studies show a consistent pattern of equity beta estimates that is robust to the use of different econometric methods and time periods. From 2002 to 2014, these empirical studies present equity beta estimates that converge on the range of 0.4 to 0.7.</w:t>
      </w:r>
      <w:r>
        <w:rPr>
          <w:rStyle w:val="FootnoteReference"/>
        </w:rPr>
        <w:footnoteReference w:id="240"/>
      </w:r>
      <w:r>
        <w:t xml:space="preserve"> We also consider recent equity beta estimates for international energy businesses, which range from 0.3 to 1.0. However, the pattern of international estimates is not consistent and we consider international businesses are less likely than Australian businesses to have a similar degree of systematic risk as CitiPower. More information on empirical estimates can be found in section</w:t>
      </w:r>
      <w:r w:rsidR="00646E62">
        <w:t xml:space="preserve"> </w:t>
      </w:r>
      <w:r w:rsidR="00646E62">
        <w:fldChar w:fldCharType="begin"/>
      </w:r>
      <w:r w:rsidR="00646E62">
        <w:instrText xml:space="preserve"> REF _Ref451675978 \r \h </w:instrText>
      </w:r>
      <w:r w:rsidR="00646E62">
        <w:fldChar w:fldCharType="separate"/>
      </w:r>
      <w:r w:rsidR="00BA2E8E">
        <w:t>G</w:t>
      </w:r>
      <w:r w:rsidR="00646E62">
        <w:fldChar w:fldCharType="end"/>
      </w:r>
      <w:r>
        <w:t>.</w:t>
      </w:r>
    </w:p>
    <w:p w:rsidR="00DB0499" w:rsidRPr="002D3111" w:rsidRDefault="00DB0499" w:rsidP="00DB0499">
      <w:pPr>
        <w:rPr>
          <w:rStyle w:val="AERbody"/>
        </w:rPr>
      </w:pPr>
      <w:r w:rsidDel="00246056">
        <w:rPr>
          <w:rStyle w:val="AERbody"/>
        </w:rPr>
        <w:t xml:space="preserve">We </w:t>
      </w:r>
      <w:r w:rsidRPr="002D3111" w:rsidDel="00246056">
        <w:rPr>
          <w:rStyle w:val="AERbody"/>
        </w:rPr>
        <w:t xml:space="preserve">consider the evidence in Henry's 2014 report suggests a best empirical estimate </w:t>
      </w:r>
      <w:r w:rsidDel="00246056">
        <w:rPr>
          <w:rStyle w:val="AERbody"/>
        </w:rPr>
        <w:t xml:space="preserve">for the equity beta </w:t>
      </w:r>
      <w:r w:rsidRPr="002D3111" w:rsidDel="00246056">
        <w:rPr>
          <w:rStyle w:val="AERbody"/>
        </w:rPr>
        <w:t xml:space="preserve">of approximately 0.5. </w:t>
      </w:r>
      <w:r w:rsidRPr="002D3111">
        <w:rPr>
          <w:rStyle w:val="AERbody"/>
        </w:rPr>
        <w:t xml:space="preserve">However, </w:t>
      </w:r>
      <w:r>
        <w:rPr>
          <w:rStyle w:val="AERbody"/>
        </w:rPr>
        <w:t>we consider that the international estimates, in conjunction with considerations of the Black CAPM and investor certainty (as discussed above), support a higher estimate and an estimate at the upper end of our range.</w:t>
      </w:r>
      <w:r>
        <w:rPr>
          <w:rStyle w:val="FootnoteReference"/>
        </w:rPr>
        <w:footnoteReference w:id="241"/>
      </w:r>
      <w:r>
        <w:rPr>
          <w:rStyle w:val="AERbody"/>
        </w:rPr>
        <w:t xml:space="preserve"> </w:t>
      </w:r>
      <w:r w:rsidRPr="002D3111">
        <w:t xml:space="preserve">Our equity beta point estimate </w:t>
      </w:r>
      <w:r>
        <w:t xml:space="preserve">also </w:t>
      </w:r>
      <w:r w:rsidRPr="002D3111">
        <w:t>provides a balanced outcome given the submissions by stakeholders and services providers</w:t>
      </w:r>
      <w:r>
        <w:t xml:space="preserve">, as shown in </w:t>
      </w:r>
      <w:r>
        <w:fldChar w:fldCharType="begin"/>
      </w:r>
      <w:r>
        <w:instrText xml:space="preserve"> REF  _Ref401235334 \* Lower \h </w:instrText>
      </w:r>
      <w:r>
        <w:fldChar w:fldCharType="separate"/>
      </w:r>
      <w:r w:rsidR="00BA2E8E">
        <w:t xml:space="preserve">figure </w:t>
      </w:r>
      <w:r w:rsidR="00BA2E8E">
        <w:rPr>
          <w:noProof/>
        </w:rPr>
        <w:t>3</w:t>
      </w:r>
      <w:r w:rsidR="00BA2E8E">
        <w:noBreakHyphen/>
      </w:r>
      <w:r w:rsidR="00BA2E8E">
        <w:rPr>
          <w:noProof/>
        </w:rPr>
        <w:t>4</w:t>
      </w:r>
      <w:r>
        <w:fldChar w:fldCharType="end"/>
      </w:r>
      <w:r>
        <w:t xml:space="preserve">. </w:t>
      </w:r>
    </w:p>
    <w:p w:rsidR="00DB0499" w:rsidRDefault="00DB0499" w:rsidP="00DB0499">
      <w:pPr>
        <w:pStyle w:val="Caption"/>
      </w:pPr>
      <w:bookmarkStart w:id="135" w:name="_Ref401235334"/>
      <w:r>
        <w:t xml:space="preserve">Figure </w:t>
      </w:r>
      <w:fldSimple w:instr=" STYLEREF 1 \s ">
        <w:r w:rsidR="00BA2E8E">
          <w:rPr>
            <w:noProof/>
          </w:rPr>
          <w:t>3</w:t>
        </w:r>
      </w:fldSimple>
      <w:r w:rsidR="00A6197A">
        <w:noBreakHyphen/>
      </w:r>
      <w:fldSimple w:instr=" SEQ Figure \* ARABIC \s 1 ">
        <w:r w:rsidR="00BA2E8E">
          <w:rPr>
            <w:noProof/>
          </w:rPr>
          <w:t>4</w:t>
        </w:r>
      </w:fldSimple>
      <w:bookmarkEnd w:id="135"/>
      <w:r>
        <w:tab/>
        <w:t xml:space="preserve">Submissions on the value of the equity beta </w:t>
      </w:r>
    </w:p>
    <w:p w:rsidR="00DB0499" w:rsidRPr="00812033" w:rsidRDefault="00DB0499" w:rsidP="00DB0499">
      <w:pPr>
        <w:numPr>
          <w:ilvl w:val="0"/>
          <w:numId w:val="24"/>
        </w:numPr>
        <w:rPr>
          <w:rStyle w:val="AERbody"/>
        </w:rPr>
      </w:pPr>
      <w:r w:rsidRPr="00DB0499">
        <w:rPr>
          <w:noProof/>
          <w:lang w:eastAsia="en-AU"/>
        </w:rPr>
        <w:drawing>
          <wp:inline distT="0" distB="0" distL="0" distR="0" wp14:anchorId="054930C5" wp14:editId="63E0A106">
            <wp:extent cx="5382895" cy="322293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82895" cy="3222934"/>
                    </a:xfrm>
                    <a:prstGeom prst="rect">
                      <a:avLst/>
                    </a:prstGeom>
                    <a:noFill/>
                    <a:ln>
                      <a:noFill/>
                    </a:ln>
                  </pic:spPr>
                </pic:pic>
              </a:graphicData>
            </a:graphic>
          </wp:inline>
        </w:drawing>
      </w:r>
    </w:p>
    <w:p w:rsidR="00DB0499" w:rsidRPr="00F474B9" w:rsidRDefault="00DB0499" w:rsidP="00DB0499">
      <w:pPr>
        <w:pStyle w:val="AERtablesource"/>
      </w:pPr>
      <w:r>
        <w:t>Source:</w:t>
      </w:r>
      <w:r>
        <w:tab/>
      </w:r>
      <w:r w:rsidRPr="00F474B9">
        <w:t>AER analysis</w:t>
      </w:r>
      <w:r w:rsidRPr="00F474B9">
        <w:rPr>
          <w:rStyle w:val="FootnoteReference"/>
        </w:rPr>
        <w:footnoteReference w:id="242"/>
      </w:r>
    </w:p>
    <w:p w:rsidR="00DB0499" w:rsidRDefault="00DB0499" w:rsidP="00DB0499">
      <w:pPr>
        <w:pStyle w:val="AERtablesource"/>
      </w:pPr>
      <w:r w:rsidRPr="00F474B9">
        <w:t>Note:</w:t>
      </w:r>
      <w:r w:rsidRPr="00F474B9">
        <w:tab/>
        <w:t>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the CCP's submission and the upper bound is based on Origin's submission. The SFG 2015 and 2016 range lower bound is based on SFG/Frontier's regression analysis of Australian and US firms (submitted under a multiple model approach for the return on equity) and the upper bound is based on SFG/Frontier's multiple model based equity beta estimates (under its alternative ‘foundation model' approaches for the return on equity)</w:t>
      </w:r>
      <w:r w:rsidRPr="00817DDD">
        <w:t>.</w:t>
      </w:r>
      <w:r w:rsidRPr="00A71CB9">
        <w:t xml:space="preserve"> </w:t>
      </w:r>
    </w:p>
    <w:p w:rsidR="00DB0499" w:rsidRDefault="00DB0499" w:rsidP="00DB0499">
      <w:pPr>
        <w:numPr>
          <w:ilvl w:val="0"/>
          <w:numId w:val="24"/>
        </w:numPr>
      </w:pPr>
      <w:r>
        <w:t xml:space="preserve">We note </w:t>
      </w:r>
      <w:r w:rsidRPr="00010BCE">
        <w:t>th</w:t>
      </w:r>
      <w:r>
        <w:t>at</w:t>
      </w:r>
      <w:r w:rsidRPr="00010BCE">
        <w:t xml:space="preserve"> </w:t>
      </w:r>
      <w:r>
        <w:t>some stakeholders</w:t>
      </w:r>
      <w:r w:rsidRPr="00010BCE">
        <w:t xml:space="preserve"> </w:t>
      </w:r>
      <w:r>
        <w:t>submitted</w:t>
      </w:r>
      <w:r w:rsidRPr="00010BCE">
        <w:t xml:space="preserve"> that </w:t>
      </w:r>
      <w:r>
        <w:t xml:space="preserve">we place too much reliance on some material, that </w:t>
      </w:r>
      <w:r w:rsidRPr="00010BCE">
        <w:t xml:space="preserve">we did not have appropriate </w:t>
      </w:r>
      <w:r>
        <w:t xml:space="preserve">regard </w:t>
      </w:r>
      <w:r w:rsidRPr="00010BCE">
        <w:t>to information from other relevant sources</w:t>
      </w:r>
      <w:r>
        <w:t>, or that we made inappropriate methodological choices in our empirical analysis</w:t>
      </w:r>
      <w:r w:rsidRPr="00010BCE">
        <w:t xml:space="preserve">. </w:t>
      </w:r>
      <w:r>
        <w:fldChar w:fldCharType="begin"/>
      </w:r>
      <w:r>
        <w:instrText xml:space="preserve"> REF _Ref446189883 \h </w:instrText>
      </w:r>
      <w:r>
        <w:fldChar w:fldCharType="separate"/>
      </w:r>
      <w:r w:rsidR="00BA2E8E">
        <w:t xml:space="preserve">Table </w:t>
      </w:r>
      <w:r w:rsidR="00BA2E8E">
        <w:rPr>
          <w:noProof/>
        </w:rPr>
        <w:t>3</w:t>
      </w:r>
      <w:r w:rsidR="00BA2E8E">
        <w:noBreakHyphen/>
      </w:r>
      <w:r w:rsidR="00BA2E8E">
        <w:rPr>
          <w:noProof/>
        </w:rPr>
        <w:t>6</w:t>
      </w:r>
      <w:r>
        <w:fldChar w:fldCharType="end"/>
      </w:r>
      <w:r>
        <w:t xml:space="preserve"> sets out stakeholder views on our use of relevant material. We also note that</w:t>
      </w:r>
      <w:r w:rsidRPr="00F95DFD">
        <w:t xml:space="preserve"> </w:t>
      </w:r>
      <w:r>
        <w:t>Partington and Satchell, having reviewed the relevant submissions, continue to support our foundation model approach.</w:t>
      </w:r>
      <w:r>
        <w:rPr>
          <w:rStyle w:val="FootnoteReference"/>
        </w:rPr>
        <w:footnoteReference w:id="243"/>
      </w:r>
      <w:r>
        <w:t xml:space="preserve"> </w:t>
      </w:r>
    </w:p>
    <w:p w:rsidR="00DB0499" w:rsidRDefault="00DB0499" w:rsidP="00DB0499">
      <w:pPr>
        <w:numPr>
          <w:ilvl w:val="0"/>
          <w:numId w:val="24"/>
        </w:numPr>
      </w:pPr>
      <w:r w:rsidRPr="00B005DF">
        <w:t xml:space="preserve">Having considered the overall information and </w:t>
      </w:r>
      <w:r>
        <w:t xml:space="preserve">all </w:t>
      </w:r>
      <w:r w:rsidRPr="00B005DF">
        <w:t xml:space="preserve">material before us, at this time we are not satisfied that </w:t>
      </w:r>
      <w:r>
        <w:t>these submissions indicate</w:t>
      </w:r>
      <w:r w:rsidRPr="00B005DF">
        <w:t xml:space="preserve"> a departure from the </w:t>
      </w:r>
      <w:r>
        <w:t>G</w:t>
      </w:r>
      <w:r w:rsidRPr="00B005DF">
        <w:t xml:space="preserve">uideline would </w:t>
      </w:r>
      <w:r>
        <w:t>contribute to the achievement of</w:t>
      </w:r>
      <w:r w:rsidRPr="00B005DF">
        <w:t xml:space="preserve"> the </w:t>
      </w:r>
      <w:r w:rsidR="009C74CF">
        <w:t>ARORO</w:t>
      </w:r>
      <w:r w:rsidRPr="00B005DF">
        <w:t xml:space="preserve">. </w:t>
      </w:r>
      <w:r>
        <w:t xml:space="preserve"> We are satisfied that an equity beta of 0.7 will contribute to the achievement of the </w:t>
      </w:r>
      <w:r w:rsidR="009C74CF">
        <w:t xml:space="preserve">ARORO </w:t>
      </w:r>
      <w:r>
        <w:t>and the NEO.</w:t>
      </w:r>
      <w:r>
        <w:rPr>
          <w:rStyle w:val="FootnoteReference"/>
        </w:rPr>
        <w:footnoteReference w:id="244"/>
      </w:r>
    </w:p>
    <w:p w:rsidR="00DB0499" w:rsidRDefault="00DB0499" w:rsidP="00DB0499">
      <w:pPr>
        <w:pStyle w:val="Caption"/>
      </w:pPr>
      <w:bookmarkStart w:id="136" w:name="_Ref446189883"/>
      <w:r>
        <w:t xml:space="preserve">Table </w:t>
      </w:r>
      <w:fldSimple w:instr=" STYLEREF 1 \s ">
        <w:r w:rsidR="00BA2E8E">
          <w:rPr>
            <w:noProof/>
          </w:rPr>
          <w:t>3</w:t>
        </w:r>
      </w:fldSimple>
      <w:r w:rsidR="000F4BC3">
        <w:noBreakHyphen/>
      </w:r>
      <w:fldSimple w:instr=" SEQ Table \* ARABIC \s 1 ">
        <w:r w:rsidR="00BA2E8E">
          <w:rPr>
            <w:noProof/>
          </w:rPr>
          <w:t>6</w:t>
        </w:r>
      </w:fldSimple>
      <w:bookmarkEnd w:id="136"/>
      <w:r>
        <w:tab/>
        <w:t>I</w:t>
      </w:r>
      <w:r w:rsidRPr="00C73E51">
        <w:t xml:space="preserve">ssues </w:t>
      </w:r>
      <w:r>
        <w:t>raised on</w:t>
      </w:r>
      <w:r w:rsidRPr="00C73E51">
        <w:t xml:space="preserve"> </w:t>
      </w:r>
      <w:r>
        <w:t>the estimation of</w:t>
      </w:r>
      <w:r w:rsidRPr="00C73E51">
        <w:t xml:space="preserve"> </w:t>
      </w:r>
      <w:r>
        <w:t>equity beta</w:t>
      </w:r>
    </w:p>
    <w:tbl>
      <w:tblPr>
        <w:tblStyle w:val="AERtable-text0"/>
        <w:tblW w:w="0" w:type="auto"/>
        <w:tblLook w:val="04A0" w:firstRow="1" w:lastRow="0" w:firstColumn="1" w:lastColumn="0" w:noHBand="0" w:noVBand="1"/>
      </w:tblPr>
      <w:tblGrid>
        <w:gridCol w:w="3510"/>
        <w:gridCol w:w="5183"/>
      </w:tblGrid>
      <w:tr w:rsidR="00DB0499" w:rsidTr="00DB0499">
        <w:trPr>
          <w:cnfStyle w:val="100000000000" w:firstRow="1" w:lastRow="0" w:firstColumn="0" w:lastColumn="0" w:oddVBand="0" w:evenVBand="0" w:oddHBand="0" w:evenHBand="0" w:firstRowFirstColumn="0" w:firstRowLastColumn="0" w:lastRowFirstColumn="0" w:lastRowLastColumn="0"/>
        </w:trPr>
        <w:tc>
          <w:tcPr>
            <w:tcW w:w="3510" w:type="dxa"/>
          </w:tcPr>
          <w:p w:rsidR="00DB0499" w:rsidRPr="00DB0499" w:rsidRDefault="00DB0499" w:rsidP="00DB0499">
            <w:r>
              <w:t>Issue</w:t>
            </w:r>
          </w:p>
        </w:tc>
        <w:tc>
          <w:tcPr>
            <w:tcW w:w="5183" w:type="dxa"/>
          </w:tcPr>
          <w:p w:rsidR="00DB0499" w:rsidRPr="00DB0499" w:rsidRDefault="00DB0499" w:rsidP="00DB0499">
            <w:r>
              <w:t>Our response</w:t>
            </w:r>
          </w:p>
        </w:tc>
      </w:tr>
      <w:tr w:rsidR="00DB0499" w:rsidTr="00DB0499">
        <w:tc>
          <w:tcPr>
            <w:tcW w:w="8693" w:type="dxa"/>
            <w:gridSpan w:val="2"/>
          </w:tcPr>
          <w:p w:rsidR="00DB0499" w:rsidRPr="00DB0499" w:rsidRDefault="00DB0499" w:rsidP="00DB0499">
            <w:pPr>
              <w:rPr>
                <w:rStyle w:val="AERtextsize8"/>
              </w:rPr>
            </w:pPr>
            <w:r>
              <w:rPr>
                <w:rStyle w:val="Strong"/>
              </w:rPr>
              <w:t>E</w:t>
            </w:r>
            <w:r w:rsidRPr="00DB0499">
              <w:rPr>
                <w:rStyle w:val="Strong"/>
              </w:rPr>
              <w:t>mpirical analysis</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Our comparator set of Australian energy network firms is too small and results in unreliable equity beta estimates</w:t>
            </w:r>
            <w:r w:rsidRPr="00DB0499">
              <w:rPr>
                <w:rStyle w:val="FootnoteReference"/>
              </w:rPr>
              <w:footnoteReference w:id="245"/>
            </w:r>
          </w:p>
        </w:tc>
        <w:tc>
          <w:tcPr>
            <w:tcW w:w="5183" w:type="dxa"/>
          </w:tcPr>
          <w:p w:rsidR="00DB0499" w:rsidRDefault="00DB0499" w:rsidP="00DB0499">
            <w:pPr>
              <w:numPr>
                <w:ilvl w:val="0"/>
                <w:numId w:val="24"/>
              </w:numPr>
              <w:rPr>
                <w:rStyle w:val="AERtextsize8"/>
              </w:rPr>
            </w:pPr>
            <w:r w:rsidRPr="00092D62">
              <w:rPr>
                <w:rStyle w:val="AERtextsize8"/>
              </w:rPr>
              <w:t>We do not consider our Australian empirical equity beta estimates are unreliable. SFG appears to have taken a narrow definition of what is reliable in this context.</w:t>
            </w:r>
            <w:r>
              <w:t xml:space="preserve"> </w:t>
            </w:r>
            <w:r w:rsidRPr="00092D62">
              <w:rPr>
                <w:rStyle w:val="AERtextsize8"/>
              </w:rPr>
              <w:t>Decreasing the dispersion of estimates by increasing the size of the comparator set may not be helpful if that comparator set is less representative of what we are trying to estimate.</w:t>
            </w:r>
          </w:p>
          <w:p w:rsidR="00DB0499" w:rsidRDefault="00DB0499" w:rsidP="00DB0499">
            <w:pPr>
              <w:numPr>
                <w:ilvl w:val="0"/>
                <w:numId w:val="24"/>
              </w:numPr>
              <w:rPr>
                <w:rStyle w:val="AERtextsize8"/>
              </w:rPr>
            </w:pPr>
            <w:r w:rsidRPr="00DF4B12">
              <w:rPr>
                <w:rStyle w:val="AERtextsize8"/>
              </w:rPr>
              <w:t>We consider the data</w:t>
            </w:r>
            <w:r>
              <w:rPr>
                <w:rStyle w:val="AERtextsize8"/>
              </w:rPr>
              <w:t xml:space="preserve"> from our comparator set of Australian energy network firms</w:t>
            </w:r>
            <w:r w:rsidRPr="00DF4B12">
              <w:rPr>
                <w:rStyle w:val="AERtextsize8"/>
              </w:rPr>
              <w:t xml:space="preserve"> is sufficient for us to form an equity beta estimate that will contribute to the achievement of </w:t>
            </w:r>
            <w:r w:rsidR="009C74CF" w:rsidRPr="00DF4B12">
              <w:rPr>
                <w:rStyle w:val="AERtextsize8"/>
              </w:rPr>
              <w:t xml:space="preserve">the </w:t>
            </w:r>
            <w:r w:rsidR="009C74CF">
              <w:rPr>
                <w:rStyle w:val="AERtextsize8"/>
              </w:rPr>
              <w:t>ARORO</w:t>
            </w:r>
            <w:r w:rsidRPr="00DF4B12">
              <w:rPr>
                <w:rStyle w:val="AERtextsize8"/>
              </w:rPr>
              <w:t>.</w:t>
            </w:r>
            <w:r>
              <w:t xml:space="preserve"> The comparator set contains firms with a similar degree of risk as that which applies to CitiPower's provision of regulated services. </w:t>
            </w:r>
            <w:r>
              <w:rPr>
                <w:rStyle w:val="AERtextsize8"/>
              </w:rPr>
              <w:t>This comparator set</w:t>
            </w:r>
            <w:r w:rsidRPr="00DF4B12">
              <w:rPr>
                <w:rStyle w:val="AERtextsize8"/>
              </w:rPr>
              <w:t xml:space="preserve"> generates a consistent pattern of empirical equity beta estimates that is robust a</w:t>
            </w:r>
            <w:r>
              <w:rPr>
                <w:rStyle w:val="AERtextsize8"/>
              </w:rPr>
              <w:t>cross econometric techniques,</w:t>
            </w:r>
            <w:r w:rsidRPr="00DF4B12">
              <w:rPr>
                <w:rStyle w:val="AERtextsize8"/>
              </w:rPr>
              <w:t xml:space="preserve"> time periods</w:t>
            </w:r>
            <w:r>
              <w:rPr>
                <w:rStyle w:val="AERtextsize8"/>
              </w:rPr>
              <w:t xml:space="preserve"> and different combinations of comparator firms</w:t>
            </w:r>
            <w:r w:rsidRPr="00DF4B12">
              <w:rPr>
                <w:rStyle w:val="AERtextsize8"/>
              </w:rPr>
              <w:t>.</w:t>
            </w:r>
          </w:p>
          <w:p w:rsidR="00DB0499" w:rsidRPr="007C153E" w:rsidRDefault="00DB0499" w:rsidP="00DB0499">
            <w:pPr>
              <w:numPr>
                <w:ilvl w:val="0"/>
                <w:numId w:val="24"/>
              </w:numPr>
              <w:rPr>
                <w:rStyle w:val="AERtextsize8"/>
              </w:rPr>
            </w:pPr>
            <w:r>
              <w:rPr>
                <w:rStyle w:val="AERtextsize8"/>
              </w:rPr>
              <w:t xml:space="preserve">We consider this issue in more detail in section </w:t>
            </w:r>
            <w:r>
              <w:rPr>
                <w:rStyle w:val="AERtextsize8"/>
              </w:rPr>
              <w:fldChar w:fldCharType="begin"/>
            </w:r>
            <w:r>
              <w:rPr>
                <w:rStyle w:val="AERtextsize8"/>
              </w:rPr>
              <w:instrText xml:space="preserve"> REF _Ref446254453 \r \h </w:instrText>
            </w:r>
            <w:r>
              <w:rPr>
                <w:rStyle w:val="AERtextsize8"/>
              </w:rPr>
            </w:r>
            <w:r>
              <w:rPr>
                <w:rStyle w:val="AERtextsize8"/>
              </w:rPr>
              <w:fldChar w:fldCharType="separate"/>
            </w:r>
            <w:r w:rsidR="00BA2E8E">
              <w:rPr>
                <w:rStyle w:val="AERtextsize8"/>
              </w:rPr>
              <w:t>G.4.2</w:t>
            </w:r>
            <w:r>
              <w:rPr>
                <w:rStyle w:val="AERtextsize8"/>
              </w:rPr>
              <w:fldChar w:fldCharType="end"/>
            </w:r>
            <w:r>
              <w:rPr>
                <w:rStyle w:val="AERtextsize8"/>
              </w:rPr>
              <w:t xml:space="preserve"> of this attachment. We also considered this issue in detail in sections D.2.1, D.2.3, and D.5.1 of Attachment 3 to CitiPower's preliminary decision and that reasoning remains relevant.</w:t>
            </w:r>
          </w:p>
        </w:tc>
      </w:tr>
      <w:tr w:rsidR="00DB0499" w:rsidTr="00DB0499">
        <w:tc>
          <w:tcPr>
            <w:tcW w:w="3510" w:type="dxa"/>
          </w:tcPr>
          <w:p w:rsidR="00DB0499" w:rsidRPr="00DB0499" w:rsidRDefault="00DB0499" w:rsidP="00DB0499">
            <w:pPr>
              <w:rPr>
                <w:rStyle w:val="AERtextsize8"/>
              </w:rPr>
            </w:pPr>
            <w:r>
              <w:rPr>
                <w:rStyle w:val="AERtextsize8"/>
              </w:rPr>
              <w:t>Our comparator set should include international energy firms</w:t>
            </w:r>
            <w:r w:rsidRPr="00DB0499">
              <w:rPr>
                <w:rStyle w:val="AERtextsize8"/>
              </w:rPr>
              <w:t xml:space="preserve"> (specifically, 56 US firms) and Australian non-energy infrastructure firms</w:t>
            </w:r>
            <w:r w:rsidRPr="00DB0499">
              <w:rPr>
                <w:rStyle w:val="FootnoteReference"/>
              </w:rPr>
              <w:footnoteReference w:id="246"/>
            </w:r>
          </w:p>
        </w:tc>
        <w:tc>
          <w:tcPr>
            <w:tcW w:w="5183" w:type="dxa"/>
          </w:tcPr>
          <w:p w:rsidR="00DB0499" w:rsidRPr="00DB0499" w:rsidRDefault="00DB0499" w:rsidP="00DB0499">
            <w:pPr>
              <w:rPr>
                <w:rStyle w:val="AERtextsize8"/>
              </w:rPr>
            </w:pPr>
            <w:r w:rsidRPr="00DF4B12">
              <w:rPr>
                <w:rStyle w:val="AERtextsize8"/>
              </w:rPr>
              <w:t xml:space="preserve">We consider international energy firms are </w:t>
            </w:r>
            <w:r w:rsidRPr="00DB0499">
              <w:rPr>
                <w:rStyle w:val="AERtextsize8"/>
              </w:rPr>
              <w:t xml:space="preserve">unlikely to have a similar degree of risk as CitiPower (in the provision of regulated services), for several reasons set out in section </w:t>
            </w:r>
            <w:r w:rsidRPr="00DB0499">
              <w:rPr>
                <w:rStyle w:val="AERtextsize8"/>
              </w:rPr>
              <w:fldChar w:fldCharType="begin"/>
            </w:r>
            <w:r w:rsidRPr="00DB0499">
              <w:rPr>
                <w:rStyle w:val="AERtextsize8"/>
              </w:rPr>
              <w:instrText xml:space="preserve"> REF _Ref446254445 \r \h </w:instrText>
            </w:r>
            <w:r w:rsidRPr="00DB0499">
              <w:rPr>
                <w:rStyle w:val="AERtextsize8"/>
              </w:rPr>
            </w:r>
            <w:r w:rsidRPr="00DB0499">
              <w:rPr>
                <w:rStyle w:val="AERtextsize8"/>
              </w:rPr>
              <w:fldChar w:fldCharType="separate"/>
            </w:r>
            <w:r w:rsidR="00BA2E8E">
              <w:rPr>
                <w:rStyle w:val="AERtextsize8"/>
              </w:rPr>
              <w:t>G.4.3</w:t>
            </w:r>
            <w:r w:rsidRPr="00DB0499">
              <w:rPr>
                <w:rStyle w:val="AERtextsize8"/>
              </w:rPr>
              <w:fldChar w:fldCharType="end"/>
            </w:r>
            <w:r w:rsidRPr="00DB0499">
              <w:rPr>
                <w:rStyle w:val="AERtextsize8"/>
              </w:rPr>
              <w:t xml:space="preserve"> of this attachment. We also considered this issue in detail in section D.2.1 of Attachment 3 to CitiPower's preliminary decision.</w:t>
            </w:r>
            <w:r w:rsidRPr="00DB0499">
              <w:rPr>
                <w:rStyle w:val="CommentReference"/>
              </w:rPr>
              <w:t xml:space="preserve"> </w:t>
            </w:r>
          </w:p>
          <w:p w:rsidR="00DB0499" w:rsidRPr="00DB0499" w:rsidRDefault="00DB0499" w:rsidP="00DB0499">
            <w:pPr>
              <w:rPr>
                <w:rStyle w:val="AERtextsize8"/>
              </w:rPr>
            </w:pPr>
            <w:r>
              <w:rPr>
                <w:rStyle w:val="AERtextsize8"/>
              </w:rPr>
              <w:t>W</w:t>
            </w:r>
            <w:r w:rsidRPr="00DB0499">
              <w:rPr>
                <w:rStyle w:val="AERtextsize8"/>
              </w:rPr>
              <w:t xml:space="preserve">e also consider other (Australian) infrastructure firms are not suitable comparators to the benchmark efficient entity in this case, for several reasons set out in section </w:t>
            </w:r>
            <w:r w:rsidRPr="00DB0499">
              <w:rPr>
                <w:rStyle w:val="AERtextsize8"/>
              </w:rPr>
              <w:fldChar w:fldCharType="begin"/>
            </w:r>
            <w:r w:rsidRPr="00DB0499">
              <w:rPr>
                <w:rStyle w:val="AERtextsize8"/>
              </w:rPr>
              <w:instrText xml:space="preserve"> REF _Ref446254437 \r \h </w:instrText>
            </w:r>
            <w:r w:rsidRPr="00DB0499">
              <w:rPr>
                <w:rStyle w:val="AERtextsize8"/>
              </w:rPr>
            </w:r>
            <w:r w:rsidRPr="00DB0499">
              <w:rPr>
                <w:rStyle w:val="AERtextsize8"/>
              </w:rPr>
              <w:fldChar w:fldCharType="separate"/>
            </w:r>
            <w:r w:rsidR="00BA2E8E">
              <w:rPr>
                <w:rStyle w:val="AERtextsize8"/>
              </w:rPr>
              <w:t>G.4.4</w:t>
            </w:r>
            <w:r w:rsidRPr="00DB0499">
              <w:rPr>
                <w:rStyle w:val="AERtextsize8"/>
              </w:rPr>
              <w:fldChar w:fldCharType="end"/>
            </w:r>
            <w:r w:rsidRPr="00DB0499">
              <w:rPr>
                <w:rStyle w:val="AERtextsize8"/>
              </w:rPr>
              <w:t xml:space="preserve"> of this attachment. </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395B67">
            <w:pPr>
              <w:rPr>
                <w:rStyle w:val="AERtextsize8"/>
              </w:rPr>
            </w:pPr>
            <w:r>
              <w:rPr>
                <w:rStyle w:val="AERtextsize8"/>
              </w:rPr>
              <w:t xml:space="preserve">Our comparator set should not be restricted to regulated entities as the benchmark efficient entity should </w:t>
            </w:r>
            <w:r w:rsidRPr="00DB0499">
              <w:rPr>
                <w:rStyle w:val="AERtextsize8"/>
              </w:rPr>
              <w:t>be defined as an unregulated entity operating in a workably competitive market</w:t>
            </w:r>
            <w:r w:rsidR="00395B67" w:rsidRPr="00DB0499">
              <w:rPr>
                <w:rStyle w:val="FootnoteReference"/>
              </w:rPr>
              <w:footnoteReference w:id="247"/>
            </w:r>
            <w:r w:rsidR="00395B67">
              <w:rPr>
                <w:rStyle w:val="AERtextsize8"/>
              </w:rPr>
              <w:t xml:space="preserve"> </w:t>
            </w:r>
          </w:p>
        </w:tc>
        <w:tc>
          <w:tcPr>
            <w:tcW w:w="5183" w:type="dxa"/>
          </w:tcPr>
          <w:p w:rsidR="00DB0499" w:rsidRPr="00DB0499" w:rsidRDefault="00DB0499" w:rsidP="00A85649">
            <w:pPr>
              <w:rPr>
                <w:rStyle w:val="AERtextsize8"/>
              </w:rPr>
            </w:pPr>
            <w:r w:rsidRPr="00FB32AD">
              <w:rPr>
                <w:rStyle w:val="AERtextsize8"/>
              </w:rPr>
              <w:t>We do not agree</w:t>
            </w:r>
            <w:r w:rsidRPr="00DB0499">
              <w:rPr>
                <w:rStyle w:val="AERtextsize8"/>
              </w:rPr>
              <w:t xml:space="preserve">. </w:t>
            </w:r>
            <w:r w:rsidRPr="00DB0499">
              <w:t>We consider the regulatory framework for the provision of standard control services mitigates the risk exposure that service providers face in significant respects and therefore must be properly accounted for in equity beta estimates. Incentive regulation typically allows businesses to earn more stable cash flows with periodic resetting of revenues to better reflect actual expenditure. Most unregulated businesses do not have these same protections or restrictions, and so are likely to have a very different risk profile. We carefully considered these factors when developing the Guideline. Overall, we consider that a substantial proportion of the regulatory framework has the effect of mitigating various systematic and non-systematic risks.</w:t>
            </w:r>
          </w:p>
        </w:tc>
      </w:tr>
      <w:tr w:rsidR="00DB0499" w:rsidTr="00DB0499">
        <w:tc>
          <w:tcPr>
            <w:tcW w:w="3510" w:type="dxa"/>
          </w:tcPr>
          <w:p w:rsidR="00DB0499" w:rsidRPr="00DB0499" w:rsidRDefault="00DB0499" w:rsidP="00DB0499">
            <w:pPr>
              <w:rPr>
                <w:rStyle w:val="AERtextsize8"/>
              </w:rPr>
            </w:pPr>
            <w:r>
              <w:rPr>
                <w:rStyle w:val="AERtextsize8"/>
              </w:rPr>
              <w:t xml:space="preserve">Our comparator set should exclude firms that are less comparable to the benchmark efficient </w:t>
            </w:r>
            <w:r w:rsidRPr="00DB0499">
              <w:rPr>
                <w:rStyle w:val="AERtextsize8"/>
              </w:rPr>
              <w:t>entity (e.g. have a low proportion of regulated assets)</w:t>
            </w:r>
            <w:r w:rsidRPr="00DB0499">
              <w:rPr>
                <w:rStyle w:val="FootnoteReference"/>
              </w:rPr>
              <w:footnoteReference w:id="248"/>
            </w:r>
          </w:p>
        </w:tc>
        <w:tc>
          <w:tcPr>
            <w:tcW w:w="5183" w:type="dxa"/>
          </w:tcPr>
          <w:p w:rsidR="00DB0499" w:rsidRPr="00DB0499" w:rsidRDefault="00DB0499" w:rsidP="00DB0499">
            <w:pPr>
              <w:rPr>
                <w:rStyle w:val="AERtextsize8"/>
              </w:rPr>
            </w:pPr>
            <w:r w:rsidRPr="00FB32AD">
              <w:rPr>
                <w:rStyle w:val="AERtextsize8"/>
              </w:rPr>
              <w:t xml:space="preserve">We are satisfied, at this time, that our comparator set is sufficiently reflective of the benchmark efficient entity, given </w:t>
            </w:r>
            <w:r w:rsidRPr="00DB0499">
              <w:rPr>
                <w:rStyle w:val="AERtextsize8"/>
              </w:rPr>
              <w:t>the trade-off between increased statistical precision from a larger comparator set and comparability of the firms to the benchmark efficient entity. For more detail, see section D.2.1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 xml:space="preserve">Our comparator set should exclude delisted </w:t>
            </w:r>
            <w:r w:rsidRPr="00DB0499">
              <w:rPr>
                <w:rStyle w:val="AERtextsize8"/>
              </w:rPr>
              <w:t>firms whose data are outdated</w:t>
            </w:r>
            <w:r w:rsidRPr="00DB0499">
              <w:rPr>
                <w:rStyle w:val="FootnoteReference"/>
              </w:rPr>
              <w:footnoteReference w:id="249"/>
            </w:r>
          </w:p>
        </w:tc>
        <w:tc>
          <w:tcPr>
            <w:tcW w:w="5183" w:type="dxa"/>
          </w:tcPr>
          <w:p w:rsidR="00DB0499" w:rsidRPr="00DB0499" w:rsidRDefault="00DB0499" w:rsidP="00603E97">
            <w:pPr>
              <w:rPr>
                <w:rStyle w:val="AERtextsize8"/>
              </w:rPr>
            </w:pPr>
            <w:r>
              <w:t>In relation to the exclusion of delisted firms, we acknowledge that some of our comparator firms have been delisted for some time. However, we consider three estimation periods in our empirical analysis, one of which is the last five years. This captures the more recent data and excludes Alinta, AGL Energy Limite</w:t>
            </w:r>
            <w:r w:rsidR="00603E97">
              <w:t>d</w:t>
            </w:r>
            <w:r>
              <w:t xml:space="preserve"> and GasNet (who only have relevant data to 2006 or 2007). The average estimate from this estimation period is not substantially different from the longer estimation periods (in fact, it is slightly lower, see </w:t>
            </w:r>
            <w:r w:rsidRPr="00DB0499">
              <w:fldChar w:fldCharType="begin"/>
            </w:r>
            <w:r w:rsidRPr="00DB0499">
              <w:instrText xml:space="preserve"> REF _Ref446197185 \h </w:instrText>
            </w:r>
            <w:r w:rsidRPr="00DB0499">
              <w:fldChar w:fldCharType="separate"/>
            </w:r>
            <w:r w:rsidR="00BA2E8E">
              <w:t xml:space="preserve">Table </w:t>
            </w:r>
            <w:r w:rsidR="00BA2E8E">
              <w:rPr>
                <w:noProof/>
              </w:rPr>
              <w:t>3</w:t>
            </w:r>
            <w:r w:rsidR="00BA2E8E">
              <w:noBreakHyphen/>
            </w:r>
            <w:r w:rsidR="00BA2E8E">
              <w:rPr>
                <w:noProof/>
              </w:rPr>
              <w:t>35</w:t>
            </w:r>
            <w:r w:rsidRPr="00DB0499">
              <w:fldChar w:fldCharType="end"/>
            </w:r>
            <w:r w:rsidRPr="00DB0499">
              <w:t xml:space="preserve">). The two most recent portfolios we consider (P4 and P5) also provide estimates that are, overall, not substantially different from the portfolios that include older data (see </w:t>
            </w:r>
            <w:r w:rsidRPr="00DB0499">
              <w:fldChar w:fldCharType="begin"/>
            </w:r>
            <w:r w:rsidRPr="00DB0499">
              <w:instrText xml:space="preserve"> REF _Ref446197176 \h </w:instrText>
            </w:r>
            <w:r w:rsidRPr="00DB0499">
              <w:fldChar w:fldCharType="separate"/>
            </w:r>
            <w:r w:rsidR="00BA2E8E">
              <w:t xml:space="preserve">Table </w:t>
            </w:r>
            <w:r w:rsidR="00BA2E8E">
              <w:rPr>
                <w:noProof/>
              </w:rPr>
              <w:t>3</w:t>
            </w:r>
            <w:r w:rsidR="00BA2E8E">
              <w:noBreakHyphen/>
            </w:r>
            <w:r w:rsidR="00BA2E8E">
              <w:rPr>
                <w:noProof/>
              </w:rPr>
              <w:t>36</w:t>
            </w:r>
            <w:r w:rsidRPr="00DB0499">
              <w:fldChar w:fldCharType="end"/>
            </w:r>
            <w:r w:rsidRPr="00DB0499">
              <w:t>). We consider these results suggest that including older data in our empirical analysis (which increases the size of our dataset) does not bias the results.</w:t>
            </w:r>
          </w:p>
        </w:tc>
      </w:tr>
      <w:tr w:rsidR="00DB0499" w:rsidTr="00DB0499">
        <w:tc>
          <w:tcPr>
            <w:tcW w:w="3510" w:type="dxa"/>
          </w:tcPr>
          <w:p w:rsidR="00DB0499" w:rsidRPr="00DB0499" w:rsidRDefault="00DB0499" w:rsidP="00DB0499">
            <w:pPr>
              <w:rPr>
                <w:rStyle w:val="AERtextsize8"/>
              </w:rPr>
            </w:pPr>
            <w:r>
              <w:rPr>
                <w:rStyle w:val="AERtextsize8"/>
              </w:rPr>
              <w:t xml:space="preserve">The </w:t>
            </w:r>
            <w:r w:rsidRPr="00DB0499">
              <w:rPr>
                <w:rStyle w:val="AERtextsize8"/>
              </w:rPr>
              <w:t>Least Absolute Deviations (LAD) estimation method produces systematically downward biased equity beta estimates and should not be used</w:t>
            </w:r>
            <w:r w:rsidRPr="00DB0499">
              <w:rPr>
                <w:rStyle w:val="FootnoteReference"/>
              </w:rPr>
              <w:footnoteReference w:id="250"/>
            </w:r>
          </w:p>
        </w:tc>
        <w:tc>
          <w:tcPr>
            <w:tcW w:w="5183" w:type="dxa"/>
          </w:tcPr>
          <w:p w:rsidR="00DB0499" w:rsidRPr="00DB0499" w:rsidRDefault="00DB0499" w:rsidP="00DB0499">
            <w:pPr>
              <w:rPr>
                <w:rStyle w:val="AERtextsize8"/>
              </w:rPr>
            </w:pPr>
            <w:r>
              <w:t>We are not satisfied that SFG has produced compelling evidence to infer the LAD estimator produces systematically downward biased estimates of equity beta.</w:t>
            </w:r>
            <w:r w:rsidRPr="00DB0499">
              <w:t xml:space="preserve"> For example, we consider that discovering LAD estimates are lower than </w:t>
            </w:r>
            <w:r w:rsidR="00395B67">
              <w:t>Ordinary Least Squares (</w:t>
            </w:r>
            <w:r w:rsidRPr="00DB0499">
              <w:t>OLS</w:t>
            </w:r>
            <w:r w:rsidR="00395B67">
              <w:t>)</w:t>
            </w:r>
            <w:r w:rsidRPr="00DB0499">
              <w:t xml:space="preserve"> estimates ex post, on a particular subset of the market, does not necessarily indicate systematic bias. In any case, we rely more on OLS estimates and consider that removing LAD estimates from our empirical analysis would not substantially change our empirical results. </w:t>
            </w:r>
            <w:r w:rsidRPr="00DB0499">
              <w:rPr>
                <w:rStyle w:val="AERtextsize8"/>
              </w:rPr>
              <w:t>We considered this issue in section D.2.2 of Attachment 3 to CitiPower's preliminary decision and that reasoning remains relevant.</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The mining boom should be excluded from the estimation periods</w:t>
            </w:r>
            <w:r w:rsidRPr="00DB0499">
              <w:rPr>
                <w:rStyle w:val="FootnoteReference"/>
              </w:rPr>
              <w:footnoteReference w:id="251"/>
            </w:r>
          </w:p>
        </w:tc>
        <w:tc>
          <w:tcPr>
            <w:tcW w:w="5183" w:type="dxa"/>
          </w:tcPr>
          <w:p w:rsidR="00DB0499" w:rsidRPr="00DB0499" w:rsidRDefault="00DB0499" w:rsidP="00DB0499">
            <w:pPr>
              <w:rPr>
                <w:rStyle w:val="AERtextsize8"/>
              </w:rPr>
            </w:pPr>
            <w:r>
              <w:rPr>
                <w:rStyle w:val="AERtextsize8"/>
              </w:rPr>
              <w:t>W</w:t>
            </w:r>
            <w:r w:rsidRPr="00DB0499">
              <w:rPr>
                <w:rStyle w:val="AERtextsize8"/>
              </w:rPr>
              <w:t>e consider that, at any given time, there are sectors of the economy that are experiencing relative booms and busts. As such, we do not consider the mining boom period represents an exceptional circumstance that should be removed from the estimation periods we use to estimate the equity beta. For more detail see section D.2.2 of Attachment 3 to CitiPower's preliminary decision.</w:t>
            </w:r>
          </w:p>
        </w:tc>
      </w:tr>
      <w:tr w:rsidR="00DB0499" w:rsidTr="00DB0499">
        <w:tc>
          <w:tcPr>
            <w:tcW w:w="3510" w:type="dxa"/>
          </w:tcPr>
          <w:p w:rsidR="00DB0499" w:rsidRPr="00DB0499" w:rsidRDefault="00DB0499" w:rsidP="00DB0499">
            <w:pPr>
              <w:rPr>
                <w:rStyle w:val="AERtextsize8"/>
              </w:rPr>
            </w:pPr>
            <w:r>
              <w:rPr>
                <w:rStyle w:val="AERtextsize8"/>
              </w:rPr>
              <w:t xml:space="preserve">We do not </w:t>
            </w:r>
            <w:r w:rsidRPr="00DB0499">
              <w:rPr>
                <w:rStyle w:val="AERtextsize8"/>
              </w:rPr>
              <w:t>account for variation in equity beta estimates based on how the return interval is defined (in particular, what reference day is chosen to calculate weekly or monthly returns)</w:t>
            </w:r>
            <w:r w:rsidRPr="00DB0499">
              <w:rPr>
                <w:rStyle w:val="FootnoteReference"/>
              </w:rPr>
              <w:footnoteReference w:id="252"/>
            </w:r>
          </w:p>
        </w:tc>
        <w:tc>
          <w:tcPr>
            <w:tcW w:w="5183" w:type="dxa"/>
          </w:tcPr>
          <w:p w:rsidR="00DB0499" w:rsidRPr="00DB0499" w:rsidRDefault="00DB0499" w:rsidP="00DB0499">
            <w:pPr>
              <w:rPr>
                <w:rStyle w:val="AERtextsize8"/>
              </w:rPr>
            </w:pPr>
            <w:r w:rsidRPr="00F62774">
              <w:rPr>
                <w:rStyle w:val="AERtextsize8"/>
              </w:rPr>
              <w:t xml:space="preserve">We do not consider that SFG has provided any basis to expect that returns based </w:t>
            </w:r>
            <w:r w:rsidRPr="00DB0499">
              <w:rPr>
                <w:rStyle w:val="AERtextsize8"/>
              </w:rPr>
              <w:t>on a particular day of the week will underestimate or overestimate equity beta for the benchmark efficient entity. For more detail see section D.2.2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Only re-levered equity beta estimates should be relied on</w:t>
            </w:r>
            <w:r w:rsidRPr="00DB0499">
              <w:rPr>
                <w:rStyle w:val="FootnoteReference"/>
              </w:rPr>
              <w:footnoteReference w:id="253"/>
            </w:r>
          </w:p>
        </w:tc>
        <w:tc>
          <w:tcPr>
            <w:tcW w:w="5183" w:type="dxa"/>
          </w:tcPr>
          <w:p w:rsidR="00DB0499" w:rsidRPr="00DB0499" w:rsidRDefault="00DB0499" w:rsidP="00DB0499">
            <w:pPr>
              <w:rPr>
                <w:rStyle w:val="AERtextsize8"/>
              </w:rPr>
            </w:pPr>
            <w:r>
              <w:rPr>
                <w:rStyle w:val="AERtextsize8"/>
              </w:rPr>
              <w:t xml:space="preserve">We consider </w:t>
            </w:r>
            <w:r w:rsidRPr="00DB0499">
              <w:rPr>
                <w:rStyle w:val="AERtextsize8"/>
              </w:rPr>
              <w:t>it is useful to consider both raw and re-levered equity beta estimates where possible. On one hand, the resulting estimates will be more aligned with our benchmark. On the other hand, the relationship between equity beta, financial leverage and financial risk is complex and uncertain. Making a specific adjustment for leverage imposes a certain assumed relationship that may not necessarily be correct in all circumstances. For more detail see sections D.2.2 and D.3 of Attachment 3 to CitiPower's preliminary decision. In their most recent report, Partington and Satchell reiterate their view that re-levering equity betas is problematic.</w:t>
            </w:r>
            <w:r w:rsidRPr="00DB0499">
              <w:rPr>
                <w:rStyle w:val="FootnoteReference"/>
              </w:rPr>
              <w:footnoteReference w:id="254"/>
            </w:r>
          </w:p>
        </w:tc>
      </w:tr>
      <w:tr w:rsidR="00DB0499" w:rsidTr="00DB0499">
        <w:tc>
          <w:tcPr>
            <w:tcW w:w="3510" w:type="dxa"/>
          </w:tcPr>
          <w:p w:rsidR="00DB0499" w:rsidRPr="00DB0499" w:rsidRDefault="00DB0499" w:rsidP="00DB0499">
            <w:pPr>
              <w:rPr>
                <w:rStyle w:val="AERtextsize8"/>
              </w:rPr>
            </w:pPr>
            <w:r>
              <w:rPr>
                <w:rStyle w:val="AERtextsize8"/>
              </w:rPr>
              <w:t>Averages of individual firm estimates are largely meaningless</w:t>
            </w:r>
            <w:r w:rsidRPr="00DB0499">
              <w:rPr>
                <w:rStyle w:val="FootnoteReference"/>
              </w:rPr>
              <w:footnoteReference w:id="255"/>
            </w:r>
            <w:r w:rsidRPr="00DB0499">
              <w:rPr>
                <w:rStyle w:val="AERtextsize8"/>
              </w:rPr>
              <w:t xml:space="preserve"> </w:t>
            </w:r>
          </w:p>
        </w:tc>
        <w:tc>
          <w:tcPr>
            <w:tcW w:w="5183" w:type="dxa"/>
          </w:tcPr>
          <w:p w:rsidR="00DB0499" w:rsidRPr="00DB0499" w:rsidRDefault="00DB0499" w:rsidP="00DB0499">
            <w:pPr>
              <w:rPr>
                <w:rStyle w:val="AERtextsize8"/>
              </w:rPr>
            </w:pPr>
            <w:r w:rsidRPr="00B14F38">
              <w:rPr>
                <w:rStyle w:val="AERtextsize8"/>
              </w:rPr>
              <w:t xml:space="preserve">Because no one comparator firm is perfectly reflective of </w:t>
            </w:r>
            <w:r w:rsidRPr="00DB0499">
              <w:rPr>
                <w:rStyle w:val="AERtextsize8"/>
              </w:rPr>
              <w:t>a benchmark efficient entity with a similar degree of risk as that which applies to CitiPower in providing regulated services, we rely on averages of individual firm estimates to determine an equity beta range. SFG, Frontier Economics, CEG and NERA, in their reports for several service providers, also rely on averages of individual firm estimates.</w:t>
            </w:r>
            <w:r w:rsidRPr="00DB0499">
              <w:rPr>
                <w:rStyle w:val="FootnoteReference"/>
              </w:rPr>
              <w:footnoteReference w:id="256"/>
            </w:r>
            <w:r w:rsidRPr="00DB0499">
              <w:rPr>
                <w:rStyle w:val="AERtextsize8"/>
              </w:rPr>
              <w:t xml:space="preserve"> For more detail see section D.2.2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The basis of the portfolio formations in Henry's 2014 report is unclear</w:t>
            </w:r>
            <w:r w:rsidRPr="00DB0499">
              <w:rPr>
                <w:rStyle w:val="FootnoteReference"/>
              </w:rPr>
              <w:footnoteReference w:id="257"/>
            </w:r>
          </w:p>
        </w:tc>
        <w:tc>
          <w:tcPr>
            <w:tcW w:w="5183" w:type="dxa"/>
          </w:tcPr>
          <w:p w:rsidR="00DB0499" w:rsidRPr="00DB0499" w:rsidRDefault="00DB0499" w:rsidP="00DB0499">
            <w:pPr>
              <w:rPr>
                <w:rStyle w:val="AERtextsize8"/>
              </w:rPr>
            </w:pPr>
            <w:r w:rsidRPr="00B428B6">
              <w:rPr>
                <w:rStyle w:val="AERtextsize8"/>
              </w:rPr>
              <w:t xml:space="preserve">Each firm </w:t>
            </w:r>
            <w:r w:rsidRPr="00DB0499">
              <w:rPr>
                <w:rStyle w:val="AERtextsize8"/>
              </w:rPr>
              <w:t>in a particular portfolio must have returns data over the same period. For example, we cannot include a firm with data from 2000 to 2007 in a portfolio with another firm with data from 2005 to 2013. A portfolio can only be formed in this scenario if common data from 2005 to 2007 is used.</w:t>
            </w:r>
          </w:p>
          <w:p w:rsidR="00DB0499" w:rsidRPr="00DB0499" w:rsidRDefault="00DB0499" w:rsidP="00DB0499">
            <w:pPr>
              <w:rPr>
                <w:rStyle w:val="AERtextsize8"/>
              </w:rPr>
            </w:pPr>
            <w:r>
              <w:rPr>
                <w:rStyle w:val="AERtextsize8"/>
              </w:rPr>
              <w:t>T</w:t>
            </w:r>
            <w:r w:rsidRPr="00DB0499">
              <w:rPr>
                <w:rStyle w:val="AERtextsize8"/>
              </w:rPr>
              <w:t>he firms in our comparator set trade over different time periods (that is, they have returns data over different periods). Therefore, in forming our portfolios, we balanced the desirability of having a long time period that includes recent data with the desirability of having more firms in the portfolio. We also sought to capture each firm in our comparator set in at least one portfolio.</w:t>
            </w:r>
            <w:r w:rsidRPr="00DB0499">
              <w:rPr>
                <w:rStyle w:val="FootnoteReference"/>
              </w:rPr>
              <w:footnoteReference w:id="258"/>
            </w:r>
          </w:p>
        </w:tc>
      </w:tr>
      <w:tr w:rsidR="00DB0499" w:rsidTr="00DB0499">
        <w:tc>
          <w:tcPr>
            <w:tcW w:w="3510" w:type="dxa"/>
          </w:tcPr>
          <w:p w:rsidR="00DB0499" w:rsidRPr="00DB0499" w:rsidRDefault="00DB0499" w:rsidP="00DB0499">
            <w:pPr>
              <w:rPr>
                <w:rStyle w:val="AERtextsize8"/>
              </w:rPr>
            </w:pPr>
            <w:r>
              <w:rPr>
                <w:rStyle w:val="AERtextsize8"/>
              </w:rPr>
              <w:t>The Vasicek adjustment mitigates systematic estimation error</w:t>
            </w:r>
            <w:r w:rsidRPr="00DB0499">
              <w:rPr>
                <w:rStyle w:val="FootnoteReference"/>
              </w:rPr>
              <w:footnoteReference w:id="259"/>
            </w:r>
          </w:p>
        </w:tc>
        <w:tc>
          <w:tcPr>
            <w:tcW w:w="5183" w:type="dxa"/>
          </w:tcPr>
          <w:p w:rsidR="00DB0499" w:rsidRPr="00DB0499" w:rsidRDefault="00DB0499" w:rsidP="00DB0499">
            <w:pPr>
              <w:rPr>
                <w:rStyle w:val="AERtextsize8"/>
              </w:rPr>
            </w:pPr>
            <w:r w:rsidRPr="00A357BE">
              <w:rPr>
                <w:rStyle w:val="AERtextsize8"/>
              </w:rPr>
              <w:t xml:space="preserve">We do not apply </w:t>
            </w:r>
            <w:r w:rsidRPr="00DB0499">
              <w:rPr>
                <w:rStyle w:val="AERtextsize8"/>
              </w:rPr>
              <w:t>a Vasicek adjustment. We note that SFG's application of the Vasicek adjustment assumes a prior distribution of the market as a whole, not the firms that represent the benchmark efficient entity. We also note that applying the Vasicek adjustment in the manner recommended by SFG made little to no difference to the empirical equity beta estimates. For more detail see section D.2.2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Strong"/>
              </w:rPr>
            </w:pPr>
            <w:r w:rsidRPr="007353C8">
              <w:rPr>
                <w:rStyle w:val="Strong"/>
              </w:rPr>
              <w:t>Australian empirical estimates</w:t>
            </w:r>
          </w:p>
        </w:tc>
        <w:tc>
          <w:tcPr>
            <w:tcW w:w="5183" w:type="dxa"/>
          </w:tcPr>
          <w:p w:rsidR="00DB0499" w:rsidRDefault="00DB0499" w:rsidP="00DB0499">
            <w:pPr>
              <w:rPr>
                <w:rStyle w:val="AERtextsize8"/>
              </w:rPr>
            </w:pPr>
          </w:p>
        </w:tc>
      </w:tr>
      <w:tr w:rsidR="00DB0499" w:rsidTr="00DB0499">
        <w:tc>
          <w:tcPr>
            <w:tcW w:w="3510" w:type="dxa"/>
          </w:tcPr>
          <w:p w:rsidR="00DB0499" w:rsidRPr="00DB0499" w:rsidRDefault="00DB0499" w:rsidP="00DB0499">
            <w:pPr>
              <w:rPr>
                <w:rStyle w:val="AERtextsize8"/>
              </w:rPr>
            </w:pPr>
            <w:r>
              <w:rPr>
                <w:rStyle w:val="AERtextsize8"/>
              </w:rPr>
              <w:t>Our range derived from Australian empirical estimates (0.4 to 0.7) is incorrect and inconsistent with Henry's 2014 report</w:t>
            </w:r>
            <w:r w:rsidRPr="00DB0499">
              <w:rPr>
                <w:rStyle w:val="FootnoteReference"/>
              </w:rPr>
              <w:footnoteReference w:id="260"/>
            </w:r>
          </w:p>
        </w:tc>
        <w:tc>
          <w:tcPr>
            <w:tcW w:w="5183" w:type="dxa"/>
          </w:tcPr>
          <w:p w:rsidR="00DB0499" w:rsidRPr="00DB0499" w:rsidRDefault="00DB0499" w:rsidP="00DB0499">
            <w:pPr>
              <w:rPr>
                <w:rStyle w:val="AERtextsize8"/>
              </w:rPr>
            </w:pPr>
            <w:r>
              <w:rPr>
                <w:rStyle w:val="AERtextsize8"/>
              </w:rPr>
              <w:t xml:space="preserve">We recognise </w:t>
            </w:r>
            <w:r w:rsidRPr="00DB0499">
              <w:rPr>
                <w:rStyle w:val="AERtextsize8"/>
              </w:rPr>
              <w:t>Henry reported a range of 0.3 to 0.8. However, while Henry appears to base his range on all his estimates (including individual firm estimates), we consider the most useful empirical estimates in our regulatory context are averages of individual firm estimates and fixed weight portfolio estimates. We note, in any case, that a point estimate of 0.7 is consistent with, and at the higher level of, the range identified by Henry. For more detail see section D.5.1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sidRPr="00AD5FDC">
              <w:rPr>
                <w:rStyle w:val="AERtextsize8"/>
              </w:rPr>
              <w:t>Serv</w:t>
            </w:r>
            <w:r w:rsidRPr="00DB0499">
              <w:rPr>
                <w:rStyle w:val="AERtextsize8"/>
              </w:rPr>
              <w:t>ice providers submit that the equity beta estimates in Henry's 2014 report are highly variable and imprecise</w:t>
            </w:r>
            <w:r w:rsidRPr="00DB0499">
              <w:rPr>
                <w:rStyle w:val="FootnoteReference"/>
              </w:rPr>
              <w:footnoteReference w:id="261"/>
            </w:r>
          </w:p>
          <w:p w:rsidR="00DB0499" w:rsidRPr="00DB0499" w:rsidRDefault="00DB0499" w:rsidP="00DB0499">
            <w:pPr>
              <w:rPr>
                <w:rStyle w:val="AERtextsize8"/>
              </w:rPr>
            </w:pPr>
            <w:r>
              <w:rPr>
                <w:rStyle w:val="AERtextsize8"/>
              </w:rPr>
              <w:t>Other stakeholders submit that t</w:t>
            </w:r>
            <w:r w:rsidRPr="00DB0499">
              <w:rPr>
                <w:rStyle w:val="AERtextsize8"/>
              </w:rPr>
              <w:t>he equity beta estimates in Henry's 2014 report are clustered around a range of 0.3 to 0.5</w:t>
            </w:r>
            <w:r w:rsidRPr="00DB0499">
              <w:rPr>
                <w:rStyle w:val="FootnoteReference"/>
              </w:rPr>
              <w:footnoteReference w:id="262"/>
            </w:r>
          </w:p>
        </w:tc>
        <w:tc>
          <w:tcPr>
            <w:tcW w:w="5183" w:type="dxa"/>
          </w:tcPr>
          <w:p w:rsidR="00DB0499" w:rsidRPr="00DB0499" w:rsidRDefault="00DB0499" w:rsidP="00DB0499">
            <w:pPr>
              <w:rPr>
                <w:rStyle w:val="AERtextsize8"/>
              </w:rPr>
            </w:pPr>
            <w:r>
              <w:rPr>
                <w:rStyle w:val="AERtextsize8"/>
              </w:rPr>
              <w:t>Both</w:t>
            </w:r>
            <w:r w:rsidRPr="00DB0499">
              <w:rPr>
                <w:rStyle w:val="AERtextsize8"/>
              </w:rPr>
              <w:t xml:space="preserve"> viewpoints are based on individual firm estimates. We consider the most useful empirical estimates are averages of individual firm estimates and fixed weight portfolio estimates, and these estimates range from 0.4 to 0.7 under almost every regression permutation considered in Henry's 2014 report. For more detail, see section D.2.3 of Attachment 3 to CitiPower's preliminary decision.</w:t>
            </w:r>
          </w:p>
        </w:tc>
      </w:tr>
      <w:tr w:rsidR="00DB0499" w:rsidTr="00DB0499">
        <w:tc>
          <w:tcPr>
            <w:tcW w:w="3510" w:type="dxa"/>
          </w:tcPr>
          <w:p w:rsidR="00DB0499" w:rsidRPr="00DB0499" w:rsidRDefault="00DB0499" w:rsidP="00DB0499">
            <w:pPr>
              <w:rPr>
                <w:rStyle w:val="AERtextsize8"/>
              </w:rPr>
            </w:pPr>
            <w:r>
              <w:rPr>
                <w:rStyle w:val="AERtextsize8"/>
              </w:rPr>
              <w:t xml:space="preserve">Australian empirical estimates support an equity beta </w:t>
            </w:r>
            <w:r w:rsidRPr="00DB0499">
              <w:rPr>
                <w:rStyle w:val="AERtextsize8"/>
              </w:rPr>
              <w:t>within the range of 0.5 to 0.6</w:t>
            </w:r>
            <w:r w:rsidRPr="00DB0499">
              <w:rPr>
                <w:rStyle w:val="FootnoteReference"/>
              </w:rPr>
              <w:footnoteReference w:id="263"/>
            </w:r>
          </w:p>
        </w:tc>
        <w:tc>
          <w:tcPr>
            <w:tcW w:w="5183" w:type="dxa"/>
          </w:tcPr>
          <w:p w:rsidR="00DB0499" w:rsidRPr="00DB0499" w:rsidRDefault="00DB0499" w:rsidP="00DB0499">
            <w:pPr>
              <w:rPr>
                <w:rStyle w:val="AERtextsize8"/>
              </w:rPr>
            </w:pPr>
            <w:r>
              <w:rPr>
                <w:rStyle w:val="AERtextsize8"/>
              </w:rPr>
              <w:t>We are satisfied the Australian empirical estimates we consider support an equity beta range of 0.4 to 0.7. Our range is based on averages of individual firm estimates and fixed weight portfolio estimates from Henry's 2014 report. We also consider equity beta estimates from a number of other Australia empirical studies.</w:t>
            </w:r>
            <w:r w:rsidRPr="00DB0499">
              <w:rPr>
                <w:rStyle w:val="AERtextsize8"/>
              </w:rPr>
              <w:t xml:space="preserve"> This includes the ERA's 2013 study, which appears to contain the same estimates as the Vo, Mero and Gellard study discussed in the Consumer Challenge Panel's report.</w:t>
            </w:r>
            <w:r w:rsidRPr="00DB0499">
              <w:rPr>
                <w:rStyle w:val="FootnoteReference"/>
              </w:rPr>
              <w:footnoteReference w:id="264"/>
            </w:r>
            <w:r w:rsidRPr="00DB0499">
              <w:rPr>
                <w:rStyle w:val="AERtextsize8"/>
              </w:rPr>
              <w:t xml:space="preserve"> See sections </w:t>
            </w:r>
            <w:r w:rsidRPr="00DB0499">
              <w:rPr>
                <w:rStyle w:val="AERtextsize8"/>
              </w:rPr>
              <w:fldChar w:fldCharType="begin"/>
            </w:r>
            <w:r w:rsidRPr="00DB0499">
              <w:rPr>
                <w:rStyle w:val="AERtextsize8"/>
              </w:rPr>
              <w:instrText xml:space="preserve"> REF _Ref446255169 \r \h </w:instrText>
            </w:r>
            <w:r w:rsidRPr="00DB0499">
              <w:rPr>
                <w:rStyle w:val="AERtextsize8"/>
              </w:rPr>
            </w:r>
            <w:r w:rsidRPr="00DB0499">
              <w:rPr>
                <w:rStyle w:val="AERtextsize8"/>
              </w:rPr>
              <w:fldChar w:fldCharType="separate"/>
            </w:r>
            <w:r w:rsidR="00BA2E8E">
              <w:rPr>
                <w:rStyle w:val="AERtextsize8"/>
              </w:rPr>
              <w:t>G.1</w:t>
            </w:r>
            <w:r w:rsidRPr="00DB0499">
              <w:rPr>
                <w:rStyle w:val="AERtextsize8"/>
              </w:rPr>
              <w:fldChar w:fldCharType="end"/>
            </w:r>
            <w:r w:rsidRPr="00DB0499">
              <w:rPr>
                <w:rStyle w:val="AERtextsize8"/>
              </w:rPr>
              <w:t xml:space="preserve"> and </w:t>
            </w:r>
            <w:r w:rsidRPr="00DB0499">
              <w:rPr>
                <w:rStyle w:val="AERtextsize8"/>
              </w:rPr>
              <w:fldChar w:fldCharType="begin"/>
            </w:r>
            <w:r w:rsidRPr="00DB0499">
              <w:rPr>
                <w:rStyle w:val="AERtextsize8"/>
              </w:rPr>
              <w:instrText xml:space="preserve"> REF _Ref446255164 \r \h </w:instrText>
            </w:r>
            <w:r w:rsidRPr="00DB0499">
              <w:rPr>
                <w:rStyle w:val="AERtextsize8"/>
              </w:rPr>
            </w:r>
            <w:r w:rsidRPr="00DB0499">
              <w:rPr>
                <w:rStyle w:val="AERtextsize8"/>
              </w:rPr>
              <w:fldChar w:fldCharType="separate"/>
            </w:r>
            <w:r w:rsidR="00BA2E8E">
              <w:rPr>
                <w:rStyle w:val="AERtextsize8"/>
              </w:rPr>
              <w:t>G.2</w:t>
            </w:r>
            <w:r w:rsidRPr="00DB0499">
              <w:rPr>
                <w:rStyle w:val="AERtextsize8"/>
              </w:rPr>
              <w:fldChar w:fldCharType="end"/>
            </w:r>
            <w:r w:rsidRPr="00DB0499">
              <w:rPr>
                <w:rStyle w:val="AERtextsize8"/>
              </w:rPr>
              <w:t>.</w:t>
            </w:r>
          </w:p>
          <w:p w:rsidR="00DB0499" w:rsidRPr="00DB0499" w:rsidRDefault="00DB0499" w:rsidP="00DB0499">
            <w:pPr>
              <w:rPr>
                <w:rStyle w:val="AERtextsize8"/>
              </w:rPr>
            </w:pPr>
            <w:r>
              <w:rPr>
                <w:rStyle w:val="AERtextsize8"/>
              </w:rPr>
              <w:t xml:space="preserve">We have regard to other information when selecting our equity beta point estimate from within this range. </w:t>
            </w:r>
            <w:r w:rsidRPr="00DB0499">
              <w:rPr>
                <w:rStyle w:val="AERtextsize8"/>
              </w:rPr>
              <w:t>This includes international empirical estimates and the theoretical principles underpinning the Black CAPM. See section D.5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sidRPr="00AD5FDC">
              <w:rPr>
                <w:rStyle w:val="AERtextsize8"/>
              </w:rPr>
              <w:t xml:space="preserve">We have incorrectly analysed the </w:t>
            </w:r>
            <w:r w:rsidRPr="00DB0499">
              <w:rPr>
                <w:rStyle w:val="AERtextsize8"/>
              </w:rPr>
              <w:t>equity beta estimates in Grant Samuel's 2014 independent expert report</w:t>
            </w:r>
            <w:r w:rsidRPr="00DB0499">
              <w:rPr>
                <w:rStyle w:val="FootnoteReference"/>
              </w:rPr>
              <w:footnoteReference w:id="265"/>
            </w:r>
          </w:p>
        </w:tc>
        <w:tc>
          <w:tcPr>
            <w:tcW w:w="5183" w:type="dxa"/>
          </w:tcPr>
          <w:p w:rsidR="00DB0499" w:rsidRPr="00DB0499" w:rsidRDefault="00DB0499" w:rsidP="00DB0499">
            <w:pPr>
              <w:rPr>
                <w:rStyle w:val="AERtextsize8"/>
              </w:rPr>
            </w:pPr>
            <w:r w:rsidRPr="00AF6BA0">
              <w:rPr>
                <w:rStyle w:val="AERtextsize8"/>
              </w:rPr>
              <w:t>We do not average across the different sources for each energy network firm in Grant Samuel's peer group. We average over the four Australian energy network firms in the peer group for each source</w:t>
            </w:r>
            <w:r w:rsidRPr="00DB0499">
              <w:rPr>
                <w:rStyle w:val="AERtextsize8"/>
              </w:rPr>
              <w:t>. For more detail see section D.2.4 of Attachment 3 to CitiPower's preliminary decision.</w:t>
            </w:r>
          </w:p>
        </w:tc>
      </w:tr>
      <w:tr w:rsidR="00DB0499" w:rsidTr="00DB0499">
        <w:tc>
          <w:tcPr>
            <w:tcW w:w="3510" w:type="dxa"/>
          </w:tcPr>
          <w:p w:rsidR="00DB0499" w:rsidRPr="00DB0499" w:rsidRDefault="00DB0499" w:rsidP="00DB0499">
            <w:pPr>
              <w:rPr>
                <w:rStyle w:val="Strong"/>
              </w:rPr>
            </w:pPr>
            <w:r w:rsidRPr="007353C8">
              <w:rPr>
                <w:rStyle w:val="Strong"/>
              </w:rPr>
              <w:t>International empirical estimates</w:t>
            </w:r>
          </w:p>
        </w:tc>
        <w:tc>
          <w:tcPr>
            <w:tcW w:w="5183" w:type="dxa"/>
          </w:tcPr>
          <w:p w:rsidR="00DB0499" w:rsidRPr="0084394E" w:rsidRDefault="00DB0499" w:rsidP="00DB0499">
            <w:pPr>
              <w:rPr>
                <w:rStyle w:val="AERtextsize8"/>
              </w:rPr>
            </w:pP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Our analysis of international empirical estimates is incorrect</w:t>
            </w:r>
            <w:r w:rsidRPr="00DB0499">
              <w:rPr>
                <w:rStyle w:val="AERtextsize8"/>
              </w:rPr>
              <w:t xml:space="preserve"> because we do not consider the relative reliability of different studies</w:t>
            </w:r>
            <w:r w:rsidRPr="00DB0499">
              <w:rPr>
                <w:rStyle w:val="FootnoteReference"/>
              </w:rPr>
              <w:footnoteReference w:id="266"/>
            </w:r>
          </w:p>
        </w:tc>
        <w:tc>
          <w:tcPr>
            <w:tcW w:w="5183" w:type="dxa"/>
          </w:tcPr>
          <w:p w:rsidR="00DB0499" w:rsidRPr="00DB0499" w:rsidRDefault="00DB0499" w:rsidP="00DB0499">
            <w:pPr>
              <w:rPr>
                <w:rStyle w:val="AERtextsize8"/>
              </w:rPr>
            </w:pPr>
            <w:r w:rsidRPr="0084394E">
              <w:rPr>
                <w:rStyle w:val="AERtextsize8"/>
              </w:rPr>
              <w:t>The reports we review above are from reputable sources.</w:t>
            </w:r>
            <w:r w:rsidRPr="00DB0499">
              <w:rPr>
                <w:rStyle w:val="AERtextsize8"/>
              </w:rPr>
              <w:t xml:space="preserve"> Different reports use different estimation techniques because experts have different views on how best to estimate equity beta. It would be difficult to find reports that are fully consistent with our preferred estimation approach. For more detail see section D.3 of Attachment 3 to CitiPower's preliminary decision.</w:t>
            </w:r>
          </w:p>
        </w:tc>
      </w:tr>
      <w:tr w:rsidR="00DB0499" w:rsidTr="00DB0499">
        <w:tc>
          <w:tcPr>
            <w:tcW w:w="3510" w:type="dxa"/>
          </w:tcPr>
          <w:p w:rsidR="00DB0499" w:rsidRPr="00DB0499" w:rsidRDefault="00DB0499" w:rsidP="00DB0499">
            <w:pPr>
              <w:rPr>
                <w:rStyle w:val="AERtextsize8"/>
              </w:rPr>
            </w:pPr>
            <w:r>
              <w:rPr>
                <w:rStyle w:val="AERtextsize8"/>
              </w:rPr>
              <w:t xml:space="preserve">The international empirical estimates we </w:t>
            </w:r>
            <w:r w:rsidRPr="00DB0499">
              <w:rPr>
                <w:rStyle w:val="AERtextsize8"/>
              </w:rPr>
              <w:t>consider (correctly analysed) are consistent with an equity beta estimate materially above 0.7</w:t>
            </w:r>
            <w:r w:rsidRPr="00DB0499">
              <w:rPr>
                <w:rStyle w:val="FootnoteReference"/>
              </w:rPr>
              <w:footnoteReference w:id="267"/>
            </w:r>
          </w:p>
        </w:tc>
        <w:tc>
          <w:tcPr>
            <w:tcW w:w="5183" w:type="dxa"/>
          </w:tcPr>
          <w:p w:rsidR="00DB0499" w:rsidRPr="00DB0499" w:rsidRDefault="00DB0499" w:rsidP="00DB0499">
            <w:pPr>
              <w:rPr>
                <w:rStyle w:val="AERtextsize8"/>
              </w:rPr>
            </w:pPr>
            <w:r w:rsidRPr="006A40BF">
              <w:rPr>
                <w:rStyle w:val="AERtextsize8"/>
              </w:rPr>
              <w:t xml:space="preserve">We do not agree with SFG's interpretation of the international evidence we </w:t>
            </w:r>
            <w:r w:rsidRPr="00DB0499">
              <w:rPr>
                <w:rStyle w:val="AERtextsize8"/>
              </w:rPr>
              <w:t>consider. We do not consider this evidence implies an equity beta estimate materially above 0.7 for the benchmark efficient entity. For more detail see section D.3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DB0499" w:rsidRPr="00DB0499" w:rsidRDefault="00DB0499" w:rsidP="00DB0499">
            <w:pPr>
              <w:rPr>
                <w:rStyle w:val="Strong"/>
              </w:rPr>
            </w:pPr>
            <w:r w:rsidRPr="00835F59">
              <w:rPr>
                <w:rStyle w:val="Strong"/>
              </w:rPr>
              <w:t>Theoretical principles underpinning the Black CAPM</w:t>
            </w:r>
          </w:p>
        </w:tc>
      </w:tr>
      <w:tr w:rsidR="00DB0499" w:rsidTr="00DB0499">
        <w:tc>
          <w:tcPr>
            <w:tcW w:w="3510" w:type="dxa"/>
          </w:tcPr>
          <w:p w:rsidR="00DB0499" w:rsidRPr="00DB0499" w:rsidRDefault="00DB0499" w:rsidP="00DB0499">
            <w:pPr>
              <w:rPr>
                <w:rStyle w:val="AERtextsize8"/>
              </w:rPr>
            </w:pPr>
            <w:r>
              <w:rPr>
                <w:rStyle w:val="AERtextsize8"/>
              </w:rPr>
              <w:t>W</w:t>
            </w:r>
            <w:r w:rsidRPr="00DB0499">
              <w:rPr>
                <w:rStyle w:val="AERtextsize8"/>
              </w:rPr>
              <w:t>e use the theory of the Black CAPM to apply a specific uplift to equity beta to correct for 'low beta bias'—however, the adjustment is insufficient to correct for this bias in the Sharpe-Lintner CAPM</w:t>
            </w:r>
            <w:r w:rsidRPr="00DB0499">
              <w:rPr>
                <w:rStyle w:val="FootnoteReference"/>
              </w:rPr>
              <w:footnoteReference w:id="268"/>
            </w:r>
          </w:p>
        </w:tc>
        <w:tc>
          <w:tcPr>
            <w:tcW w:w="5183" w:type="dxa"/>
          </w:tcPr>
          <w:p w:rsidR="00DB0499" w:rsidRPr="00DB0499" w:rsidRDefault="00DB0499" w:rsidP="00DB0499">
            <w:pPr>
              <w:rPr>
                <w:rStyle w:val="AERtextsize8"/>
              </w:rPr>
            </w:pPr>
            <w:r w:rsidRPr="006A40BF">
              <w:rPr>
                <w:rStyle w:val="AERtextsize8"/>
              </w:rPr>
              <w:t xml:space="preserve">We do not use the theory underlying the Black CAPM to apply a specific </w:t>
            </w:r>
            <w:r w:rsidRPr="00DB0499">
              <w:rPr>
                <w:rStyle w:val="AERtextsize8"/>
              </w:rPr>
              <w:t>uplift to the equity beta (and we did not do so in the Guideline). We do not consider that the theory of the Black CAPM can reliably support a specific uplift or that it implies that the Sharpe-Lintner CAPM produces biased return on equity estimates. For more detail see sections D.4, D.5.3, and A.2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Our use of the theory of the Black CAPM to inform the equity beta point estimate is arbitrary</w:t>
            </w:r>
            <w:r w:rsidRPr="00DB0499">
              <w:rPr>
                <w:rStyle w:val="AERtextsize8"/>
              </w:rPr>
              <w:t xml:space="preserve"> and/or convoluted.</w:t>
            </w:r>
            <w:r w:rsidRPr="00DB0499">
              <w:rPr>
                <w:rStyle w:val="FootnoteReference"/>
              </w:rPr>
              <w:footnoteReference w:id="269"/>
            </w:r>
            <w:r w:rsidRPr="00DB0499">
              <w:rPr>
                <w:rStyle w:val="AERtextsize8"/>
              </w:rPr>
              <w:t xml:space="preserve"> The correct use of the Black CAPM (under our foundation model approach) is to use it empirically—this results in an equity beta estimate materially higher than 0.7</w:t>
            </w:r>
            <w:r w:rsidRPr="00DB0499">
              <w:rPr>
                <w:rStyle w:val="FootnoteReference"/>
              </w:rPr>
              <w:footnoteReference w:id="270"/>
            </w:r>
          </w:p>
        </w:tc>
        <w:tc>
          <w:tcPr>
            <w:tcW w:w="5183" w:type="dxa"/>
          </w:tcPr>
          <w:p w:rsidR="00DB0499" w:rsidRPr="00DB0499" w:rsidRDefault="00DB0499" w:rsidP="00DB0499">
            <w:pPr>
              <w:rPr>
                <w:rStyle w:val="AERtextsize8"/>
              </w:rPr>
            </w:pPr>
            <w:r>
              <w:rPr>
                <w:rStyle w:val="AERtextsize8"/>
              </w:rPr>
              <w:t>We consider</w:t>
            </w:r>
            <w:r w:rsidRPr="00DB0499">
              <w:rPr>
                <w:rStyle w:val="AERtextsize8"/>
              </w:rPr>
              <w:t xml:space="preserve"> it is open to us to consider the theory underlying the Black CAPM in informing our equity beta estimate. However, we consider the practical application of the Black CAPM produces unreliable empirical estimates. We set our reasons for not relying on empirical estimates of the Black CAPM, and for giving the theory of the Black CAPM an informative role in estimating equity beta, in section 3.4.1 (steps one and two) of CitiPower's preliminary decision.</w:t>
            </w:r>
          </w:p>
        </w:tc>
      </w:tr>
      <w:tr w:rsidR="00DB0499" w:rsidTr="00DB0499">
        <w:tc>
          <w:tcPr>
            <w:tcW w:w="3510" w:type="dxa"/>
          </w:tcPr>
          <w:p w:rsidR="00DB0499" w:rsidRPr="00DB0499" w:rsidRDefault="00DB0499" w:rsidP="00DB0499">
            <w:pPr>
              <w:rPr>
                <w:rStyle w:val="AERtextsize8"/>
              </w:rPr>
            </w:pPr>
            <w:r>
              <w:rPr>
                <w:rStyle w:val="AERtextsize8"/>
              </w:rPr>
              <w:t>Neither the</w:t>
            </w:r>
            <w:r w:rsidRPr="00DB0499">
              <w:rPr>
                <w:rStyle w:val="AERtextsize8"/>
              </w:rPr>
              <w:t xml:space="preserve"> theory nor empirical evidence from the Black CAPM should be used to inform the equity beta point estimate</w:t>
            </w:r>
            <w:r w:rsidRPr="00DB0499">
              <w:rPr>
                <w:rStyle w:val="FootnoteReference"/>
              </w:rPr>
              <w:footnoteReference w:id="271"/>
            </w:r>
          </w:p>
        </w:tc>
        <w:tc>
          <w:tcPr>
            <w:tcW w:w="5183" w:type="dxa"/>
          </w:tcPr>
          <w:p w:rsidR="00DB0499" w:rsidRPr="00DB0499" w:rsidRDefault="00DB0499" w:rsidP="00DB0499">
            <w:pPr>
              <w:rPr>
                <w:rStyle w:val="AERtextsize8"/>
              </w:rPr>
            </w:pPr>
            <w:r w:rsidRPr="00AC0ACE">
              <w:rPr>
                <w:rStyle w:val="AERtextsize8"/>
              </w:rPr>
              <w:t>We consider there are merits to the theoretical principles underpinning the Black CAPM</w:t>
            </w:r>
            <w:r w:rsidRPr="00DB0499">
              <w:rPr>
                <w:rStyle w:val="AERtextsize8"/>
              </w:rPr>
              <w:t xml:space="preserve"> (for example, it relaxes an assumption underlying the Sharpe-Lintner CAPM),</w:t>
            </w:r>
            <w:r w:rsidRPr="00DB0499">
              <w:rPr>
                <w:rStyle w:val="FootnoteReference"/>
              </w:rPr>
              <w:footnoteReference w:id="272"/>
            </w:r>
            <w:r w:rsidRPr="00DB0499">
              <w:rPr>
                <w:rStyle w:val="AERtextsize8"/>
              </w:rPr>
              <w:t xml:space="preserve"> and we have assessed this information against the criteria set out in the Guideline. We consider this theory can be useful in informing our equity beta point estimate. For more detail see section D.4 of Attachment 3 to CitiPower's preliminary decision and section </w:t>
            </w:r>
            <w:r w:rsidRPr="00DB0499">
              <w:rPr>
                <w:rStyle w:val="AERtextsize8"/>
              </w:rPr>
              <w:fldChar w:fldCharType="begin"/>
            </w:r>
            <w:r w:rsidRPr="00DB0499">
              <w:rPr>
                <w:rStyle w:val="AERtextsize8"/>
              </w:rPr>
              <w:instrText xml:space="preserve"> REF _Ref448924785 \r \h </w:instrText>
            </w:r>
            <w:r w:rsidRPr="00DB0499">
              <w:rPr>
                <w:rStyle w:val="AERtextsize8"/>
              </w:rPr>
            </w:r>
            <w:r w:rsidRPr="00DB0499">
              <w:rPr>
                <w:rStyle w:val="AERtextsize8"/>
              </w:rPr>
              <w:fldChar w:fldCharType="separate"/>
            </w:r>
            <w:r w:rsidR="00BA2E8E">
              <w:rPr>
                <w:rStyle w:val="AERtextsize8"/>
              </w:rPr>
              <w:t>B.2.3</w:t>
            </w:r>
            <w:r w:rsidRPr="00DB0499">
              <w:rPr>
                <w:rStyle w:val="AERtextsize8"/>
              </w:rPr>
              <w:fldChar w:fldCharType="end"/>
            </w:r>
            <w:r w:rsidRPr="00DB0499">
              <w:rPr>
                <w:rStyle w:val="AERtextsize8"/>
              </w:rPr>
              <w:t xml:space="preserve"> of this decision. </w:t>
            </w:r>
          </w:p>
          <w:p w:rsidR="00DB0499" w:rsidRPr="00DB0499" w:rsidRDefault="00DB0499" w:rsidP="00DB0499">
            <w:pPr>
              <w:rPr>
                <w:rStyle w:val="AERtextsize8"/>
              </w:rPr>
            </w:pPr>
            <w:r>
              <w:rPr>
                <w:rStyle w:val="AERtextsize8"/>
              </w:rPr>
              <w:t xml:space="preserve">We </w:t>
            </w:r>
            <w:r w:rsidRPr="00DB0499">
              <w:rPr>
                <w:rStyle w:val="AERtextsize8"/>
              </w:rPr>
              <w:t>also do not consider our consultants disagree with our use of this information. In fact, Partington and Handley have both provided support for our foundation model approach.</w:t>
            </w:r>
            <w:r w:rsidRPr="00DB0499">
              <w:rPr>
                <w:rStyle w:val="FootnoteReference"/>
              </w:rPr>
              <w:footnoteReference w:id="273"/>
            </w:r>
            <w:r w:rsidRPr="00DB0499">
              <w:rPr>
                <w:rStyle w:val="AERtextsize8"/>
              </w:rPr>
              <w:t xml:space="preserve"> Our foundation model approach includes our use of the theory of the Black CAPM to inform the equity beta point estimate</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DB0499" w:rsidRPr="00DB0499" w:rsidRDefault="00DB0499" w:rsidP="00DB0499">
            <w:pPr>
              <w:rPr>
                <w:rStyle w:val="AERtextsize8"/>
              </w:rPr>
            </w:pPr>
            <w:r w:rsidRPr="00835F59">
              <w:rPr>
                <w:rStyle w:val="Strong"/>
              </w:rPr>
              <w:t>Conceptual analysis</w:t>
            </w:r>
          </w:p>
        </w:tc>
      </w:tr>
      <w:tr w:rsidR="00DB0499" w:rsidTr="00DB0499">
        <w:tc>
          <w:tcPr>
            <w:tcW w:w="3510" w:type="dxa"/>
          </w:tcPr>
          <w:p w:rsidR="00DB0499" w:rsidRPr="00DB0499" w:rsidRDefault="00DB0499" w:rsidP="00DB0499">
            <w:pPr>
              <w:rPr>
                <w:rStyle w:val="AERtextsize8"/>
              </w:rPr>
            </w:pPr>
            <w:r>
              <w:rPr>
                <w:rStyle w:val="AERtextsize8"/>
              </w:rPr>
              <w:t>T</w:t>
            </w:r>
            <w:r w:rsidRPr="00DB0499">
              <w:rPr>
                <w:rStyle w:val="AERtextsize8"/>
              </w:rPr>
              <w:t>he reduction in systematic risk (specifically, demand risk) from a recent transition to a revenue cap from a price cap should be reflected in the equity beta</w:t>
            </w:r>
            <w:r w:rsidRPr="00DB0499">
              <w:rPr>
                <w:rStyle w:val="FootnoteReference"/>
              </w:rPr>
              <w:footnoteReference w:id="274"/>
            </w:r>
            <w:r w:rsidRPr="00DB0499">
              <w:rPr>
                <w:rStyle w:val="AERtextsize8"/>
              </w:rPr>
              <w:t xml:space="preserve"> </w:t>
            </w:r>
          </w:p>
        </w:tc>
        <w:tc>
          <w:tcPr>
            <w:tcW w:w="5183" w:type="dxa"/>
          </w:tcPr>
          <w:p w:rsidR="00DB0499" w:rsidRPr="00DB0499" w:rsidRDefault="00DB0499" w:rsidP="00DB0499">
            <w:pPr>
              <w:rPr>
                <w:rStyle w:val="AERtextsize8"/>
              </w:rPr>
            </w:pPr>
            <w:r>
              <w:rPr>
                <w:rStyle w:val="AERtextsize8"/>
              </w:rPr>
              <w:t>W</w:t>
            </w:r>
            <w:r w:rsidRPr="00DB0499">
              <w:rPr>
                <w:rStyle w:val="AERtextsize8"/>
              </w:rPr>
              <w:t>e consider differences in demand risk can be mitigated through either form of control. Under a revenue cap, where forecast quantity demanded differs from actual quantity demanded, price adjustments are made in subsequent years to enable the approved revenue to be recovered by the service provider. Under a price cap, service providers may mitigate the risk of forecast error by restructuring tariffs, such that higher fixed charges are set to offset demand volatility. This is one of the reasons why, in the Guideline, we considered the systematic risks between gas, electricity, transmission and distribution networks are sufficiently similar as to justify one benchmark.</w:t>
            </w:r>
            <w:r w:rsidRPr="00DB0499">
              <w:rPr>
                <w:rStyle w:val="FootnoteReference"/>
              </w:rPr>
              <w:footnoteReference w:id="275"/>
            </w:r>
            <w:r w:rsidRPr="00DB0499">
              <w:t xml:space="preserve"> </w:t>
            </w:r>
            <w:r w:rsidRPr="00DB0499">
              <w:rPr>
                <w:rStyle w:val="AERtextsize8"/>
              </w:rPr>
              <w:t>Even if moving to a revenue cap from a price cap did reduce the systematic risk of a service provider, we consider this would be reflected in lower business risk. This is only one aspect of our overall systematic risk assessment, which includes consideration of financial risk.</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 xml:space="preserve">Our </w:t>
            </w:r>
            <w:r w:rsidRPr="00DB0499">
              <w:rPr>
                <w:rStyle w:val="AERtextsize8"/>
              </w:rPr>
              <w:t>assessment of financial risk and its impact on overall systematic risk is incorrect</w:t>
            </w:r>
            <w:r w:rsidRPr="00DB0499">
              <w:rPr>
                <w:rStyle w:val="FootnoteReference"/>
              </w:rPr>
              <w:footnoteReference w:id="276"/>
            </w:r>
          </w:p>
        </w:tc>
        <w:tc>
          <w:tcPr>
            <w:tcW w:w="5183" w:type="dxa"/>
          </w:tcPr>
          <w:p w:rsidR="00DB0499" w:rsidRPr="00DB0499" w:rsidRDefault="00DB0499" w:rsidP="00DB0499">
            <w:pPr>
              <w:rPr>
                <w:rStyle w:val="AERtextsize8"/>
              </w:rPr>
            </w:pPr>
            <w:r>
              <w:rPr>
                <w:rStyle w:val="AERtextsize8"/>
              </w:rPr>
              <w:t>We disagree. We</w:t>
            </w:r>
            <w:r w:rsidRPr="00DB0499">
              <w:t xml:space="preserve"> consider </w:t>
            </w:r>
            <w:r w:rsidRPr="00DB0499">
              <w:rPr>
                <w:rStyle w:val="AERtextsize8"/>
              </w:rPr>
              <w:t>financial risk relates to the additional systematic risk exposure that arises from the debt holdings of a firm and recognise the benchmark efficient entity is likely to have higher financial risk than the market average firm because it has relatively high financial leverage.</w:t>
            </w:r>
            <w:r w:rsidRPr="00DB0499">
              <w:t xml:space="preserve"> However, </w:t>
            </w:r>
            <w:r w:rsidRPr="00DB0499">
              <w:rPr>
                <w:rStyle w:val="AERtextsize8"/>
              </w:rPr>
              <w:t>the exact relationship between financial risk and financial leverage is not straightforward.</w:t>
            </w:r>
          </w:p>
          <w:p w:rsidR="00DB0499" w:rsidRPr="00DB0499" w:rsidRDefault="00DB0499" w:rsidP="00DB0499">
            <w:pPr>
              <w:rPr>
                <w:rStyle w:val="AERtextsize8"/>
              </w:rPr>
            </w:pPr>
            <w:r>
              <w:rPr>
                <w:rStyle w:val="AERtextsize8"/>
              </w:rPr>
              <w:t xml:space="preserve">We consider our conceptual analysis </w:t>
            </w:r>
            <w:r w:rsidRPr="00DB0499">
              <w:rPr>
                <w:rStyle w:val="AERtextsize8"/>
              </w:rPr>
              <w:t>suggests the intrinsic business risk of a firm is the main driver of its systematic risk. We expect a business with a similar degree of risk as CitiPower in providing regulated services to have low intrinsic risk exposure (relative to the market average). We also consider the high financial leverage of a benchmark efficient entity (relative to the market average) does not necessarily correspond to an equivalently high exposure to financial risk. Therefore, we consider there are reasonable conceptual grounds to expect the overall systematic risk for a business with a similar degree of risk as CitiPower to be below that of the market average firm. Our views are supported by</w:t>
            </w:r>
            <w:r w:rsidRPr="00DB0499">
              <w:t xml:space="preserve"> </w:t>
            </w:r>
            <w:r w:rsidRPr="00DB0499">
              <w:rPr>
                <w:rStyle w:val="AERtextsize8"/>
              </w:rPr>
              <w:t>McKenzie and Partington. For more detail see section D.1 of Attachment 3 to CitiPower's preliminary decision.</w:t>
            </w:r>
          </w:p>
        </w:tc>
      </w:tr>
      <w:tr w:rsidR="00DB0499" w:rsidTr="00DB0499">
        <w:tc>
          <w:tcPr>
            <w:tcW w:w="3510" w:type="dxa"/>
          </w:tcPr>
          <w:p w:rsidR="00DB0499" w:rsidRPr="00DB0499" w:rsidRDefault="00DB0499" w:rsidP="00DB0499">
            <w:pPr>
              <w:rPr>
                <w:rStyle w:val="AERtextsize8"/>
              </w:rPr>
            </w:pPr>
            <w:r>
              <w:rPr>
                <w:rStyle w:val="AERtextsize8"/>
              </w:rPr>
              <w:t>W</w:t>
            </w:r>
            <w:r w:rsidRPr="00DB0499">
              <w:rPr>
                <w:rStyle w:val="AERtextsize8"/>
              </w:rPr>
              <w:t xml:space="preserve">e have misinterpreted the empirical evidence and expert reports we rely on (including Frontier </w:t>
            </w:r>
            <w:r w:rsidR="000273D3" w:rsidRPr="00DB0499">
              <w:rPr>
                <w:rStyle w:val="AERtextsize8"/>
              </w:rPr>
              <w:t>Economics'</w:t>
            </w:r>
            <w:r w:rsidRPr="00DB0499">
              <w:rPr>
                <w:rStyle w:val="AERtextsize8"/>
              </w:rPr>
              <w:t xml:space="preserve"> 2013 report to the AER)</w:t>
            </w:r>
            <w:r w:rsidRPr="00DB0499">
              <w:rPr>
                <w:rStyle w:val="FootnoteReference"/>
              </w:rPr>
              <w:footnoteReference w:id="277"/>
            </w:r>
          </w:p>
        </w:tc>
        <w:tc>
          <w:tcPr>
            <w:tcW w:w="5183" w:type="dxa"/>
          </w:tcPr>
          <w:p w:rsidR="00DB0499" w:rsidRPr="00DB0499" w:rsidRDefault="00DB0499" w:rsidP="00DB0499">
            <w:pPr>
              <w:rPr>
                <w:rStyle w:val="AERtextsize8"/>
              </w:rPr>
            </w:pPr>
            <w:r>
              <w:rPr>
                <w:rStyle w:val="AERtextsize8"/>
              </w:rPr>
              <w:t>W</w:t>
            </w:r>
            <w:r w:rsidRPr="00DB0499">
              <w:rPr>
                <w:rStyle w:val="AERtextsize8"/>
              </w:rPr>
              <w:t>e do not consider the empirical evidence referred to by McKenzie and Partington in their 2012 report has been misinterpreted. We also consider Frontier Economics have misunderstood our use of the information provided in its 2013 report. Regardless, Frontier's views (in its 2015 report) do not change our key conclusion on financial risk. For more detail see sections D.1.2 and D.1.3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Our conceptual analys</w:t>
            </w:r>
            <w:r w:rsidRPr="00DB0499">
              <w:rPr>
                <w:rStyle w:val="AERtextsize8"/>
              </w:rPr>
              <w:t>is is unclear and likely to be counterproductive to good regulatory decisions</w:t>
            </w:r>
            <w:r w:rsidRPr="00DB0499">
              <w:rPr>
                <w:rStyle w:val="FootnoteReference"/>
              </w:rPr>
              <w:footnoteReference w:id="278"/>
            </w:r>
          </w:p>
        </w:tc>
        <w:tc>
          <w:tcPr>
            <w:tcW w:w="5183" w:type="dxa"/>
          </w:tcPr>
          <w:p w:rsidR="00DB0499" w:rsidRPr="00DB0499" w:rsidRDefault="00DB0499" w:rsidP="00DB0499">
            <w:pPr>
              <w:rPr>
                <w:rStyle w:val="AERtextsize8"/>
              </w:rPr>
            </w:pPr>
            <w:r w:rsidRPr="00635805">
              <w:rPr>
                <w:rStyle w:val="AERtextsize8"/>
              </w:rPr>
              <w:t>We disagree with this view. Frontier's analysis appears to be based on a misunderstanding of the role of our conceptual analysis</w:t>
            </w:r>
            <w:r w:rsidRPr="00DB0499">
              <w:rPr>
                <w:rStyle w:val="AERtextsize8"/>
              </w:rPr>
              <w:t>. For more detail see section D.1.3 of Attachment 3 to CitiPower's preliminary decision.</w:t>
            </w:r>
          </w:p>
        </w:tc>
      </w:tr>
      <w:tr w:rsidR="00DB0499" w:rsidTr="00DB0499">
        <w:tc>
          <w:tcPr>
            <w:tcW w:w="3510" w:type="dxa"/>
          </w:tcPr>
          <w:p w:rsidR="00DB0499" w:rsidRPr="00DB0499" w:rsidRDefault="00DB0499" w:rsidP="00DB0499">
            <w:pPr>
              <w:rPr>
                <w:rStyle w:val="AERtextsize8"/>
              </w:rPr>
            </w:pPr>
            <w:r>
              <w:rPr>
                <w:rStyle w:val="AERtextsize8"/>
              </w:rPr>
              <w:t>We have not adequately accounted for the recent risks arising from disruptive technologies</w:t>
            </w:r>
            <w:r w:rsidRPr="00DB0499">
              <w:rPr>
                <w:rStyle w:val="FootnoteReference"/>
              </w:rPr>
              <w:footnoteReference w:id="279"/>
            </w:r>
          </w:p>
        </w:tc>
        <w:tc>
          <w:tcPr>
            <w:tcW w:w="5183" w:type="dxa"/>
          </w:tcPr>
          <w:p w:rsidR="00DB0499" w:rsidRPr="00DB0499" w:rsidRDefault="00DB0499" w:rsidP="00DB0499">
            <w:pPr>
              <w:rPr>
                <w:rStyle w:val="AERtextsize8"/>
              </w:rPr>
            </w:pPr>
            <w:r w:rsidRPr="00CB54D7">
              <w:rPr>
                <w:rStyle w:val="AERtextsize8"/>
              </w:rPr>
              <w:t>We do not consider the risk arising from disruptive technologies can be reasonably classified as systematic risk</w:t>
            </w:r>
            <w:r w:rsidRPr="00DB0499">
              <w:rPr>
                <w:rStyle w:val="AERtextsize8"/>
              </w:rPr>
              <w:t>, and so should not be compensated for in the return on equity. For more detail see section D.1.4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8693" w:type="dxa"/>
            <w:gridSpan w:val="2"/>
          </w:tcPr>
          <w:p w:rsidR="00DB0499" w:rsidRPr="00DB0499" w:rsidRDefault="00DB0499" w:rsidP="00DB0499">
            <w:pPr>
              <w:rPr>
                <w:rStyle w:val="AERtextsize8"/>
              </w:rPr>
            </w:pPr>
            <w:r w:rsidRPr="00835F59">
              <w:rPr>
                <w:rStyle w:val="Strong"/>
              </w:rPr>
              <w:t>Other</w:t>
            </w:r>
          </w:p>
        </w:tc>
      </w:tr>
      <w:tr w:rsidR="00DB0499" w:rsidTr="00DB0499">
        <w:tc>
          <w:tcPr>
            <w:tcW w:w="3510" w:type="dxa"/>
          </w:tcPr>
          <w:p w:rsidR="00DB0499" w:rsidRPr="00DB0499" w:rsidRDefault="00DB0499" w:rsidP="00DB0499">
            <w:pPr>
              <w:rPr>
                <w:rStyle w:val="AERtextsize8"/>
              </w:rPr>
            </w:pPr>
            <w:r>
              <w:rPr>
                <w:rStyle w:val="AERtextsize8"/>
              </w:rPr>
              <w:t>O</w:t>
            </w:r>
            <w:r w:rsidRPr="00DB0499">
              <w:rPr>
                <w:rStyle w:val="AERtextsize8"/>
              </w:rPr>
              <w:t>ur approach is inconsistent with the approach we used to estimate equity beta in the 2009 WACC review because we have selected a different point estimate from the same range</w:t>
            </w:r>
            <w:r w:rsidRPr="00DB0499">
              <w:rPr>
                <w:rStyle w:val="FootnoteReference"/>
              </w:rPr>
              <w:footnoteReference w:id="280"/>
            </w:r>
          </w:p>
        </w:tc>
        <w:tc>
          <w:tcPr>
            <w:tcW w:w="5183" w:type="dxa"/>
          </w:tcPr>
          <w:p w:rsidR="00DB0499" w:rsidRPr="00DB0499" w:rsidRDefault="00DB0499" w:rsidP="00DB0499">
            <w:pPr>
              <w:rPr>
                <w:rStyle w:val="AERtextsize8"/>
              </w:rPr>
            </w:pPr>
            <w:r>
              <w:rPr>
                <w:rStyle w:val="AERtextsize8"/>
              </w:rPr>
              <w:t xml:space="preserve">We disagree. </w:t>
            </w:r>
            <w:r w:rsidRPr="00DB0499">
              <w:rPr>
                <w:rStyle w:val="AERtextsize8"/>
              </w:rPr>
              <w:t>During the Guideline process we stated, 'During both the 2009 WACC review and now we considered the empirical estimates support a range of 0.4 to 0.7. In the 2009 WACC review, we adopted a point estimate of 0.8 (slightly above the range of empirical estimates). In this issues paper, we propose to lower our point estimate from 0.8 to 0.7 because we now have greater confidence in the reliability of the empirical estimates—In 2009, there were fewer empirical estimates available. The data spanned a shorter time period and we were facing uncertainty due to the global financial crisis. Four years on, we now have more studies, spanning a longer time period and a diversity of market conditions. The results from these studies demonstrate a consistent pattern over time.'</w:t>
            </w:r>
            <w:r w:rsidRPr="00DB0499">
              <w:rPr>
                <w:rStyle w:val="FootnoteReference"/>
              </w:rPr>
              <w:footnoteReference w:id="281"/>
            </w:r>
            <w:r w:rsidRPr="00DB0499">
              <w:rPr>
                <w:rStyle w:val="AERtextsize8"/>
              </w:rPr>
              <w:t xml:space="preserve"> For more detail see section D.5.2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DB0499">
            <w:pPr>
              <w:rPr>
                <w:rStyle w:val="AERtextsize8"/>
              </w:rPr>
            </w:pPr>
            <w:r>
              <w:rPr>
                <w:rStyle w:val="AERtextsize8"/>
              </w:rPr>
              <w:t>Our multi-stage approach to estimating the equity beta</w:t>
            </w:r>
            <w:r w:rsidRPr="00DB0499">
              <w:t xml:space="preserve"> </w:t>
            </w:r>
            <w:r w:rsidRPr="00DB0499">
              <w:rPr>
                <w:rStyle w:val="AERtextsize8"/>
              </w:rPr>
              <w:t>pre-emptively dilutes or eliminates the impact of other relevant evidence</w:t>
            </w:r>
            <w:r w:rsidRPr="00DB0499">
              <w:rPr>
                <w:rStyle w:val="FootnoteReference"/>
              </w:rPr>
              <w:footnoteReference w:id="282"/>
            </w:r>
          </w:p>
        </w:tc>
        <w:tc>
          <w:tcPr>
            <w:tcW w:w="5183" w:type="dxa"/>
          </w:tcPr>
          <w:p w:rsidR="00DB0499" w:rsidRPr="00DB0499" w:rsidRDefault="00DB0499" w:rsidP="001E66E6">
            <w:pPr>
              <w:rPr>
                <w:rStyle w:val="AERtextsize8"/>
              </w:rPr>
            </w:pPr>
            <w:r>
              <w:rPr>
                <w:rStyle w:val="AERtextsize8"/>
              </w:rPr>
              <w:t>O</w:t>
            </w:r>
            <w:r w:rsidRPr="00DB0499">
              <w:rPr>
                <w:rStyle w:val="AERtextsize8"/>
              </w:rPr>
              <w:t>ur use of relevant material is based on their rel</w:t>
            </w:r>
            <w:r w:rsidR="001E66E6">
              <w:rPr>
                <w:rStyle w:val="AERtextsize8"/>
              </w:rPr>
              <w:t>a</w:t>
            </w:r>
            <w:r w:rsidRPr="00DB0499">
              <w:rPr>
                <w:rStyle w:val="AERtextsize8"/>
              </w:rPr>
              <w:t>tive merits (see section D.5.3 of Attachment 3 to CitiPower's preliminary decision</w:t>
            </w:r>
            <w:r w:rsidRPr="00DB0499">
              <w:t>)</w:t>
            </w:r>
            <w:r w:rsidRPr="00DB0499">
              <w:rPr>
                <w:rStyle w:val="AERtextsize8"/>
              </w:rPr>
              <w:t>.</w:t>
            </w:r>
          </w:p>
        </w:tc>
      </w:tr>
      <w:tr w:rsidR="00DB0499" w:rsidTr="00DB0499">
        <w:tc>
          <w:tcPr>
            <w:tcW w:w="3510" w:type="dxa"/>
          </w:tcPr>
          <w:p w:rsidR="00DB0499" w:rsidRPr="00DB0499" w:rsidRDefault="00DB0499" w:rsidP="00DB0499">
            <w:pPr>
              <w:rPr>
                <w:rStyle w:val="AERtextsize8"/>
              </w:rPr>
            </w:pPr>
            <w:r>
              <w:rPr>
                <w:rStyle w:val="AERtextsize8"/>
              </w:rPr>
              <w:t>O</w:t>
            </w:r>
            <w:r w:rsidRPr="00DB0499">
              <w:rPr>
                <w:rStyle w:val="AERtextsize8"/>
              </w:rPr>
              <w:t>ur estimate of equity beta does not sufficiently account for possible biases in the Sharpe-Lintner CAPM—our equity beta estimate should be specifically adjusted for 'low beta bias' and/or 'book-to-market bias' using empirical evidence from the Black CAPM and Fama French model</w:t>
            </w:r>
            <w:r w:rsidRPr="00DB0499">
              <w:rPr>
                <w:rStyle w:val="FootnoteReference"/>
              </w:rPr>
              <w:footnoteReference w:id="283"/>
            </w:r>
          </w:p>
        </w:tc>
        <w:tc>
          <w:tcPr>
            <w:tcW w:w="5183" w:type="dxa"/>
          </w:tcPr>
          <w:p w:rsidR="00DB0499" w:rsidRPr="00DB0499" w:rsidRDefault="00DB0499" w:rsidP="00D51D30">
            <w:pPr>
              <w:rPr>
                <w:rStyle w:val="AERtextsize8"/>
              </w:rPr>
            </w:pPr>
            <w:r w:rsidRPr="00245C96">
              <w:rPr>
                <w:rStyle w:val="AERtextsize8"/>
              </w:rPr>
              <w:t>We do not consider our use of the S</w:t>
            </w:r>
            <w:r w:rsidRPr="00DB0499">
              <w:rPr>
                <w:rStyle w:val="AERtextsize8"/>
              </w:rPr>
              <w:t>harpe-Lintner CAPM in our foundation model approach will result in a downward biased estimate of the return on equity.</w:t>
            </w:r>
            <w:r w:rsidRPr="00DB0499">
              <w:t xml:space="preserve"> </w:t>
            </w:r>
            <w:r w:rsidR="004013F3" w:rsidRPr="004676B9">
              <w:rPr>
                <w:rStyle w:val="AERtextsize8"/>
              </w:rPr>
              <w:t>We provide extensive reasoning for these views in the 'service providers' proposed mul</w:t>
            </w:r>
            <w:r w:rsidR="004013F3">
              <w:rPr>
                <w:rStyle w:val="AERtextsize8"/>
              </w:rPr>
              <w:t>ti-model approach' subsection</w:t>
            </w:r>
            <w:r w:rsidRPr="00DB0499">
              <w:rPr>
                <w:rStyle w:val="AERtextsize8"/>
              </w:rPr>
              <w:t xml:space="preserve"> in section </w:t>
            </w:r>
            <w:r w:rsidR="00EC005C">
              <w:rPr>
                <w:rStyle w:val="AERtextsize8"/>
              </w:rPr>
              <w:fldChar w:fldCharType="begin"/>
            </w:r>
            <w:r w:rsidR="00EC005C">
              <w:rPr>
                <w:rStyle w:val="AERtextsize8"/>
              </w:rPr>
              <w:instrText xml:space="preserve"> REF _Ref430958591 \r \h </w:instrText>
            </w:r>
            <w:r w:rsidR="00EC005C">
              <w:rPr>
                <w:rStyle w:val="AERtextsize8"/>
              </w:rPr>
            </w:r>
            <w:r w:rsidR="00EC005C">
              <w:rPr>
                <w:rStyle w:val="AERtextsize8"/>
              </w:rPr>
              <w:fldChar w:fldCharType="separate"/>
            </w:r>
            <w:r w:rsidR="00BA2E8E">
              <w:rPr>
                <w:rStyle w:val="AERtextsize8"/>
              </w:rPr>
              <w:t>3.4.1</w:t>
            </w:r>
            <w:r w:rsidR="00EC005C">
              <w:rPr>
                <w:rStyle w:val="AERtextsize8"/>
              </w:rPr>
              <w:fldChar w:fldCharType="end"/>
            </w:r>
            <w:r w:rsidR="00EC005C">
              <w:rPr>
                <w:rStyle w:val="AERtextsize8"/>
              </w:rPr>
              <w:t xml:space="preserve"> </w:t>
            </w:r>
            <w:r w:rsidRPr="00DB0499">
              <w:rPr>
                <w:rStyle w:val="AERtextsize8"/>
              </w:rPr>
              <w:t xml:space="preserve">of this attachment. Also see sections </w:t>
            </w:r>
            <w:r w:rsidRPr="00DB0499">
              <w:t>D.5.3, A.2, A.3 of Attachment 3 to CitiPower's preliminary decision.</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tcW w:w="3510" w:type="dxa"/>
          </w:tcPr>
          <w:p w:rsidR="00DB0499" w:rsidRPr="00DB0499" w:rsidRDefault="00DB0499" w:rsidP="004F058A">
            <w:pPr>
              <w:rPr>
                <w:rStyle w:val="AERtextsize8"/>
              </w:rPr>
            </w:pPr>
            <w:r>
              <w:rPr>
                <w:rStyle w:val="AERtextsize8"/>
              </w:rPr>
              <w:t xml:space="preserve">An equity beta estimate </w:t>
            </w:r>
            <w:r w:rsidRPr="00DB0499">
              <w:rPr>
                <w:rStyle w:val="AERtextsize8"/>
              </w:rPr>
              <w:t>implied from SFG's constructio</w:t>
            </w:r>
            <w:r w:rsidR="004F058A">
              <w:rPr>
                <w:rStyle w:val="AERtextsize8"/>
              </w:rPr>
              <w:t>n of the dividend growth model</w:t>
            </w:r>
            <w:r w:rsidRPr="00DB0499">
              <w:rPr>
                <w:rStyle w:val="AERtextsize8"/>
              </w:rPr>
              <w:t xml:space="preserve"> should be used as a cross check on our foundation model equity beta estimate</w:t>
            </w:r>
            <w:r w:rsidRPr="00DB0499">
              <w:rPr>
                <w:rStyle w:val="FootnoteReference"/>
              </w:rPr>
              <w:footnoteReference w:id="284"/>
            </w:r>
          </w:p>
        </w:tc>
        <w:tc>
          <w:tcPr>
            <w:tcW w:w="5183" w:type="dxa"/>
          </w:tcPr>
          <w:p w:rsidR="00DB0499" w:rsidRPr="00DB0499" w:rsidRDefault="00DB0499" w:rsidP="004F058A">
            <w:pPr>
              <w:rPr>
                <w:rStyle w:val="AERtextsize8"/>
              </w:rPr>
            </w:pPr>
            <w:r w:rsidRPr="00716187">
              <w:rPr>
                <w:rStyle w:val="AERtextsize8"/>
              </w:rPr>
              <w:t xml:space="preserve">SFG's </w:t>
            </w:r>
            <w:r w:rsidR="004F058A">
              <w:rPr>
                <w:rStyle w:val="AERtextsize8"/>
              </w:rPr>
              <w:t>dividend growth model-</w:t>
            </w:r>
            <w:r w:rsidRPr="00716187">
              <w:rPr>
                <w:rStyle w:val="AERtextsize8"/>
              </w:rPr>
              <w:t>based estimates of equity beta are derived by estimating the relative risk ratio of Australian energy network firms to the market</w:t>
            </w:r>
            <w:r w:rsidRPr="00DB0499">
              <w:rPr>
                <w:rStyle w:val="AERtextsize8"/>
              </w:rPr>
              <w:t>, which it uses as an implied beta estimate. We consider there are several technical issues with SFG's approach. These include: the method used to derive its implied beta estimate is not aligned with the definition of equity beta; its implied beta estimate is based on a relatively small dataset; and it used inappropriate</w:t>
            </w:r>
            <w:r w:rsidRPr="00DB0499">
              <w:t xml:space="preserve"> </w:t>
            </w:r>
            <w:r w:rsidRPr="00DB0499">
              <w:rPr>
                <w:rStyle w:val="AERtextsize8"/>
              </w:rPr>
              <w:t>weightings in the estimation process. For more detail see sections B.3 and D.5.3 of Attachment 3 to CitiPower's preliminary decision.</w:t>
            </w:r>
          </w:p>
        </w:tc>
      </w:tr>
      <w:tr w:rsidR="00DB0499" w:rsidRPr="00245C96" w:rsidTr="00DB0499">
        <w:tc>
          <w:tcPr>
            <w:tcW w:w="3510" w:type="dxa"/>
          </w:tcPr>
          <w:p w:rsidR="00DB0499" w:rsidRPr="00DB0499" w:rsidRDefault="00DB0499" w:rsidP="00DB0499">
            <w:pPr>
              <w:rPr>
                <w:rStyle w:val="AERtextsize8"/>
              </w:rPr>
            </w:pPr>
            <w:r>
              <w:rPr>
                <w:rStyle w:val="AERtextsize8"/>
              </w:rPr>
              <w:t>The equity beta should be 0.8 because a change from our previous estimate is not warranted</w:t>
            </w:r>
            <w:r w:rsidRPr="00DB0499">
              <w:rPr>
                <w:rStyle w:val="FootnoteReference"/>
              </w:rPr>
              <w:footnoteReference w:id="285"/>
            </w:r>
          </w:p>
        </w:tc>
        <w:tc>
          <w:tcPr>
            <w:tcW w:w="5183" w:type="dxa"/>
          </w:tcPr>
          <w:p w:rsidR="00DB0499" w:rsidRPr="00DB0499" w:rsidRDefault="00DB0499" w:rsidP="001E66E6">
            <w:pPr>
              <w:rPr>
                <w:rStyle w:val="AERtextsize8"/>
              </w:rPr>
            </w:pPr>
            <w:r>
              <w:rPr>
                <w:rStyle w:val="AERtextsize8"/>
              </w:rPr>
              <w:t xml:space="preserve">We do have regard to our previous beta estimates </w:t>
            </w:r>
            <w:r w:rsidR="001E66E6">
              <w:rPr>
                <w:rStyle w:val="AERtextsize8"/>
              </w:rPr>
              <w:t>in the context of</w:t>
            </w:r>
            <w:r>
              <w:rPr>
                <w:rStyle w:val="AERtextsize8"/>
              </w:rPr>
              <w:t xml:space="preserve"> the stated preferences of investors and stakeholders for transparency and predictability. However, we also consider evidence from updated empirical estimates, conceptual analysis, and the theory of the Black CAPM and find that, on balance, the </w:t>
            </w:r>
            <w:r w:rsidRPr="00DB0499">
              <w:rPr>
                <w:rStyle w:val="AERtextsize8"/>
              </w:rPr>
              <w:t>evidence supports an equity beta of 0.7.</w:t>
            </w:r>
            <w:r w:rsidRPr="00DB0499">
              <w:t xml:space="preserve"> </w:t>
            </w:r>
          </w:p>
        </w:tc>
      </w:tr>
    </w:tbl>
    <w:p w:rsidR="00DB0499" w:rsidRDefault="00DB0499" w:rsidP="00DB0499">
      <w:pPr>
        <w:pStyle w:val="AERtablesource"/>
      </w:pPr>
      <w:r>
        <w:t>Source:</w:t>
      </w:r>
      <w:r>
        <w:tab/>
        <w:t>AER analysis; numerous stakeholder submissions.</w:t>
      </w:r>
    </w:p>
    <w:p w:rsidR="00B75657" w:rsidRPr="0032489B" w:rsidRDefault="00B75657" w:rsidP="00B75657">
      <w:pPr>
        <w:pStyle w:val="HeadingBoldBlue"/>
        <w:numPr>
          <w:ilvl w:val="0"/>
          <w:numId w:val="24"/>
        </w:numPr>
        <w:rPr>
          <w:rStyle w:val="AERtextorange"/>
        </w:rPr>
      </w:pPr>
      <w:bookmarkStart w:id="137" w:name="_Ref446347167"/>
      <w:bookmarkStart w:id="138" w:name="_Ref451334128"/>
      <w:bookmarkStart w:id="139" w:name="_Ref451348717"/>
      <w:r>
        <w:rPr>
          <w:rStyle w:val="AERtextorange"/>
        </w:rPr>
        <w:t>The overall return on equity</w:t>
      </w:r>
      <w:bookmarkEnd w:id="137"/>
    </w:p>
    <w:p w:rsidR="00B75657" w:rsidRDefault="00B75657" w:rsidP="00B75657">
      <w:r>
        <w:t xml:space="preserve">To inform the reasonableness of the foundation model </w:t>
      </w:r>
      <w:r w:rsidRPr="00010BCE">
        <w:t>retur</w:t>
      </w:r>
      <w:r>
        <w:t>n</w:t>
      </w:r>
      <w:r w:rsidRPr="00010BCE">
        <w:t xml:space="preserve"> on equity estimate, we estimate and evaluate values from other relevant sources of information (steps four and five of the foundation model approach).</w:t>
      </w:r>
      <w:r w:rsidRPr="00010BCE">
        <w:rPr>
          <w:rStyle w:val="FootnoteReference"/>
        </w:rPr>
        <w:footnoteReference w:id="286"/>
      </w:r>
      <w:r w:rsidRPr="00AD1905">
        <w:t xml:space="preserve"> </w:t>
      </w:r>
      <w:r>
        <w:t>In having regard to prevailing market conditions we have also examined recent movements in the relevant material.</w:t>
      </w:r>
      <w:r w:rsidRPr="00F97967">
        <w:t xml:space="preserve"> </w:t>
      </w:r>
    </w:p>
    <w:p w:rsidR="00B75657" w:rsidRPr="00010BCE" w:rsidRDefault="00B75657" w:rsidP="00B75657">
      <w:r w:rsidRPr="00F97967">
        <w:t>Our task is to set the allowed rate of return to be commensurate with a similar degree of risk as that which applies to CitiPower</w:t>
      </w:r>
      <w:r>
        <w:t xml:space="preserve"> with respect to the provision of standard control services</w:t>
      </w:r>
      <w:r w:rsidRPr="00F97967">
        <w:t>.</w:t>
      </w:r>
      <w:r w:rsidRPr="00010BCE">
        <w:rPr>
          <w:rStyle w:val="FootnoteReference"/>
        </w:rPr>
        <w:footnoteReference w:id="287"/>
      </w:r>
      <w:r w:rsidRPr="00010BCE">
        <w:t xml:space="preserve"> </w:t>
      </w:r>
      <w:r>
        <w:t>This requires us to consider the additional riskiness of CitiPower</w:t>
      </w:r>
      <w:r>
        <w:rPr>
          <w:rStyle w:val="FootnoteReference"/>
        </w:rPr>
        <w:footnoteReference w:id="288"/>
      </w:r>
      <w:r>
        <w:t xml:space="preserve"> relative to the risk free asset, and the commensurate return that equity investors require to take on this additional risk. </w:t>
      </w:r>
      <w:r w:rsidRPr="00010BCE">
        <w:t xml:space="preserve">Hence, the critical allowance is the allowed equity risk premium over and above the estimated risk free rate at a given time. </w:t>
      </w:r>
      <w:r>
        <w:fldChar w:fldCharType="begin"/>
      </w:r>
      <w:r>
        <w:instrText xml:space="preserve"> REF _Ref445923478 \h </w:instrText>
      </w:r>
      <w:r>
        <w:fldChar w:fldCharType="separate"/>
      </w:r>
      <w:r w:rsidR="00BA2E8E" w:rsidRPr="00866A7A">
        <w:t xml:space="preserve">Figure </w:t>
      </w:r>
      <w:r w:rsidR="00BA2E8E">
        <w:rPr>
          <w:noProof/>
        </w:rPr>
        <w:t>3</w:t>
      </w:r>
      <w:r w:rsidR="00BA2E8E">
        <w:noBreakHyphen/>
      </w:r>
      <w:r w:rsidR="00BA2E8E">
        <w:rPr>
          <w:noProof/>
        </w:rPr>
        <w:t>5</w:t>
      </w:r>
      <w:r>
        <w:fldChar w:fldCharType="end"/>
      </w:r>
      <w:r>
        <w:t xml:space="preserve"> compares our foundation model equity risk premium to other relevant material</w:t>
      </w:r>
      <w:r>
        <w:rPr>
          <w:rStyle w:val="FootnoteReference"/>
        </w:rPr>
        <w:footnoteReference w:id="289"/>
      </w:r>
      <w:r>
        <w:t xml:space="preserve"> that can inform our estimate of return on equity and equity risk premium. </w:t>
      </w:r>
    </w:p>
    <w:p w:rsidR="00B75657" w:rsidRPr="00010BCE" w:rsidRDefault="00B75657" w:rsidP="00B75657">
      <w:r>
        <w:t xml:space="preserve">We consider that, on the whole, </w:t>
      </w:r>
      <w:r w:rsidRPr="00010BCE">
        <w:t xml:space="preserve">the other </w:t>
      </w:r>
      <w:r>
        <w:t>material</w:t>
      </w:r>
      <w:r>
        <w:rPr>
          <w:rStyle w:val="FootnoteReference"/>
        </w:rPr>
        <w:footnoteReference w:id="290"/>
      </w:r>
      <w:r w:rsidRPr="00010BCE">
        <w:t xml:space="preserve"> broadly supports our foundation model estimate of the return on equity</w:t>
      </w:r>
      <w:r>
        <w:t>.</w:t>
      </w:r>
      <w:r w:rsidRPr="00F97967">
        <w:t xml:space="preserve"> Overall, </w:t>
      </w:r>
      <w:r>
        <w:t xml:space="preserve">we find that this </w:t>
      </w:r>
      <w:r w:rsidRPr="00F97967">
        <w:t xml:space="preserve">information does not indicate a </w:t>
      </w:r>
      <w:r>
        <w:t xml:space="preserve">material, </w:t>
      </w:r>
      <w:r w:rsidRPr="00F97967">
        <w:t>sustained change in market conditions</w:t>
      </w:r>
      <w:r>
        <w:t xml:space="preserve"> since our preliminary decision </w:t>
      </w:r>
      <w:r w:rsidRPr="00F97967">
        <w:t>sufficient to cause us to move away from our foundation model estimate.</w:t>
      </w:r>
      <w:r>
        <w:t xml:space="preserve"> </w:t>
      </w:r>
      <w:r w:rsidRPr="00F97967">
        <w:t xml:space="preserve"> </w:t>
      </w:r>
    </w:p>
    <w:p w:rsidR="00B75657" w:rsidRDefault="00B75657" w:rsidP="00B75657">
      <w:pPr>
        <w:pStyle w:val="Caption"/>
      </w:pPr>
      <w:bookmarkStart w:id="140" w:name="_Ref445923478"/>
      <w:r w:rsidRPr="00866A7A">
        <w:t xml:space="preserve">Figure </w:t>
      </w:r>
      <w:fldSimple w:instr=" STYLEREF 1 \s ">
        <w:r w:rsidR="00BA2E8E">
          <w:rPr>
            <w:noProof/>
          </w:rPr>
          <w:t>3</w:t>
        </w:r>
      </w:fldSimple>
      <w:r w:rsidR="00A6197A">
        <w:noBreakHyphen/>
      </w:r>
      <w:fldSimple w:instr=" SEQ Figure \* ARABIC \s 1 ">
        <w:r w:rsidR="00BA2E8E">
          <w:rPr>
            <w:noProof/>
          </w:rPr>
          <w:t>5</w:t>
        </w:r>
      </w:fldSimple>
      <w:bookmarkEnd w:id="140"/>
      <w:r w:rsidRPr="00866A7A">
        <w:tab/>
      </w:r>
      <w:r>
        <w:t>Comparison of our foundation model equity risk premium</w:t>
      </w:r>
    </w:p>
    <w:p w:rsidR="00B75657" w:rsidRPr="001F3EF2" w:rsidRDefault="00F046A7" w:rsidP="00B75657">
      <w:r w:rsidRPr="00F046A7">
        <w:rPr>
          <w:noProof/>
          <w:lang w:eastAsia="en-AU"/>
        </w:rPr>
        <w:drawing>
          <wp:inline distT="0" distB="0" distL="0" distR="0" wp14:anchorId="3B8E4A82" wp14:editId="5CCD2335">
            <wp:extent cx="5382895" cy="5402517"/>
            <wp:effectExtent l="0" t="0" r="8255"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382895" cy="5402517"/>
                    </a:xfrm>
                    <a:prstGeom prst="rect">
                      <a:avLst/>
                    </a:prstGeom>
                    <a:noFill/>
                    <a:ln>
                      <a:noFill/>
                    </a:ln>
                  </pic:spPr>
                </pic:pic>
              </a:graphicData>
            </a:graphic>
          </wp:inline>
        </w:drawing>
      </w:r>
    </w:p>
    <w:p w:rsidR="00B75657" w:rsidRPr="00E5005D" w:rsidRDefault="00B75657" w:rsidP="00B75657">
      <w:pPr>
        <w:pStyle w:val="AERtablesource"/>
      </w:pPr>
      <w:r w:rsidRPr="00E5005D">
        <w:t>Source:</w:t>
      </w:r>
      <w:r w:rsidRPr="00E5005D">
        <w:tab/>
        <w:t>AER analysis and various submissions and reports.</w:t>
      </w:r>
    </w:p>
    <w:p w:rsidR="00B75657" w:rsidRPr="00E5005D" w:rsidRDefault="00B75657" w:rsidP="00B75657">
      <w:pPr>
        <w:pStyle w:val="AERtablesource"/>
      </w:pPr>
      <w:r>
        <w:t xml:space="preserve">Notes: </w:t>
      </w:r>
      <w:r>
        <w:tab/>
        <w:t>The AER</w:t>
      </w:r>
      <w:r w:rsidRPr="00E5005D">
        <w:t xml:space="preserve"> foundation model </w:t>
      </w:r>
      <w:r>
        <w:t>equity risk premium (</w:t>
      </w:r>
      <w:r w:rsidRPr="00E5005D">
        <w:t>ERP</w:t>
      </w:r>
      <w:r>
        <w:t>)</w:t>
      </w:r>
      <w:r w:rsidRPr="00E5005D">
        <w:t xml:space="preserve"> range uses </w:t>
      </w:r>
      <w:r>
        <w:t>the</w:t>
      </w:r>
      <w:r w:rsidRPr="00E5005D">
        <w:t xml:space="preserve"> range</w:t>
      </w:r>
      <w:r>
        <w:t xml:space="preserve"> and point estimate for market risk premium and equity beta.</w:t>
      </w:r>
      <w:r w:rsidRPr="00E5005D">
        <w:t xml:space="preserve"> The </w:t>
      </w:r>
      <w:r>
        <w:t xml:space="preserve">calculation of the </w:t>
      </w:r>
      <w:r w:rsidRPr="00E5005D">
        <w:t>Wrig</w:t>
      </w:r>
      <w:r>
        <w:t xml:space="preserve">ht approach is set out in section </w:t>
      </w:r>
      <w:r>
        <w:fldChar w:fldCharType="begin"/>
      </w:r>
      <w:r>
        <w:instrText xml:space="preserve"> REF _Ref449053064 \r \h </w:instrText>
      </w:r>
      <w:r>
        <w:fldChar w:fldCharType="separate"/>
      </w:r>
      <w:r w:rsidR="00BA2E8E">
        <w:t>C.2</w:t>
      </w:r>
      <w:r>
        <w:fldChar w:fldCharType="end"/>
      </w:r>
      <w:r>
        <w:t xml:space="preserve">.  The calculation of brokers and other regulators </w:t>
      </w:r>
      <w:r w:rsidR="001A4F7D">
        <w:t xml:space="preserve">ranges is outlined in section </w:t>
      </w:r>
      <w:r w:rsidR="001A4F7D">
        <w:fldChar w:fldCharType="begin"/>
      </w:r>
      <w:r w:rsidR="001A4F7D">
        <w:instrText xml:space="preserve"> REF _Ref451680079 \r \h </w:instrText>
      </w:r>
      <w:r w:rsidR="001A4F7D">
        <w:fldChar w:fldCharType="separate"/>
      </w:r>
      <w:r w:rsidR="001A4F7D">
        <w:t>F</w:t>
      </w:r>
      <w:r w:rsidR="001A4F7D">
        <w:fldChar w:fldCharType="end"/>
      </w:r>
      <w:r w:rsidRPr="00E5005D">
        <w:t>.</w:t>
      </w:r>
      <w:r>
        <w:t xml:space="preserve"> The calculation of debt</w:t>
      </w:r>
      <w:r w:rsidR="001A4F7D">
        <w:t xml:space="preserve"> risk premium is in section </w:t>
      </w:r>
      <w:r w:rsidR="001A4F7D">
        <w:fldChar w:fldCharType="begin"/>
      </w:r>
      <w:r w:rsidR="001A4F7D">
        <w:instrText xml:space="preserve"> REF _Ref451680092 \r \h </w:instrText>
      </w:r>
      <w:r w:rsidR="001A4F7D">
        <w:fldChar w:fldCharType="separate"/>
      </w:r>
      <w:r w:rsidR="001A4F7D">
        <w:t>E.3</w:t>
      </w:r>
      <w:r w:rsidR="001A4F7D">
        <w:fldChar w:fldCharType="end"/>
      </w:r>
      <w:r>
        <w:t>.</w:t>
      </w:r>
    </w:p>
    <w:p w:rsidR="00B75657" w:rsidRPr="00E5005D" w:rsidRDefault="00B75657" w:rsidP="00B75657">
      <w:pPr>
        <w:pStyle w:val="AERtablesource"/>
      </w:pPr>
      <w:r w:rsidRPr="00E5005D">
        <w:tab/>
      </w:r>
      <w:r>
        <w:t>Grant Samuel's final WACC range included an uplift above an initial SLCAPM range. Grant Samuel made no explicit allowance for the impact of Australia's dividend imputation system. The upper bound of the range shown above includes the uplift and an adjustment for dividend imputation, while the lower bound does not. The upper shaded portion of the range includes the entirety of the uplift on return on equity and a full dividend imputation adjustment.</w:t>
      </w:r>
      <w:r>
        <w:rPr>
          <w:rStyle w:val="FootnoteReference"/>
        </w:rPr>
        <w:footnoteReference w:id="291"/>
      </w:r>
      <w:r w:rsidRPr="00E5005D">
        <w:t xml:space="preserve"> </w:t>
      </w:r>
    </w:p>
    <w:p w:rsidR="00B75657" w:rsidRPr="00A26D56" w:rsidRDefault="00B75657" w:rsidP="00B75657">
      <w:pPr>
        <w:pStyle w:val="AERtablesource"/>
      </w:pPr>
      <w:r w:rsidRPr="00E5005D">
        <w:tab/>
      </w:r>
      <w:r>
        <w:t>The shaded portion of the other regulators range represents the impact of rail, transport and retail gas decisions on the range. We consider these industries are unlikely to be comparable to the benchmark efficient entity.</w:t>
      </w:r>
    </w:p>
    <w:p w:rsidR="00B75657" w:rsidRDefault="00B75657" w:rsidP="00B75657">
      <w:pPr>
        <w:pStyle w:val="AERtablesource"/>
      </w:pPr>
      <w:r>
        <w:tab/>
      </w:r>
      <w:r w:rsidRPr="00E5005D">
        <w:t xml:space="preserve">The </w:t>
      </w:r>
      <w:r>
        <w:t>service provider proposals</w:t>
      </w:r>
      <w:r w:rsidRPr="00E5005D">
        <w:t xml:space="preserve"> range </w:t>
      </w:r>
      <w:r>
        <w:t>is based on the proposals from businesses for which we are making decisions in May 2016</w:t>
      </w:r>
      <w:r w:rsidRPr="00E5005D">
        <w:t>.</w:t>
      </w:r>
      <w:r>
        <w:rPr>
          <w:rStyle w:val="FootnoteReference"/>
        </w:rPr>
        <w:footnoteReference w:id="292"/>
      </w:r>
      <w:r>
        <w:t xml:space="preserve"> </w:t>
      </w:r>
      <w:r w:rsidRPr="00B84D85">
        <w:t xml:space="preserve">The lower bound </w:t>
      </w:r>
      <w:r>
        <w:t xml:space="preserve">of the CCP/stakeholder range </w:t>
      </w:r>
      <w:r w:rsidRPr="00B84D85">
        <w:t xml:space="preserve">is based on </w:t>
      </w:r>
      <w:r>
        <w:t xml:space="preserve">the VECUA </w:t>
      </w:r>
      <w:r w:rsidRPr="00B84D85">
        <w:t>submission</w:t>
      </w:r>
      <w:r>
        <w:t xml:space="preserve">, </w:t>
      </w:r>
      <w:r>
        <w:rPr>
          <w:rStyle w:val="FootnoteReference"/>
        </w:rPr>
        <w:footnoteReference w:id="293"/>
      </w:r>
      <w:r w:rsidRPr="00B84D85">
        <w:t xml:space="preserve"> </w:t>
      </w:r>
      <w:r>
        <w:t>t</w:t>
      </w:r>
      <w:r w:rsidRPr="00B84D85">
        <w:t>he upper bound is based on Origin</w:t>
      </w:r>
      <w:r>
        <w:t xml:space="preserve"> Energy</w:t>
      </w:r>
      <w:r w:rsidRPr="00B84D85">
        <w:t>’s submission.</w:t>
      </w:r>
      <w:r w:rsidRPr="001E283E">
        <w:rPr>
          <w:rStyle w:val="FootnoteReference"/>
        </w:rPr>
        <w:footnoteReference w:id="294"/>
      </w:r>
    </w:p>
    <w:p w:rsidR="00B75657" w:rsidRPr="0036368E" w:rsidRDefault="00B75657" w:rsidP="00B75657">
      <w:r>
        <w:t>Our implementation of the foundation model approach results in a return on equity of 7.0 per cent</w:t>
      </w:r>
      <w:r w:rsidRPr="0036368E">
        <w:t xml:space="preserve"> and an equity risk premium of 4.55 per cent. This is consistent with equity risk premium ranges from </w:t>
      </w:r>
      <w:r>
        <w:t xml:space="preserve">broker reports, valuation reports, other regulators' decisions, and the Wright approach as shown in </w:t>
      </w:r>
      <w:r>
        <w:fldChar w:fldCharType="begin"/>
      </w:r>
      <w:r>
        <w:instrText xml:space="preserve"> REF _Ref445923478 \h </w:instrText>
      </w:r>
      <w:r>
        <w:fldChar w:fldCharType="separate"/>
      </w:r>
      <w:r w:rsidR="00BA2E8E" w:rsidRPr="00866A7A">
        <w:t xml:space="preserve">Figure </w:t>
      </w:r>
      <w:r w:rsidR="00BA2E8E">
        <w:rPr>
          <w:noProof/>
        </w:rPr>
        <w:t>3</w:t>
      </w:r>
      <w:r w:rsidR="00BA2E8E">
        <w:noBreakHyphen/>
      </w:r>
      <w:r w:rsidR="00BA2E8E">
        <w:rPr>
          <w:noProof/>
        </w:rPr>
        <w:t>5</w:t>
      </w:r>
      <w:r>
        <w:fldChar w:fldCharType="end"/>
      </w:r>
      <w:r w:rsidRPr="0036368E">
        <w:t>.</w:t>
      </w:r>
      <w:r>
        <w:rPr>
          <w:rStyle w:val="FootnoteReference"/>
        </w:rPr>
        <w:footnoteReference w:id="295"/>
      </w:r>
      <w:r w:rsidRPr="0036368E">
        <w:t xml:space="preserve"> </w:t>
      </w:r>
      <w:r w:rsidRPr="002D5DE0">
        <w:t xml:space="preserve"> </w:t>
      </w:r>
      <w:r>
        <w:t xml:space="preserve">The range of equity risk premium estimates from valuation reports and other regulators' decisions have not materially changed since our preliminary decision. The estimated equity risk premium range from the Wright approach has increased since our preliminary decision as the risk free rate has fallen. As set out in section </w:t>
      </w:r>
      <w:r>
        <w:fldChar w:fldCharType="begin"/>
      </w:r>
      <w:r>
        <w:instrText xml:space="preserve"> REF _Ref449018117 \r \h </w:instrText>
      </w:r>
      <w:r>
        <w:fldChar w:fldCharType="separate"/>
      </w:r>
      <w:r w:rsidR="00BA2E8E">
        <w:t>B.5</w:t>
      </w:r>
      <w:r>
        <w:fldChar w:fldCharType="end"/>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 Consequently we place limited reliance on the Wright approach.</w:t>
      </w:r>
    </w:p>
    <w:p w:rsidR="00B75657" w:rsidRDefault="00B75657" w:rsidP="00B75657">
      <w:r w:rsidRPr="00B005DF">
        <w:t xml:space="preserve">The return on debt material </w:t>
      </w:r>
      <w:r>
        <w:t xml:space="preserve">shown in </w:t>
      </w:r>
      <w:r>
        <w:fldChar w:fldCharType="begin"/>
      </w:r>
      <w:r>
        <w:instrText xml:space="preserve"> REF _Ref445923478 \h </w:instrText>
      </w:r>
      <w:r>
        <w:fldChar w:fldCharType="separate"/>
      </w:r>
      <w:r w:rsidR="00BA2E8E" w:rsidRPr="00866A7A">
        <w:t xml:space="preserve">Figure </w:t>
      </w:r>
      <w:r w:rsidR="00BA2E8E">
        <w:rPr>
          <w:noProof/>
        </w:rPr>
        <w:t>3</w:t>
      </w:r>
      <w:r w:rsidR="00BA2E8E">
        <w:noBreakHyphen/>
      </w:r>
      <w:r w:rsidR="00BA2E8E">
        <w:rPr>
          <w:noProof/>
        </w:rPr>
        <w:t>5</w:t>
      </w:r>
      <w:r>
        <w:fldChar w:fldCharType="end"/>
      </w:r>
      <w:r>
        <w:t xml:space="preserve"> </w:t>
      </w:r>
      <w:r w:rsidRPr="00B005DF">
        <w:t>does not support any change to our foundation model return on equity estimate.</w:t>
      </w:r>
      <w:r>
        <w:t xml:space="preserve"> </w:t>
      </w:r>
      <w:r w:rsidRPr="00E5005D">
        <w:t xml:space="preserve">Our foundation model return on equity estimate is about </w:t>
      </w:r>
      <w:r>
        <w:t>141</w:t>
      </w:r>
      <w:r w:rsidRPr="00E5005D">
        <w:t xml:space="preserve"> </w:t>
      </w:r>
      <w:r>
        <w:t>basis points</w:t>
      </w:r>
      <w:r>
        <w:rPr>
          <w:rStyle w:val="FootnoteReference"/>
        </w:rPr>
        <w:footnoteReference w:id="296"/>
      </w:r>
      <w:r w:rsidRPr="00B005DF">
        <w:t xml:space="preserve"> above the prevailing return on debt. The return on debt is a relative indicator and we expect that</w:t>
      </w:r>
      <w:r>
        <w:t>,</w:t>
      </w:r>
      <w:r w:rsidRPr="00B005DF">
        <w:t xml:space="preserve"> most of the time</w:t>
      </w:r>
      <w:r>
        <w:t>,</w:t>
      </w:r>
      <w:r>
        <w:rPr>
          <w:rStyle w:val="FootnoteReference"/>
        </w:rPr>
        <w:footnoteReference w:id="297"/>
      </w:r>
      <w:r w:rsidRPr="00B005DF">
        <w:t xml:space="preserve"> investors' expected return on equity will exceed the expected return on debt. For our benchmark efficient entity with a similar degree of risk as </w:t>
      </w:r>
      <w:r>
        <w:t>CitiPower</w:t>
      </w:r>
      <w:r w:rsidRPr="00B005DF">
        <w:t>, we would not expect the return on equity to be a large margin above the prevailing return on debt</w:t>
      </w:r>
      <w:r>
        <w:t>.</w:t>
      </w:r>
      <w:r>
        <w:rPr>
          <w:rStyle w:val="FootnoteReference"/>
        </w:rPr>
        <w:footnoteReference w:id="298"/>
      </w:r>
      <w:r>
        <w:t xml:space="preserve"> </w:t>
      </w:r>
    </w:p>
    <w:p w:rsidR="00B75657" w:rsidRDefault="00B75657" w:rsidP="00B75657">
      <w:r>
        <w:t xml:space="preserve">While the spread between equity and debt premiums has narrowed since the October and November 2015 decisions, it remains above the estimate at the publication of the Guideline in December 2013 (see </w:t>
      </w:r>
      <w:r>
        <w:fldChar w:fldCharType="begin"/>
      </w:r>
      <w:r>
        <w:instrText xml:space="preserve"> REF _Ref417589908 \h </w:instrText>
      </w:r>
      <w:r>
        <w:fldChar w:fldCharType="separate"/>
      </w:r>
      <w:r w:rsidR="00BA2E8E">
        <w:t xml:space="preserve">Figure </w:t>
      </w:r>
      <w:r w:rsidR="00BA2E8E">
        <w:rPr>
          <w:noProof/>
        </w:rPr>
        <w:t>3</w:t>
      </w:r>
      <w:r w:rsidR="00BA2E8E">
        <w:noBreakHyphen/>
      </w:r>
      <w:r w:rsidR="00BA2E8E">
        <w:rPr>
          <w:noProof/>
        </w:rPr>
        <w:t>11</w:t>
      </w:r>
      <w:r>
        <w:fldChar w:fldCharType="end"/>
      </w:r>
      <w:r>
        <w:t xml:space="preserve"> in section </w:t>
      </w:r>
      <w:r>
        <w:fldChar w:fldCharType="begin"/>
      </w:r>
      <w:r>
        <w:instrText xml:space="preserve"> REF _Ref449052987 \r \h </w:instrText>
      </w:r>
      <w:r>
        <w:fldChar w:fldCharType="separate"/>
      </w:r>
      <w:r w:rsidR="00BA2E8E">
        <w:t>E.3</w:t>
      </w:r>
      <w:r>
        <w:fldChar w:fldCharType="end"/>
      </w:r>
      <w:r>
        <w:t>). It is not clear the extent to which the narrowing spread relates to CitiPower — it may be driven by expectations of weaker corporate performance, particularly stemming from the resource and commodity sector (for example, resource firms are facing weaker conditions in commodities markets and credit rating downgrades)</w:t>
      </w:r>
      <w:r w:rsidRPr="00B005DF">
        <w:t>.</w:t>
      </w:r>
      <w:r>
        <w:rPr>
          <w:rStyle w:val="FootnoteReference"/>
        </w:rPr>
        <w:footnoteReference w:id="299"/>
      </w:r>
    </w:p>
    <w:p w:rsidR="00B75657" w:rsidRDefault="00B75657" w:rsidP="00B75657">
      <w:r>
        <w:t>Contrary to the service providers' assertions, we consider the current difference is not too low, given</w:t>
      </w:r>
      <w:r w:rsidRPr="00B005DF">
        <w:t xml:space="preserve"> the low risk profile of </w:t>
      </w:r>
      <w:r>
        <w:t>a</w:t>
      </w:r>
      <w:r w:rsidRPr="00B005DF">
        <w:t xml:space="preserve"> benchmark efficient entity</w:t>
      </w:r>
      <w:r>
        <w:t xml:space="preserve"> with a similar degree of risk as CitiPower in providing regulated services.</w:t>
      </w:r>
      <w:r w:rsidRPr="00B005DF">
        <w:rPr>
          <w:rStyle w:val="FootnoteReference"/>
        </w:rPr>
        <w:footnoteReference w:id="300"/>
      </w:r>
      <w:r>
        <w:t xml:space="preserve"> Further, measured debt yields likely understate the expected yield spread due to default risk</w:t>
      </w:r>
      <w:r w:rsidRPr="00B005DF">
        <w:t>.</w:t>
      </w:r>
      <w:r>
        <w:rPr>
          <w:rStyle w:val="FootnoteReference"/>
        </w:rPr>
        <w:footnoteReference w:id="301"/>
      </w:r>
      <w:r w:rsidRPr="00B75657">
        <w:rPr>
          <w:rStyle w:val="CommentReference"/>
        </w:rPr>
        <w:t xml:space="preserve"> </w:t>
      </w:r>
    </w:p>
    <w:p w:rsidR="00B75657" w:rsidRDefault="00B75657" w:rsidP="00B75657">
      <w:r>
        <w:t>The regulatory regime to date has been utilising the Sharpe-Lintner CAPM to set the return on equity and has been supportive of investment. There is no evidence to suggest that the service providers we regulate have not been able to raise capital on reasonable terms to undertake extensive investment programs.</w:t>
      </w:r>
      <w:r>
        <w:rPr>
          <w:rStyle w:val="FootnoteReference"/>
        </w:rPr>
        <w:footnoteReference w:id="302"/>
      </w:r>
      <w:r>
        <w:t xml:space="preserve"> This suggests the allowances set in the past using the Sharpe-Lintner CAPM were at least adequate to recover efficient costs.</w:t>
      </w:r>
      <w:r>
        <w:rPr>
          <w:rStyle w:val="FootnoteReference"/>
        </w:rPr>
        <w:footnoteReference w:id="303"/>
      </w:r>
      <w:r>
        <w:t xml:space="preserve"> We also note that broker reports suggest that our recent determinations have not removed the ability for listed networks to maintain payment of dividends.</w:t>
      </w:r>
      <w:r>
        <w:rPr>
          <w:rStyle w:val="FootnoteReference"/>
        </w:rPr>
        <w:footnoteReference w:id="304"/>
      </w:r>
      <w:r>
        <w:t xml:space="preserve"> This provides confidence that our estimate for this decision, while taking account of the downward trends of equity beta and risk free rate, is likely to provide CitiPower a reasonable opportunity to recover at least the efficient costs of providing regulated services.</w:t>
      </w:r>
    </w:p>
    <w:p w:rsidR="00B75657" w:rsidRDefault="00B75657" w:rsidP="00B75657">
      <w:r>
        <w:t xml:space="preserve">In addition to the equity risk premium ranges shown in </w:t>
      </w:r>
      <w:r>
        <w:fldChar w:fldCharType="begin"/>
      </w:r>
      <w:r>
        <w:instrText xml:space="preserve"> REF _Ref445923478 \h </w:instrText>
      </w:r>
      <w:r>
        <w:fldChar w:fldCharType="separate"/>
      </w:r>
      <w:r w:rsidR="00BA2E8E" w:rsidRPr="00866A7A">
        <w:t xml:space="preserve">Figure </w:t>
      </w:r>
      <w:r w:rsidR="00BA2E8E">
        <w:rPr>
          <w:noProof/>
        </w:rPr>
        <w:t>3</w:t>
      </w:r>
      <w:r w:rsidR="00BA2E8E">
        <w:noBreakHyphen/>
      </w:r>
      <w:r w:rsidR="00BA2E8E">
        <w:rPr>
          <w:noProof/>
        </w:rPr>
        <w:t>5</w:t>
      </w:r>
      <w:r>
        <w:fldChar w:fldCharType="end"/>
      </w:r>
      <w:r w:rsidRPr="00E6597E">
        <w:t xml:space="preserve">, </w:t>
      </w:r>
      <w:r>
        <w:t>we have analysed movements in</w:t>
      </w:r>
      <w:r w:rsidRPr="00E6597E">
        <w:t xml:space="preserve"> </w:t>
      </w:r>
      <w:r>
        <w:t>various conditioning variables (yield</w:t>
      </w:r>
      <w:r w:rsidRPr="00E6597E">
        <w:t xml:space="preserve"> spreads, dividend yields, and the volatility index for the ASX200</w:t>
      </w:r>
      <w:r>
        <w:t>)</w:t>
      </w:r>
      <w:r w:rsidRPr="00E6597E">
        <w:t>.</w:t>
      </w:r>
      <w:r w:rsidRPr="00E6597E">
        <w:rPr>
          <w:rStyle w:val="FootnoteReference"/>
        </w:rPr>
        <w:footnoteReference w:id="305"/>
      </w:r>
      <w:r w:rsidRPr="00E6597E">
        <w:t xml:space="preserve"> </w:t>
      </w:r>
      <w:r>
        <w:t>These conditioning variables can provide information about prevailing market conditions and whether or not the market is in a period of heightened risk aversion. O</w:t>
      </w:r>
      <w:r w:rsidRPr="0012524E">
        <w:t>verall, the conditioning variables appear fairly stable and close to their long term averages</w:t>
      </w:r>
      <w:r w:rsidRPr="00E6597E">
        <w:t>.</w:t>
      </w:r>
      <w:r>
        <w:t xml:space="preserve"> </w:t>
      </w:r>
    </w:p>
    <w:p w:rsidR="00B75657" w:rsidRDefault="00B75657" w:rsidP="00B75657">
      <w:r>
        <w:t>There was broad agreement from consumer groups on the application of our foundation model approach as set out in our Guideline.</w:t>
      </w:r>
      <w:r>
        <w:rPr>
          <w:rStyle w:val="FootnoteReference"/>
        </w:rPr>
        <w:footnoteReference w:id="306"/>
      </w:r>
      <w:r>
        <w:t xml:space="preserve"> We consider that this means applying the Guideline in its entirety including the overall approach, parameter estimation and use of other information</w:t>
      </w:r>
      <w:r>
        <w:rPr>
          <w:rStyle w:val="FootnoteReference"/>
        </w:rPr>
        <w:footnoteReference w:id="307"/>
      </w:r>
      <w:r>
        <w:t xml:space="preserve"> as relevant cross-checks.  </w:t>
      </w:r>
    </w:p>
    <w:p w:rsidR="00B75657" w:rsidRDefault="00B75657" w:rsidP="00B75657">
      <w:r>
        <w:t>In total, eight consumer groups</w:t>
      </w:r>
      <w:r w:rsidRPr="007A701A">
        <w:rPr>
          <w:rStyle w:val="FootnoteReference"/>
        </w:rPr>
        <w:footnoteReference w:id="308"/>
      </w:r>
      <w:r>
        <w:t xml:space="preserve"> supported our approach and some groups noted that they valued the predictability and transparency resulting from the application of our Guideline and foundation model approach.</w:t>
      </w:r>
      <w:r>
        <w:rPr>
          <w:rStyle w:val="FootnoteReference"/>
        </w:rPr>
        <w:footnoteReference w:id="309"/>
      </w:r>
      <w:r>
        <w:t xml:space="preserve"> We note that applying the foundation model approach, as in the Guideline, results in an equity risk premium of 4.55 per cent. </w:t>
      </w:r>
    </w:p>
    <w:p w:rsidR="00B75657" w:rsidRPr="00B75657" w:rsidRDefault="00B75657" w:rsidP="00B75657">
      <w:r>
        <w:t>While supporting our Guideline, some consumer groups have submitted that it reflects conservative choices</w:t>
      </w:r>
      <w:r>
        <w:rPr>
          <w:rStyle w:val="FootnoteReference"/>
        </w:rPr>
        <w:footnoteReference w:id="310"/>
      </w:r>
      <w:r>
        <w:t xml:space="preserve"> that may result in over-estimating the return on equity and that parameter estimates (and rate of return) can be lowered further.</w:t>
      </w:r>
      <w:r>
        <w:rPr>
          <w:rStyle w:val="FootnoteReference"/>
        </w:rPr>
        <w:footnoteReference w:id="311"/>
      </w:r>
      <w:r>
        <w:t xml:space="preserve"> Submissions also noted that we need to give more weight to market data and realised returns such as financial performance and asset sales when considering the overall return on equity.</w:t>
      </w:r>
      <w:r>
        <w:rPr>
          <w:rStyle w:val="FootnoteReference"/>
        </w:rPr>
        <w:footnoteReference w:id="312"/>
      </w:r>
      <w:r w:rsidRPr="00937164">
        <w:rPr>
          <w:rStyle w:val="CommentReference"/>
        </w:rPr>
        <w:t xml:space="preserve"> </w:t>
      </w:r>
    </w:p>
    <w:p w:rsidR="00B75657" w:rsidRDefault="00B75657" w:rsidP="00B75657">
      <w:r>
        <w:t xml:space="preserve">We note </w:t>
      </w:r>
      <w:r w:rsidRPr="00010BCE">
        <w:t xml:space="preserve">the </w:t>
      </w:r>
      <w:r>
        <w:t>service providers</w:t>
      </w:r>
      <w:r w:rsidRPr="00010BCE">
        <w:t xml:space="preserve"> </w:t>
      </w:r>
      <w:r>
        <w:t>submitted</w:t>
      </w:r>
      <w:r w:rsidRPr="00010BCE">
        <w:t xml:space="preserve"> that we did not have appropriate </w:t>
      </w:r>
      <w:r>
        <w:t xml:space="preserve">regard </w:t>
      </w:r>
      <w:r w:rsidRPr="00010BCE">
        <w:t xml:space="preserve">to information from other relevant sources. </w:t>
      </w:r>
      <w:r>
        <w:t>Some stakeholders submitted that we should also have regard to realised returns when considering our overall return on equity estimate. A summary of these</w:t>
      </w:r>
      <w:r w:rsidRPr="00010BCE">
        <w:t xml:space="preserve"> submissions and our response</w:t>
      </w:r>
      <w:r>
        <w:t>s</w:t>
      </w:r>
      <w:r w:rsidRPr="00010BCE">
        <w:t xml:space="preserve"> are provided in </w:t>
      </w:r>
      <w:r>
        <w:fldChar w:fldCharType="begin"/>
      </w:r>
      <w:r>
        <w:instrText xml:space="preserve"> REF _Ref445927856 \h </w:instrText>
      </w:r>
      <w:r>
        <w:fldChar w:fldCharType="separate"/>
      </w:r>
      <w:r w:rsidR="00BA2E8E">
        <w:t xml:space="preserve">Table </w:t>
      </w:r>
      <w:r w:rsidR="00BA2E8E">
        <w:rPr>
          <w:noProof/>
        </w:rPr>
        <w:t>3</w:t>
      </w:r>
      <w:r w:rsidR="00BA2E8E">
        <w:noBreakHyphen/>
      </w:r>
      <w:r w:rsidR="00BA2E8E">
        <w:rPr>
          <w:noProof/>
        </w:rPr>
        <w:t>7</w:t>
      </w:r>
      <w:r>
        <w:fldChar w:fldCharType="end"/>
      </w:r>
      <w:r>
        <w:t xml:space="preserve"> </w:t>
      </w:r>
      <w:r w:rsidRPr="00010BCE">
        <w:t>below</w:t>
      </w:r>
      <w:r>
        <w:t>.</w:t>
      </w:r>
      <w:r w:rsidRPr="00010BCE">
        <w:t xml:space="preserve"> </w:t>
      </w:r>
      <w:r w:rsidRPr="00B005DF">
        <w:t xml:space="preserve">Having considered the overall information and </w:t>
      </w:r>
      <w:r>
        <w:t xml:space="preserve">all </w:t>
      </w:r>
      <w:r w:rsidRPr="00B005DF">
        <w:t xml:space="preserve">material before us, at this time we are not satisfied that this information indicates a departure from the </w:t>
      </w:r>
      <w:r>
        <w:t>G</w:t>
      </w:r>
      <w:r w:rsidRPr="00B005DF">
        <w:t xml:space="preserve">uideline would </w:t>
      </w:r>
      <w:r>
        <w:t>contribute to the achievement of</w:t>
      </w:r>
      <w:r w:rsidRPr="00B005DF">
        <w:t xml:space="preserve"> the </w:t>
      </w:r>
      <w:r w:rsidR="009C74CF">
        <w:t>ARORO</w:t>
      </w:r>
      <w:r w:rsidRPr="00B005DF">
        <w:t xml:space="preserve">. </w:t>
      </w:r>
    </w:p>
    <w:p w:rsidR="00B75657" w:rsidRPr="005F7128" w:rsidRDefault="00B75657" w:rsidP="006507A9">
      <w:pPr>
        <w:pStyle w:val="Caption"/>
        <w:numPr>
          <w:ilvl w:val="0"/>
          <w:numId w:val="24"/>
        </w:numPr>
      </w:pPr>
      <w:bookmarkStart w:id="141" w:name="_Ref445927856"/>
      <w:r>
        <w:t xml:space="preserve">Table </w:t>
      </w:r>
      <w:r w:rsidRPr="009D786E">
        <w:fldChar w:fldCharType="begin"/>
      </w:r>
      <w:r>
        <w:instrText xml:space="preserve"> STYLEREF 1 \s </w:instrText>
      </w:r>
      <w:r w:rsidRPr="009D786E">
        <w:fldChar w:fldCharType="separate"/>
      </w:r>
      <w:r w:rsidR="00BA2E8E">
        <w:rPr>
          <w:noProof/>
        </w:rPr>
        <w:t>3</w:t>
      </w:r>
      <w:r w:rsidRPr="009D786E">
        <w:fldChar w:fldCharType="end"/>
      </w:r>
      <w:r>
        <w:noBreakHyphen/>
      </w:r>
      <w:r w:rsidRPr="009D786E">
        <w:fldChar w:fldCharType="begin"/>
      </w:r>
      <w:r>
        <w:instrText xml:space="preserve"> SEQ Table \* ARABIC \s 1 </w:instrText>
      </w:r>
      <w:r w:rsidRPr="009D786E">
        <w:fldChar w:fldCharType="separate"/>
      </w:r>
      <w:r w:rsidR="00BA2E8E">
        <w:rPr>
          <w:noProof/>
        </w:rPr>
        <w:t>7</w:t>
      </w:r>
      <w:r w:rsidRPr="009D786E">
        <w:fldChar w:fldCharType="end"/>
      </w:r>
      <w:bookmarkEnd w:id="141"/>
      <w:r>
        <w:tab/>
        <w:t>Issues about overall return on equity cross-checks</w:t>
      </w:r>
    </w:p>
    <w:tbl>
      <w:tblPr>
        <w:tblStyle w:val="AERtable-text0"/>
        <w:tblW w:w="0" w:type="auto"/>
        <w:tblLook w:val="04A0" w:firstRow="1" w:lastRow="0" w:firstColumn="1" w:lastColumn="0" w:noHBand="0" w:noVBand="1"/>
      </w:tblPr>
      <w:tblGrid>
        <w:gridCol w:w="2235"/>
        <w:gridCol w:w="6458"/>
      </w:tblGrid>
      <w:tr w:rsidR="00B75657" w:rsidTr="00B75657">
        <w:trPr>
          <w:cnfStyle w:val="100000000000" w:firstRow="1" w:lastRow="0" w:firstColumn="0" w:lastColumn="0" w:oddVBand="0" w:evenVBand="0" w:oddHBand="0" w:evenHBand="0" w:firstRowFirstColumn="0" w:firstRowLastColumn="0" w:lastRowFirstColumn="0" w:lastRowLastColumn="0"/>
        </w:trPr>
        <w:tc>
          <w:tcPr>
            <w:tcW w:w="2235" w:type="dxa"/>
          </w:tcPr>
          <w:p w:rsidR="00B75657" w:rsidRPr="00B75657" w:rsidRDefault="00B75657" w:rsidP="006507A9">
            <w:pPr>
              <w:keepNext/>
            </w:pPr>
            <w:r>
              <w:t>Issue</w:t>
            </w:r>
          </w:p>
        </w:tc>
        <w:tc>
          <w:tcPr>
            <w:tcW w:w="6458" w:type="dxa"/>
          </w:tcPr>
          <w:p w:rsidR="00B75657" w:rsidRPr="00B75657" w:rsidRDefault="00B75657" w:rsidP="006507A9">
            <w:pPr>
              <w:keepNext/>
            </w:pPr>
            <w:r>
              <w:t>O</w:t>
            </w:r>
            <w:r w:rsidRPr="00B75657">
              <w:t>ur response</w:t>
            </w:r>
          </w:p>
        </w:tc>
      </w:tr>
      <w:tr w:rsidR="00B75657" w:rsidTr="00B75657">
        <w:trPr>
          <w:trHeight w:val="1132"/>
        </w:trPr>
        <w:tc>
          <w:tcPr>
            <w:tcW w:w="2235" w:type="dxa"/>
          </w:tcPr>
          <w:p w:rsidR="00B75657" w:rsidRPr="00B75657" w:rsidRDefault="00B75657" w:rsidP="006507A9">
            <w:pPr>
              <w:keepNext/>
            </w:pPr>
            <w:r>
              <w:t>No reliable inferences can be drawn from the comparison of equity</w:t>
            </w:r>
            <w:r w:rsidRPr="00B75657">
              <w:t xml:space="preserve"> and debt risk premia.</w:t>
            </w:r>
            <w:r w:rsidRPr="00B75657">
              <w:rPr>
                <w:rStyle w:val="FootnoteReference"/>
              </w:rPr>
              <w:footnoteReference w:id="313"/>
            </w:r>
          </w:p>
          <w:p w:rsidR="00B75657" w:rsidRDefault="00B75657" w:rsidP="006507A9">
            <w:pPr>
              <w:keepNext/>
            </w:pPr>
          </w:p>
        </w:tc>
        <w:tc>
          <w:tcPr>
            <w:tcW w:w="6458" w:type="dxa"/>
          </w:tcPr>
          <w:p w:rsidR="00B75657" w:rsidRPr="00B75657" w:rsidRDefault="00B75657" w:rsidP="006507A9">
            <w:pPr>
              <w:keepNext/>
            </w:pPr>
            <w:r>
              <w:t xml:space="preserve">We </w:t>
            </w:r>
            <w:r w:rsidRPr="00B75657">
              <w:t>note that it is difficult to derive definitive conclusions about the level of equity premiums from information on debt premiums as there is inconclusive evidence on the size and strength of any relationship between the two premia.</w:t>
            </w:r>
            <w:r w:rsidRPr="00B75657">
              <w:rPr>
                <w:rStyle w:val="FootnoteReference"/>
              </w:rPr>
              <w:footnoteReference w:id="314"/>
            </w:r>
            <w:r w:rsidRPr="00B75657">
              <w:t xml:space="preserve"> This is why we give this material a directional role.</w:t>
            </w:r>
            <w:r w:rsidRPr="00B75657">
              <w:rPr>
                <w:rStyle w:val="FootnoteReference"/>
              </w:rPr>
              <w:footnoteReference w:id="315"/>
            </w:r>
          </w:p>
          <w:p w:rsidR="00B75657" w:rsidRPr="00B75657" w:rsidRDefault="00B75657" w:rsidP="006507A9">
            <w:pPr>
              <w:keepNext/>
            </w:pPr>
            <w:r>
              <w:t>A</w:t>
            </w:r>
            <w:r w:rsidRPr="00B75657">
              <w:t xml:space="preserve"> comparison of the risk premia can indicate if the estimated return on equity is too low (high) relative to the (prevailing) return on debt. Equity investors are residual claimants on a firm’s assets in the event of default. It is typically expected, therefore, that equity investments are riskier than debt investments, and that the return on equity should exceed the return on debt.</w:t>
            </w:r>
            <w:r w:rsidRPr="00B75657">
              <w:rPr>
                <w:rStyle w:val="FootnoteReference"/>
              </w:rPr>
              <w:footnoteReference w:id="316"/>
            </w:r>
            <w:r w:rsidRPr="00B75657">
              <w:t xml:space="preserve"> However, we do not expect the equity risk premium for </w:t>
            </w:r>
            <w:r w:rsidRPr="00B75657">
              <w:rPr>
                <w:rStyle w:val="AERtextsize8"/>
              </w:rPr>
              <w:t xml:space="preserve">a benchmark efficient entity with a similar degree of risk as </w:t>
            </w:r>
            <w:r w:rsidR="00BB07DF">
              <w:rPr>
                <w:rStyle w:val="AERtextsize8"/>
              </w:rPr>
              <w:t>CitiPower</w:t>
            </w:r>
            <w:r w:rsidRPr="00B75657">
              <w:rPr>
                <w:rStyle w:val="AERtextsize8"/>
              </w:rPr>
              <w:t xml:space="preserve"> in providing </w:t>
            </w:r>
            <w:r w:rsidR="00BB07DF">
              <w:rPr>
                <w:rStyle w:val="AERtextsize8"/>
              </w:rPr>
              <w:t>regulated</w:t>
            </w:r>
            <w:r w:rsidRPr="00B75657">
              <w:rPr>
                <w:rStyle w:val="AERtextsize8"/>
              </w:rPr>
              <w:t xml:space="preserve"> services</w:t>
            </w:r>
            <w:r w:rsidRPr="00B75657">
              <w:t xml:space="preserve"> to be significantly higher than the debt risk premium. This is because we consider that there is limited systematic risk associated with CitiPower's standard control services.</w:t>
            </w:r>
            <w:r w:rsidRPr="00B75657">
              <w:rPr>
                <w:rStyle w:val="FootnoteReference"/>
              </w:rPr>
              <w:footnoteReference w:id="317"/>
            </w:r>
            <w:r w:rsidRPr="00B75657">
              <w:t xml:space="preserve"> </w:t>
            </w:r>
          </w:p>
        </w:tc>
      </w:tr>
      <w:tr w:rsidR="00B75657" w:rsidTr="00B75657">
        <w:trPr>
          <w:cnfStyle w:val="000000010000" w:firstRow="0" w:lastRow="0" w:firstColumn="0" w:lastColumn="0" w:oddVBand="0" w:evenVBand="0" w:oddHBand="0" w:evenHBand="1" w:firstRowFirstColumn="0" w:firstRowLastColumn="0" w:lastRowFirstColumn="0" w:lastRowLastColumn="0"/>
        </w:trPr>
        <w:tc>
          <w:tcPr>
            <w:tcW w:w="2235" w:type="dxa"/>
          </w:tcPr>
          <w:p w:rsidR="00B75657" w:rsidRPr="00B75657" w:rsidRDefault="00B75657" w:rsidP="00B75657">
            <w:r>
              <w:t xml:space="preserve">Frontier </w:t>
            </w:r>
            <w:r w:rsidRPr="00B75657">
              <w:t>noted that the comparison between the equity and debt risk premia indicates that they both move inversely to the risk free rate.</w:t>
            </w:r>
            <w:r w:rsidRPr="00B75657">
              <w:rPr>
                <w:rStyle w:val="FootnoteReference"/>
              </w:rPr>
              <w:footnoteReference w:id="318"/>
            </w:r>
          </w:p>
        </w:tc>
        <w:tc>
          <w:tcPr>
            <w:tcW w:w="6458" w:type="dxa"/>
          </w:tcPr>
          <w:p w:rsidR="00B75657" w:rsidRPr="00B75657" w:rsidRDefault="00B75657" w:rsidP="00B75657">
            <w:r w:rsidRPr="006B51BD">
              <w:t xml:space="preserve">We </w:t>
            </w:r>
            <w:r w:rsidRPr="00B75657">
              <w:t>do not consider that the current available evidence supports the view that there is any clear relationship between the risk free rate and risk premia. Frontier submitted evidence of movements in the risk free rate and debt risk premia from only two points in time: November 2014 and October 2015. We do not consider a sample of two data points is sufficiently reliable evidence to alter the results of the comprehensive review of the available evidence by McKenzie &amp; Partington.</w:t>
            </w:r>
            <w:r w:rsidRPr="00B75657">
              <w:rPr>
                <w:rStyle w:val="FootnoteReference"/>
              </w:rPr>
              <w:footnoteReference w:id="319"/>
            </w:r>
          </w:p>
        </w:tc>
      </w:tr>
      <w:tr w:rsidR="00B75657" w:rsidTr="00B75657">
        <w:tc>
          <w:tcPr>
            <w:tcW w:w="2235" w:type="dxa"/>
          </w:tcPr>
          <w:p w:rsidR="00B75657" w:rsidRPr="00B75657" w:rsidRDefault="00B75657" w:rsidP="00B75657">
            <w:r>
              <w:t>Our us</w:t>
            </w:r>
            <w:r w:rsidRPr="00B75657">
              <w:t>e of a range of beta estimates from 0.4 to 0.7, instead of our point estimate of 0.7, in the Wright CAPM prevents any real regard being had to the Wright CAPM.</w:t>
            </w:r>
            <w:r w:rsidRPr="00B75657">
              <w:rPr>
                <w:rStyle w:val="FootnoteReference"/>
              </w:rPr>
              <w:footnoteReference w:id="320"/>
            </w:r>
          </w:p>
        </w:tc>
        <w:tc>
          <w:tcPr>
            <w:tcW w:w="6458" w:type="dxa"/>
          </w:tcPr>
          <w:p w:rsidR="00B75657" w:rsidRPr="00B75657" w:rsidRDefault="00B75657" w:rsidP="00B75657">
            <w:r>
              <w:t>We selected a point estimate of 0.7 from the range of 0.4 to 0.7 partly on considerations of the theoretical underpinnings of the Black CAPM, which is unrelated to the estimation of the Wright specification of the CAPM. To consider evidence from the Wright CAPM independently from our foundation model, we consider it is important to use the equity beta range of 0.4 to 0.7. To do otherwise would reduce the efficacy of using the Wright approach as a check against the foundation model.</w:t>
            </w:r>
          </w:p>
        </w:tc>
      </w:tr>
      <w:tr w:rsidR="00B75657" w:rsidTr="00B75657">
        <w:trPr>
          <w:cnfStyle w:val="000000010000" w:firstRow="0" w:lastRow="0" w:firstColumn="0" w:lastColumn="0" w:oddVBand="0" w:evenVBand="0" w:oddHBand="0" w:evenHBand="1" w:firstRowFirstColumn="0" w:firstRowLastColumn="0" w:lastRowFirstColumn="0" w:lastRowLastColumn="0"/>
        </w:trPr>
        <w:tc>
          <w:tcPr>
            <w:tcW w:w="2235" w:type="dxa"/>
          </w:tcPr>
          <w:p w:rsidR="00B75657" w:rsidRPr="00B75657" w:rsidRDefault="00B75657" w:rsidP="00B75657">
            <w:r>
              <w:t xml:space="preserve">We use a range under the Wright approach, whereas Frontier Economics </w:t>
            </w:r>
            <w:r w:rsidRPr="00B75657">
              <w:t>estimates the return on the market under the Wright approach as a point estimate using the longest time period available.</w:t>
            </w:r>
            <w:r w:rsidRPr="00B75657">
              <w:rPr>
                <w:rStyle w:val="FootnoteReference"/>
              </w:rPr>
              <w:footnoteReference w:id="321"/>
            </w:r>
          </w:p>
        </w:tc>
        <w:tc>
          <w:tcPr>
            <w:tcW w:w="6458" w:type="dxa"/>
          </w:tcPr>
          <w:p w:rsidR="00B75657" w:rsidRPr="00B75657" w:rsidRDefault="00B75657" w:rsidP="00B75657">
            <w:r w:rsidRPr="00B005DF">
              <w:t>W</w:t>
            </w:r>
            <w:r w:rsidRPr="00B75657">
              <w:t xml:space="preserve">hen estimating the Wright approach we estimate a range based on the different averaging periods in </w:t>
            </w:r>
            <w:r w:rsidRPr="00B75657">
              <w:fldChar w:fldCharType="begin"/>
            </w:r>
            <w:r w:rsidRPr="00B75657">
              <w:instrText xml:space="preserve"> REF _Ref417570520 \h </w:instrText>
            </w:r>
            <w:r w:rsidRPr="00B75657">
              <w:fldChar w:fldCharType="separate"/>
            </w:r>
            <w:r w:rsidR="00BA2E8E">
              <w:t xml:space="preserve">Table </w:t>
            </w:r>
            <w:r w:rsidR="00BA2E8E">
              <w:rPr>
                <w:noProof/>
              </w:rPr>
              <w:t>3</w:t>
            </w:r>
            <w:r w:rsidR="00BA2E8E">
              <w:noBreakHyphen/>
            </w:r>
            <w:r w:rsidR="00BA2E8E">
              <w:rPr>
                <w:noProof/>
              </w:rPr>
              <w:t>28</w:t>
            </w:r>
            <w:r w:rsidRPr="00B75657">
              <w:fldChar w:fldCharType="end"/>
            </w:r>
            <w:r w:rsidRPr="00B75657">
              <w:t>. This recognises</w:t>
            </w:r>
            <w:r w:rsidRPr="00B75657">
              <w:rPr>
                <w:rStyle w:val="AERbody"/>
              </w:rPr>
              <w:t xml:space="preserve"> </w:t>
            </w:r>
            <w:r w:rsidRPr="00B75657">
              <w:t>the estimated return on the market will vary depending on the time period used.</w:t>
            </w:r>
            <w:r w:rsidRPr="00B75657">
              <w:rPr>
                <w:rStyle w:val="FootnoteReference"/>
              </w:rPr>
              <w:footnoteReference w:id="322"/>
            </w:r>
            <w:r w:rsidRPr="00B75657">
              <w:t xml:space="preserve"> This also recognises that each of these periods has merits and limitations (see section C.1.2 in Attachment 3 to our preliminary decision for CitiPower). This is consistent with the Guideline.</w:t>
            </w:r>
            <w:r w:rsidRPr="00B75657">
              <w:rPr>
                <w:rStyle w:val="FootnoteReference"/>
              </w:rPr>
              <w:footnoteReference w:id="323"/>
            </w:r>
            <w:r w:rsidRPr="00B75657">
              <w:t xml:space="preserve"> We do not consider that CitiPower has explained why it departed from the Guideline by adopting a point estimate.</w:t>
            </w:r>
          </w:p>
        </w:tc>
      </w:tr>
      <w:tr w:rsidR="00B75657" w:rsidTr="00B75657">
        <w:tc>
          <w:tcPr>
            <w:tcW w:w="2235" w:type="dxa"/>
          </w:tcPr>
          <w:p w:rsidR="00B75657" w:rsidRPr="00B75657" w:rsidRDefault="00B75657" w:rsidP="00B75657">
            <w:r>
              <w:t xml:space="preserve">Uplifts </w:t>
            </w:r>
            <w:r w:rsidRPr="00B75657">
              <w:t>to market risk premium and risk free rate estimates from broker and valuation reports should be taken into account.</w:t>
            </w:r>
            <w:r w:rsidRPr="00B75657">
              <w:rPr>
                <w:rStyle w:val="FootnoteReference"/>
              </w:rPr>
              <w:t xml:space="preserve"> </w:t>
            </w:r>
            <w:r w:rsidRPr="00B75657">
              <w:rPr>
                <w:rStyle w:val="FootnoteReference"/>
              </w:rPr>
              <w:footnoteReference w:id="324"/>
            </w:r>
          </w:p>
        </w:tc>
        <w:tc>
          <w:tcPr>
            <w:tcW w:w="6458" w:type="dxa"/>
          </w:tcPr>
          <w:p w:rsidR="00B75657" w:rsidRPr="00B75657" w:rsidRDefault="00B75657" w:rsidP="00B75657">
            <w:r>
              <w:t>Uplifts applied by brokers and valuers</w:t>
            </w:r>
            <w:r w:rsidRPr="00B75657">
              <w:t xml:space="preserve"> to initial esti</w:t>
            </w:r>
            <w:r w:rsidR="009C74CF">
              <w:t>mates may be inconsistent with the A</w:t>
            </w:r>
            <w:r w:rsidR="009C74CF" w:rsidRPr="009C74CF">
              <w:t>RORO</w:t>
            </w:r>
            <w:r w:rsidRPr="00B75657">
              <w:t xml:space="preserve">. They may reflect non-systematic risks, or be designed to account for risks not addressed in cash flow forecasts, or (to the extent there is any) the expectation of outperformance of regulatory allowances. They may also reflect the term structure of the proxies used to estimate the risk free rate and/or market risk premium, the relevant investment period exceeding the term of the proxies, and the one-off nature of transactions on which they are advising (which differs from our regulatory task where the rate of return is re-assessed for each regulatory </w:t>
            </w:r>
            <w:r w:rsidR="00965241">
              <w:t xml:space="preserve">control </w:t>
            </w:r>
            <w:r w:rsidRPr="00B75657">
              <w:t>period).</w:t>
            </w:r>
          </w:p>
          <w:p w:rsidR="00B75657" w:rsidRPr="00B75657" w:rsidRDefault="00B75657" w:rsidP="00B75657">
            <w:r>
              <w:t xml:space="preserve">As a result, we prefer to </w:t>
            </w:r>
            <w:r w:rsidRPr="00B75657">
              <w:t>have greater regard to estimates exclusive of these uplifts. For more detail, see sections E.3, E.4 and E.6 in Attachment 3 to our preliminary decision for CitiPower.</w:t>
            </w:r>
          </w:p>
        </w:tc>
      </w:tr>
      <w:tr w:rsidR="00B75657" w:rsidTr="00B75657">
        <w:trPr>
          <w:cnfStyle w:val="000000010000" w:firstRow="0" w:lastRow="0" w:firstColumn="0" w:lastColumn="0" w:oddVBand="0" w:evenVBand="0" w:oddHBand="0" w:evenHBand="1" w:firstRowFirstColumn="0" w:firstRowLastColumn="0" w:lastRowFirstColumn="0" w:lastRowLastColumn="0"/>
        </w:trPr>
        <w:tc>
          <w:tcPr>
            <w:tcW w:w="2235" w:type="dxa"/>
          </w:tcPr>
          <w:p w:rsidR="00B75657" w:rsidRPr="00B75657" w:rsidRDefault="00B75657" w:rsidP="00B75657">
            <w:r>
              <w:t>Houston Kemp submitted that our concern about uplifts in valuation reports reflecting term structure adjustments is not supported by the evidence.</w:t>
            </w:r>
            <w:r w:rsidRPr="00B75657">
              <w:rPr>
                <w:rStyle w:val="FootnoteReference"/>
              </w:rPr>
              <w:footnoteReference w:id="325"/>
            </w:r>
          </w:p>
        </w:tc>
        <w:tc>
          <w:tcPr>
            <w:tcW w:w="6458" w:type="dxa"/>
          </w:tcPr>
          <w:p w:rsidR="00B75657" w:rsidRPr="00B75657" w:rsidRDefault="00B75657" w:rsidP="00B75657">
            <w:r>
              <w:t>HoustonKemp has not provided compelling evidence that valuers do not adjust risk free rate estimates to account for term structu</w:t>
            </w:r>
            <w:r w:rsidRPr="00B75657">
              <w:t>re. HoustonKemp lists 25 valuation reports that contain a risk free rate estimate that differs from the yield on Australian government securities by at least 100 basis points. HoustonKemp submits that these reports provide no evidence that valuers are considering the term structure of the risk free rate. However, these reports do not provide evidence that valuers are not considering the term structure. Most reports provide little justification for the risk free rate estimate. This is one reason why we have limited reliance on evidence from valuation reports.</w:t>
            </w:r>
            <w:r w:rsidRPr="00B75657">
              <w:rPr>
                <w:rStyle w:val="FootnoteReference"/>
              </w:rPr>
              <w:footnoteReference w:id="326"/>
            </w:r>
          </w:p>
          <w:p w:rsidR="00B75657" w:rsidRPr="00B75657" w:rsidDel="00507F98" w:rsidRDefault="00B75657" w:rsidP="00B75657">
            <w:r>
              <w:t>HoustonKemp refers to a report by KPMG</w:t>
            </w:r>
            <w:r w:rsidRPr="00B75657">
              <w:t xml:space="preserve"> for Prima Biomed. HoustonKemp submits that current yields on Australian government securities do not indicate a step function for forward rates as assumed by KPMG and that KPMG's estimate of 5.5 per cent is above the forward rate. We do not consider this to be a concern. We examine estimates from valuation reports in order to survey the views of other market practitioners. To limit our consideration of only estimates that align with market data would be to make such a survey exercise redundant. HoustonKemp also notes that KPMG estimates cash flows from Prima Biomed to cease before KPMG's estimated step increase in the risk free rate. We acknowledge that more reliance might be placed on KPMG's long-term risk free rate estimate if it had a more material impact, but we do not consider that there is no value in considering KPMG's estimate.</w:t>
            </w:r>
          </w:p>
        </w:tc>
      </w:tr>
      <w:tr w:rsidR="00B75657" w:rsidTr="00B75657">
        <w:tc>
          <w:tcPr>
            <w:tcW w:w="2235" w:type="dxa"/>
          </w:tcPr>
          <w:p w:rsidR="00B75657" w:rsidRPr="00B75657" w:rsidRDefault="00B00752" w:rsidP="00B75657">
            <w:r>
              <w:t>Service providers</w:t>
            </w:r>
            <w:r w:rsidR="00B75657" w:rsidRPr="003E6BC3">
              <w:t xml:space="preserve"> submitted that the relevant estimates </w:t>
            </w:r>
            <w:r w:rsidR="00B75657" w:rsidRPr="00B75657">
              <w:t>from broker and valuation reports are the imputation-adjusted estimates.</w:t>
            </w:r>
            <w:r w:rsidR="00B75657" w:rsidRPr="00B75657">
              <w:rPr>
                <w:rStyle w:val="FootnoteReference"/>
              </w:rPr>
              <w:t xml:space="preserve"> </w:t>
            </w:r>
            <w:r w:rsidR="00B75657" w:rsidRPr="00B75657">
              <w:rPr>
                <w:rStyle w:val="FootnoteReference"/>
              </w:rPr>
              <w:footnoteReference w:id="327"/>
            </w:r>
          </w:p>
        </w:tc>
        <w:tc>
          <w:tcPr>
            <w:tcW w:w="6458" w:type="dxa"/>
          </w:tcPr>
          <w:p w:rsidR="00B75657" w:rsidRPr="00B75657" w:rsidRDefault="00B75657" w:rsidP="00B75657">
            <w:r>
              <w:t xml:space="preserve">It is not clear </w:t>
            </w:r>
            <w:r w:rsidRPr="00B75657">
              <w:t>that it is necessary to adjust broker and valuer estimates for imputation as it is unclear the extent to which these estimates may be based on third party estimates that already account for the value of imputation credits. There is insufficient information to support any precise adjustment for dividend imputation.</w:t>
            </w:r>
            <w:r>
              <w:t xml:space="preserve"> </w:t>
            </w:r>
            <w:r w:rsidRPr="00B75657">
              <w:t>The risk premium appropriately reflecting dividend imputation is likely somewhere between the adjusted and unadjusted premiums and we take into account both values. For more detail, see sections E.3, E.4 and E.6 in Attachment 3 to our preliminary decision for CitiPower.</w:t>
            </w:r>
          </w:p>
        </w:tc>
      </w:tr>
      <w:tr w:rsidR="00B75657" w:rsidTr="00B75657">
        <w:trPr>
          <w:cnfStyle w:val="000000010000" w:firstRow="0" w:lastRow="0" w:firstColumn="0" w:lastColumn="0" w:oddVBand="0" w:evenVBand="0" w:oddHBand="0" w:evenHBand="1" w:firstRowFirstColumn="0" w:firstRowLastColumn="0" w:lastRowFirstColumn="0" w:lastRowLastColumn="0"/>
        </w:trPr>
        <w:tc>
          <w:tcPr>
            <w:tcW w:w="2235" w:type="dxa"/>
          </w:tcPr>
          <w:p w:rsidR="00B75657" w:rsidRPr="00B75657" w:rsidRDefault="00B00752" w:rsidP="00B75657">
            <w:r>
              <w:t>Service providers</w:t>
            </w:r>
            <w:r w:rsidR="00B75657">
              <w:t xml:space="preserve"> submitted that it is not appropriate to focus just on the equity risk premium from broker reports</w:t>
            </w:r>
            <w:r w:rsidR="00B75657" w:rsidRPr="00B75657">
              <w:t>.</w:t>
            </w:r>
            <w:r w:rsidR="00B75657" w:rsidRPr="00B75657">
              <w:rPr>
                <w:rStyle w:val="FootnoteReference"/>
              </w:rPr>
              <w:t xml:space="preserve"> </w:t>
            </w:r>
            <w:r w:rsidR="00B75657" w:rsidRPr="00B75657">
              <w:rPr>
                <w:rStyle w:val="FootnoteReference"/>
              </w:rPr>
              <w:footnoteReference w:id="328"/>
            </w:r>
          </w:p>
        </w:tc>
        <w:tc>
          <w:tcPr>
            <w:tcW w:w="6458" w:type="dxa"/>
          </w:tcPr>
          <w:p w:rsidR="00B75657" w:rsidRPr="00B75657" w:rsidRDefault="00B75657" w:rsidP="00B75657">
            <w:r>
              <w:t xml:space="preserve">This submission indicates </w:t>
            </w:r>
            <w:r w:rsidRPr="00B75657">
              <w:t xml:space="preserve">a misunderstanding of our approach. We clearly have regard to both equity risk premium and overall return on equity estimates from broker reports. For more details see section </w:t>
            </w:r>
            <w:r w:rsidRPr="00B75657">
              <w:fldChar w:fldCharType="begin"/>
            </w:r>
            <w:r w:rsidRPr="00B75657">
              <w:instrText xml:space="preserve"> REF _Ref445898024 \r \h </w:instrText>
            </w:r>
            <w:r w:rsidRPr="00B75657">
              <w:fldChar w:fldCharType="separate"/>
            </w:r>
            <w:r w:rsidR="00BA2E8E">
              <w:t>F.2</w:t>
            </w:r>
            <w:r w:rsidRPr="00B75657">
              <w:fldChar w:fldCharType="end"/>
            </w:r>
            <w:r w:rsidRPr="00B75657">
              <w:t xml:space="preserve"> of this attachment.</w:t>
            </w:r>
          </w:p>
        </w:tc>
      </w:tr>
      <w:tr w:rsidR="00B75657" w:rsidTr="00B75657">
        <w:tc>
          <w:tcPr>
            <w:tcW w:w="2235" w:type="dxa"/>
          </w:tcPr>
          <w:p w:rsidR="00B75657" w:rsidRPr="00B75657" w:rsidRDefault="00B75657" w:rsidP="00B75657">
            <w:r>
              <w:t>Frontier Economics submitted that we erred in our representation of valuers' estimated market return shown in Figure 3-33 in our preliminary decision.</w:t>
            </w:r>
            <w:r w:rsidRPr="00B75657">
              <w:rPr>
                <w:rStyle w:val="FootnoteReference"/>
              </w:rPr>
              <w:footnoteReference w:id="329"/>
            </w:r>
          </w:p>
        </w:tc>
        <w:tc>
          <w:tcPr>
            <w:tcW w:w="6458" w:type="dxa"/>
          </w:tcPr>
          <w:p w:rsidR="00B75657" w:rsidRPr="00B75657" w:rsidRDefault="00B75657" w:rsidP="00B75657">
            <w:r>
              <w:t xml:space="preserve">This </w:t>
            </w:r>
            <w:r w:rsidRPr="00B75657">
              <w:t>submission indicates a misunderstanding of our approach. Valuers' estimates of the market return shown in Figure 3-33 in Attachment 3 to our preliminary decision are calculated as the sum of the valuers' estimated risk free rate and market risk premium.</w:t>
            </w:r>
          </w:p>
        </w:tc>
      </w:tr>
      <w:tr w:rsidR="00B75657" w:rsidTr="00B75657">
        <w:trPr>
          <w:cnfStyle w:val="000000010000" w:firstRow="0" w:lastRow="0" w:firstColumn="0" w:lastColumn="0" w:oddVBand="0" w:evenVBand="0" w:oddHBand="0" w:evenHBand="1" w:firstRowFirstColumn="0" w:firstRowLastColumn="0" w:lastRowFirstColumn="0" w:lastRowLastColumn="0"/>
        </w:trPr>
        <w:tc>
          <w:tcPr>
            <w:tcW w:w="2235" w:type="dxa"/>
          </w:tcPr>
          <w:p w:rsidR="00B75657" w:rsidRPr="00B75657" w:rsidRDefault="00B75657" w:rsidP="00B75657">
            <w:r>
              <w:t xml:space="preserve">The </w:t>
            </w:r>
            <w:r w:rsidRPr="00B75657">
              <w:t>EUCV, VECUA and CCP (panel 3) submitted that we should have regard to realised returns estimated from financial statements and asset sales.</w:t>
            </w:r>
            <w:r w:rsidRPr="00B75657">
              <w:rPr>
                <w:rStyle w:val="FootnoteReference"/>
              </w:rPr>
              <w:footnoteReference w:id="330"/>
            </w:r>
          </w:p>
        </w:tc>
        <w:tc>
          <w:tcPr>
            <w:tcW w:w="6458" w:type="dxa"/>
          </w:tcPr>
          <w:p w:rsidR="00B75657" w:rsidRPr="00B75657" w:rsidRDefault="00B75657" w:rsidP="00B75657">
            <w:r>
              <w:t>Caution must be exercised before drawing inferences about the regulatory rate of return from</w:t>
            </w:r>
            <w:r w:rsidRPr="00B75657">
              <w:t xml:space="preserve"> realised returns. Realised returns may differ from the allowed rate of return due to outperformance of other regulatory allowances, income from unregulated activities, expectations for real growth in the regulatory asset base, or expectations of changes to the regulatory regime or revaluation of the regulatory asset base. Due to these factors, it is unclear what type of relationship may exist between realised returns and the allowed return on equity. That is, it is not clear what alterations to an allowed return on equity would result in an equivalence of regulatory asset values and market values (even if the factors outlined above could be adequately addressed).</w:t>
            </w:r>
          </w:p>
          <w:p w:rsidR="00B75657" w:rsidRPr="00B75657" w:rsidRDefault="00B75657" w:rsidP="00B75657">
            <w:r>
              <w:t>F</w:t>
            </w:r>
            <w:r w:rsidRPr="00B75657">
              <w:t>or this reason, we do not use information from realised returns to estimate the return on equity. For more detail, see pages 102 to 105 of Attachment 3 to our preliminary decision for CitiPower.</w:t>
            </w:r>
          </w:p>
        </w:tc>
      </w:tr>
    </w:tbl>
    <w:p w:rsidR="00B75657" w:rsidRPr="00B005DF" w:rsidRDefault="00B75657" w:rsidP="00BB07DF"/>
    <w:p w:rsidR="00B75657" w:rsidRPr="0032489B" w:rsidRDefault="00B75657" w:rsidP="00B75657">
      <w:pPr>
        <w:pStyle w:val="HeadingBoldBlue"/>
        <w:numPr>
          <w:ilvl w:val="0"/>
          <w:numId w:val="24"/>
        </w:numPr>
        <w:rPr>
          <w:rStyle w:val="AERtextorange"/>
        </w:rPr>
      </w:pPr>
      <w:bookmarkStart w:id="142" w:name="_Toc443923182"/>
      <w:r>
        <w:rPr>
          <w:rStyle w:val="AERtextorange"/>
        </w:rPr>
        <w:t>Movements in the risk free rate and the return on equity</w:t>
      </w:r>
      <w:bookmarkEnd w:id="142"/>
    </w:p>
    <w:p w:rsidR="00B75657" w:rsidRDefault="00B75657" w:rsidP="00B75657">
      <w:pPr>
        <w:numPr>
          <w:ilvl w:val="0"/>
          <w:numId w:val="24"/>
        </w:numPr>
      </w:pPr>
      <w:r>
        <w:t xml:space="preserve">Applying our foundation model approach, we estimate a return on equity of 7.0 per cent. </w:t>
      </w:r>
    </w:p>
    <w:p w:rsidR="00B75657" w:rsidRDefault="00B75657" w:rsidP="00B75657">
      <w:pPr>
        <w:rPr>
          <w:rStyle w:val="AERbody"/>
        </w:rPr>
      </w:pPr>
      <w:r w:rsidRPr="00972D4C">
        <w:rPr>
          <w:rStyle w:val="AERbody"/>
        </w:rPr>
        <w:t>We consider capital</w:t>
      </w:r>
      <w:r>
        <w:rPr>
          <w:rStyle w:val="AERbody"/>
        </w:rPr>
        <w:t>—</w:t>
      </w:r>
      <w:r w:rsidRPr="00972D4C">
        <w:rPr>
          <w:rStyle w:val="AERbody"/>
        </w:rPr>
        <w:t>equity and debt</w:t>
      </w:r>
      <w:r>
        <w:rPr>
          <w:rStyle w:val="AERbody"/>
        </w:rPr>
        <w:t>—should provide for</w:t>
      </w:r>
      <w:r w:rsidRPr="00972D4C">
        <w:rPr>
          <w:rStyle w:val="AERbody"/>
        </w:rPr>
        <w:t xml:space="preserve"> a risk premium over a base (risk free) rate</w:t>
      </w:r>
      <w:r>
        <w:rPr>
          <w:rStyle w:val="AERbody"/>
        </w:rPr>
        <w:t>. In estimating the allowed rate of return for CitiPower, we consider the additional riskiness of CitiPower</w:t>
      </w:r>
      <w:r>
        <w:rPr>
          <w:rStyle w:val="FootnoteReference"/>
        </w:rPr>
        <w:footnoteReference w:id="331"/>
      </w:r>
      <w:r>
        <w:rPr>
          <w:rStyle w:val="AERbody"/>
        </w:rPr>
        <w:t xml:space="preserve"> relative to the risk free asset, and the commensurate risk premium that investors require to take on this additional risk.</w:t>
      </w:r>
      <w:r>
        <w:rPr>
          <w:rStyle w:val="FootnoteReference"/>
        </w:rPr>
        <w:footnoteReference w:id="332"/>
      </w:r>
      <w:r w:rsidRPr="00972D4C">
        <w:rPr>
          <w:rStyle w:val="AERbody"/>
        </w:rPr>
        <w:t xml:space="preserve"> </w:t>
      </w:r>
    </w:p>
    <w:p w:rsidR="00B75657" w:rsidRDefault="00B75657" w:rsidP="00B75657">
      <w:pPr>
        <w:rPr>
          <w:rStyle w:val="AERbody"/>
        </w:rPr>
      </w:pPr>
      <w:r>
        <w:rPr>
          <w:rStyle w:val="AERbody"/>
        </w:rPr>
        <w:t>The service providers argue that there is an inverse relationship between the risk free rate and market risk premium. I</w:t>
      </w:r>
      <w:r w:rsidRPr="00972D4C">
        <w:rPr>
          <w:rStyle w:val="AERbody"/>
        </w:rPr>
        <w:t xml:space="preserve">t is unclear why this risk premium would increase or decrease to entirely offset changes in the base risk free rate. </w:t>
      </w:r>
      <w:r>
        <w:rPr>
          <w:rStyle w:val="AERbody"/>
        </w:rPr>
        <w:t xml:space="preserve">We have not been provided with compelling evidence that the riskiness of CitiPower relative to the risk free asset has increased as the risk free rate has decreased. Service providers have not sufficiently explained why, in the absence of an increase in the relative riskiness of CitiPower, general risk aversion in equity investors would have risen as the risk free rate fell from November 2013, while over the same period it appeared to fall for debt investors. </w:t>
      </w:r>
      <w:r w:rsidRPr="00972D4C">
        <w:rPr>
          <w:rStyle w:val="AERbody"/>
        </w:rPr>
        <w:t xml:space="preserve">While required returns on equity are not directly observable, we have not been provided with compelling evidence for a clear inverse relationship between the long term forward looking risk free rate and the long term forward looking </w:t>
      </w:r>
      <w:r>
        <w:rPr>
          <w:rStyle w:val="AERbody"/>
        </w:rPr>
        <w:t>market risk premium</w:t>
      </w:r>
      <w:r w:rsidRPr="00972D4C">
        <w:rPr>
          <w:rStyle w:val="AERbody"/>
        </w:rPr>
        <w:t>.</w:t>
      </w:r>
      <w:r w:rsidRPr="00972D4C">
        <w:rPr>
          <w:rStyle w:val="FootnoteReference"/>
        </w:rPr>
        <w:footnoteReference w:id="333"/>
      </w:r>
    </w:p>
    <w:p w:rsidR="00B75657" w:rsidRDefault="00B75657" w:rsidP="00B75657">
      <w:pPr>
        <w:numPr>
          <w:ilvl w:val="0"/>
          <w:numId w:val="24"/>
        </w:numPr>
      </w:pPr>
      <w:r>
        <w:t>We consider that this is consistent with the required return on equity for prevailing market conditions for equity funds for the following reasons:</w:t>
      </w:r>
    </w:p>
    <w:p w:rsidR="00B75657" w:rsidRDefault="00B75657" w:rsidP="00B75657">
      <w:pPr>
        <w:pStyle w:val="AERbulletlistfirststyle"/>
      </w:pPr>
      <w:r>
        <w:t xml:space="preserve">We apply the foundation model approach and estimate a return on equity having regard to a range of relevant materials and their relative merits. </w:t>
      </w:r>
    </w:p>
    <w:p w:rsidR="00B75657" w:rsidRDefault="00B75657" w:rsidP="00B75657">
      <w:pPr>
        <w:pStyle w:val="AERbulletlistfirststyle"/>
      </w:pPr>
      <w:r>
        <w:t>We have regard to the prevailing market conditions for equity funds. We use the dividend growth model and conditioning variables to inform our estimate of the market risk premium. We use other relevant sources of information to cross-check the foundation model estimate. The triangulation of e</w:t>
      </w:r>
      <w:r w:rsidRPr="00DC461C">
        <w:t xml:space="preserve">stimates from </w:t>
      </w:r>
      <w:r>
        <w:t>relevant market participants broadly</w:t>
      </w:r>
      <w:r w:rsidRPr="00DC461C">
        <w:t xml:space="preserve"> support</w:t>
      </w:r>
      <w:r>
        <w:t>s</w:t>
      </w:r>
      <w:r w:rsidRPr="00DC461C">
        <w:t xml:space="preserve"> our foundation model estimate of the return on</w:t>
      </w:r>
      <w:r>
        <w:t xml:space="preserve"> equity.</w:t>
      </w:r>
    </w:p>
    <w:p w:rsidR="00B75657" w:rsidRDefault="00B75657" w:rsidP="00B75657">
      <w:pPr>
        <w:pStyle w:val="AERbulletlistfirststyle"/>
      </w:pPr>
      <w:r>
        <w:t xml:space="preserve">Our </w:t>
      </w:r>
      <w:r w:rsidRPr="007708DA">
        <w:rPr>
          <w:rStyle w:val="AERbody"/>
        </w:rPr>
        <w:t>comparison between the retu</w:t>
      </w:r>
      <w:r>
        <w:rPr>
          <w:rStyle w:val="AERbody"/>
        </w:rPr>
        <w:t xml:space="preserve">rn on equity and return on debt </w:t>
      </w:r>
      <w:r w:rsidRPr="007708DA">
        <w:rPr>
          <w:rStyle w:val="AERbody"/>
        </w:rPr>
        <w:t>support</w:t>
      </w:r>
      <w:r>
        <w:rPr>
          <w:rStyle w:val="AERbody"/>
        </w:rPr>
        <w:t>s</w:t>
      </w:r>
      <w:r w:rsidRPr="007708DA">
        <w:rPr>
          <w:rStyle w:val="AERbody"/>
        </w:rPr>
        <w:t xml:space="preserve"> the view that</w:t>
      </w:r>
      <w:r>
        <w:rPr>
          <w:rStyle w:val="AERbody"/>
        </w:rPr>
        <w:t xml:space="preserve"> </w:t>
      </w:r>
      <w:r w:rsidRPr="00777F0A">
        <w:t>our estimated return on equity is not belo</w:t>
      </w:r>
      <w:r w:rsidRPr="00B005DF">
        <w:t>w efficient financing costs</w:t>
      </w:r>
      <w:r w:rsidRPr="00B005DF">
        <w:rPr>
          <w:rStyle w:val="FootnoteReference"/>
        </w:rPr>
        <w:footnoteReference w:id="334"/>
      </w:r>
      <w:r>
        <w:t xml:space="preserve"> under </w:t>
      </w:r>
      <w:r w:rsidRPr="007708DA">
        <w:rPr>
          <w:rStyle w:val="AERbody"/>
        </w:rPr>
        <w:t>prevailing debt market conditions</w:t>
      </w:r>
      <w:r>
        <w:rPr>
          <w:rStyle w:val="AERbody"/>
        </w:rPr>
        <w:t>.</w:t>
      </w:r>
      <w:r w:rsidRPr="007708DA">
        <w:rPr>
          <w:rStyle w:val="AERbody"/>
        </w:rPr>
        <w:t xml:space="preserve"> </w:t>
      </w:r>
      <w:r>
        <w:t>We do not consider that the current 141 basis points difference between the equity risk premium allowed in this decision and debt risk premiums</w:t>
      </w:r>
      <w:r>
        <w:rPr>
          <w:rStyle w:val="FootnoteReference"/>
        </w:rPr>
        <w:footnoteReference w:id="335"/>
      </w:r>
      <w:r w:rsidR="001A4F7D">
        <w:t xml:space="preserve"> to be too low. (see section </w:t>
      </w:r>
      <w:r w:rsidR="001A4F7D">
        <w:fldChar w:fldCharType="begin"/>
      </w:r>
      <w:r w:rsidR="001A4F7D">
        <w:instrText xml:space="preserve"> REF _Ref451680137 \r \h </w:instrText>
      </w:r>
      <w:r w:rsidR="001A4F7D">
        <w:fldChar w:fldCharType="separate"/>
      </w:r>
      <w:r w:rsidR="001A4F7D">
        <w:t>E.3</w:t>
      </w:r>
      <w:r w:rsidR="001A4F7D">
        <w:fldChar w:fldCharType="end"/>
      </w:r>
      <w:r>
        <w:t xml:space="preserve"> for more discussions)</w:t>
      </w:r>
    </w:p>
    <w:p w:rsidR="00B75657" w:rsidRDefault="00B75657" w:rsidP="00B75657">
      <w:pPr>
        <w:pStyle w:val="AERbulletlistfirststyle"/>
      </w:pPr>
      <w:r>
        <w:t>We do not find conclusive evidence of a relationship between the market risk premium and risk free rate in any direction or size. This is supported by our consideration in the Guideline, previous regulatory decisions and advice from Partington.</w:t>
      </w:r>
      <w:r w:rsidRPr="00AE0A3D">
        <w:rPr>
          <w:rStyle w:val="FootnoteReference"/>
        </w:rPr>
        <w:footnoteReference w:id="336"/>
      </w:r>
    </w:p>
    <w:p w:rsidR="00B75657" w:rsidRDefault="00B75657" w:rsidP="00B75657">
      <w:pPr>
        <w:pStyle w:val="AERbulletlistfirststyle"/>
      </w:pPr>
      <w:r w:rsidRPr="00E304C8">
        <w:t xml:space="preserve">We are not </w:t>
      </w:r>
      <w:r w:rsidRPr="00142CCD">
        <w:t>satisfied</w:t>
      </w:r>
      <w:r w:rsidRPr="00E304C8">
        <w:t xml:space="preserve"> that there is evidence of a widespread 'flight to quality'</w:t>
      </w:r>
      <w:r>
        <w:rPr>
          <w:rStyle w:val="FootnoteReference"/>
        </w:rPr>
        <w:footnoteReference w:id="337"/>
      </w:r>
      <w:r w:rsidRPr="00E304C8">
        <w:t xml:space="preserve"> among investors in current market conditions</w:t>
      </w:r>
      <w:r>
        <w:t xml:space="preserve"> that would impact the market risk premium</w:t>
      </w:r>
      <w:r w:rsidRPr="00E304C8">
        <w:t xml:space="preserve">. </w:t>
      </w:r>
      <w:r>
        <w:t xml:space="preserve">This can be seen in our consideration of conditioning variables and survey evidence. Further, Partington and the RBA has noted that investors can engage in a 'search for yield' during periods of low interest rate, which can lead to a decrease in the </w:t>
      </w:r>
      <w:r w:rsidR="00B86BB4">
        <w:t>market risk premium</w:t>
      </w:r>
      <w:r>
        <w:t xml:space="preserve"> expected by investors.</w:t>
      </w:r>
      <w:r w:rsidRPr="006477E1">
        <w:rPr>
          <w:rStyle w:val="FootnoteReference"/>
        </w:rPr>
        <w:footnoteReference w:id="338"/>
      </w:r>
      <w:r>
        <w:t xml:space="preserve"> </w:t>
      </w:r>
    </w:p>
    <w:p w:rsidR="00B75657" w:rsidRDefault="00B75657" w:rsidP="00B75657">
      <w:r>
        <w:t>Partington has advised, '[t]h</w:t>
      </w:r>
      <w:r w:rsidRPr="00AA3A39">
        <w:t xml:space="preserve">e low </w:t>
      </w:r>
      <w:r>
        <w:t xml:space="preserve">bond rates tell us that the required return for </w:t>
      </w:r>
      <w:r w:rsidRPr="00AA3A39">
        <w:t>low risk assets is low</w:t>
      </w:r>
      <w:r>
        <w:t>'.</w:t>
      </w:r>
      <w:r>
        <w:rPr>
          <w:rStyle w:val="FootnoteReference"/>
        </w:rPr>
        <w:footnoteReference w:id="339"/>
      </w:r>
      <w:r>
        <w:t xml:space="preserve"> Partington observed the market rose following the RBA cut to the cash rate on 3 February 2015. While he noted we should be cautious about making inferences</w:t>
      </w:r>
      <w:r w:rsidRPr="0070324B">
        <w:t xml:space="preserve"> based </w:t>
      </w:r>
      <w:r>
        <w:t>on</w:t>
      </w:r>
      <w:r w:rsidRPr="0070324B">
        <w:t xml:space="preserve"> singular instances</w:t>
      </w:r>
      <w:r>
        <w:t>, he observed this appeared in line with a fall in required returns. Specifically, he considered:</w:t>
      </w:r>
      <w:r w:rsidRPr="0070324B">
        <w:rPr>
          <w:rStyle w:val="FootnoteReference"/>
        </w:rPr>
        <w:footnoteReference w:id="340"/>
      </w:r>
      <w:r>
        <w:t xml:space="preserve"> </w:t>
      </w:r>
    </w:p>
    <w:p w:rsidR="00B75657" w:rsidRPr="00232B0E" w:rsidRDefault="00B75657" w:rsidP="00B75657">
      <w:pPr>
        <w:pStyle w:val="AERquote"/>
      </w:pPr>
      <w:r w:rsidRPr="00A05BAD">
        <w:t xml:space="preserve">Rationally the market went up either </w:t>
      </w:r>
      <w:r w:rsidRPr="00232B0E">
        <w:t>because investors expected significant growth in company cash flows, or because their required return went down as a consequence of a lower interest rate. Given that the discussion at the time was about a slowing economy and reduced growth, a fall in required returns seems the more plausible explanation.</w:t>
      </w:r>
    </w:p>
    <w:p w:rsidR="00B75657" w:rsidRDefault="00B75657" w:rsidP="00B75657">
      <w:r>
        <w:t>More recently, Partington and Satchell considered the submissions put forward by service providers and stated:</w:t>
      </w:r>
      <w:r>
        <w:rPr>
          <w:rStyle w:val="FootnoteReference"/>
        </w:rPr>
        <w:footnoteReference w:id="341"/>
      </w:r>
    </w:p>
    <w:p w:rsidR="00B75657" w:rsidRDefault="00B75657" w:rsidP="00B75657">
      <w:pPr>
        <w:pStyle w:val="AERquote"/>
      </w:pPr>
      <w:r w:rsidRPr="00EB57C1">
        <w:t>There is a possibility that current low interest rates could result in higher equity risk premiums, but we do not think this is likely and more importantly we have seen no convincing evidence that this is the case.</w:t>
      </w:r>
    </w:p>
    <w:p w:rsidR="00B75657" w:rsidRPr="00957550" w:rsidRDefault="00B75657" w:rsidP="00B75657">
      <w:r>
        <w:t xml:space="preserve">Service providers </w:t>
      </w:r>
      <w:r w:rsidRPr="00957550">
        <w:t xml:space="preserve">continue to submit  </w:t>
      </w:r>
      <w:r>
        <w:t xml:space="preserve">that </w:t>
      </w:r>
      <w:r w:rsidRPr="00957550">
        <w:t xml:space="preserve">our estimate of the return on equity </w:t>
      </w:r>
      <w:r>
        <w:t>is</w:t>
      </w:r>
      <w:r w:rsidRPr="00957550">
        <w:t xml:space="preserve"> too low </w:t>
      </w:r>
      <w:r>
        <w:t>as a result of</w:t>
      </w:r>
      <w:r w:rsidRPr="00957550">
        <w:t xml:space="preserve"> our </w:t>
      </w:r>
      <w:r>
        <w:t xml:space="preserve">application of the Sharpe-Lintner </w:t>
      </w:r>
      <w:r w:rsidRPr="00957550">
        <w:t xml:space="preserve">CAPM moving </w:t>
      </w:r>
      <w:r>
        <w:t xml:space="preserve">in </w:t>
      </w:r>
      <w:r w:rsidRPr="00957550">
        <w:t>'lock step' with the risk free rate</w:t>
      </w:r>
      <w:r>
        <w:t>, based on the following material</w:t>
      </w:r>
      <w:r w:rsidRPr="00957550">
        <w:t xml:space="preserve">: </w:t>
      </w:r>
    </w:p>
    <w:p w:rsidR="00B75657" w:rsidRDefault="00B75657" w:rsidP="00B75657">
      <w:pPr>
        <w:pStyle w:val="AERbulletlistfirststyle"/>
      </w:pPr>
      <w:r>
        <w:t>Dividend growth model estimates</w:t>
      </w:r>
    </w:p>
    <w:p w:rsidR="00B75657" w:rsidRDefault="00B75657" w:rsidP="00B75657">
      <w:pPr>
        <w:pStyle w:val="AERbulletlistfirststyle"/>
      </w:pPr>
      <w:r>
        <w:t>Wright approach</w:t>
      </w:r>
    </w:p>
    <w:p w:rsidR="00B75657" w:rsidRDefault="00B75657" w:rsidP="00B75657">
      <w:pPr>
        <w:pStyle w:val="AERbulletlistfirststyle"/>
      </w:pPr>
      <w:r>
        <w:t>Hurdle rates</w:t>
      </w:r>
    </w:p>
    <w:p w:rsidR="00B75657" w:rsidRDefault="00B86BB4" w:rsidP="00B75657">
      <w:pPr>
        <w:pStyle w:val="AERbulletlistfirststyle"/>
      </w:pPr>
      <w:r>
        <w:t>Price-to-</w:t>
      </w:r>
      <w:r w:rsidR="00B75657">
        <w:t>earning</w:t>
      </w:r>
      <w:r>
        <w:t>s</w:t>
      </w:r>
      <w:r w:rsidR="00B75657">
        <w:t xml:space="preserve"> ratios (PE ratios)</w:t>
      </w:r>
    </w:p>
    <w:p w:rsidR="00B75657" w:rsidRDefault="00B75657" w:rsidP="00B75657">
      <w:pPr>
        <w:pStyle w:val="AERbulletlistfirststyle"/>
      </w:pPr>
      <w:r>
        <w:t>Independent valuation report</w:t>
      </w:r>
    </w:p>
    <w:p w:rsidR="00B75657" w:rsidRPr="00957550" w:rsidRDefault="00B75657" w:rsidP="00B75657">
      <w:r>
        <w:t xml:space="preserve">We </w:t>
      </w:r>
      <w:r w:rsidRPr="00957550">
        <w:t>respond to the</w:t>
      </w:r>
      <w:r>
        <w:t>se</w:t>
      </w:r>
      <w:r w:rsidRPr="00957550">
        <w:t xml:space="preserve"> materials </w:t>
      </w:r>
      <w:r>
        <w:t>in the sections</w:t>
      </w:r>
      <w:r w:rsidRPr="00957550">
        <w:t xml:space="preserve"> below.</w:t>
      </w:r>
      <w:r>
        <w:t xml:space="preserve"> </w:t>
      </w:r>
      <w:r w:rsidRPr="000B7C7C">
        <w:t xml:space="preserve">We note that </w:t>
      </w:r>
      <w:r w:rsidRPr="00957550">
        <w:t>we have considered much of this material in the preliminary decision</w:t>
      </w:r>
      <w:r>
        <w:rPr>
          <w:rStyle w:val="FootnoteReference"/>
        </w:rPr>
        <w:footnoteReference w:id="342"/>
      </w:r>
      <w:r w:rsidRPr="00957550">
        <w:t xml:space="preserve"> and, after reviewing the new materials, our previous considerations remain valid for this decision. </w:t>
      </w:r>
    </w:p>
    <w:p w:rsidR="00B75657" w:rsidRPr="00957550" w:rsidRDefault="00B75657" w:rsidP="00B75657">
      <w:r>
        <w:t xml:space="preserve">For </w:t>
      </w:r>
      <w:r w:rsidRPr="00957550">
        <w:t>the reasons outlined, we consider that the foundation model estimate of the return on equity is consistent with the prevailing market condition</w:t>
      </w:r>
      <w:r>
        <w:t>s in the market</w:t>
      </w:r>
      <w:r w:rsidRPr="00957550">
        <w:t xml:space="preserve"> for equity funds and the required return on equity for a firm facing similar risk</w:t>
      </w:r>
      <w:r>
        <w:t>s as CitiP</w:t>
      </w:r>
      <w:r w:rsidRPr="00957550">
        <w:t xml:space="preserve">ower. </w:t>
      </w:r>
    </w:p>
    <w:p w:rsidR="00B75657" w:rsidRPr="00957550" w:rsidRDefault="00B75657" w:rsidP="00B75657">
      <w:r>
        <w:t xml:space="preserve">Further, our foundation model approach provides a flexible framework for estimating the required return on equity. </w:t>
      </w:r>
      <w:r w:rsidRPr="00957550">
        <w:t>It</w:t>
      </w:r>
      <w:r>
        <w:t xml:space="preserve"> </w:t>
      </w:r>
      <w:r w:rsidRPr="00957550">
        <w:t>allows the identification of relevant materials and consideration of the roles each piece of material should play for estimating the return on equity. For example, our approach identified t</w:t>
      </w:r>
      <w:r>
        <w:t xml:space="preserve">he relevant financial models (Sharpe-Lintner </w:t>
      </w:r>
      <w:r w:rsidRPr="00957550">
        <w:t xml:space="preserve">CAPM, Black CAPM, </w:t>
      </w:r>
      <w:r>
        <w:t>dividend growth model</w:t>
      </w:r>
      <w:r w:rsidRPr="00957550">
        <w:t xml:space="preserve"> and </w:t>
      </w:r>
      <w:r>
        <w:t>Fama-French model</w:t>
      </w:r>
      <w:r w:rsidRPr="00957550">
        <w:t>) and, after assessing their merits, uses the theor</w:t>
      </w:r>
      <w:r>
        <w:t>y</w:t>
      </w:r>
      <w:r w:rsidRPr="00957550">
        <w:t xml:space="preserve"> of the Black </w:t>
      </w:r>
      <w:r>
        <w:t xml:space="preserve">CAPM </w:t>
      </w:r>
      <w:r w:rsidRPr="00957550">
        <w:t xml:space="preserve">for setting the equity beta estimate and outputs of the </w:t>
      </w:r>
      <w:r>
        <w:t>dividend growth model</w:t>
      </w:r>
      <w:r w:rsidRPr="00957550">
        <w:t xml:space="preserve"> for setting the </w:t>
      </w:r>
      <w:r>
        <w:t>market risk premium</w:t>
      </w:r>
      <w:r w:rsidRPr="00957550">
        <w:t xml:space="preserve"> estimate.</w:t>
      </w:r>
      <w:r>
        <w:t xml:space="preserve"> We also consider our foundation model return on equity estimate against a range of other material independent to the foundation model (such as broker and valuation reports).</w:t>
      </w:r>
      <w:r w:rsidRPr="00957550">
        <w:t xml:space="preserve"> </w:t>
      </w:r>
      <w:r>
        <w:t>We consider that the service providers have not had appropriate regard to all available evidence, nor a complete consideration of the relative merits of each piece of evidence.</w:t>
      </w:r>
      <w:r w:rsidRPr="00957550">
        <w:t xml:space="preserve">  </w:t>
      </w:r>
    </w:p>
    <w:p w:rsidR="00B75657" w:rsidRDefault="00B75657" w:rsidP="00B75657">
      <w:pPr>
        <w:pStyle w:val="HeadingOrange"/>
      </w:pPr>
      <w:r>
        <w:t>Dividend growth model estimates</w:t>
      </w:r>
    </w:p>
    <w:p w:rsidR="00B75657" w:rsidRDefault="00B75657" w:rsidP="00B75657">
      <w:r>
        <w:t>Service providers submitted that our estimate of the return on equity is below dividend growth model-based estimates.</w:t>
      </w:r>
      <w:r>
        <w:rPr>
          <w:rStyle w:val="FootnoteReference"/>
        </w:rPr>
        <w:footnoteReference w:id="343"/>
      </w:r>
      <w:r>
        <w:t xml:space="preserve"> Frontier submitted that a range of dividend growth model-based estimates of market risk premium and overall return on equity from market practitioners</w:t>
      </w:r>
      <w:r>
        <w:rPr>
          <w:rStyle w:val="FootnoteReference"/>
        </w:rPr>
        <w:footnoteReference w:id="344"/>
      </w:r>
      <w:r>
        <w:t xml:space="preserve"> and other regulators</w:t>
      </w:r>
      <w:r>
        <w:rPr>
          <w:rStyle w:val="FootnoteReference"/>
        </w:rPr>
        <w:footnoteReference w:id="345"/>
      </w:r>
      <w:r>
        <w:t xml:space="preserve"> supports an inverse, and offsetting, relationship between the risk free rate and the market risk premium.</w:t>
      </w:r>
      <w:r>
        <w:rPr>
          <w:rStyle w:val="FootnoteReference"/>
        </w:rPr>
        <w:footnoteReference w:id="346"/>
      </w:r>
    </w:p>
    <w:p w:rsidR="00B75657" w:rsidRDefault="00B75657" w:rsidP="00B75657">
      <w:r>
        <w:t xml:space="preserve">We assess the dividend growth model in detail in section </w:t>
      </w:r>
      <w:r>
        <w:fldChar w:fldCharType="begin"/>
      </w:r>
      <w:r>
        <w:instrText xml:space="preserve"> REF _Ref449007421 \r \h </w:instrText>
      </w:r>
      <w:r>
        <w:fldChar w:fldCharType="separate"/>
      </w:r>
      <w:r w:rsidR="00BA2E8E">
        <w:t>B.4</w:t>
      </w:r>
      <w:r>
        <w:fldChar w:fldCharType="end"/>
      </w:r>
      <w:r>
        <w:t xml:space="preserve"> and consider that there are a range of limitations with the dividend growth model which makes its results unreliable and unsuitable for estimating the return on equity. We do not consider that any new material has been submitted to us that address the limitations we have identified with dividend growth models. Given these limitations, we do not consider that the dividend growth models provide compelling evidence of an inverse relationship between market risk premium and risk free rate.</w:t>
      </w:r>
    </w:p>
    <w:p w:rsidR="00B75657" w:rsidRDefault="00B75657" w:rsidP="00332F19">
      <w:pPr>
        <w:pStyle w:val="HeadingOrange"/>
        <w:keepNext/>
      </w:pPr>
      <w:r w:rsidRPr="009329C3">
        <w:t>Wright approach</w:t>
      </w:r>
    </w:p>
    <w:p w:rsidR="00B75657" w:rsidRDefault="00B75657" w:rsidP="00332F19">
      <w:pPr>
        <w:keepNext/>
      </w:pPr>
      <w:r>
        <w:t>Service providers submitted that we have used the Wright approach incorrectly to inform overall return on equity instead the market risk premium.</w:t>
      </w:r>
      <w:r>
        <w:rPr>
          <w:rStyle w:val="FootnoteReference"/>
        </w:rPr>
        <w:footnoteReference w:id="347"/>
      </w:r>
      <w:r>
        <w:t xml:space="preserve"> Frontier noted that we do not give material weight to the negative relationship between the risk free rate and the market risk premium that is evidenced by the Wright approach.</w:t>
      </w:r>
      <w:r>
        <w:rPr>
          <w:rStyle w:val="FootnoteReference"/>
        </w:rPr>
        <w:footnoteReference w:id="348"/>
      </w:r>
      <w:r>
        <w:t xml:space="preserve"> Frontier also noted that reports by Wright and Smithers and the Economic Regulatory Authority of Western Australia (ERA supported the use of the Wright approach to inform market risk premium and an inverse, and offsetting, relationship between the risk free rate and the market risk premium.</w:t>
      </w:r>
      <w:r>
        <w:rPr>
          <w:rStyle w:val="FootnoteReference"/>
        </w:rPr>
        <w:footnoteReference w:id="349"/>
      </w:r>
      <w:r>
        <w:t xml:space="preserve"> </w:t>
      </w:r>
    </w:p>
    <w:p w:rsidR="00B75657" w:rsidRDefault="00B75657" w:rsidP="00B75657">
      <w:r>
        <w:t>After reviewing all the material submitted to us, we consider that the new materials do not address the previous (and on-going) concerns we have with the Wright approach (see</w:t>
      </w:r>
      <w:r w:rsidRPr="00481A46">
        <w:t xml:space="preserve"> </w:t>
      </w:r>
      <w:r>
        <w:t>section</w:t>
      </w:r>
      <w:r w:rsidR="00ED69AC">
        <w:t xml:space="preserve"> </w:t>
      </w:r>
      <w:r w:rsidR="00ED69AC">
        <w:fldChar w:fldCharType="begin"/>
      </w:r>
      <w:r w:rsidR="00ED69AC">
        <w:instrText xml:space="preserve"> REF _Ref449018117 \r \h </w:instrText>
      </w:r>
      <w:r w:rsidR="00ED69AC">
        <w:fldChar w:fldCharType="separate"/>
      </w:r>
      <w:r w:rsidR="00BA2E8E">
        <w:t>B.5</w:t>
      </w:r>
      <w:r w:rsidR="00ED69AC">
        <w:fldChar w:fldCharType="end"/>
      </w:r>
      <w:r>
        <w:t>). Wright and Smithers indicates that the return on the market using U.S. data has been relatively stable over time.</w:t>
      </w:r>
      <w:r>
        <w:rPr>
          <w:rStyle w:val="FootnoteReference"/>
        </w:rPr>
        <w:footnoteReference w:id="350"/>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351"/>
      </w:r>
      <w:r>
        <w:t xml:space="preserve"> </w:t>
      </w:r>
    </w:p>
    <w:p w:rsidR="00B75657" w:rsidRDefault="00B75657" w:rsidP="00B75657">
      <w:pPr>
        <w:pStyle w:val="HeadingOrange"/>
      </w:pPr>
      <w:r>
        <w:t>Hurdle rates</w:t>
      </w:r>
    </w:p>
    <w:p w:rsidR="00B75657" w:rsidRPr="00957550" w:rsidRDefault="00B75657" w:rsidP="00B75657">
      <w:r w:rsidRPr="00957550">
        <w:t>McKinsey Inc considered that the required return on equity appear</w:t>
      </w:r>
      <w:r>
        <w:t>ed</w:t>
      </w:r>
      <w:r w:rsidRPr="00957550">
        <w:t xml:space="preserve"> to be quite stable as government bond yields decline</w:t>
      </w:r>
      <w:r>
        <w:t>d</w:t>
      </w:r>
      <w:r w:rsidRPr="00957550">
        <w:t xml:space="preserve">, based on </w:t>
      </w:r>
      <w:r>
        <w:t>observations of</w:t>
      </w:r>
      <w:r w:rsidRPr="00957550">
        <w:t xml:space="preserve"> hurdle rates.</w:t>
      </w:r>
      <w:r w:rsidRPr="00957550">
        <w:rPr>
          <w:rStyle w:val="FootnoteReference"/>
        </w:rPr>
        <w:footnoteReference w:id="352"/>
      </w:r>
      <w:r w:rsidRPr="00957550">
        <w:t xml:space="preserve"> </w:t>
      </w:r>
      <w:r w:rsidRPr="00475E59">
        <w:t xml:space="preserve">A hurdle rate is a rate of return that </w:t>
      </w:r>
      <w:r>
        <w:t>firms and managers</w:t>
      </w:r>
      <w:r w:rsidRPr="00475E59">
        <w:t xml:space="preserve"> use when deciding whether or not to invest in capital projects</w:t>
      </w:r>
      <w:r>
        <w:t>.</w:t>
      </w:r>
    </w:p>
    <w:p w:rsidR="00B75657" w:rsidRPr="00957550" w:rsidRDefault="00B75657" w:rsidP="00B75657">
      <w:r>
        <w:t xml:space="preserve">We are not persuaded that </w:t>
      </w:r>
      <w:r w:rsidRPr="00957550">
        <w:t>hurdle rates provide reliable evidence of the cost of equity for reasons stated in the preliminary decision.</w:t>
      </w:r>
      <w:r w:rsidRPr="00957550">
        <w:rPr>
          <w:rStyle w:val="FootnoteReference"/>
        </w:rPr>
        <w:footnoteReference w:id="353"/>
      </w:r>
      <w:r w:rsidRPr="00957550">
        <w:t xml:space="preserve"> </w:t>
      </w:r>
      <w:r>
        <w:t>The</w:t>
      </w:r>
      <w:r w:rsidRPr="00957550">
        <w:t xml:space="preserve"> RBA </w:t>
      </w:r>
      <w:r>
        <w:t xml:space="preserve">and Deloitte </w:t>
      </w:r>
      <w:r w:rsidRPr="00957550">
        <w:t>ha</w:t>
      </w:r>
      <w:r>
        <w:t>ve</w:t>
      </w:r>
      <w:r w:rsidRPr="00957550">
        <w:t xml:space="preserve"> noted that Australian firms tend to have high 'hurdle rates' of return that are often well above the cost of capital and do not change very often.</w:t>
      </w:r>
      <w:r w:rsidRPr="00957550">
        <w:rPr>
          <w:rStyle w:val="FootnoteReference"/>
        </w:rPr>
        <w:footnoteReference w:id="354"/>
      </w:r>
      <w:r w:rsidRPr="00957550">
        <w:t xml:space="preserve"> Further, JP Morgan appears to indicate that hurdle rates may not be responsive to changes in market conditions.</w:t>
      </w:r>
      <w:r>
        <w:t xml:space="preserve"> This could be because firms use hurdle rates as a capital rationing device,</w:t>
      </w:r>
      <w:r w:rsidRPr="00FD798B">
        <w:rPr>
          <w:rStyle w:val="FootnoteReference"/>
        </w:rPr>
        <w:footnoteReference w:id="355"/>
      </w:r>
      <w:r>
        <w:t xml:space="preserve"> to reflect uncertainty in cash flow forecasts,</w:t>
      </w:r>
      <w:r w:rsidRPr="00FD798B">
        <w:rPr>
          <w:rStyle w:val="FootnoteReference"/>
        </w:rPr>
        <w:footnoteReference w:id="356"/>
      </w:r>
      <w:r>
        <w:t xml:space="preserve"> to reflect strategic incentives,</w:t>
      </w:r>
      <w:r w:rsidRPr="00FD798B">
        <w:rPr>
          <w:rStyle w:val="FootnoteReference"/>
        </w:rPr>
        <w:footnoteReference w:id="357"/>
      </w:r>
      <w:r>
        <w:t xml:space="preserve"> because of an absence of competitive market pressures,</w:t>
      </w:r>
      <w:r w:rsidRPr="00FD798B">
        <w:rPr>
          <w:rStyle w:val="FootnoteReference"/>
        </w:rPr>
        <w:footnoteReference w:id="358"/>
      </w:r>
      <w:r>
        <w:t xml:space="preserve"> or due to immateriality of incremental changes if the firm has a high cost of capital.</w:t>
      </w:r>
      <w:r w:rsidRPr="00FD798B">
        <w:rPr>
          <w:rStyle w:val="FootnoteReference"/>
        </w:rPr>
        <w:footnoteReference w:id="359"/>
      </w:r>
    </w:p>
    <w:p w:rsidR="00B75657" w:rsidRDefault="00B75657" w:rsidP="00B75657">
      <w:pPr>
        <w:pStyle w:val="HeadingOrange"/>
      </w:pPr>
      <w:r>
        <w:t>Price-to-earnings ratios</w:t>
      </w:r>
    </w:p>
    <w:p w:rsidR="00B75657" w:rsidRDefault="00B75657" w:rsidP="00B75657">
      <w:r>
        <w:t xml:space="preserve">We are not satisfied that price-to-earnings ratios provide evidence of an inverse relationship between the risk free rate and the market risk premium in the current market. </w:t>
      </w:r>
    </w:p>
    <w:p w:rsidR="00B75657" w:rsidRPr="00957550" w:rsidRDefault="00B75657" w:rsidP="00B75657">
      <w:r>
        <w:t>If investors reduce their required rate of return, and earnings expectations are unchanged, then market prices and the price-to-earnings ratio should increase.</w:t>
      </w:r>
      <w:r>
        <w:rPr>
          <w:rStyle w:val="FootnoteReference"/>
        </w:rPr>
        <w:footnoteReference w:id="360"/>
      </w:r>
      <w:r>
        <w:t xml:space="preserve"> Frontier refers to evidence in McKinsey and JP Morgan reports</w:t>
      </w:r>
      <w:r w:rsidRPr="00957550">
        <w:rPr>
          <w:rStyle w:val="FootnoteReference"/>
        </w:rPr>
        <w:footnoteReference w:id="361"/>
      </w:r>
      <w:r>
        <w:t xml:space="preserve"> that price-to-earnings ratios have remained 'within their long-term averages' as risk free rates have recently fallen, and that this suggests investors have not decreased their required rates of return despite a decline in the risk free rate.</w:t>
      </w:r>
    </w:p>
    <w:p w:rsidR="00B75657" w:rsidRDefault="00B75657" w:rsidP="00B75657">
      <w:r>
        <w:t>However, the McKinsey and JP Morgan reports analysed the US and UK markets, and it is not clear that the Australian market would follow a similar experience. In any case, it is not clear that earnings expectations have remained unchanged as the risk free rate has declined. McKinsey used a one-year-forward price-to-earnings ratio, but market prices likely reflect longer-term expectations, which may differ markedly from one-year forward expectations. JP Morgan acknowledged that the price-to-earnings ratio can also reflect growth expectations.</w:t>
      </w:r>
      <w:r>
        <w:rPr>
          <w:rStyle w:val="FootnoteReference"/>
        </w:rPr>
        <w:footnoteReference w:id="362"/>
      </w:r>
      <w:r>
        <w:t xml:space="preserve">  We also note that JP Morgan and McKinsey Inc drew different conclusions on the cost of equity due to using different data periods. </w:t>
      </w:r>
    </w:p>
    <w:p w:rsidR="00B75657" w:rsidRDefault="00B75657" w:rsidP="00B75657">
      <w:pPr>
        <w:pStyle w:val="HeadingOrange"/>
      </w:pPr>
      <w:r>
        <w:t>Independent valuation report</w:t>
      </w:r>
    </w:p>
    <w:p w:rsidR="00B75657" w:rsidRDefault="00B75657" w:rsidP="00B75657">
      <w:r>
        <w:rPr>
          <w:rStyle w:val="AERbody"/>
        </w:rPr>
        <w:t>Service providers</w:t>
      </w:r>
      <w:r>
        <w:t xml:space="preserve"> submitted that independent valuation reports provide evidence of an inverse relationship between the risk free rate and the market risk premium.</w:t>
      </w:r>
      <w:r>
        <w:rPr>
          <w:rStyle w:val="FootnoteReference"/>
        </w:rPr>
        <w:footnoteReference w:id="363"/>
      </w:r>
      <w:r>
        <w:t xml:space="preserve"> In addition to reports by Incenta and NERA considered in our preliminary decision, a new HoustonKemp report submits that there is a statistically </w:t>
      </w:r>
      <w:r w:rsidR="002B641F">
        <w:t>significant</w:t>
      </w:r>
      <w:r>
        <w:t xml:space="preserve"> inverse relationship between the government bond yield and the market risk premium that is applied by independent expert valuation professionals.</w:t>
      </w:r>
      <w:r>
        <w:rPr>
          <w:rStyle w:val="FootnoteReference"/>
        </w:rPr>
        <w:footnoteReference w:id="364"/>
      </w:r>
    </w:p>
    <w:p w:rsidR="00B75657" w:rsidRDefault="00B75657" w:rsidP="00B75657">
      <w:pPr>
        <w:numPr>
          <w:ilvl w:val="0"/>
          <w:numId w:val="24"/>
        </w:numPr>
      </w:pPr>
      <w:r>
        <w:t>We consider that there is not sufficient evidence to establish the existence of such a relationship in valuers' estimates, because:</w:t>
      </w:r>
    </w:p>
    <w:p w:rsidR="00B75657" w:rsidRDefault="00B75657" w:rsidP="00B75657">
      <w:pPr>
        <w:pStyle w:val="AERbulletlistfirststyle"/>
      </w:pPr>
      <w:r>
        <w:t>Incenta's sample is too small to support a reliable inference.</w:t>
      </w:r>
    </w:p>
    <w:p w:rsidR="00B75657" w:rsidRDefault="00B75657" w:rsidP="00B75657">
      <w:pPr>
        <w:pStyle w:val="AERbulletlistfirststyle"/>
      </w:pPr>
      <w:r>
        <w:t>NERA's regression results are driven by its unsupported assumption that any difference between a valuer's stated risk free rate and the prevailing yield on Commonwealth government securities is to be taken as part of their adopted market risk premium.</w:t>
      </w:r>
    </w:p>
    <w:p w:rsidR="00B75657" w:rsidRDefault="00B75657" w:rsidP="00B75657">
      <w:r>
        <w:t xml:space="preserve">As HoustonKemp's analysis uses the same methods to that of NERA, our assessment of NERA's analysis in our preliminary decision are equally applicable to it. </w:t>
      </w:r>
      <w:r>
        <w:rPr>
          <w:rStyle w:val="AERbody"/>
        </w:rPr>
        <w:t>These reasons were supported by Partington and Satchell.</w:t>
      </w:r>
      <w:r>
        <w:rPr>
          <w:rStyle w:val="FootnoteReference"/>
        </w:rPr>
        <w:footnoteReference w:id="365"/>
      </w:r>
      <w:r>
        <w:rPr>
          <w:rStyle w:val="AERbody"/>
        </w:rPr>
        <w:t xml:space="preserve"> We do not consider that there is sufficient evidence before us to depart from our original assessment. </w:t>
      </w:r>
      <w:r>
        <w:t xml:space="preserve">We respond to this material in more detail in section </w:t>
      </w:r>
      <w:r>
        <w:fldChar w:fldCharType="begin"/>
      </w:r>
      <w:r>
        <w:instrText xml:space="preserve"> REF _Ref449020986 \r \h </w:instrText>
      </w:r>
      <w:r>
        <w:fldChar w:fldCharType="separate"/>
      </w:r>
      <w:r w:rsidR="00BA2E8E">
        <w:t>F.5</w:t>
      </w:r>
      <w:r>
        <w:fldChar w:fldCharType="end"/>
      </w:r>
      <w:r>
        <w:t>.</w:t>
      </w:r>
    </w:p>
    <w:p w:rsidR="008D02F0" w:rsidRDefault="008D02F0" w:rsidP="000D32D3">
      <w:pPr>
        <w:pStyle w:val="Heading3"/>
        <w:ind w:left="578" w:hanging="578"/>
      </w:pPr>
      <w:bookmarkStart w:id="143" w:name="_Ref451543236"/>
      <w:bookmarkStart w:id="144" w:name="_Toc451678626"/>
      <w:r>
        <w:t>Return on debt</w:t>
      </w:r>
      <w:bookmarkEnd w:id="120"/>
      <w:bookmarkEnd w:id="121"/>
      <w:bookmarkEnd w:id="138"/>
      <w:bookmarkEnd w:id="139"/>
      <w:bookmarkEnd w:id="143"/>
      <w:bookmarkEnd w:id="144"/>
      <w:r>
        <w:t xml:space="preserve"> </w:t>
      </w:r>
    </w:p>
    <w:p w:rsidR="000F4BC3" w:rsidRPr="0039163B" w:rsidRDefault="000F4BC3" w:rsidP="000F4BC3">
      <w:r>
        <w:t>The</w:t>
      </w:r>
      <w:r w:rsidRPr="0039163B">
        <w:t xml:space="preserve"> </w:t>
      </w:r>
      <w:r>
        <w:t xml:space="preserve">allowed return on debt provides a </w:t>
      </w:r>
      <w:r w:rsidRPr="0039163B">
        <w:t>service provider</w:t>
      </w:r>
      <w:r>
        <w:t xml:space="preserve"> with an allowance to cover its </w:t>
      </w:r>
      <w:r w:rsidRPr="0039163B">
        <w:t xml:space="preserve">borrowing costs associated with funding investments in </w:t>
      </w:r>
      <w:r>
        <w:t xml:space="preserve">its </w:t>
      </w:r>
      <w:r w:rsidRPr="0039163B">
        <w:t xml:space="preserve">network. Consistent with other components of the rate of return, we determine the </w:t>
      </w:r>
      <w:r>
        <w:t xml:space="preserve">allowed </w:t>
      </w:r>
      <w:r w:rsidRPr="0039163B">
        <w:t>return by reference to a 'benchmark efficient entity' rather than the actual service provider.</w:t>
      </w:r>
    </w:p>
    <w:p w:rsidR="000F4BC3" w:rsidRDefault="000F4BC3" w:rsidP="000F4BC3">
      <w:r w:rsidRPr="0039163B">
        <w:t xml:space="preserve">Our decision is to adopt a return on debt of </w:t>
      </w:r>
      <w:r w:rsidR="00A7391F">
        <w:t>5.5</w:t>
      </w:r>
      <w:r w:rsidR="00156087">
        <w:t>1</w:t>
      </w:r>
      <w:r w:rsidRPr="0039163B">
        <w:t xml:space="preserve"> per cent, rather than the </w:t>
      </w:r>
      <w:r>
        <w:t>7.76</w:t>
      </w:r>
      <w:r w:rsidRPr="0039163B">
        <w:t xml:space="preserve"> per cent proposed by</w:t>
      </w:r>
      <w:r>
        <w:t xml:space="preserve"> CitiPower.</w:t>
      </w:r>
      <w:r>
        <w:rPr>
          <w:rStyle w:val="FootnoteReference"/>
        </w:rPr>
        <w:footnoteReference w:id="366"/>
      </w:r>
    </w:p>
    <w:p w:rsidR="000F4BC3" w:rsidRDefault="000F4BC3" w:rsidP="000F4BC3">
      <w:r w:rsidRPr="0039163B">
        <w:t xml:space="preserve">This decision sets out how we arrived at the rate for </w:t>
      </w:r>
      <w:r>
        <w:t>CitiPower</w:t>
      </w:r>
      <w:r w:rsidRPr="0039163B">
        <w:t>, and how we plan to update the return on debt in future regulatory years.</w:t>
      </w:r>
      <w:r>
        <w:t xml:space="preserve"> That is, we set out:</w:t>
      </w:r>
    </w:p>
    <w:p w:rsidR="000F4BC3" w:rsidRPr="00AD2616" w:rsidRDefault="000F4BC3" w:rsidP="000F4BC3">
      <w:pPr>
        <w:pStyle w:val="AERbulletlistfirststyle"/>
      </w:pPr>
      <w:r>
        <w:t>The return on debt approach. This sets out why we transition the entire return on debt from an on-the-day to a trailing average approach over 10 years (a full transition).</w:t>
      </w:r>
      <w:r w:rsidRPr="00AD2616">
        <w:rPr>
          <w:rStyle w:val="AERbody"/>
        </w:rPr>
        <w:t xml:space="preserve"> While the revised proposals in front of us raised various considerations, most material is on the form of transition to the trailing average approach.</w:t>
      </w:r>
    </w:p>
    <w:p w:rsidR="000F4BC3" w:rsidRPr="000F4BC3" w:rsidRDefault="000F4BC3" w:rsidP="000F4BC3">
      <w:pPr>
        <w:pStyle w:val="AERbulletlistfirststyle"/>
      </w:pPr>
      <w:r>
        <w:t>Implementing the return on debt approach. This includes the benchmark term, benchmark credit rating, our choice and use of third party data series, extrapolation/interpolation issues, contingencies, averaging periods and the annual updating process.</w:t>
      </w:r>
    </w:p>
    <w:p w:rsidR="008D02F0" w:rsidRDefault="009D769E" w:rsidP="008D02F0">
      <w:pPr>
        <w:pStyle w:val="HeadingBoldBlue"/>
      </w:pPr>
      <w:r>
        <w:t>R</w:t>
      </w:r>
      <w:r w:rsidR="008D02F0">
        <w:t>eturn on debt</w:t>
      </w:r>
      <w:r>
        <w:t xml:space="preserve"> approach</w:t>
      </w:r>
    </w:p>
    <w:p w:rsidR="006C5BEA" w:rsidRDefault="006C5BEA" w:rsidP="006C5BEA">
      <w:r>
        <w:t>Our final decision is to transition the entire return on debt</w:t>
      </w:r>
      <w:r>
        <w:rPr>
          <w:rStyle w:val="FootnoteReference"/>
        </w:rPr>
        <w:footnoteReference w:id="367"/>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is consistent with </w:t>
      </w:r>
      <w:r w:rsidRPr="0039163B">
        <w:t xml:space="preserve">the </w:t>
      </w:r>
      <w:r>
        <w:t>Guideline</w:t>
      </w:r>
      <w:r w:rsidRPr="0039163B">
        <w:t xml:space="preserve"> and </w:t>
      </w:r>
      <w:r>
        <w:t>our</w:t>
      </w:r>
      <w:r w:rsidRPr="0039163B">
        <w:t xml:space="preserve"> </w:t>
      </w:r>
      <w:r>
        <w:t>preliminary decision.</w:t>
      </w:r>
      <w:r>
        <w:rPr>
          <w:rStyle w:val="FootnoteReference"/>
        </w:rPr>
        <w:footnoteReference w:id="368"/>
      </w:r>
    </w:p>
    <w:p w:rsidR="006C5BEA" w:rsidRDefault="006C5BEA" w:rsidP="006C5BEA">
      <w:pPr>
        <w:rPr>
          <w:rStyle w:val="AERbody"/>
        </w:rPr>
      </w:pPr>
      <w:r>
        <w:rPr>
          <w:rStyle w:val="AERbody"/>
        </w:rPr>
        <w:t>In the absence of a transition that substantially eliminates any change in the present value of a benchmark efficient entity as a result of the change in methodology,</w:t>
      </w:r>
      <w:r>
        <w:rPr>
          <w:rStyle w:val="FootnoteReference"/>
        </w:rPr>
        <w:footnoteReference w:id="369"/>
      </w:r>
      <w:r>
        <w:rPr>
          <w:rStyle w:val="AERbody"/>
        </w:rPr>
        <w:t xml:space="preserve"> the only other approach we consider will satisfy the ARORO is the continuation of the on-the-day methodology. The continuation of the on-the-day methodology sets an allowed return commensurate with efficient financing costs at the start of the regulatory control period because it resets the allowed return to the current efficient market rates.</w:t>
      </w:r>
    </w:p>
    <w:p w:rsidR="006C5BEA" w:rsidRDefault="006C5BEA" w:rsidP="006C5BEA">
      <w:r>
        <w:rPr>
          <w:rStyle w:val="AERbody"/>
        </w:rPr>
        <w:t xml:space="preserve">In its revised proposal, </w:t>
      </w:r>
      <w:r>
        <w:t xml:space="preserve">CitiPower proposed an immediate move to a trailing average approach for calculating the allowed return on debt (that is, no transition). As such, it changed its </w:t>
      </w:r>
      <w:r w:rsidRPr="002F17AD">
        <w:t xml:space="preserve">position between </w:t>
      </w:r>
      <w:r>
        <w:t>its</w:t>
      </w:r>
      <w:r w:rsidRPr="002F17AD">
        <w:t xml:space="preserve"> initial a</w:t>
      </w:r>
      <w:r>
        <w:t>nd revised proposal,</w:t>
      </w:r>
      <w:r w:rsidRPr="002F17AD">
        <w:t xml:space="preserve"> from proposing a hybrid transition to an immediate</w:t>
      </w:r>
      <w:r>
        <w:t xml:space="preserve"> transition</w:t>
      </w:r>
      <w:r w:rsidRPr="002F17AD">
        <w:t xml:space="preserve">. To support </w:t>
      </w:r>
      <w:r>
        <w:t>its</w:t>
      </w:r>
      <w:r w:rsidRPr="002F17AD">
        <w:t xml:space="preserve"> new position, </w:t>
      </w:r>
      <w:r>
        <w:t>CitiPower has provided new material addressing the</w:t>
      </w:r>
      <w:r w:rsidRPr="002F17AD">
        <w:t xml:space="preserve"> ARORO and what it requires of </w:t>
      </w:r>
      <w:r>
        <w:t>us</w:t>
      </w:r>
      <w:r w:rsidRPr="002F17AD">
        <w:t>.</w:t>
      </w:r>
      <w:r>
        <w:t xml:space="preserve"> It only provided this material in its revised proposal. </w:t>
      </w:r>
      <w:r>
        <w:fldChar w:fldCharType="begin"/>
      </w:r>
      <w:r>
        <w:instrText xml:space="preserve"> REF _Ref451174242 \h </w:instrText>
      </w:r>
      <w:r>
        <w:fldChar w:fldCharType="separate"/>
      </w:r>
      <w:r w:rsidR="00BA2E8E">
        <w:t xml:space="preserve">Table </w:t>
      </w:r>
      <w:r w:rsidR="00BA2E8E">
        <w:rPr>
          <w:noProof/>
        </w:rPr>
        <w:t>3</w:t>
      </w:r>
      <w:r w:rsidR="00BA2E8E">
        <w:noBreakHyphen/>
      </w:r>
      <w:r w:rsidR="00BA2E8E">
        <w:rPr>
          <w:noProof/>
        </w:rPr>
        <w:t>8</w:t>
      </w:r>
      <w:r>
        <w:fldChar w:fldCharType="end"/>
      </w:r>
      <w:r>
        <w:t xml:space="preserve"> highlights the difference between the allowed return on debt that service providers proposed in their initial proposals and revised proposals. To see how cash flows differ between our revenue-neutral approach and the service providers' revised proposals, see </w:t>
      </w:r>
      <w:r w:rsidR="00DD2E09">
        <w:t xml:space="preserve">section </w:t>
      </w:r>
      <w:r w:rsidR="000A799E">
        <w:fldChar w:fldCharType="begin"/>
      </w:r>
      <w:r w:rsidR="000A799E">
        <w:instrText xml:space="preserve"> REF _Ref451543323 \r \h </w:instrText>
      </w:r>
      <w:r w:rsidR="000A799E">
        <w:fldChar w:fldCharType="separate"/>
      </w:r>
      <w:r w:rsidR="00BA2E8E">
        <w:t>H.5.1</w:t>
      </w:r>
      <w:r w:rsidR="000A799E">
        <w:fldChar w:fldCharType="end"/>
      </w:r>
      <w:r w:rsidR="000A799E">
        <w:t xml:space="preserve"> </w:t>
      </w:r>
      <w:r w:rsidR="00DD2E09">
        <w:t>of A</w:t>
      </w:r>
      <w:r>
        <w:t xml:space="preserve">ppendix </w:t>
      </w:r>
      <w:r w:rsidR="00DD2E09">
        <w:fldChar w:fldCharType="begin"/>
      </w:r>
      <w:r w:rsidR="00DD2E09">
        <w:instrText xml:space="preserve"> REF _Ref451265869 \r \h </w:instrText>
      </w:r>
      <w:r w:rsidR="00DD2E09">
        <w:fldChar w:fldCharType="separate"/>
      </w:r>
      <w:r w:rsidR="00BA2E8E">
        <w:t>H</w:t>
      </w:r>
      <w:r w:rsidR="00DD2E09">
        <w:fldChar w:fldCharType="end"/>
      </w:r>
      <w:r>
        <w:t>.</w:t>
      </w:r>
    </w:p>
    <w:p w:rsidR="006C5BEA" w:rsidRDefault="006C5BEA" w:rsidP="006C5BEA">
      <w:r>
        <w:fldChar w:fldCharType="begin"/>
      </w:r>
      <w:r>
        <w:instrText xml:space="preserve"> REF _Ref451174242 \h </w:instrText>
      </w:r>
      <w:r>
        <w:fldChar w:fldCharType="separate"/>
      </w:r>
      <w:r w:rsidR="00BA2E8E">
        <w:t xml:space="preserve">Table </w:t>
      </w:r>
      <w:r w:rsidR="00BA2E8E">
        <w:rPr>
          <w:noProof/>
        </w:rPr>
        <w:t>3</w:t>
      </w:r>
      <w:r w:rsidR="00BA2E8E">
        <w:noBreakHyphen/>
      </w:r>
      <w:r w:rsidR="00BA2E8E">
        <w:rPr>
          <w:noProof/>
        </w:rPr>
        <w:t>8</w:t>
      </w:r>
      <w:r>
        <w:fldChar w:fldCharType="end"/>
      </w:r>
      <w:r>
        <w:t xml:space="preserve"> shows our final decision </w:t>
      </w:r>
      <w:r w:rsidRPr="00AE0473">
        <w:t>return on debt</w:t>
      </w:r>
      <w:r>
        <w:t xml:space="preserve"> estimates</w:t>
      </w:r>
      <w:r w:rsidRPr="00AE0473">
        <w:t xml:space="preserve"> for </w:t>
      </w:r>
      <w:r>
        <w:t xml:space="preserve">the </w:t>
      </w:r>
      <w:r w:rsidRPr="00AE0473">
        <w:t>first regulatory year</w:t>
      </w:r>
      <w:r>
        <w:t xml:space="preserve"> (which we consider satisfies the ARORO) are similar to, or higher than, the service providers' initial proposals. As such, the difference between our final decisions and the service providers' revised proposals is almost entirely a result of their change in position between initial and revised proposal.</w:t>
      </w:r>
    </w:p>
    <w:p w:rsidR="006C5BEA" w:rsidRDefault="006C5BEA" w:rsidP="006C5BEA">
      <w:pPr>
        <w:pStyle w:val="Caption"/>
      </w:pPr>
      <w:bookmarkStart w:id="145" w:name="_Ref451174242"/>
      <w:r>
        <w:t xml:space="preserve">Table </w:t>
      </w:r>
      <w:fldSimple w:instr=" STYLEREF 1 \s ">
        <w:r w:rsidR="00BA2E8E">
          <w:rPr>
            <w:noProof/>
          </w:rPr>
          <w:t>3</w:t>
        </w:r>
      </w:fldSimple>
      <w:r w:rsidR="000F4BC3">
        <w:noBreakHyphen/>
      </w:r>
      <w:fldSimple w:instr=" SEQ Table \* ARABIC \s 1 ">
        <w:r w:rsidR="00BA2E8E">
          <w:rPr>
            <w:noProof/>
          </w:rPr>
          <w:t>8</w:t>
        </w:r>
      </w:fldSimple>
      <w:bookmarkEnd w:id="145"/>
      <w:r>
        <w:tab/>
        <w:t>Proposed return on debt</w:t>
      </w:r>
      <w:r w:rsidR="00ED04D5">
        <w:t xml:space="preserve"> </w:t>
      </w:r>
      <w:r w:rsidR="00ED04D5">
        <w:rPr>
          <w:rFonts w:cs="Arial"/>
        </w:rPr>
        <w:t>–</w:t>
      </w:r>
      <w:r>
        <w:t xml:space="preserve"> first regulatory year</w:t>
      </w:r>
      <w:r w:rsidR="00ED04D5" w:rsidRPr="00ED04D5">
        <w:rPr>
          <w:rStyle w:val="AERsuperscript"/>
        </w:rPr>
        <w:footnoteReference w:id="370"/>
      </w:r>
      <w:r>
        <w:t xml:space="preserve"> (% nominal)</w:t>
      </w:r>
      <w:r w:rsidR="00132A4C">
        <w:t>*</w:t>
      </w:r>
    </w:p>
    <w:tbl>
      <w:tblPr>
        <w:tblStyle w:val="AERtable-text0"/>
        <w:tblW w:w="0" w:type="auto"/>
        <w:tblLook w:val="04A0" w:firstRow="1" w:lastRow="0" w:firstColumn="1" w:lastColumn="0" w:noHBand="0" w:noVBand="1"/>
      </w:tblPr>
      <w:tblGrid>
        <w:gridCol w:w="1951"/>
        <w:gridCol w:w="1573"/>
        <w:gridCol w:w="1687"/>
        <w:gridCol w:w="2127"/>
        <w:gridCol w:w="1355"/>
      </w:tblGrid>
      <w:tr w:rsidR="006C5BEA" w:rsidTr="00CC0110">
        <w:trPr>
          <w:cnfStyle w:val="100000000000" w:firstRow="1" w:lastRow="0" w:firstColumn="0" w:lastColumn="0" w:oddVBand="0" w:evenVBand="0" w:oddHBand="0" w:evenHBand="0" w:firstRowFirstColumn="0" w:firstRowLastColumn="0" w:lastRowFirstColumn="0" w:lastRowLastColumn="0"/>
        </w:trPr>
        <w:tc>
          <w:tcPr>
            <w:tcW w:w="1951" w:type="dxa"/>
          </w:tcPr>
          <w:p w:rsidR="006C5BEA" w:rsidRPr="006C5BEA" w:rsidRDefault="006C5BEA" w:rsidP="006C5BEA">
            <w:r>
              <w:t>Service provider</w:t>
            </w:r>
          </w:p>
        </w:tc>
        <w:tc>
          <w:tcPr>
            <w:tcW w:w="1573" w:type="dxa"/>
          </w:tcPr>
          <w:p w:rsidR="006C5BEA" w:rsidRPr="006C5BEA" w:rsidRDefault="00ED04D5" w:rsidP="00ED04D5">
            <w:r>
              <w:t>Hybrid</w:t>
            </w:r>
            <w:r w:rsidRPr="00ED04D5">
              <w:t xml:space="preserve"> transition </w:t>
            </w:r>
            <w:r>
              <w:t>(most initial proposals</w:t>
            </w:r>
            <w:r w:rsidR="006C5BEA" w:rsidRPr="006C5BEA">
              <w:t>)</w:t>
            </w:r>
            <w:r w:rsidR="006C5BEA" w:rsidRPr="006C5BEA">
              <w:rPr>
                <w:rStyle w:val="FootnoteReference"/>
              </w:rPr>
              <w:t xml:space="preserve"> </w:t>
            </w:r>
          </w:p>
        </w:tc>
        <w:tc>
          <w:tcPr>
            <w:tcW w:w="1687" w:type="dxa"/>
          </w:tcPr>
          <w:p w:rsidR="006C5BEA" w:rsidRPr="006C5BEA" w:rsidRDefault="00ED04D5" w:rsidP="00ED04D5">
            <w:r>
              <w:t>N</w:t>
            </w:r>
            <w:r w:rsidRPr="006C5BEA">
              <w:t>o transition</w:t>
            </w:r>
            <w:r w:rsidRPr="00ED04D5">
              <w:t xml:space="preserve"> </w:t>
            </w:r>
            <w:r>
              <w:t>(r</w:t>
            </w:r>
            <w:r w:rsidR="006C5BEA">
              <w:t>evised proposal</w:t>
            </w:r>
            <w:r>
              <w:t>s, preference 1</w:t>
            </w:r>
            <w:r w:rsidR="006C5BEA" w:rsidRPr="006C5BEA">
              <w:t xml:space="preserve">) </w:t>
            </w:r>
          </w:p>
        </w:tc>
        <w:tc>
          <w:tcPr>
            <w:tcW w:w="2127" w:type="dxa"/>
          </w:tcPr>
          <w:p w:rsidR="006C5BEA" w:rsidRPr="006C5BEA" w:rsidRDefault="00ED04D5" w:rsidP="00ED04D5">
            <w:r>
              <w:t>H</w:t>
            </w:r>
            <w:r w:rsidRPr="006C5BEA">
              <w:t>ybrid with 1/3 hedging</w:t>
            </w:r>
            <w:r w:rsidRPr="00ED04D5">
              <w:t xml:space="preserve"> </w:t>
            </w:r>
            <w:r>
              <w:t>(most r</w:t>
            </w:r>
            <w:r w:rsidR="006C5BEA">
              <w:t>evised proposal</w:t>
            </w:r>
            <w:r>
              <w:t>s, preference 2</w:t>
            </w:r>
            <w:r w:rsidR="006C5BEA" w:rsidRPr="006C5BEA">
              <w:t xml:space="preserve">) </w:t>
            </w:r>
          </w:p>
        </w:tc>
        <w:tc>
          <w:tcPr>
            <w:tcW w:w="1355" w:type="dxa"/>
          </w:tcPr>
          <w:p w:rsidR="006C5BEA" w:rsidRPr="006C5BEA" w:rsidRDefault="00ED04D5" w:rsidP="00ED04D5">
            <w:r>
              <w:t>F</w:t>
            </w:r>
            <w:r w:rsidRPr="006C5BEA">
              <w:t>ull transition</w:t>
            </w:r>
            <w:r w:rsidRPr="00ED04D5">
              <w:t xml:space="preserve"> </w:t>
            </w:r>
            <w:r>
              <w:t>(</w:t>
            </w:r>
            <w:r w:rsidR="006C5BEA">
              <w:t xml:space="preserve">AER </w:t>
            </w:r>
            <w:r>
              <w:t>final decision</w:t>
            </w:r>
            <w:r w:rsidR="006C5BEA" w:rsidRPr="006C5BEA">
              <w:t>)</w:t>
            </w:r>
          </w:p>
        </w:tc>
      </w:tr>
      <w:tr w:rsidR="006C5BEA" w:rsidTr="00CC0110">
        <w:tc>
          <w:tcPr>
            <w:tcW w:w="1951" w:type="dxa"/>
          </w:tcPr>
          <w:p w:rsidR="006C5BEA" w:rsidRPr="006C5BEA" w:rsidRDefault="006C5BEA" w:rsidP="006C5BEA">
            <w:r>
              <w:t>ActewAGL</w:t>
            </w:r>
          </w:p>
        </w:tc>
        <w:tc>
          <w:tcPr>
            <w:tcW w:w="1573" w:type="dxa"/>
          </w:tcPr>
          <w:p w:rsidR="006C5BEA" w:rsidRPr="006C5BEA" w:rsidRDefault="006C5BEA" w:rsidP="006C5BEA">
            <w:r>
              <w:t>5.</w:t>
            </w:r>
            <w:r w:rsidR="00ED04D5">
              <w:t>22</w:t>
            </w:r>
          </w:p>
        </w:tc>
        <w:tc>
          <w:tcPr>
            <w:tcW w:w="1687" w:type="dxa"/>
          </w:tcPr>
          <w:p w:rsidR="006C5BEA" w:rsidRPr="006C5BEA" w:rsidRDefault="006C5BEA" w:rsidP="006C5BEA">
            <w:r>
              <w:t>7.</w:t>
            </w:r>
            <w:r w:rsidRPr="006C5BEA">
              <w:t>7</w:t>
            </w:r>
            <w:r w:rsidR="00ED04D5">
              <w:t>1</w:t>
            </w:r>
          </w:p>
        </w:tc>
        <w:tc>
          <w:tcPr>
            <w:tcW w:w="2127" w:type="dxa"/>
          </w:tcPr>
          <w:p w:rsidR="006C5BEA" w:rsidRPr="006C5BEA" w:rsidRDefault="006C5BEA" w:rsidP="006C5BEA">
            <w:r>
              <w:t>6.</w:t>
            </w:r>
            <w:r w:rsidR="00ED04D5">
              <w:t>88</w:t>
            </w:r>
          </w:p>
        </w:tc>
        <w:tc>
          <w:tcPr>
            <w:tcW w:w="1355" w:type="dxa"/>
          </w:tcPr>
          <w:p w:rsidR="006C5BEA" w:rsidRPr="006C5BEA" w:rsidRDefault="006C5BEA" w:rsidP="006C5BEA">
            <w:r>
              <w:t>5.31</w:t>
            </w:r>
          </w:p>
        </w:tc>
      </w:tr>
      <w:tr w:rsidR="006C5BEA" w:rsidTr="00CC0110">
        <w:trPr>
          <w:cnfStyle w:val="000000010000" w:firstRow="0" w:lastRow="0" w:firstColumn="0" w:lastColumn="0" w:oddVBand="0" w:evenVBand="0" w:oddHBand="0" w:evenHBand="1" w:firstRowFirstColumn="0" w:firstRowLastColumn="0" w:lastRowFirstColumn="0" w:lastRowLastColumn="0"/>
        </w:trPr>
        <w:tc>
          <w:tcPr>
            <w:tcW w:w="1951" w:type="dxa"/>
          </w:tcPr>
          <w:p w:rsidR="006C5BEA" w:rsidRPr="006C5BEA" w:rsidRDefault="006C5BEA" w:rsidP="006C5BEA">
            <w:r>
              <w:t>AGN</w:t>
            </w:r>
          </w:p>
        </w:tc>
        <w:tc>
          <w:tcPr>
            <w:tcW w:w="1573" w:type="dxa"/>
          </w:tcPr>
          <w:p w:rsidR="006C5BEA" w:rsidRPr="006C5BEA" w:rsidRDefault="006C5BEA" w:rsidP="006C5BEA">
            <w:r>
              <w:t>5.4</w:t>
            </w:r>
            <w:r w:rsidR="00ED04D5">
              <w:t>0</w:t>
            </w:r>
          </w:p>
        </w:tc>
        <w:tc>
          <w:tcPr>
            <w:tcW w:w="1687" w:type="dxa"/>
          </w:tcPr>
          <w:p w:rsidR="006C5BEA" w:rsidRPr="006C5BEA" w:rsidRDefault="006C5BEA" w:rsidP="006C5BEA">
            <w:r>
              <w:t>7.</w:t>
            </w:r>
            <w:r w:rsidRPr="006C5BEA">
              <w:t>9</w:t>
            </w:r>
            <w:r w:rsidR="00ED04D5">
              <w:t>9</w:t>
            </w:r>
          </w:p>
        </w:tc>
        <w:tc>
          <w:tcPr>
            <w:tcW w:w="2127" w:type="dxa"/>
          </w:tcPr>
          <w:p w:rsidR="006C5BEA" w:rsidRPr="006C5BEA" w:rsidRDefault="006C5BEA" w:rsidP="006C5BEA">
            <w:r>
              <w:t>7.</w:t>
            </w:r>
            <w:r w:rsidR="00ED04D5">
              <w:t>12</w:t>
            </w:r>
          </w:p>
        </w:tc>
        <w:tc>
          <w:tcPr>
            <w:tcW w:w="1355" w:type="dxa"/>
          </w:tcPr>
          <w:p w:rsidR="006C5BEA" w:rsidRPr="006C5BEA" w:rsidRDefault="006C5BEA" w:rsidP="006C5BEA">
            <w:r>
              <w:t>5.51</w:t>
            </w:r>
          </w:p>
        </w:tc>
      </w:tr>
      <w:tr w:rsidR="006C5BEA" w:rsidTr="00CC0110">
        <w:tc>
          <w:tcPr>
            <w:tcW w:w="1951" w:type="dxa"/>
          </w:tcPr>
          <w:p w:rsidR="006C5BEA" w:rsidRPr="006C5BEA" w:rsidRDefault="006C5BEA" w:rsidP="006C5BEA">
            <w:r>
              <w:t>Amadeus</w:t>
            </w:r>
            <w:r w:rsidR="00ED04D5">
              <w:rPr>
                <w:rStyle w:val="FootnoteReference"/>
              </w:rPr>
              <w:footnoteReference w:id="371"/>
            </w:r>
          </w:p>
        </w:tc>
        <w:tc>
          <w:tcPr>
            <w:tcW w:w="1573" w:type="dxa"/>
          </w:tcPr>
          <w:p w:rsidR="006C5BEA" w:rsidRPr="006C5BEA" w:rsidRDefault="00ED04D5" w:rsidP="006C5BEA">
            <w:r>
              <w:t>-</w:t>
            </w:r>
          </w:p>
        </w:tc>
        <w:tc>
          <w:tcPr>
            <w:tcW w:w="1687" w:type="dxa"/>
          </w:tcPr>
          <w:p w:rsidR="006C5BEA" w:rsidRPr="006C5BEA" w:rsidRDefault="006C5BEA" w:rsidP="006C5BEA">
            <w:r>
              <w:t>7.</w:t>
            </w:r>
            <w:r w:rsidR="00ED04D5">
              <w:t>6</w:t>
            </w:r>
            <w:r w:rsidRPr="006C5BEA">
              <w:t>9</w:t>
            </w:r>
          </w:p>
        </w:tc>
        <w:tc>
          <w:tcPr>
            <w:tcW w:w="2127" w:type="dxa"/>
          </w:tcPr>
          <w:p w:rsidR="006C5BEA" w:rsidRPr="006C5BEA" w:rsidRDefault="00ED04D5" w:rsidP="006C5BEA">
            <w:r>
              <w:t>6.83</w:t>
            </w:r>
          </w:p>
        </w:tc>
        <w:tc>
          <w:tcPr>
            <w:tcW w:w="1355" w:type="dxa"/>
          </w:tcPr>
          <w:p w:rsidR="006C5BEA" w:rsidRPr="006C5BEA" w:rsidRDefault="006C5BEA" w:rsidP="006C5BEA">
            <w:r>
              <w:t>5.56</w:t>
            </w:r>
          </w:p>
        </w:tc>
      </w:tr>
      <w:tr w:rsidR="006C5BEA" w:rsidTr="00CC0110">
        <w:trPr>
          <w:cnfStyle w:val="000000010000" w:firstRow="0" w:lastRow="0" w:firstColumn="0" w:lastColumn="0" w:oddVBand="0" w:evenVBand="0" w:oddHBand="0" w:evenHBand="1" w:firstRowFirstColumn="0" w:firstRowLastColumn="0" w:lastRowFirstColumn="0" w:lastRowLastColumn="0"/>
        </w:trPr>
        <w:tc>
          <w:tcPr>
            <w:tcW w:w="1951" w:type="dxa"/>
          </w:tcPr>
          <w:p w:rsidR="006C5BEA" w:rsidRPr="006C5BEA" w:rsidRDefault="006C5BEA" w:rsidP="006C5BEA">
            <w:r>
              <w:t>AusNet Services</w:t>
            </w:r>
          </w:p>
        </w:tc>
        <w:tc>
          <w:tcPr>
            <w:tcW w:w="1573" w:type="dxa"/>
          </w:tcPr>
          <w:p w:rsidR="006C5BEA" w:rsidRPr="006C5BEA" w:rsidRDefault="006C5BEA" w:rsidP="006C5BEA">
            <w:r>
              <w:t>5.</w:t>
            </w:r>
            <w:r w:rsidR="00ED04D5">
              <w:t>26</w:t>
            </w:r>
          </w:p>
        </w:tc>
        <w:tc>
          <w:tcPr>
            <w:tcW w:w="1687" w:type="dxa"/>
          </w:tcPr>
          <w:p w:rsidR="006C5BEA" w:rsidRPr="006C5BEA" w:rsidRDefault="006C5BEA" w:rsidP="006C5BEA">
            <w:r>
              <w:t>7.8</w:t>
            </w:r>
            <w:r w:rsidR="00ED04D5">
              <w:t>6</w:t>
            </w:r>
          </w:p>
        </w:tc>
        <w:tc>
          <w:tcPr>
            <w:tcW w:w="2127" w:type="dxa"/>
          </w:tcPr>
          <w:p w:rsidR="006C5BEA" w:rsidRPr="006C5BEA" w:rsidRDefault="006C5BEA" w:rsidP="006C5BEA">
            <w:r>
              <w:t>6.9</w:t>
            </w:r>
            <w:r w:rsidR="00ED04D5">
              <w:t>9</w:t>
            </w:r>
          </w:p>
        </w:tc>
        <w:tc>
          <w:tcPr>
            <w:tcW w:w="1355" w:type="dxa"/>
          </w:tcPr>
          <w:p w:rsidR="006C5BEA" w:rsidRPr="006C5BEA" w:rsidRDefault="006C5BEA" w:rsidP="006C5BEA">
            <w:r>
              <w:t>5.52</w:t>
            </w:r>
          </w:p>
        </w:tc>
      </w:tr>
      <w:tr w:rsidR="006C5BEA" w:rsidTr="00CC0110">
        <w:tc>
          <w:tcPr>
            <w:tcW w:w="1951" w:type="dxa"/>
          </w:tcPr>
          <w:p w:rsidR="006C5BEA" w:rsidRPr="006C5BEA" w:rsidRDefault="006C5BEA" w:rsidP="006C5BEA">
            <w:r>
              <w:t>C</w:t>
            </w:r>
            <w:r w:rsidRPr="006C5BEA">
              <w:t>itiPower / Powercor</w:t>
            </w:r>
          </w:p>
        </w:tc>
        <w:tc>
          <w:tcPr>
            <w:tcW w:w="1573" w:type="dxa"/>
          </w:tcPr>
          <w:p w:rsidR="006C5BEA" w:rsidRPr="006C5BEA" w:rsidRDefault="006C5BEA" w:rsidP="006C5BEA">
            <w:r>
              <w:t>5.</w:t>
            </w:r>
            <w:r w:rsidRPr="006C5BEA">
              <w:t>19</w:t>
            </w:r>
          </w:p>
        </w:tc>
        <w:tc>
          <w:tcPr>
            <w:tcW w:w="1687" w:type="dxa"/>
          </w:tcPr>
          <w:p w:rsidR="006C5BEA" w:rsidRPr="006C5BEA" w:rsidRDefault="006C5BEA" w:rsidP="006C5BEA">
            <w:r>
              <w:t>7.</w:t>
            </w:r>
            <w:r w:rsidR="00ED04D5">
              <w:t>78</w:t>
            </w:r>
            <w:r w:rsidRPr="006C5BEA">
              <w:t xml:space="preserve"> </w:t>
            </w:r>
          </w:p>
        </w:tc>
        <w:tc>
          <w:tcPr>
            <w:tcW w:w="2127" w:type="dxa"/>
          </w:tcPr>
          <w:p w:rsidR="006C5BEA" w:rsidRPr="006C5BEA" w:rsidRDefault="006C5BEA" w:rsidP="006C5BEA">
            <w:r>
              <w:t>6.</w:t>
            </w:r>
            <w:r w:rsidR="00ED04D5">
              <w:t>92</w:t>
            </w:r>
          </w:p>
        </w:tc>
        <w:tc>
          <w:tcPr>
            <w:tcW w:w="1355" w:type="dxa"/>
          </w:tcPr>
          <w:p w:rsidR="006C5BEA" w:rsidRPr="006C5BEA" w:rsidRDefault="006C5BEA" w:rsidP="006C5BEA">
            <w:r>
              <w:t>5.51</w:t>
            </w:r>
          </w:p>
        </w:tc>
      </w:tr>
      <w:tr w:rsidR="006C5BEA" w:rsidTr="00CC0110">
        <w:trPr>
          <w:cnfStyle w:val="000000010000" w:firstRow="0" w:lastRow="0" w:firstColumn="0" w:lastColumn="0" w:oddVBand="0" w:evenVBand="0" w:oddHBand="0" w:evenHBand="1" w:firstRowFirstColumn="0" w:firstRowLastColumn="0" w:lastRowFirstColumn="0" w:lastRowLastColumn="0"/>
        </w:trPr>
        <w:tc>
          <w:tcPr>
            <w:tcW w:w="1951" w:type="dxa"/>
          </w:tcPr>
          <w:p w:rsidR="006C5BEA" w:rsidRPr="006C5BEA" w:rsidRDefault="006C5BEA" w:rsidP="006C5BEA">
            <w:r>
              <w:t>J</w:t>
            </w:r>
            <w:r w:rsidRPr="006C5BEA">
              <w:t>EN</w:t>
            </w:r>
          </w:p>
        </w:tc>
        <w:tc>
          <w:tcPr>
            <w:tcW w:w="1573" w:type="dxa"/>
          </w:tcPr>
          <w:p w:rsidR="006C5BEA" w:rsidRPr="006C5BEA" w:rsidRDefault="006C5BEA" w:rsidP="006C5BEA">
            <w:r>
              <w:t>5.</w:t>
            </w:r>
            <w:r w:rsidRPr="006C5BEA">
              <w:t>28</w:t>
            </w:r>
          </w:p>
        </w:tc>
        <w:tc>
          <w:tcPr>
            <w:tcW w:w="1687" w:type="dxa"/>
          </w:tcPr>
          <w:p w:rsidR="006C5BEA" w:rsidRPr="006C5BEA" w:rsidRDefault="006C5BEA" w:rsidP="006C5BEA">
            <w:r>
              <w:t>7.</w:t>
            </w:r>
            <w:r w:rsidRPr="006C5BEA">
              <w:t>80</w:t>
            </w:r>
          </w:p>
        </w:tc>
        <w:tc>
          <w:tcPr>
            <w:tcW w:w="2127" w:type="dxa"/>
          </w:tcPr>
          <w:p w:rsidR="006C5BEA" w:rsidRPr="006C5BEA" w:rsidRDefault="006C5BEA" w:rsidP="006C5BEA">
            <w:r>
              <w:t>6.9</w:t>
            </w:r>
            <w:r w:rsidRPr="006C5BEA">
              <w:t>6</w:t>
            </w:r>
          </w:p>
        </w:tc>
        <w:tc>
          <w:tcPr>
            <w:tcW w:w="1355" w:type="dxa"/>
          </w:tcPr>
          <w:p w:rsidR="006C5BEA" w:rsidRPr="006C5BEA" w:rsidRDefault="006C5BEA" w:rsidP="006C5BEA">
            <w:r>
              <w:t>5.62</w:t>
            </w:r>
          </w:p>
        </w:tc>
      </w:tr>
      <w:tr w:rsidR="006C5BEA" w:rsidTr="00CC0110">
        <w:tc>
          <w:tcPr>
            <w:tcW w:w="1951" w:type="dxa"/>
          </w:tcPr>
          <w:p w:rsidR="006C5BEA" w:rsidRPr="006C5BEA" w:rsidRDefault="006C5BEA" w:rsidP="006C5BEA">
            <w:r>
              <w:t>United Energy</w:t>
            </w:r>
          </w:p>
        </w:tc>
        <w:tc>
          <w:tcPr>
            <w:tcW w:w="1573" w:type="dxa"/>
          </w:tcPr>
          <w:p w:rsidR="006C5BEA" w:rsidRPr="006C5BEA" w:rsidRDefault="006C5BEA" w:rsidP="006C5BEA">
            <w:r>
              <w:t>5.</w:t>
            </w:r>
            <w:r w:rsidRPr="006C5BEA">
              <w:t>57</w:t>
            </w:r>
          </w:p>
        </w:tc>
        <w:tc>
          <w:tcPr>
            <w:tcW w:w="1687" w:type="dxa"/>
          </w:tcPr>
          <w:p w:rsidR="006C5BEA" w:rsidRPr="006C5BEA" w:rsidRDefault="006C5BEA" w:rsidP="006C5BEA">
            <w:r>
              <w:t>7.80</w:t>
            </w:r>
          </w:p>
        </w:tc>
        <w:tc>
          <w:tcPr>
            <w:tcW w:w="2127" w:type="dxa"/>
          </w:tcPr>
          <w:p w:rsidR="006C5BEA" w:rsidRPr="006C5BEA" w:rsidRDefault="006C5BEA" w:rsidP="006C5BEA">
            <w:r>
              <w:t>7.0</w:t>
            </w:r>
            <w:r w:rsidR="00ED04D5">
              <w:t>5</w:t>
            </w:r>
          </w:p>
        </w:tc>
        <w:tc>
          <w:tcPr>
            <w:tcW w:w="1355" w:type="dxa"/>
          </w:tcPr>
          <w:p w:rsidR="006C5BEA" w:rsidRPr="006C5BEA" w:rsidRDefault="006C5BEA" w:rsidP="006C5BEA">
            <w:r>
              <w:t>5.62</w:t>
            </w:r>
          </w:p>
        </w:tc>
      </w:tr>
    </w:tbl>
    <w:p w:rsidR="002C7AAB" w:rsidRDefault="002C7AAB" w:rsidP="002C7AAB">
      <w:pPr>
        <w:pStyle w:val="AERtablesource"/>
      </w:pPr>
      <w:r>
        <w:t xml:space="preserve">Source: </w:t>
      </w:r>
      <w:r>
        <w:tab/>
        <w:t>AER analysis; initial and revised proposals for ActewAGL, AGN, APT Pipelines (Amadeus), AusNet Services, CitiPower, JEN, Powercor and United Energy.</w:t>
      </w:r>
    </w:p>
    <w:p w:rsidR="00ED04D5" w:rsidRDefault="00132A4C" w:rsidP="006C5BEA">
      <w:pPr>
        <w:pStyle w:val="AERtablesource"/>
      </w:pPr>
      <w:r>
        <w:t>*</w:t>
      </w:r>
      <w:r>
        <w:tab/>
        <w:t>Most service providers used placeholder averaging periods in their proposals. For comparability with our final decision, we have attempted to</w:t>
      </w:r>
      <w:r w:rsidR="00ED04D5" w:rsidRPr="00ED04D5">
        <w:t xml:space="preserve"> </w:t>
      </w:r>
      <w:r>
        <w:t>update</w:t>
      </w:r>
      <w:r w:rsidR="00ED04D5" w:rsidRPr="00ED04D5">
        <w:t xml:space="preserve"> </w:t>
      </w:r>
      <w:r>
        <w:t>each service provider's proposed approach</w:t>
      </w:r>
      <w:r w:rsidRPr="00ED04D5">
        <w:t xml:space="preserve"> </w:t>
      </w:r>
      <w:r>
        <w:t>for its</w:t>
      </w:r>
      <w:r w:rsidR="002C7AAB">
        <w:t xml:space="preserve"> </w:t>
      </w:r>
      <w:r>
        <w:t>final averaging period</w:t>
      </w:r>
      <w:r w:rsidR="00ED04D5" w:rsidRPr="00ED04D5">
        <w:t xml:space="preserve">. </w:t>
      </w:r>
      <w:r w:rsidR="002C7AAB">
        <w:t>D</w:t>
      </w:r>
      <w:r w:rsidRPr="005F6236">
        <w:t xml:space="preserve">ifferences between </w:t>
      </w:r>
      <w:r>
        <w:t>the service providers'</w:t>
      </w:r>
      <w:r w:rsidRPr="005F6236">
        <w:t xml:space="preserve"> proposals and </w:t>
      </w:r>
      <w:r>
        <w:t>our</w:t>
      </w:r>
      <w:r w:rsidRPr="005F6236">
        <w:t xml:space="preserve"> final decision</w:t>
      </w:r>
      <w:r>
        <w:t>s</w:t>
      </w:r>
      <w:r w:rsidRPr="005F6236">
        <w:t xml:space="preserve"> </w:t>
      </w:r>
      <w:r w:rsidR="002C7AAB">
        <w:t xml:space="preserve">may </w:t>
      </w:r>
      <w:r w:rsidRPr="005F6236">
        <w:t xml:space="preserve">reflect more than the form of transition </w:t>
      </w:r>
      <w:r>
        <w:t>(for example</w:t>
      </w:r>
      <w:r w:rsidR="002C7AAB">
        <w:t xml:space="preserve">, service providers used </w:t>
      </w:r>
      <w:r>
        <w:t xml:space="preserve">different extrapolation methods, data series and uplifts). </w:t>
      </w:r>
      <w:r w:rsidR="00ED04D5" w:rsidRPr="00ED04D5">
        <w:t xml:space="preserve">Due to the complexities of different approaches, </w:t>
      </w:r>
      <w:r w:rsidR="00ED04D5">
        <w:t>these update</w:t>
      </w:r>
      <w:r>
        <w:t>d</w:t>
      </w:r>
      <w:r w:rsidR="00ED04D5">
        <w:t xml:space="preserve"> estimates</w:t>
      </w:r>
      <w:r>
        <w:t xml:space="preserve"> should be regarded as approximations and are used for </w:t>
      </w:r>
      <w:r w:rsidRPr="00ED04D5">
        <w:t>illustrative purposes only</w:t>
      </w:r>
      <w:r w:rsidR="00ED04D5" w:rsidRPr="00ED04D5">
        <w:t xml:space="preserve">. </w:t>
      </w:r>
      <w:r w:rsidR="00ED04D5">
        <w:t>W</w:t>
      </w:r>
      <w:r w:rsidR="00ED04D5" w:rsidRPr="00ED04D5">
        <w:t>e do not necessarily accept or agree with the calculati</w:t>
      </w:r>
      <w:r w:rsidR="002C7AAB">
        <w:t>ons underlying these estimates.</w:t>
      </w:r>
    </w:p>
    <w:p w:rsidR="006C5BEA" w:rsidRDefault="006C5BEA" w:rsidP="006C5BEA">
      <w:r>
        <w:t>In this section, we:</w:t>
      </w:r>
    </w:p>
    <w:p w:rsidR="006C5BEA" w:rsidRDefault="006C5BEA" w:rsidP="006C5BEA">
      <w:pPr>
        <w:pStyle w:val="AERbulletlistfirststyle"/>
      </w:pPr>
      <w:r>
        <w:t>set out our overall return on debt approach (that is, the transition to a trailing average)</w:t>
      </w:r>
    </w:p>
    <w:p w:rsidR="006C5BEA" w:rsidRPr="003337B3" w:rsidRDefault="006C5BEA" w:rsidP="006C5BEA">
      <w:pPr>
        <w:pStyle w:val="AERbulletlistfirststyle"/>
      </w:pPr>
      <w:r>
        <w:t>set out service providers' proposals and revised proposals on the overall return on debt approach and transition</w:t>
      </w:r>
    </w:p>
    <w:p w:rsidR="006C5BEA" w:rsidRPr="003337B3" w:rsidRDefault="006C5BEA" w:rsidP="006C5BEA">
      <w:pPr>
        <w:pStyle w:val="AERbulletlistfirststyle"/>
      </w:pPr>
      <w:r>
        <w:t xml:space="preserve">explain what approaches </w:t>
      </w:r>
      <w:r w:rsidRPr="003337B3">
        <w:t>to estimating the return on debt can contribute to the ARORO</w:t>
      </w:r>
      <w:r w:rsidRPr="003337B3" w:rsidDel="00472C05">
        <w:t xml:space="preserve"> </w:t>
      </w:r>
      <w:r>
        <w:t>and why (which includes our approach in this final decision)</w:t>
      </w:r>
    </w:p>
    <w:p w:rsidR="006C5BEA" w:rsidRDefault="006C5BEA" w:rsidP="006C5BEA">
      <w:pPr>
        <w:pStyle w:val="AERbulletlistfirststyle"/>
      </w:pPr>
      <w:r>
        <w:t>e</w:t>
      </w:r>
      <w:r w:rsidRPr="003337B3">
        <w:t xml:space="preserve">xplain why </w:t>
      </w:r>
      <w:r>
        <w:t xml:space="preserve">none of the approaches in the revised proposals would </w:t>
      </w:r>
      <w:r w:rsidRPr="003337B3">
        <w:t>meet the requirements of the ARORO and NEO/NGO</w:t>
      </w:r>
    </w:p>
    <w:p w:rsidR="006C5BEA" w:rsidRDefault="006C5BEA" w:rsidP="006C5BEA">
      <w:pPr>
        <w:pStyle w:val="AERbulletlistfirststyle"/>
      </w:pPr>
      <w:r>
        <w:t>set out general problems with using historical data to estimate the allowed return on debt.</w:t>
      </w:r>
    </w:p>
    <w:p w:rsidR="006C5BEA" w:rsidRDefault="006C5BEA" w:rsidP="006C5BEA">
      <w:pPr>
        <w:pStyle w:val="HeadingBoldItalic"/>
      </w:pPr>
      <w:r>
        <w:t>Our a</w:t>
      </w:r>
      <w:r w:rsidRPr="00F4618D">
        <w:t>pproach to estimating the return on debt</w:t>
      </w:r>
    </w:p>
    <w:p w:rsidR="006C5BEA" w:rsidRPr="007D2546" w:rsidRDefault="006C5BEA" w:rsidP="006C5BEA">
      <w:r w:rsidRPr="007D2546">
        <w:t xml:space="preserve">Our </w:t>
      </w:r>
      <w:r>
        <w:t xml:space="preserve">final </w:t>
      </w:r>
      <w:r w:rsidRPr="007D2546">
        <w:t xml:space="preserve">decision is to </w:t>
      </w:r>
      <w:r>
        <w:t>s</w:t>
      </w:r>
      <w:r w:rsidRPr="004B3BBA">
        <w:t>tart with an on-the-day</w:t>
      </w:r>
      <w:r>
        <w:t xml:space="preserve"> approach</w:t>
      </w:r>
      <w:r w:rsidRPr="004B3BBA">
        <w:t xml:space="preserve"> for the first regulatory year and gradually transition into a trailing average approach over 10 years</w:t>
      </w:r>
      <w:r>
        <w:t xml:space="preserve"> (a full transition)</w:t>
      </w:r>
      <w:r w:rsidRPr="007D2546">
        <w:t>.</w:t>
      </w:r>
      <w:r>
        <w:rPr>
          <w:rStyle w:val="FootnoteReference"/>
        </w:rPr>
        <w:footnoteReference w:id="372"/>
      </w:r>
      <w:r w:rsidRPr="007D2546">
        <w:t xml:space="preserve"> Applied to </w:t>
      </w:r>
      <w:r>
        <w:t>CitiPower</w:t>
      </w:r>
      <w:r w:rsidRPr="007D2546">
        <w:t>, this means our return on debt approach is to:</w:t>
      </w:r>
    </w:p>
    <w:p w:rsidR="006C5BEA" w:rsidRDefault="006C5BEA" w:rsidP="006C5BEA">
      <w:pPr>
        <w:pStyle w:val="AERbulletlistfirststyle"/>
      </w:pPr>
      <w:r w:rsidRPr="007D2546">
        <w:t xml:space="preserve">estimate the return on debt using an on-the-day </w:t>
      </w:r>
      <w:r>
        <w:t>approach</w:t>
      </w:r>
      <w:r w:rsidRPr="007D2546">
        <w:t xml:space="preserve"> (that is, based on prevailing interest rates</w:t>
      </w:r>
      <w:r>
        <w:t xml:space="preserve"> near the commencement of the regulatory control period</w:t>
      </w:r>
      <w:r w:rsidRPr="007D2546">
        <w:t>) in the first regulatory year (2016) of the 201</w:t>
      </w:r>
      <w:r>
        <w:t>6</w:t>
      </w:r>
      <w:r w:rsidRPr="007D2546">
        <w:t xml:space="preserve">–20 </w:t>
      </w:r>
      <w:r>
        <w:t>regulatory control period</w:t>
      </w:r>
      <w:r w:rsidRPr="007D2546">
        <w:t>, and</w:t>
      </w:r>
    </w:p>
    <w:p w:rsidR="006C5BEA" w:rsidRDefault="006C5BEA" w:rsidP="006C5BEA">
      <w:pPr>
        <w:pStyle w:val="AERbulletlistfirststyle"/>
      </w:pPr>
      <w:r w:rsidRPr="007D2546">
        <w:t xml:space="preserve">gradually transition this approach into a trailing average (that is, a moving historical average) over 10 years </w:t>
      </w:r>
      <w:r>
        <w:t xml:space="preserve">by annually </w:t>
      </w:r>
      <w:r w:rsidRPr="00762AAF">
        <w:t xml:space="preserve">updating 10 per cent of the return on debt to reflect prevailing market conditions in that </w:t>
      </w:r>
      <w:r>
        <w:t>year</w:t>
      </w:r>
      <w:r w:rsidRPr="007D2546">
        <w:t>.</w:t>
      </w:r>
      <w:r w:rsidRPr="007D2546">
        <w:rPr>
          <w:rStyle w:val="AERsuperscript"/>
        </w:rPr>
        <w:footnoteReference w:id="373"/>
      </w:r>
    </w:p>
    <w:p w:rsidR="006C5BEA" w:rsidRPr="007D2546" w:rsidRDefault="006C5BEA" w:rsidP="006C5BEA">
      <w:r w:rsidRPr="007D2546">
        <w:t xml:space="preserve">In practical terms, our return on debt approach means that an on-the-day </w:t>
      </w:r>
      <w:r>
        <w:t>approach</w:t>
      </w:r>
      <w:r w:rsidRPr="007D2546">
        <w:t xml:space="preserve"> </w:t>
      </w:r>
      <w:r>
        <w:t>around</w:t>
      </w:r>
      <w:r w:rsidRPr="007D2546">
        <w:t xml:space="preserve"> the start of the 201</w:t>
      </w:r>
      <w:r>
        <w:t>6</w:t>
      </w:r>
      <w:r w:rsidRPr="007D2546">
        <w:t xml:space="preserve">–20 </w:t>
      </w:r>
      <w:r>
        <w:t>regulatory control period</w:t>
      </w:r>
      <w:r w:rsidRPr="007D2546">
        <w:t xml:space="preserve"> is applied to:</w:t>
      </w:r>
    </w:p>
    <w:p w:rsidR="006C5BEA" w:rsidRPr="007D2546" w:rsidRDefault="006C5BEA" w:rsidP="006C5BEA">
      <w:pPr>
        <w:pStyle w:val="AERbulletlistfirststyle"/>
      </w:pPr>
      <w:r w:rsidRPr="007D2546">
        <w:t>100 per cent of the debt portfolio in the calculation of the allowed return on debt for the 2016 regulatory year</w:t>
      </w:r>
    </w:p>
    <w:p w:rsidR="006C5BEA" w:rsidRPr="007D2546" w:rsidRDefault="006C5BEA" w:rsidP="006C5BEA">
      <w:pPr>
        <w:pStyle w:val="AERbulletlistfirststyle"/>
      </w:pPr>
      <w:r w:rsidRPr="007D2546">
        <w:t xml:space="preserve">90 per cent of the debt portfolio in the calculation of the allowed return on debt for the 2017 regulatory year, with the remaining 10 per cent updated to reflect prevailing interest rates during </w:t>
      </w:r>
      <w:r>
        <w:t>CitiPower's</w:t>
      </w:r>
      <w:r w:rsidRPr="007D2546">
        <w:t xml:space="preserve"> averaging period for 2017</w:t>
      </w:r>
      <w:r>
        <w:t xml:space="preserve">. </w:t>
      </w:r>
      <w:r w:rsidRPr="008D3A72">
        <w:t xml:space="preserve"> </w:t>
      </w:r>
      <w:r w:rsidRPr="007D2546">
        <w:t xml:space="preserve">Consistent with the </w:t>
      </w:r>
      <w:r>
        <w:t>rules</w:t>
      </w:r>
      <w:r w:rsidRPr="007D2546">
        <w:t xml:space="preserve"> requirement</w:t>
      </w:r>
      <w:r>
        <w:t>s</w:t>
      </w:r>
      <w:r w:rsidRPr="007D2546">
        <w:t>, this annual update</w:t>
      </w:r>
      <w:r>
        <w:t xml:space="preserve"> (and all future annual updates)</w:t>
      </w:r>
      <w:r w:rsidRPr="007D2546">
        <w:t xml:space="preserve"> will be effected through the automatic application of the return on debt methodology we set out in this decision.</w:t>
      </w:r>
      <w:r w:rsidRPr="007D2546">
        <w:rPr>
          <w:rStyle w:val="AERsuperscript"/>
        </w:rPr>
        <w:footnoteReference w:id="374"/>
      </w:r>
    </w:p>
    <w:p w:rsidR="006C5BEA" w:rsidRPr="007D2546" w:rsidRDefault="006C5BEA" w:rsidP="006C5BEA">
      <w:pPr>
        <w:pStyle w:val="AERbulletlistfirststyle"/>
      </w:pPr>
      <w:r w:rsidRPr="007D2546">
        <w:t>80 per cent of the debt portfolio in the calculation of the allowed return on debt for the 2</w:t>
      </w:r>
      <w:r>
        <w:t>0</w:t>
      </w:r>
      <w:r w:rsidRPr="007D2546">
        <w:t xml:space="preserve">18 regulatory year, with 10 per cent based on prevailing interest rates during </w:t>
      </w:r>
      <w:r>
        <w:t>CitiPower's</w:t>
      </w:r>
      <w:r w:rsidRPr="007D2546">
        <w:t xml:space="preserve"> averaging period for 2</w:t>
      </w:r>
      <w:r>
        <w:t>0</w:t>
      </w:r>
      <w:r w:rsidRPr="007D2546">
        <w:t xml:space="preserve">17, and 10 per cent updated to reflect prevailing interest rates during </w:t>
      </w:r>
      <w:r>
        <w:t>CitiPower's</w:t>
      </w:r>
      <w:r w:rsidRPr="007D2546">
        <w:t xml:space="preserve"> averaging period for 20</w:t>
      </w:r>
      <w:r>
        <w:t>1</w:t>
      </w:r>
      <w:r w:rsidRPr="007D2546">
        <w:t>8, and</w:t>
      </w:r>
    </w:p>
    <w:p w:rsidR="006C5BEA" w:rsidRPr="007D2546" w:rsidRDefault="006C5BEA" w:rsidP="006C5BEA">
      <w:pPr>
        <w:pStyle w:val="AERbulletlistfirststyle"/>
      </w:pPr>
      <w:r w:rsidRPr="007D2546">
        <w:t>so on for the subsequent regulatory years.</w:t>
      </w:r>
    </w:p>
    <w:p w:rsidR="006C5BEA" w:rsidRDefault="006C5BEA" w:rsidP="006C5BEA">
      <w:r w:rsidRPr="007D2546">
        <w:t xml:space="preserve">After the 10 year transition period is complete, the return on debt is a simple average of prevailing interest rates during </w:t>
      </w:r>
      <w:r>
        <w:t>CitiPower's</w:t>
      </w:r>
      <w:r w:rsidRPr="007D2546">
        <w:t xml:space="preserve"> averaging periods over the previous 10 years</w:t>
      </w:r>
      <w:r>
        <w:t xml:space="preserve"> (a trailing average). </w:t>
      </w:r>
    </w:p>
    <w:p w:rsidR="006C5BEA" w:rsidRDefault="006C5BEA" w:rsidP="00332F19">
      <w:pPr>
        <w:pStyle w:val="HeadingBoldItalic"/>
        <w:keepNext/>
      </w:pPr>
      <w:r>
        <w:t>Initial and revised regulatory proposals</w:t>
      </w:r>
    </w:p>
    <w:p w:rsidR="006C5BEA" w:rsidRPr="008D3A72" w:rsidRDefault="006C5BEA" w:rsidP="00332F19">
      <w:pPr>
        <w:keepNext/>
      </w:pPr>
      <w:r>
        <w:t>Along with this final decision for CitiPower, we are making seven constituent final decisions for a range of other service providers.</w:t>
      </w:r>
      <w:r>
        <w:rPr>
          <w:rStyle w:val="FootnoteReference"/>
        </w:rPr>
        <w:footnoteReference w:id="375"/>
      </w:r>
      <w:r>
        <w:t xml:space="preserve"> We have considered these proposals together where they put substantially the same views and reasoning forward.</w:t>
      </w:r>
      <w:r w:rsidRPr="00203689">
        <w:t xml:space="preserve"> </w:t>
      </w:r>
      <w:r>
        <w:t xml:space="preserve"> It is worth clarifying that, </w:t>
      </w:r>
      <w:r w:rsidRPr="008D3A72">
        <w:t xml:space="preserve">in effect, these service providers are proposing two separate things: </w:t>
      </w:r>
    </w:p>
    <w:p w:rsidR="006C5BEA" w:rsidRDefault="006C5BEA" w:rsidP="006C5BEA">
      <w:pPr>
        <w:pStyle w:val="AERbulletlistsecondstyle"/>
      </w:pPr>
      <w:r>
        <w:t xml:space="preserve">to move to a trailing average methodology; and </w:t>
      </w:r>
    </w:p>
    <w:p w:rsidR="006C5BEA" w:rsidRDefault="006C5BEA" w:rsidP="006C5BEA">
      <w:pPr>
        <w:pStyle w:val="AERbulletlistsecondstyle"/>
      </w:pPr>
      <w:r>
        <w:t>to increase the</w:t>
      </w:r>
      <w:r w:rsidRPr="00BC2869">
        <w:t xml:space="preserve"> net present value </w:t>
      </w:r>
      <w:r>
        <w:t>of their</w:t>
      </w:r>
      <w:r w:rsidRPr="00BC2869">
        <w:t xml:space="preserve"> assets (and associated revenues) </w:t>
      </w:r>
      <w:r>
        <w:t xml:space="preserve">by proposing to move a trailing average methodology in a manner that is not revenue neutral. </w:t>
      </w:r>
    </w:p>
    <w:p w:rsidR="006C5BEA" w:rsidRDefault="006C5BEA" w:rsidP="006C5BEA">
      <w:r>
        <w:t>These</w:t>
      </w:r>
      <w:r w:rsidRPr="00E9566E">
        <w:t xml:space="preserve"> are separate issues</w:t>
      </w:r>
      <w:r>
        <w:t>. As long as a revenue-neutral transition is applied, the first issue is not in contention. As such, we predominately respond to the second issue</w:t>
      </w:r>
      <w:r w:rsidRPr="00785554">
        <w:t>―</w:t>
      </w:r>
      <w:r>
        <w:t>the form of transition.</w:t>
      </w:r>
    </w:p>
    <w:p w:rsidR="006C5BEA" w:rsidRDefault="006C5BEA" w:rsidP="006C5BEA">
      <w:r>
        <w:t xml:space="preserve">It is worth noting that these services providers substantially changed their preferences regarding the form of transition between their initial and revised proposals. </w:t>
      </w:r>
      <w:r w:rsidRPr="002F17AD">
        <w:t xml:space="preserve">To support </w:t>
      </w:r>
      <w:r>
        <w:t>their</w:t>
      </w:r>
      <w:r w:rsidRPr="002F17AD">
        <w:t xml:space="preserve"> </w:t>
      </w:r>
      <w:r>
        <w:t xml:space="preserve">change in </w:t>
      </w:r>
      <w:r w:rsidRPr="002F17AD">
        <w:t xml:space="preserve">position, </w:t>
      </w:r>
      <w:r>
        <w:t>these service providers submitted new material addressing the</w:t>
      </w:r>
      <w:r w:rsidRPr="002F17AD">
        <w:t xml:space="preserve"> ARORO and what it requires of </w:t>
      </w:r>
      <w:r>
        <w:t>us</w:t>
      </w:r>
      <w:r w:rsidRPr="002F17AD">
        <w:t>.</w:t>
      </w:r>
      <w:r>
        <w:t xml:space="preserve"> Further, as part of their revised proposals, the majority of these service providers also proposed a second preference that is also different to their initial proposals.</w:t>
      </w:r>
      <w:r w:rsidRPr="00032CB4">
        <w:rPr>
          <w:rStyle w:val="FootnoteReference"/>
        </w:rPr>
        <w:footnoteReference w:id="376"/>
      </w:r>
      <w:r>
        <w:t xml:space="preserve">  </w:t>
      </w:r>
      <w:r>
        <w:fldChar w:fldCharType="begin"/>
      </w:r>
      <w:r>
        <w:instrText xml:space="preserve"> REF _Ref451174270 \h </w:instrText>
      </w:r>
      <w:r>
        <w:fldChar w:fldCharType="separate"/>
      </w:r>
      <w:r w:rsidR="00BA2E8E">
        <w:t xml:space="preserve">Table </w:t>
      </w:r>
      <w:r w:rsidR="00BA2E8E">
        <w:rPr>
          <w:noProof/>
        </w:rPr>
        <w:t>3</w:t>
      </w:r>
      <w:r w:rsidR="00BA2E8E">
        <w:noBreakHyphen/>
      </w:r>
      <w:r w:rsidR="00BA2E8E">
        <w:rPr>
          <w:noProof/>
        </w:rPr>
        <w:t>9</w:t>
      </w:r>
      <w:r>
        <w:fldChar w:fldCharType="end"/>
      </w:r>
      <w:r>
        <w:t xml:space="preserve"> summarises these proposals.</w:t>
      </w:r>
    </w:p>
    <w:p w:rsidR="006C5BEA" w:rsidRDefault="006C5BEA" w:rsidP="006C5BEA">
      <w:pPr>
        <w:pStyle w:val="Caption"/>
      </w:pPr>
      <w:bookmarkStart w:id="146" w:name="_Ref451174270"/>
      <w:r>
        <w:t xml:space="preserve">Table </w:t>
      </w:r>
      <w:fldSimple w:instr=" STYLEREF 1 \s ">
        <w:r w:rsidR="00BA2E8E">
          <w:rPr>
            <w:noProof/>
          </w:rPr>
          <w:t>3</w:t>
        </w:r>
      </w:fldSimple>
      <w:r w:rsidR="000F4BC3">
        <w:noBreakHyphen/>
      </w:r>
      <w:fldSimple w:instr=" SEQ Table \* ARABIC \s 1 ">
        <w:r w:rsidR="00BA2E8E">
          <w:rPr>
            <w:noProof/>
          </w:rPr>
          <w:t>9</w:t>
        </w:r>
      </w:fldSimple>
      <w:bookmarkEnd w:id="146"/>
      <w:r>
        <w:tab/>
        <w:t>Form of transition in initial versus revised proposals</w:t>
      </w:r>
    </w:p>
    <w:tbl>
      <w:tblPr>
        <w:tblStyle w:val="AERtable-text0"/>
        <w:tblW w:w="0" w:type="auto"/>
        <w:tblLook w:val="04A0" w:firstRow="1" w:lastRow="0" w:firstColumn="1" w:lastColumn="0" w:noHBand="0" w:noVBand="1"/>
      </w:tblPr>
      <w:tblGrid>
        <w:gridCol w:w="2660"/>
        <w:gridCol w:w="3260"/>
        <w:gridCol w:w="2773"/>
      </w:tblGrid>
      <w:tr w:rsidR="006C5BEA" w:rsidTr="002A5C40">
        <w:trPr>
          <w:cnfStyle w:val="100000000000" w:firstRow="1" w:lastRow="0" w:firstColumn="0" w:lastColumn="0" w:oddVBand="0" w:evenVBand="0" w:oddHBand="0" w:evenHBand="0" w:firstRowFirstColumn="0" w:firstRowLastColumn="0" w:lastRowFirstColumn="0" w:lastRowLastColumn="0"/>
        </w:trPr>
        <w:tc>
          <w:tcPr>
            <w:tcW w:w="2660" w:type="dxa"/>
          </w:tcPr>
          <w:p w:rsidR="006C5BEA" w:rsidRPr="006C5BEA" w:rsidRDefault="006C5BEA" w:rsidP="006C5BEA">
            <w:r>
              <w:t>Initial proposals</w:t>
            </w:r>
          </w:p>
        </w:tc>
        <w:tc>
          <w:tcPr>
            <w:tcW w:w="3260" w:type="dxa"/>
          </w:tcPr>
          <w:p w:rsidR="006C5BEA" w:rsidRPr="006C5BEA" w:rsidRDefault="006C5BEA" w:rsidP="006C5BEA">
            <w:r>
              <w:t>Revised proposals</w:t>
            </w:r>
            <w:r w:rsidRPr="006C5BEA">
              <w:t>, first preference</w:t>
            </w:r>
          </w:p>
        </w:tc>
        <w:tc>
          <w:tcPr>
            <w:tcW w:w="2773" w:type="dxa"/>
          </w:tcPr>
          <w:p w:rsidR="006C5BEA" w:rsidRDefault="006C5BEA" w:rsidP="006C5BEA">
            <w:r>
              <w:t>Revised proposals, second preference</w:t>
            </w:r>
          </w:p>
        </w:tc>
      </w:tr>
      <w:tr w:rsidR="006C5BEA" w:rsidTr="002A5C40">
        <w:tc>
          <w:tcPr>
            <w:tcW w:w="2660" w:type="dxa"/>
          </w:tcPr>
          <w:p w:rsidR="006C5BEA" w:rsidRPr="006C5BEA" w:rsidRDefault="006C5BEA" w:rsidP="006C5BEA">
            <w:r>
              <w:t>S</w:t>
            </w:r>
            <w:r w:rsidRPr="006C5BEA">
              <w:t>ervice providers proposed a 'hybrid transition'.</w:t>
            </w:r>
            <w:r w:rsidRPr="006C5BEA">
              <w:rPr>
                <w:rStyle w:val="FootnoteReference"/>
              </w:rPr>
              <w:footnoteReference w:id="377"/>
            </w:r>
            <w:r w:rsidRPr="006C5BEA">
              <w:t xml:space="preserve"> This combined a 10 year transition of the base rate into a trailing average approach with a backwards looking trailing average DRP. </w:t>
            </w:r>
          </w:p>
          <w:p w:rsidR="006C5BEA" w:rsidRPr="006C5BEA" w:rsidRDefault="006C5BEA" w:rsidP="00FB7EFB">
            <w:r w:rsidRPr="00203689">
              <w:t>Their main reason for proposing a hybrid approach was that it would produce an allowed return on debt consistent with these service providers' historically incurred financing costs, which they submitted were efficient. This is because these service providers had been raising debt on a staggered basis, had hedged the base rate to align with the debt allowance, but could not hedge the DRP.</w:t>
            </w:r>
            <w:r w:rsidRPr="006C5BEA">
              <w:rPr>
                <w:rStyle w:val="FootnoteReference"/>
              </w:rPr>
              <w:footnoteReference w:id="378"/>
            </w:r>
            <w:r w:rsidRPr="006C5BEA">
              <w:t xml:space="preserve"> Given this, some service providers submitted that compared to a full transition, a hybrid approach would reduce the mismatch between the expected DRP component of the return on debt and the regulatory allowance.</w:t>
            </w:r>
            <w:r w:rsidRPr="006C5BEA">
              <w:rPr>
                <w:rStyle w:val="FootnoteReference"/>
              </w:rPr>
              <w:footnoteReference w:id="379"/>
            </w:r>
            <w:r w:rsidRPr="006C5BEA">
              <w:t xml:space="preserve"> We assessed these initial proposals in some detail in the relevant preliminary and </w:t>
            </w:r>
            <w:r w:rsidR="00FB7EFB">
              <w:t>draft</w:t>
            </w:r>
            <w:r w:rsidRPr="006C5BEA">
              <w:t xml:space="preserve"> decisions.</w:t>
            </w:r>
            <w:r w:rsidRPr="006C5BEA">
              <w:rPr>
                <w:rStyle w:val="FootnoteReference"/>
              </w:rPr>
              <w:footnoteReference w:id="380"/>
            </w:r>
          </w:p>
        </w:tc>
        <w:tc>
          <w:tcPr>
            <w:tcW w:w="3260" w:type="dxa"/>
          </w:tcPr>
          <w:p w:rsidR="006C5BEA" w:rsidRPr="006C5BEA" w:rsidRDefault="006C5BEA" w:rsidP="006C5BEA">
            <w:r>
              <w:t>Service providers propose</w:t>
            </w:r>
            <w:r w:rsidRPr="006C5BEA">
              <w:t xml:space="preserve">d to immediately adopt a backwards looking trailing average approach. </w:t>
            </w:r>
          </w:p>
          <w:p w:rsidR="006C5BEA" w:rsidRPr="006C5BEA" w:rsidRDefault="006C5BEA" w:rsidP="006C5BEA">
            <w:r>
              <w:t>Their</w:t>
            </w:r>
            <w:r w:rsidRPr="006C5BEA">
              <w:t xml:space="preserve"> reasons for adopting this position include:</w:t>
            </w:r>
          </w:p>
          <w:p w:rsidR="006C5BEA" w:rsidRPr="006C5BEA" w:rsidRDefault="006C5BEA" w:rsidP="006C5BEA">
            <w:pPr>
              <w:pStyle w:val="AERbulletlistfirststyle"/>
            </w:pPr>
            <w:r w:rsidRPr="009151D2">
              <w:t>An immediate transition is consistent with a historically-based definition of efficient financing costs</w:t>
            </w:r>
            <w:r w:rsidRPr="006C5BEA">
              <w:t xml:space="preserve"> if immediately implementing a trailing average reduces the ex-post 'mismatch' between the allowed return on debt cash flows and a benchmark efficient entity's actual (historical) debt costs (or cash outflows).</w:t>
            </w:r>
            <w:r w:rsidRPr="006C5BEA">
              <w:rPr>
                <w:rStyle w:val="FootnoteReference"/>
              </w:rPr>
              <w:footnoteReference w:id="381"/>
            </w:r>
          </w:p>
          <w:p w:rsidR="006C5BEA" w:rsidRPr="006C5BEA" w:rsidRDefault="006C5BEA" w:rsidP="006C5BEA">
            <w:pPr>
              <w:pStyle w:val="AERbulletlistfirststyle"/>
            </w:pPr>
            <w:r w:rsidRPr="009151D2">
              <w:t>An immediate transition to a trailing average is consistent with outcomes in a workably competitive market because unregulated infrastructure businesses tend to hold staggered debt portfolios. That is, because the intent of legislation is to replicate a workably competitive market, an immediate transition is necessary to replicate the (ex-post) cost outcomes that one would expect absent regulation.</w:t>
            </w:r>
            <w:r w:rsidRPr="006C5BEA">
              <w:rPr>
                <w:rStyle w:val="FootnoteReference"/>
              </w:rPr>
              <w:t xml:space="preserve"> </w:t>
            </w:r>
            <w:r w:rsidRPr="006C5BEA">
              <w:rPr>
                <w:rStyle w:val="FootnoteReference"/>
              </w:rPr>
              <w:footnoteReference w:id="382"/>
            </w:r>
            <w:r w:rsidRPr="006C5BEA">
              <w:t xml:space="preserve"> This is particularly because incentives created under the on-the-day approach (required under the previously regulatory regime) may not have resulted in efficient financing practices.</w:t>
            </w:r>
            <w:r w:rsidRPr="006C5BEA">
              <w:rPr>
                <w:rStyle w:val="FootnoteReference"/>
              </w:rPr>
              <w:footnoteReference w:id="383"/>
            </w:r>
          </w:p>
          <w:p w:rsidR="006C5BEA" w:rsidRPr="006C5BEA" w:rsidRDefault="006C5BEA" w:rsidP="006C5BEA">
            <w:pPr>
              <w:pStyle w:val="AERbulletlistfirststyle"/>
            </w:pPr>
            <w:r>
              <w:t>A</w:t>
            </w:r>
            <w:r w:rsidRPr="006C5BEA">
              <w:t xml:space="preserve"> benchmark efficient entity is unregulated because an unregulated benchmark efficient entity is consistent with replicating workably competitive market outcomes.</w:t>
            </w:r>
          </w:p>
        </w:tc>
        <w:tc>
          <w:tcPr>
            <w:tcW w:w="2773" w:type="dxa"/>
          </w:tcPr>
          <w:p w:rsidR="006C5BEA" w:rsidRPr="006C5BEA" w:rsidRDefault="006C5BEA" w:rsidP="006C5BEA">
            <w:r>
              <w:t>T</w:t>
            </w:r>
            <w:r w:rsidRPr="006C5BEA">
              <w:t>he majority of service providers proposed a second preference for a hybrid transition under partial hedging.</w:t>
            </w:r>
            <w:r w:rsidRPr="006C5BEA">
              <w:rPr>
                <w:rStyle w:val="FootnoteReference"/>
              </w:rPr>
              <w:footnoteReference w:id="384"/>
            </w:r>
            <w:r w:rsidRPr="006C5BEA">
              <w:t xml:space="preserve"> This entails only applying a transition to a trailing average to one third of the base rate.</w:t>
            </w:r>
            <w:r w:rsidRPr="006C5BEA">
              <w:rPr>
                <w:rStyle w:val="FootnoteReference"/>
              </w:rPr>
              <w:footnoteReference w:id="385"/>
            </w:r>
            <w:r w:rsidRPr="006C5BEA">
              <w:t xml:space="preserve"> </w:t>
            </w:r>
          </w:p>
          <w:p w:rsidR="006C5BEA" w:rsidRPr="006C5BEA" w:rsidRDefault="006C5BEA" w:rsidP="006C5BEA">
            <w:r>
              <w:t>Their reasons for</w:t>
            </w:r>
            <w:r w:rsidRPr="006C5BEA">
              <w:t xml:space="preserve"> this second preference include:</w:t>
            </w:r>
          </w:p>
          <w:p w:rsidR="006C5BEA" w:rsidRPr="006C5BEA" w:rsidRDefault="006C5BEA" w:rsidP="006C5BEA">
            <w:pPr>
              <w:pStyle w:val="AERbulletlistfirststyle"/>
            </w:pPr>
            <w:r>
              <w:t>A hybrid</w:t>
            </w:r>
            <w:r w:rsidRPr="006C5BEA">
              <w:t xml:space="preserve"> transition is consistent with a historically-based definition of efficient financing costs if it reduces the ex-post 'mismatch' between the allowed return on debt cash flows and a benchmark efficient entity's actual (historical) debt costs (or cash outflows).</w:t>
            </w:r>
            <w:r w:rsidRPr="006C5BEA">
              <w:rPr>
                <w:rStyle w:val="FootnoteReference"/>
              </w:rPr>
              <w:footnoteReference w:id="386"/>
            </w:r>
          </w:p>
          <w:p w:rsidR="006C5BEA" w:rsidRPr="006C5BEA" w:rsidRDefault="006C5BEA" w:rsidP="006C5BEA">
            <w:pPr>
              <w:pStyle w:val="AERbulletlistfirststyle"/>
            </w:pPr>
            <w:r>
              <w:t xml:space="preserve">A </w:t>
            </w:r>
            <w:r w:rsidRPr="006C5BEA">
              <w:t>benchmark efficient entity would have only hedged one third of the base rate under the on-the-day regime. This is based on CEG's interpretation of the correlation between the base rate and DRP over about 20 years of data.</w:t>
            </w:r>
            <w:r w:rsidRPr="006C5BEA">
              <w:rPr>
                <w:rStyle w:val="FootnoteReference"/>
              </w:rPr>
              <w:footnoteReference w:id="387"/>
            </w:r>
          </w:p>
          <w:p w:rsidR="006C5BEA" w:rsidDel="00203689" w:rsidRDefault="006C5BEA" w:rsidP="006C5BEA"/>
        </w:tc>
      </w:tr>
    </w:tbl>
    <w:p w:rsidR="006C5BEA" w:rsidRPr="000A799E" w:rsidRDefault="006C5BEA" w:rsidP="000A799E">
      <w:pPr>
        <w:pStyle w:val="AERtablesource"/>
      </w:pPr>
      <w:r w:rsidRPr="000A799E">
        <w:t xml:space="preserve">Source: </w:t>
      </w:r>
      <w:r w:rsidR="000A799E">
        <w:tab/>
      </w:r>
      <w:r w:rsidRPr="000A799E">
        <w:t>Initial proposals from ActewAGL (June 2015), AGN (July 2015), APT Pipelines (June 2015), AusNet Services (April 2015), CitiPower (April 2015), JEN (April 2015), Powercor (April 2015), United Energy (April 2015). Revised proposals in January 2016 from ActewAGL, AGN, APT Pipelines, AusNet Services, CitiPower, JEN, Powercor, United Energy. AER analysis.</w:t>
      </w:r>
    </w:p>
    <w:p w:rsidR="006C5BEA" w:rsidRDefault="006C5BEA" w:rsidP="006C5BEA">
      <w:r w:rsidRPr="003739A5">
        <w:t xml:space="preserve">In response to the new </w:t>
      </w:r>
      <w:r>
        <w:t>positions provided in the revised proposals</w:t>
      </w:r>
      <w:r w:rsidRPr="003739A5">
        <w:t>, we have re</w:t>
      </w:r>
      <w:r>
        <w:t xml:space="preserve">considered whether our approach to estimating the allowed return on debt would contribute to achieving </w:t>
      </w:r>
      <w:r w:rsidRPr="003739A5">
        <w:t xml:space="preserve">the ARORO. We maintain our view from the preliminary and </w:t>
      </w:r>
      <w:r w:rsidR="00D13C04">
        <w:t>draft</w:t>
      </w:r>
      <w:r>
        <w:t xml:space="preserve"> decision</w:t>
      </w:r>
      <w:r w:rsidRPr="003739A5">
        <w:t>s that a full transition is required to achieve the ARORO. We also consider the ARORO requires we set an ex-ante rate of return that is commensurate with the</w:t>
      </w:r>
      <w:r>
        <w:t xml:space="preserve"> efficient financing cost </w:t>
      </w:r>
      <w:r w:rsidRPr="003739A5">
        <w:t>of a benchmark efficient entity with a similar degree of risk as the service provider supplying regulated services. We discuss these views and their relation to the return on debt approach in the sections below.</w:t>
      </w:r>
    </w:p>
    <w:p w:rsidR="006C5BEA" w:rsidRPr="00785554" w:rsidRDefault="006C5BEA" w:rsidP="006C5BEA">
      <w:r>
        <w:t xml:space="preserve">It is also worth noting that this change in service providers' positions results in a notable increase in the allowed return on debt. </w:t>
      </w:r>
      <w:r w:rsidRPr="00785554">
        <w:t>By proposing to immediately move to a trailing average, service providers have proposed debt allowances varying from 7.7 to 7.92 per cent.</w:t>
      </w:r>
      <w:r w:rsidRPr="00785554">
        <w:rPr>
          <w:rStyle w:val="FootnoteReference"/>
        </w:rPr>
        <w:footnoteReference w:id="388"/>
      </w:r>
      <w:r w:rsidRPr="00785554">
        <w:t xml:space="preserve"> We consider this would not only exceed the ex-ante efficient financing costs of a benchmark efficient entity, but would also exceed the historical costs of these individual service providers and be inconsistent with the ARORO. The difference in the allowed cash flows between or full transition and no transition is shown algebraically in </w:t>
      </w:r>
      <w:r w:rsidR="000A799E">
        <w:t xml:space="preserve">section </w:t>
      </w:r>
      <w:r w:rsidR="000A799E">
        <w:fldChar w:fldCharType="begin"/>
      </w:r>
      <w:r w:rsidR="000A799E">
        <w:instrText xml:space="preserve"> REF _Ref451543323 \r \h </w:instrText>
      </w:r>
      <w:r w:rsidR="000A799E">
        <w:fldChar w:fldCharType="separate"/>
      </w:r>
      <w:r w:rsidR="00BA2E8E">
        <w:t>H.5.1</w:t>
      </w:r>
      <w:r w:rsidR="000A799E">
        <w:fldChar w:fldCharType="end"/>
      </w:r>
      <w:r w:rsidR="000A799E">
        <w:t xml:space="preserve"> of Appendix </w:t>
      </w:r>
      <w:r w:rsidR="000A799E">
        <w:fldChar w:fldCharType="begin"/>
      </w:r>
      <w:r w:rsidR="000A799E">
        <w:instrText xml:space="preserve"> REF _Ref451265869 \r \h </w:instrText>
      </w:r>
      <w:r w:rsidR="000A799E">
        <w:fldChar w:fldCharType="separate"/>
      </w:r>
      <w:r w:rsidR="00BA2E8E">
        <w:t>H</w:t>
      </w:r>
      <w:r w:rsidR="000A799E">
        <w:fldChar w:fldCharType="end"/>
      </w:r>
      <w:r w:rsidRPr="00785554">
        <w:t>.</w:t>
      </w:r>
    </w:p>
    <w:p w:rsidR="006C5BEA" w:rsidRPr="00785554" w:rsidRDefault="006C5BEA" w:rsidP="006C5BEA">
      <w:r>
        <w:t>The CCP3 submits that following this new position</w:t>
      </w:r>
      <w:r w:rsidRPr="00785554">
        <w:t xml:space="preserve"> to immediately move to a trailing average, service providers are now proposing a higher effective DRP than they would have incurred during the Global Financial Crisis.</w:t>
      </w:r>
      <w:r w:rsidRPr="00785554">
        <w:rPr>
          <w:rStyle w:val="FootnoteReference"/>
        </w:rPr>
        <w:footnoteReference w:id="389"/>
      </w:r>
      <w:r w:rsidRPr="00785554">
        <w:t xml:space="preserve"> Following this, we received a number of submissions from stakeholders raising concerns with how the service providers' changed their preferred approach from a hybrid transition to no transition between their initial and revised proposals.</w:t>
      </w:r>
      <w:r w:rsidRPr="00785554">
        <w:rPr>
          <w:rStyle w:val="FootnoteReference"/>
        </w:rPr>
        <w:footnoteReference w:id="390"/>
      </w:r>
      <w:r w:rsidRPr="00785554">
        <w:t xml:space="preserve"> Several stakeholders observed that this change notably increases the proposed return on debt even though changes in market conditions do not support this increase.</w:t>
      </w:r>
      <w:r w:rsidRPr="00785554">
        <w:rPr>
          <w:rStyle w:val="FootnoteReference"/>
        </w:rPr>
        <w:footnoteReference w:id="391"/>
      </w:r>
      <w:r w:rsidRPr="00785554">
        <w:t xml:space="preserve"> As such, stakeholders found that the service providers' revised proposals requested excessively high allowed returns on debt.</w:t>
      </w:r>
      <w:r w:rsidRPr="00785554">
        <w:rPr>
          <w:rStyle w:val="FootnoteReference"/>
        </w:rPr>
        <w:footnoteReference w:id="392"/>
      </w:r>
    </w:p>
    <w:p w:rsidR="006C5BEA" w:rsidRDefault="006C5BEA" w:rsidP="006C5BEA">
      <w:pPr>
        <w:pStyle w:val="HeadingBoldItalic"/>
      </w:pPr>
      <w:r>
        <w:t>Approaches that contribute to the achievement of the ARORO</w:t>
      </w:r>
    </w:p>
    <w:p w:rsidR="006C5BEA" w:rsidRDefault="006C5BEA" w:rsidP="006C5BEA">
      <w:r>
        <w:t xml:space="preserve">We consider the ARORO </w:t>
      </w:r>
      <w:r w:rsidRPr="00F21B32">
        <w:t>require</w:t>
      </w:r>
      <w:r>
        <w:t>s</w:t>
      </w:r>
      <w:r w:rsidRPr="00F21B32">
        <w:t xml:space="preserve"> </w:t>
      </w:r>
      <w:r>
        <w:t>that the</w:t>
      </w:r>
      <w:r w:rsidRPr="00F21B32">
        <w:t xml:space="preserve"> allowed rate of return </w:t>
      </w:r>
      <w:r>
        <w:t>appropriately</w:t>
      </w:r>
      <w:r w:rsidRPr="00F21B32">
        <w:t xml:space="preserve"> compensates</w:t>
      </w:r>
      <w:r>
        <w:t xml:space="preserve"> </w:t>
      </w:r>
      <w:r w:rsidRPr="00F21B32">
        <w:t xml:space="preserve">investors </w:t>
      </w:r>
      <w:r>
        <w:t>for</w:t>
      </w:r>
      <w:r w:rsidRPr="00F21B32">
        <w:t xml:space="preserve"> capital investments (in an ex-ante sense) and aims to minimise the long run cost of capital (all else</w:t>
      </w:r>
      <w:r>
        <w:t xml:space="preserve"> being</w:t>
      </w:r>
      <w:r w:rsidRPr="00F21B32">
        <w:t xml:space="preserve"> equal).</w:t>
      </w:r>
      <w:r>
        <w:rPr>
          <w:rStyle w:val="FootnoteReference"/>
        </w:rPr>
        <w:footnoteReference w:id="393"/>
      </w:r>
      <w:r w:rsidRPr="00F21B32">
        <w:t xml:space="preserve"> </w:t>
      </w:r>
      <w:r>
        <w:t>We consider ex-ante efficient compensation should result in the ex-ante allowed return on capital cash flows having a present value equal to the present value of the ex-ante efficient cost of capital cash flows required to finance the RAB. This means the allowed return on and of capital cash flows should have a present value equal to the statutory value of the RAB. This is a zero NPV investment condition, as discussed in section 3.3.3.</w:t>
      </w:r>
      <w:r>
        <w:rPr>
          <w:rStyle w:val="FootnoteReference"/>
        </w:rPr>
        <w:footnoteReference w:id="394"/>
      </w:r>
    </w:p>
    <w:p w:rsidR="006C5BEA" w:rsidRDefault="006C5BEA" w:rsidP="006C5BEA">
      <w:r>
        <w:t xml:space="preserve">A rate of return that achieves the ARORO should also be consistent with the RPPs in the NEL/NGL, which indicate a </w:t>
      </w:r>
      <w:r w:rsidRPr="00BE243F">
        <w:t>service provider</w:t>
      </w:r>
      <w:r>
        <w:t xml:space="preserve"> should be provided with </w:t>
      </w:r>
      <w:r w:rsidRPr="00BE243F">
        <w:t>a reasonable opportunity to r</w:t>
      </w:r>
      <w:r>
        <w:t>ecover at least efficient costs. These also require that we should provide</w:t>
      </w:r>
      <w:r w:rsidRPr="00BE243F">
        <w:t xml:space="preserve"> </w:t>
      </w:r>
      <w:r>
        <w:t xml:space="preserve">regulated firms with </w:t>
      </w:r>
      <w:r w:rsidRPr="00BE243F">
        <w:t>effective incentives to promote economic efficiency and have regard to the economic costs and risk of the potential for service provider</w:t>
      </w:r>
      <w:r>
        <w:t>s</w:t>
      </w:r>
      <w:r w:rsidRPr="00BE243F">
        <w:t xml:space="preserve"> </w:t>
      </w:r>
      <w:r>
        <w:t>to under- or over-invest.</w:t>
      </w:r>
      <w:r>
        <w:rPr>
          <w:rStyle w:val="FootnoteReference"/>
        </w:rPr>
        <w:footnoteReference w:id="395"/>
      </w:r>
    </w:p>
    <w:p w:rsidR="006C5BEA" w:rsidRPr="009F3831" w:rsidRDefault="006C5BEA" w:rsidP="006C5BEA">
      <w:r>
        <w:t>We have formed our view that</w:t>
      </w:r>
      <w:r w:rsidRPr="000F6A5E">
        <w:t xml:space="preserve"> </w:t>
      </w:r>
      <w:r>
        <w:t>our decision to estimate the allowed return on debt by s</w:t>
      </w:r>
      <w:r w:rsidRPr="007D2546">
        <w:t>tart</w:t>
      </w:r>
      <w:r>
        <w:t>ing</w:t>
      </w:r>
      <w:r w:rsidRPr="007D2546">
        <w:t xml:space="preserve"> with an on-the-day </w:t>
      </w:r>
      <w:r>
        <w:t>approach</w:t>
      </w:r>
      <w:r w:rsidRPr="007D2546">
        <w:t xml:space="preserve"> for the first regulatory year and gradually transition</w:t>
      </w:r>
      <w:r>
        <w:t>ing</w:t>
      </w:r>
      <w:r w:rsidRPr="007D2546">
        <w:t xml:space="preserve"> into a trailing average approach over 10 years</w:t>
      </w:r>
      <w:r>
        <w:t xml:space="preserve"> will result in an allowed return on debt that contributes to the achievement of the ARORO. The other option that we consider would achieve the ARORO is maintaining the on-the-day approach. Related to this, a</w:t>
      </w:r>
      <w:r w:rsidRPr="009F3831">
        <w:t xml:space="preserve">ll else </w:t>
      </w:r>
      <w:r>
        <w:t>being</w:t>
      </w:r>
      <w:r w:rsidRPr="009F3831">
        <w:t xml:space="preserve"> equal,</w:t>
      </w:r>
      <w:r>
        <w:t xml:space="preserve"> a trailing average (with transition) and on-the-day approach </w:t>
      </w:r>
      <w:r w:rsidRPr="009F3831">
        <w:t xml:space="preserve">provide equivalent ex-ante compensation over the </w:t>
      </w:r>
      <w:r w:rsidR="00DD2E09">
        <w:t>term of the RAB (see A</w:t>
      </w:r>
      <w:r>
        <w:t xml:space="preserve">ppendix </w:t>
      </w:r>
      <w:r w:rsidR="00DD2E09">
        <w:fldChar w:fldCharType="begin"/>
      </w:r>
      <w:r w:rsidR="00DD2E09">
        <w:instrText xml:space="preserve"> REF _Ref451265869 \r \h </w:instrText>
      </w:r>
      <w:r w:rsidR="00DD2E09">
        <w:fldChar w:fldCharType="separate"/>
      </w:r>
      <w:r w:rsidR="00BA2E8E">
        <w:t>H</w:t>
      </w:r>
      <w:r w:rsidR="00DD2E09">
        <w:fldChar w:fldCharType="end"/>
      </w:r>
      <w:r>
        <w:t xml:space="preserve"> for a detailed discussion)</w:t>
      </w:r>
      <w:r w:rsidRPr="009F3831">
        <w:t>. We consider this position is consistent with the AEMC</w:t>
      </w:r>
      <w:r>
        <w:t>'s observations</w:t>
      </w:r>
      <w:r w:rsidRPr="009F3831">
        <w:t xml:space="preserve"> about SFG's view:</w:t>
      </w:r>
      <w:r w:rsidRPr="009F3831">
        <w:rPr>
          <w:rStyle w:val="FootnoteReference"/>
        </w:rPr>
        <w:footnoteReference w:id="396"/>
      </w:r>
    </w:p>
    <w:p w:rsidR="006C5BEA" w:rsidRDefault="006C5BEA" w:rsidP="006C5BEA">
      <w:pPr>
        <w:pStyle w:val="AERquote"/>
      </w:pPr>
      <w:r w:rsidRPr="00F21B32">
        <w:t>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w:t>
      </w:r>
    </w:p>
    <w:p w:rsidR="006C5BEA" w:rsidRDefault="006C5BEA" w:rsidP="006C5BEA">
      <w:pPr>
        <w:pStyle w:val="HeadingItalic"/>
      </w:pPr>
      <w:r>
        <w:t>Trailing average (with full transition) meets the ARORO</w:t>
      </w:r>
    </w:p>
    <w:p w:rsidR="006C5BEA" w:rsidRDefault="006C5BEA" w:rsidP="006C5BEA">
      <w:r>
        <w:t xml:space="preserve">With a full transition, a trailing average approach would provide a benchmark efficient entity with a reasonable opportunity to recover at least efficient costs over the term of the RAB. It could therefore </w:t>
      </w:r>
      <w:r w:rsidRPr="00E9566E">
        <w:t xml:space="preserve">result in an allowed return on debt (and overall rate of return) that can be consistent with the rules and NEL/NGL. </w:t>
      </w:r>
      <w:r>
        <w:t xml:space="preserve">Appendix </w:t>
      </w:r>
      <w:r w:rsidR="00DD2E09">
        <w:fldChar w:fldCharType="begin"/>
      </w:r>
      <w:r w:rsidR="00DD2E09">
        <w:instrText xml:space="preserve"> REF _Ref451265869 \r \h </w:instrText>
      </w:r>
      <w:r w:rsidR="00DD2E09">
        <w:fldChar w:fldCharType="separate"/>
      </w:r>
      <w:r w:rsidR="00BA2E8E">
        <w:t>H</w:t>
      </w:r>
      <w:r w:rsidR="00DD2E09">
        <w:fldChar w:fldCharType="end"/>
      </w:r>
      <w:r>
        <w:t xml:space="preserve"> provides </w:t>
      </w:r>
      <w:r w:rsidRPr="00B17075">
        <w:t>detailed reasons, including a mathematic description, for why this holds.</w:t>
      </w:r>
      <w:r w:rsidRPr="00E14029">
        <w:t xml:space="preserve"> </w:t>
      </w:r>
      <w:r>
        <w:t>Further, regarding adopting a trailing average approach more broadly:</w:t>
      </w:r>
    </w:p>
    <w:p w:rsidR="006C5BEA" w:rsidRDefault="006C5BEA" w:rsidP="006C5BEA">
      <w:pPr>
        <w:pStyle w:val="AERbulletlistfirststyle"/>
      </w:pPr>
      <w:r>
        <w:t xml:space="preserve">Compared to an on-the-day approach, a </w:t>
      </w:r>
      <w:r w:rsidRPr="005F6F42">
        <w:t>trailing average approach will lead to less volatile cash flows</w:t>
      </w:r>
      <w:r>
        <w:t>.</w:t>
      </w:r>
      <w:r>
        <w:rPr>
          <w:rStyle w:val="FootnoteReference"/>
        </w:rPr>
        <w:footnoteReference w:id="397"/>
      </w:r>
    </w:p>
    <w:p w:rsidR="006C5BEA" w:rsidRDefault="006C5BEA" w:rsidP="006C5BEA">
      <w:pPr>
        <w:pStyle w:val="AERbulletlistfirststyle"/>
      </w:pPr>
      <w:r>
        <w:t>Some stakeholders submitted that a trailing average would reduce some of the risks faced by service providers, which would eventually flow to lower betas than what we have historically seen.</w:t>
      </w:r>
      <w:r>
        <w:rPr>
          <w:rStyle w:val="FootnoteReference"/>
        </w:rPr>
        <w:footnoteReference w:id="398"/>
      </w:r>
      <w:r>
        <w:t xml:space="preserve"> Frontier also advised that a trailing average approach would result in a smooth profile for the allowed return on debt.</w:t>
      </w:r>
      <w:r>
        <w:rPr>
          <w:rStyle w:val="FootnoteReference"/>
        </w:rPr>
        <w:footnoteReference w:id="399"/>
      </w:r>
    </w:p>
    <w:p w:rsidR="006C5BEA" w:rsidRDefault="006C5BEA" w:rsidP="006C5BEA">
      <w:pPr>
        <w:pStyle w:val="AERbulletlistfirststyle"/>
      </w:pPr>
      <w:r>
        <w:t>A trailing average approach received broad stakeholder support.</w:t>
      </w:r>
      <w:r w:rsidRPr="004102D1">
        <w:rPr>
          <w:rStyle w:val="FootnoteReference"/>
        </w:rPr>
        <w:footnoteReference w:id="400"/>
      </w:r>
      <w:r>
        <w:t xml:space="preserve"> </w:t>
      </w:r>
    </w:p>
    <w:p w:rsidR="006C5BEA" w:rsidRDefault="006C5BEA" w:rsidP="006C5BEA">
      <w:r>
        <w:t>W</w:t>
      </w:r>
      <w:r w:rsidRPr="008A776F">
        <w:t xml:space="preserve">e consider the on-the-day approach could contribute to the achievement of the ARORO and </w:t>
      </w:r>
      <w:r>
        <w:t>is therefore</w:t>
      </w:r>
      <w:r w:rsidRPr="008A776F">
        <w:t xml:space="preserve"> open to us</w:t>
      </w:r>
      <w:r>
        <w:t xml:space="preserve"> (see the following section)</w:t>
      </w:r>
      <w:r w:rsidRPr="008A776F">
        <w:t xml:space="preserve">. </w:t>
      </w:r>
      <w:r>
        <w:t xml:space="preserve">On this basis, the </w:t>
      </w:r>
      <w:r w:rsidRPr="00872988">
        <w:t xml:space="preserve">present value of a benchmark efficient entity's </w:t>
      </w:r>
      <w:r>
        <w:t xml:space="preserve">allowed </w:t>
      </w:r>
      <w:r w:rsidRPr="00872988">
        <w:t>revenues</w:t>
      </w:r>
      <w:r>
        <w:t xml:space="preserve"> under the on-the-day approach would have been sufficient to compensate it for its efficient financing costs. That is, a benchmark efficient entity would not have been under- or over-valued when we calculated its debt allowance under the on-the-day approach, and continuing this approach will continue to provide correct compensation commensurate with efficient financing costs.</w:t>
      </w:r>
    </w:p>
    <w:p w:rsidR="006C5BEA" w:rsidRDefault="006C5BEA" w:rsidP="006C5BEA">
      <w:r>
        <w:t>If this holds, then changing</w:t>
      </w:r>
      <w:r w:rsidRPr="006102E7">
        <w:t xml:space="preserve"> the present value </w:t>
      </w:r>
      <w:r>
        <w:t>of a benchmark efficient entity would result in overcompensation (if we increase its value) or undercompensation (if we decrease its value). This would not meet the ARORO or be consistent with achieving the NEO/NGO. As such, changing debt estimation methodologies must be revenue-neutral (in a present value sense) to avoid incorrectly compensating a benchmark efficient entity relative to its efficient financing costs.</w:t>
      </w:r>
    </w:p>
    <w:p w:rsidR="006C5BEA" w:rsidRDefault="006C5BEA" w:rsidP="006C5BEA">
      <w:r>
        <w:t>Switching immediately from an on-the-day approach to a trailing average approach could only be revenue-neutral by chance. Specifically, this could occur if the average cost of debt over the last nine years equalled the current cost of debt in the market. However, if the nine year average was higher (lower) than the current cost of debt, then changing approaches would increase (decrease) the present value of the benchmark efficient entity. This arises because the allowed return on debt is estimated using prevailing market data under the on-the-day approach and historical market data under the trailing average approach. As such, by construction, these two</w:t>
      </w:r>
      <w:r w:rsidRPr="00AF4E25">
        <w:t xml:space="preserve"> approach</w:t>
      </w:r>
      <w:r>
        <w:t xml:space="preserve">es will typically </w:t>
      </w:r>
      <w:r w:rsidRPr="00AF4E25">
        <w:t>produce different estimates at given points in time.</w:t>
      </w:r>
    </w:p>
    <w:p w:rsidR="006C5BEA" w:rsidRPr="00785554" w:rsidRDefault="006C5BEA" w:rsidP="006C5BEA">
      <w:r>
        <w:t xml:space="preserve">For this reason, we </w:t>
      </w:r>
      <w:r w:rsidRPr="00785554">
        <w:t>have used our transition approach because it is approximately revenue neutral (in a present value sense).</w:t>
      </w:r>
      <w:r w:rsidRPr="00785554">
        <w:rPr>
          <w:rStyle w:val="FootnoteReference"/>
        </w:rPr>
        <w:footnoteReference w:id="401"/>
      </w:r>
      <w:r w:rsidRPr="00785554">
        <w:t xml:space="preserve"> That is, it aims to assist us in switching between methodologies to estimating the return on debt without changing the present value of a benchmark efficient entity's allowed revenues purely due to this switch. HoustonKemp provided support for a transition to avoid such changes to the present value of a benchmark efficient entity's allowed revenues and to limit 'regulatory risk' in its advice to ESCOSA.</w:t>
      </w:r>
      <w:r w:rsidRPr="00785554">
        <w:rPr>
          <w:rStyle w:val="FootnoteReference"/>
        </w:rPr>
        <w:footnoteReference w:id="402"/>
      </w:r>
      <w:r w:rsidRPr="00785554">
        <w:t xml:space="preserve"> We also note that SFG advised the AEMC that the type of transition mechanism we apply in this final decision would be effective:</w:t>
      </w:r>
      <w:r w:rsidRPr="00785554">
        <w:rPr>
          <w:rStyle w:val="FootnoteReference"/>
        </w:rPr>
        <w:footnoteReference w:id="403"/>
      </w:r>
    </w:p>
    <w:p w:rsidR="006C5BEA" w:rsidRPr="002F34FF" w:rsidRDefault="006C5BEA" w:rsidP="006C5BEA">
      <w:pPr>
        <w:pStyle w:val="AERquote"/>
      </w:pPr>
      <w:r w:rsidRPr="002F34FF">
        <w:t xml:space="preserve">The type of “rolling in” arrangement </w:t>
      </w:r>
      <w:r>
        <w:t xml:space="preserve">[transition] </w:t>
      </w:r>
      <w:r w:rsidRPr="002F34FF">
        <w:t>that has been proposed by QTC</w:t>
      </w:r>
      <w:r>
        <w:t xml:space="preserve"> [the full transition we adopted]</w:t>
      </w:r>
      <w:r w:rsidRPr="002F34FF">
        <w:t xml:space="preserve"> would be an effective means of transitioning from the current Rules to the use of an historical average cost of debt approach </w:t>
      </w:r>
    </w:p>
    <w:p w:rsidR="006C5BEA" w:rsidRPr="00F21B32" w:rsidRDefault="006C5BEA" w:rsidP="006C5BEA">
      <w:r>
        <w:t>For completeness, changing approaches once from an on-the-day to a trailing average approach will only require one revenue neutral transition. If there was good reason to later readopt an on-the-day approach (or adopt an alternative approach that could also contribute to meeting the ARORO), this would require another once-off revenue-neutral transition. We consider this is consistent with the rules requirement to have regard to</w:t>
      </w:r>
      <w:r w:rsidRPr="008E338C">
        <w:t xml:space="preserve"> any impacts</w:t>
      </w:r>
      <w:r>
        <w:t xml:space="preserve"> on a benchmark efficient entity referred to in the ARORO</w:t>
      </w:r>
      <w:r w:rsidRPr="008E338C">
        <w:t xml:space="preserve"> that could arise </w:t>
      </w:r>
      <w:r>
        <w:t xml:space="preserve">from </w:t>
      </w:r>
      <w:r w:rsidRPr="008E338C">
        <w:t>a change of methodology.</w:t>
      </w:r>
      <w:r>
        <w:rPr>
          <w:rStyle w:val="FootnoteReference"/>
        </w:rPr>
        <w:footnoteReference w:id="404"/>
      </w:r>
      <w:r>
        <w:t xml:space="preserve"> The AEMC explained that the purpose of this aspect of the rules was:</w:t>
      </w:r>
      <w:r w:rsidRPr="00F21B32">
        <w:rPr>
          <w:rStyle w:val="FootnoteReference"/>
        </w:rPr>
        <w:footnoteReference w:id="405"/>
      </w:r>
    </w:p>
    <w:p w:rsidR="006C5BEA" w:rsidRDefault="006C5BEA" w:rsidP="006C5BEA">
      <w:pPr>
        <w:pStyle w:val="AERquote"/>
      </w:pPr>
      <w:r w:rsidRPr="00F21B32">
        <w:t>for the regulator to have regard to impacts of changes in the methodology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6C5BEA" w:rsidRDefault="006C5BEA" w:rsidP="006C5BEA">
      <w:pPr>
        <w:pStyle w:val="HeadingItalic"/>
      </w:pPr>
      <w:r>
        <w:t>Continuing the on-the-day approach meets the ARORO</w:t>
      </w:r>
    </w:p>
    <w:p w:rsidR="006C5BEA" w:rsidRDefault="006C5BEA" w:rsidP="006C5BEA">
      <w:r>
        <w:t xml:space="preserve">An </w:t>
      </w:r>
      <w:r w:rsidRPr="00AF4E25">
        <w:t xml:space="preserve">on-the-day approach provides service providers with </w:t>
      </w:r>
      <w:r>
        <w:t>a</w:t>
      </w:r>
      <w:r w:rsidRPr="00AF4E25">
        <w:t xml:space="preserve"> reasonable opportunity to recover at least efficient costs over </w:t>
      </w:r>
      <w:r>
        <w:t>the term of the RAB</w:t>
      </w:r>
      <w:r w:rsidRPr="00AF4E25">
        <w:t xml:space="preserve"> </w:t>
      </w:r>
      <w:r w:rsidRPr="00AF4E25">
        <w:rPr>
          <w:rStyle w:val="AERtextunderline"/>
        </w:rPr>
        <w:t>and</w:t>
      </w:r>
      <w:r w:rsidRPr="00AF4E25">
        <w:t xml:space="preserve"> over each </w:t>
      </w:r>
      <w:r>
        <w:t>regulatory control period</w:t>
      </w:r>
      <w:r w:rsidRPr="00AF4E25">
        <w:t xml:space="preserve">. </w:t>
      </w:r>
      <w:r>
        <w:t xml:space="preserve">Appendix </w:t>
      </w:r>
      <w:r w:rsidR="00DD2E09">
        <w:fldChar w:fldCharType="begin"/>
      </w:r>
      <w:r w:rsidR="00DD2E09">
        <w:instrText xml:space="preserve"> REF _Ref451265869 \r \h </w:instrText>
      </w:r>
      <w:r w:rsidR="00DD2E09">
        <w:fldChar w:fldCharType="separate"/>
      </w:r>
      <w:r w:rsidR="00BA2E8E">
        <w:t>H</w:t>
      </w:r>
      <w:r w:rsidR="00DD2E09">
        <w:fldChar w:fldCharType="end"/>
      </w:r>
      <w:r>
        <w:t xml:space="preserve"> provides detailed reasons, including a mathematic description, for why this holds. On this basis, we consider continuing the on-the-day approach for estimating the allowed return on debt will achieve the ARORO and the NEO.</w:t>
      </w:r>
      <w:r>
        <w:rPr>
          <w:rStyle w:val="FootnoteReference"/>
        </w:rPr>
        <w:footnoteReference w:id="406"/>
      </w:r>
      <w:r>
        <w:t xml:space="preserve"> Further, as </w:t>
      </w:r>
      <w:r>
        <w:fldChar w:fldCharType="begin"/>
      </w:r>
      <w:r>
        <w:instrText xml:space="preserve"> REF  _Ref451174291 \* Lower \h </w:instrText>
      </w:r>
      <w:r>
        <w:fldChar w:fldCharType="separate"/>
      </w:r>
      <w:r w:rsidR="00BA2E8E">
        <w:t xml:space="preserve">table </w:t>
      </w:r>
      <w:r w:rsidR="00BA2E8E">
        <w:rPr>
          <w:noProof/>
        </w:rPr>
        <w:t>3</w:t>
      </w:r>
      <w:r w:rsidR="00BA2E8E">
        <w:noBreakHyphen/>
      </w:r>
      <w:r w:rsidR="00BA2E8E">
        <w:rPr>
          <w:noProof/>
        </w:rPr>
        <w:t>10</w:t>
      </w:r>
      <w:r>
        <w:fldChar w:fldCharType="end"/>
      </w:r>
      <w:r>
        <w:t xml:space="preserve"> shows, we consider that neither an on-the-day nor trailing average approach would be clearly superior to the other. Rather, each of these approaches has its own benefits and limitations</w:t>
      </w:r>
    </w:p>
    <w:p w:rsidR="006C5BEA" w:rsidRDefault="006C5BEA" w:rsidP="006C5BEA">
      <w:r>
        <w:t>Given this, while we adopt a trailing average</w:t>
      </w:r>
      <w:r w:rsidRPr="004B76DC">
        <w:t xml:space="preserve"> for this determination</w:t>
      </w:r>
      <w:r>
        <w:t xml:space="preserve">, we do not consider this change in methodology would be justified in the absence of a transition. Without a transition, the change to the trailing average would not be revenue neutral, but would rather increase the </w:t>
      </w:r>
      <w:r w:rsidRPr="00E817C9">
        <w:t xml:space="preserve">present value of a benchmark efficient entity's </w:t>
      </w:r>
      <w:r>
        <w:t>allowed</w:t>
      </w:r>
      <w:r w:rsidRPr="00E817C9">
        <w:t xml:space="preserve"> revenues purely due to changing the debt estimation methodology</w:t>
      </w:r>
      <w:r>
        <w:t xml:space="preserve"> (see the subsequent section). Consequently, in the absence of a transition</w:t>
      </w:r>
      <w:r w:rsidRPr="004B76DC">
        <w:t xml:space="preserve">, we would not consider a trailing approach will </w:t>
      </w:r>
      <w:r>
        <w:t>achieve</w:t>
      </w:r>
      <w:r w:rsidRPr="004B76DC">
        <w:t xml:space="preserve"> the </w:t>
      </w:r>
      <w:r>
        <w:t>ARORO</w:t>
      </w:r>
      <w:r w:rsidRPr="004B76DC">
        <w:t xml:space="preserve"> and we would instead maintain the on-the-day approach to </w:t>
      </w:r>
      <w:r>
        <w:t>estimating</w:t>
      </w:r>
      <w:r w:rsidRPr="004B76DC">
        <w:t xml:space="preserve"> the return on debt.</w:t>
      </w:r>
    </w:p>
    <w:p w:rsidR="006C5BEA" w:rsidRDefault="006C5BEA" w:rsidP="006C5BEA">
      <w:pPr>
        <w:pStyle w:val="Caption"/>
      </w:pPr>
      <w:bookmarkStart w:id="147" w:name="_Ref451174291"/>
      <w:r>
        <w:t xml:space="preserve">Table </w:t>
      </w:r>
      <w:fldSimple w:instr=" STYLEREF 1 \s ">
        <w:r w:rsidR="00BA2E8E">
          <w:rPr>
            <w:noProof/>
          </w:rPr>
          <w:t>3</w:t>
        </w:r>
      </w:fldSimple>
      <w:r w:rsidR="000F4BC3">
        <w:noBreakHyphen/>
      </w:r>
      <w:fldSimple w:instr=" SEQ Table \* ARABIC \s 1 ">
        <w:r w:rsidR="00BA2E8E">
          <w:rPr>
            <w:noProof/>
          </w:rPr>
          <w:t>10</w:t>
        </w:r>
      </w:fldSimple>
      <w:bookmarkEnd w:id="147"/>
      <w:r w:rsidR="000A799E">
        <w:tab/>
      </w:r>
      <w:r>
        <w:t>Benefits of different debt approaches</w:t>
      </w:r>
    </w:p>
    <w:tbl>
      <w:tblPr>
        <w:tblStyle w:val="AERtable-text0"/>
        <w:tblW w:w="0" w:type="auto"/>
        <w:tblLook w:val="04A0" w:firstRow="1" w:lastRow="0" w:firstColumn="1" w:lastColumn="0" w:noHBand="0" w:noVBand="1"/>
      </w:tblPr>
      <w:tblGrid>
        <w:gridCol w:w="4346"/>
        <w:gridCol w:w="4347"/>
      </w:tblGrid>
      <w:tr w:rsidR="006C5BEA" w:rsidTr="002A5C40">
        <w:trPr>
          <w:cnfStyle w:val="100000000000" w:firstRow="1" w:lastRow="0" w:firstColumn="0" w:lastColumn="0" w:oddVBand="0" w:evenVBand="0" w:oddHBand="0" w:evenHBand="0" w:firstRowFirstColumn="0" w:firstRowLastColumn="0" w:lastRowFirstColumn="0" w:lastRowLastColumn="0"/>
        </w:trPr>
        <w:tc>
          <w:tcPr>
            <w:tcW w:w="4346" w:type="dxa"/>
          </w:tcPr>
          <w:p w:rsidR="006C5BEA" w:rsidRPr="006C5BEA" w:rsidRDefault="006C5BEA" w:rsidP="006C5BEA">
            <w:r>
              <w:t>Benefits of a trailing average approach</w:t>
            </w:r>
          </w:p>
        </w:tc>
        <w:tc>
          <w:tcPr>
            <w:tcW w:w="4347" w:type="dxa"/>
          </w:tcPr>
          <w:p w:rsidR="006C5BEA" w:rsidRPr="006C5BEA" w:rsidRDefault="006C5BEA" w:rsidP="006C5BEA">
            <w:r>
              <w:t>Benefits of an on-the-day approach</w:t>
            </w:r>
          </w:p>
        </w:tc>
      </w:tr>
      <w:tr w:rsidR="006C5BEA" w:rsidTr="002A5C40">
        <w:tc>
          <w:tcPr>
            <w:tcW w:w="4346" w:type="dxa"/>
          </w:tcPr>
          <w:p w:rsidR="006C5BEA" w:rsidRPr="009F3831" w:rsidRDefault="006C5BEA" w:rsidP="006C5BEA">
            <w:r w:rsidRPr="009F3831">
              <w:t xml:space="preserve"> </w:t>
            </w:r>
          </w:p>
          <w:p w:rsidR="006C5BEA" w:rsidRPr="006C5BEA" w:rsidRDefault="006C5BEA" w:rsidP="006C5BEA">
            <w:r>
              <w:t xml:space="preserve">A trailing average approach provides </w:t>
            </w:r>
            <w:r w:rsidRPr="006C5BEA">
              <w:t>service providers with a regulatory benchmark that they can more readily match each regulatory control period.</w:t>
            </w:r>
            <w:r w:rsidRPr="006C5BEA">
              <w:rPr>
                <w:rStyle w:val="FootnoteReference"/>
              </w:rPr>
              <w:footnoteReference w:id="407"/>
            </w:r>
            <w:r w:rsidRPr="006C5BEA">
              <w:t xml:space="preserve"> As such, this provides a benchmark efficient entity with an enhanced opportunity to minimise any mismatch between actual costs and regulated revenues.</w:t>
            </w:r>
            <w:r w:rsidRPr="006C5BEA">
              <w:rPr>
                <w:rStyle w:val="FootnoteReference"/>
              </w:rPr>
              <w:footnoteReference w:id="408"/>
            </w:r>
            <w:r w:rsidRPr="006C5BEA">
              <w:t xml:space="preserve"> Nevertheless, it is important to note that this mismatch risk would not result in a benchmark efficient entity being ex-ante over- or under-compensated for its efficient debt financing costs for a regulatory control period or over the life of its assets.</w:t>
            </w:r>
          </w:p>
          <w:p w:rsidR="006C5BEA" w:rsidRPr="006C5BEA" w:rsidRDefault="006C5BEA" w:rsidP="006C5BEA">
            <w:r>
              <w:t xml:space="preserve">All else </w:t>
            </w:r>
            <w:r w:rsidRPr="006C5BEA">
              <w:t xml:space="preserve">being equal, this reduced risk and the reduced need to enter hedging arrangements might lower the efficient cost of financing for a benchmark efficient entity and increase productive efficiency. </w:t>
            </w:r>
          </w:p>
          <w:p w:rsidR="006C5BEA" w:rsidRPr="006C5BEA" w:rsidRDefault="006C5BEA" w:rsidP="006C5BEA">
            <w:r>
              <w:t>A trailing average is likely to provide for a smoother price path than the on-the-day approach. Regulatory revenues adjust gradually to movements in interest rates. By contrast, the on-the-day approach can lead to large shifts in revenue at each reset if underlying interest rates have</w:t>
            </w:r>
            <w:r w:rsidRPr="006C5BEA">
              <w:t xml:space="preserve"> moved since the last reset.</w:t>
            </w:r>
          </w:p>
        </w:tc>
        <w:tc>
          <w:tcPr>
            <w:tcW w:w="4347" w:type="dxa"/>
          </w:tcPr>
          <w:p w:rsidR="006C5BEA" w:rsidRPr="006C5BEA" w:rsidRDefault="006C5BEA" w:rsidP="006C5BEA">
            <w:r>
              <w:t xml:space="preserve">An </w:t>
            </w:r>
            <w:r w:rsidRPr="006C5BEA">
              <w:t>on-the-day approach better reflects the prevailing cost of debt in the capital market near the commencement of the regulatory control period. Due to this, it:</w:t>
            </w:r>
          </w:p>
          <w:p w:rsidR="006C5BEA" w:rsidRPr="006C5BEA" w:rsidRDefault="006C5BEA" w:rsidP="006C5BEA">
            <w:pPr>
              <w:pStyle w:val="AERbulletlistfirststyle"/>
            </w:pPr>
            <w:r>
              <w:t xml:space="preserve">Better reflects </w:t>
            </w:r>
            <w:r w:rsidRPr="006C5BEA">
              <w:t>investors' opportunity cost of debt and expectations of future returns near the commencement of the regulatory control period.</w:t>
            </w:r>
            <w:r w:rsidRPr="006C5BEA">
              <w:rPr>
                <w:rStyle w:val="FootnoteReference"/>
              </w:rPr>
              <w:footnoteReference w:id="409"/>
            </w:r>
            <w:r w:rsidRPr="006C5BEA">
              <w:t xml:space="preserve"> It therefore provides a better signal for efficient investment decisions that increase dynamic efficiency. This is consistent with  the AEMC's view that the return on debt framework should minimise the risk of creating distortions in service providers' investment decisions:</w:t>
            </w:r>
            <w:r w:rsidRPr="006C5BEA">
              <w:rPr>
                <w:rStyle w:val="FootnoteReference"/>
              </w:rPr>
              <w:footnoteReference w:id="410"/>
            </w:r>
          </w:p>
          <w:p w:rsidR="006C5BEA" w:rsidRPr="006C5BEA" w:rsidRDefault="006C5BEA" w:rsidP="006C5BEA">
            <w:pPr>
              <w:pStyle w:val="AERbulletlistfirststyle"/>
            </w:pPr>
            <w:r>
              <w:t xml:space="preserve">Is more internally consistent with how we estimate other components of the allowed rate of return and the building block model more generally. </w:t>
            </w:r>
          </w:p>
          <w:p w:rsidR="006C5BEA" w:rsidRPr="006C5BEA" w:rsidRDefault="006C5BEA" w:rsidP="006C5BEA">
            <w:pPr>
              <w:pStyle w:val="AERbulletlistfirststyle"/>
            </w:pPr>
            <w:r>
              <w:t>Leads to an estimate that is commensurate with efficient financing costs and competitive market outcomes</w:t>
            </w:r>
            <w:r w:rsidRPr="006C5BEA">
              <w:t xml:space="preserve"> near the commencement of the regulatory control period. We expect prevailing market rates for capital finance to be competitive.</w:t>
            </w:r>
            <w:r w:rsidRPr="006C5BEA">
              <w:rPr>
                <w:rStyle w:val="FootnoteReference"/>
              </w:rPr>
              <w:footnoteReference w:id="411"/>
            </w:r>
            <w:r w:rsidRPr="006C5BEA">
              <w:t xml:space="preserve"> Moreover, a return on debt that reflects the current market rate more closely imitates the outcomes of a competitive market by representing the costs that other service providers will face to enter the market.</w:t>
            </w:r>
            <w:r w:rsidRPr="006C5BEA">
              <w:rPr>
                <w:rStyle w:val="FootnoteReference"/>
              </w:rPr>
              <w:footnoteReference w:id="412"/>
            </w:r>
          </w:p>
        </w:tc>
      </w:tr>
    </w:tbl>
    <w:p w:rsidR="006C5BEA" w:rsidRDefault="006C5BEA" w:rsidP="006C5BEA">
      <w:pPr>
        <w:pStyle w:val="AERtablesource"/>
      </w:pPr>
      <w:r>
        <w:t>Source: AER analysis.</w:t>
      </w:r>
    </w:p>
    <w:p w:rsidR="006C5BEA" w:rsidRDefault="006C5BEA" w:rsidP="006C5BEA">
      <w:pPr>
        <w:pStyle w:val="HeadingBoldItalic"/>
      </w:pPr>
      <w:r>
        <w:t xml:space="preserve">Revised proposals will not </w:t>
      </w:r>
      <w:r w:rsidRPr="000F6A5E">
        <w:t>contribute to the achievement of the ARORO</w:t>
      </w:r>
    </w:p>
    <w:p w:rsidR="006C5BEA" w:rsidRPr="00785554" w:rsidRDefault="006C5BEA" w:rsidP="006C5BEA">
      <w:r>
        <w:t>We have carefully consider</w:t>
      </w:r>
      <w:r w:rsidRPr="00785554">
        <w:t>ed the transition paths to the trailing average put forward in the revised proposals. These paths include:</w:t>
      </w:r>
    </w:p>
    <w:p w:rsidR="006C5BEA" w:rsidRDefault="006C5BEA" w:rsidP="006C5BEA">
      <w:pPr>
        <w:pStyle w:val="AERbulletlistfirststyle"/>
      </w:pPr>
      <w:r>
        <w:t>No transition (or an immediate move) to a trailing average</w:t>
      </w:r>
      <w:r w:rsidRPr="007D2546">
        <w:t>—Adopt a backwards looking trailing average approach (no transition on either the base rate or DRP components of the return on debt).</w:t>
      </w:r>
    </w:p>
    <w:p w:rsidR="006C5BEA" w:rsidRPr="007D2546" w:rsidRDefault="006C5BEA" w:rsidP="006C5BEA">
      <w:pPr>
        <w:pStyle w:val="AERbulletlistfirststyle"/>
      </w:pPr>
      <w:r w:rsidRPr="007D2546">
        <w:t>Hybrid transition—Start with an on-the-day</w:t>
      </w:r>
      <w:r>
        <w:t xml:space="preserve"> approach</w:t>
      </w:r>
      <w:r w:rsidRPr="007D2546">
        <w:t xml:space="preserve"> for the base rate component and gradually transition into a trailing average approach over 10 years. This would be combined with a backwards looking trailing average DRP (that is, a base rate transition only).</w:t>
      </w:r>
    </w:p>
    <w:p w:rsidR="006C5BEA" w:rsidRDefault="006C5BEA" w:rsidP="006C5BEA">
      <w:pPr>
        <w:pStyle w:val="AERbulletlistfirststyle"/>
      </w:pPr>
      <w:r>
        <w:t>Hybrid transition under partial hedging</w:t>
      </w:r>
      <w:r w:rsidRPr="007D2546">
        <w:t>—</w:t>
      </w:r>
      <w:r>
        <w:t>Assume a benchmark efficient entity hedged only one third of the base rate under the on-the-day regime on the basis that this would have been ex-post optimal.</w:t>
      </w:r>
      <w:r>
        <w:rPr>
          <w:rStyle w:val="FootnoteReference"/>
        </w:rPr>
        <w:footnoteReference w:id="413"/>
      </w:r>
      <w:r>
        <w:t xml:space="preserve"> G</w:t>
      </w:r>
      <w:r w:rsidRPr="007D2546">
        <w:t xml:space="preserve">radually transition </w:t>
      </w:r>
      <w:r>
        <w:t>this portion of the base rate</w:t>
      </w:r>
      <w:r w:rsidRPr="009F377E">
        <w:t xml:space="preserve"> </w:t>
      </w:r>
      <w:r>
        <w:t>and apply an immediate trailing average to the other two thirds of the base rate and the entire DRP component.</w:t>
      </w:r>
      <w:r>
        <w:rPr>
          <w:rStyle w:val="FootnoteReference"/>
        </w:rPr>
        <w:footnoteReference w:id="414"/>
      </w:r>
      <w:r>
        <w:t xml:space="preserve"> </w:t>
      </w:r>
    </w:p>
    <w:p w:rsidR="006C5BEA" w:rsidRDefault="006C5BEA" w:rsidP="006C5BEA">
      <w:r>
        <w:t xml:space="preserve">The following sections set out why neither of these transition paths would contribute to the achievement of the ARORO. </w:t>
      </w:r>
    </w:p>
    <w:p w:rsidR="006C5BEA" w:rsidRDefault="006C5BEA" w:rsidP="006C5BEA">
      <w:pPr>
        <w:pStyle w:val="HeadingItalic"/>
      </w:pPr>
      <w:r>
        <w:t xml:space="preserve">Immediate transition will </w:t>
      </w:r>
      <w:r w:rsidRPr="00F72EF1">
        <w:t xml:space="preserve">not contribute to the achievement </w:t>
      </w:r>
      <w:r>
        <w:t>of the ARORO</w:t>
      </w:r>
    </w:p>
    <w:p w:rsidR="006C5BEA" w:rsidRDefault="006C5BEA" w:rsidP="006C5BEA">
      <w:r w:rsidRPr="00D001FE">
        <w:rPr>
          <w:rStyle w:val="AERbody"/>
        </w:rPr>
        <w:t xml:space="preserve">For the reasons discussed </w:t>
      </w:r>
      <w:r>
        <w:rPr>
          <w:rStyle w:val="AERbody"/>
        </w:rPr>
        <w:t>above under, 't</w:t>
      </w:r>
      <w:r w:rsidRPr="00D001FE">
        <w:rPr>
          <w:rStyle w:val="AERbody"/>
        </w:rPr>
        <w:t>railing average (with full transition) meets the ARORO</w:t>
      </w:r>
      <w:r>
        <w:rPr>
          <w:rStyle w:val="AERbody"/>
        </w:rPr>
        <w:t>', i</w:t>
      </w:r>
      <w:r>
        <w:t>mmediately</w:t>
      </w:r>
      <w:r w:rsidRPr="00F72EF1">
        <w:t xml:space="preserve"> moving to a trailing average by immediately adopting a historical cost of debt is likely to change the present value of a benchmark efficie</w:t>
      </w:r>
      <w:r>
        <w:t xml:space="preserve">nt entity's allowed revenues </w:t>
      </w:r>
      <w:r w:rsidRPr="00F72EF1">
        <w:t xml:space="preserve">relative to </w:t>
      </w:r>
      <w:r>
        <w:t>a continuation of</w:t>
      </w:r>
      <w:r w:rsidRPr="00F72EF1">
        <w:t xml:space="preserve"> </w:t>
      </w:r>
      <w:r>
        <w:t>the on-the-day approach.</w:t>
      </w:r>
    </w:p>
    <w:p w:rsidR="006C5BEA" w:rsidRDefault="006C5BEA" w:rsidP="006C5BEA">
      <w:r>
        <w:t>T</w:t>
      </w:r>
      <w:r w:rsidRPr="00F72EF1">
        <w:t>he current market cost of debt is considerably below the average market cost of debt over the past nine years</w:t>
      </w:r>
      <w:r>
        <w:t>. As such, in current circumstances</w:t>
      </w:r>
      <w:r w:rsidRPr="00F72EF1">
        <w:t xml:space="preserve">, an immediate transition would lead to an excess positive return relative to the efficient return in the market. All else being equal, this will result in a material increase in the present value of a benchmark efficient entity's </w:t>
      </w:r>
      <w:r>
        <w:t>allowed</w:t>
      </w:r>
      <w:r w:rsidRPr="00F72EF1">
        <w:t xml:space="preserve"> revenues </w:t>
      </w:r>
      <w:r>
        <w:t>relative to its expected efficient costs</w:t>
      </w:r>
      <w:r w:rsidRPr="00F72EF1">
        <w:t xml:space="preserve"> to a value well above its RAB, thereby overcompensating it. Service providers </w:t>
      </w:r>
      <w:r>
        <w:t>have not submitted material that</w:t>
      </w:r>
      <w:r w:rsidRPr="00D152FC">
        <w:t xml:space="preserve"> </w:t>
      </w:r>
      <w:r>
        <w:t>satisfies</w:t>
      </w:r>
      <w:r w:rsidRPr="00D152FC">
        <w:t xml:space="preserve"> us that materially increasing the present value of their </w:t>
      </w:r>
      <w:r>
        <w:t xml:space="preserve">allowed </w:t>
      </w:r>
      <w:r w:rsidRPr="00D152FC">
        <w:t>revenues from the change in methodology would contribute to the achievement of the ARORO or be consistent with the NEL/NGL.</w:t>
      </w:r>
    </w:p>
    <w:p w:rsidR="006C5BEA" w:rsidRPr="00F72EF1" w:rsidRDefault="006C5BEA" w:rsidP="006C5BEA">
      <w:r>
        <w:t>It is worth noting that e</w:t>
      </w:r>
      <w:r w:rsidRPr="00F72EF1">
        <w:t>qually, the trend in interest rates</w:t>
      </w:r>
      <w:r>
        <w:t xml:space="preserve"> could have</w:t>
      </w:r>
      <w:r w:rsidRPr="00F72EF1">
        <w:t xml:space="preserve"> been reversed</w:t>
      </w:r>
      <w:r w:rsidRPr="00F72EF1">
        <w:rPr>
          <w:rStyle w:val="AERbody"/>
        </w:rPr>
        <w:t xml:space="preserve"> (that is, if we had moved from a low to high interest rate environment)</w:t>
      </w:r>
      <w:r>
        <w:t>. If this occurred,</w:t>
      </w:r>
      <w:r w:rsidRPr="00F72EF1">
        <w:t xml:space="preserve"> an immediate transition would have led to a material decrease in the present value of a benchmark efficient entity's </w:t>
      </w:r>
      <w:r>
        <w:t>allowed</w:t>
      </w:r>
      <w:r w:rsidRPr="00F72EF1">
        <w:t xml:space="preserve"> revenues relative to its </w:t>
      </w:r>
      <w:r>
        <w:t>expected efficient</w:t>
      </w:r>
      <w:r w:rsidRPr="00F72EF1">
        <w:t xml:space="preserve"> costs, thereby undercompensating it. That is, </w:t>
      </w:r>
      <w:r w:rsidRPr="00F72EF1">
        <w:rPr>
          <w:rStyle w:val="AERbody"/>
        </w:rPr>
        <w:t>the allowed return would have been below the efficient financing costs of a benchmark efficient entity.</w:t>
      </w:r>
      <w:r w:rsidRPr="00F72EF1">
        <w:t xml:space="preserve"> Neither outcome would achieve the ARORO and would not lead to efficient investment and use of infrastructure</w:t>
      </w:r>
      <w:r>
        <w:t>,</w:t>
      </w:r>
      <w:r w:rsidRPr="00F72EF1">
        <w:t xml:space="preserve"> </w:t>
      </w:r>
      <w:r w:rsidRPr="00F72EF1">
        <w:rPr>
          <w:rStyle w:val="AERbody"/>
        </w:rPr>
        <w:t>in the long term interest of consumers</w:t>
      </w:r>
      <w:r w:rsidRPr="00F72EF1">
        <w:t>.</w:t>
      </w:r>
      <w:r w:rsidRPr="00F72EF1">
        <w:rPr>
          <w:rStyle w:val="AERbody"/>
        </w:rPr>
        <w:t xml:space="preserve"> We explain this and show this mathematically in detail in </w:t>
      </w:r>
      <w:r w:rsidR="00DD2E09">
        <w:t>A</w:t>
      </w:r>
      <w:r w:rsidRPr="00F72EF1">
        <w:t xml:space="preserve">ppendix </w:t>
      </w:r>
      <w:r w:rsidR="00DD2E09">
        <w:fldChar w:fldCharType="begin"/>
      </w:r>
      <w:r w:rsidR="00DD2E09">
        <w:instrText xml:space="preserve"> REF _Ref451265869 \r \h </w:instrText>
      </w:r>
      <w:r w:rsidR="00DD2E09">
        <w:fldChar w:fldCharType="separate"/>
      </w:r>
      <w:r w:rsidR="00BA2E8E">
        <w:t>H</w:t>
      </w:r>
      <w:r w:rsidR="00DD2E09">
        <w:fldChar w:fldCharType="end"/>
      </w:r>
      <w:r w:rsidRPr="00610804">
        <w:rPr>
          <w:rStyle w:val="AERbody"/>
        </w:rPr>
        <w:t>.</w:t>
      </w:r>
    </w:p>
    <w:p w:rsidR="006C5BEA" w:rsidRPr="009F3831" w:rsidRDefault="006C5BEA" w:rsidP="006C5BEA">
      <w:r>
        <w:t>Further, we consider that</w:t>
      </w:r>
      <w:r w:rsidRPr="009F3831">
        <w:t xml:space="preserve"> failing to implement a revenue neutral transition would undermine the ARORO and the NEL/NGL for the following reasons:</w:t>
      </w:r>
    </w:p>
    <w:p w:rsidR="006C5BEA" w:rsidRDefault="006C5BEA" w:rsidP="006C5BEA">
      <w:pPr>
        <w:pStyle w:val="AERbulletlistfirststyle"/>
      </w:pPr>
      <w:r>
        <w:t xml:space="preserve">The future return on debt allowance would have </w:t>
      </w:r>
      <w:r w:rsidRPr="00F21B32">
        <w:t xml:space="preserve">a </w:t>
      </w:r>
      <w:r>
        <w:t xml:space="preserve">different </w:t>
      </w:r>
      <w:r w:rsidRPr="00F21B32">
        <w:t>present value</w:t>
      </w:r>
      <w:r>
        <w:t xml:space="preserve"> if we switched methodologies to estimating the allowed return on debt without a transition.</w:t>
      </w:r>
      <w:r w:rsidRPr="00F21B32">
        <w:t xml:space="preserve"> </w:t>
      </w:r>
      <w:r w:rsidR="00DD2E09">
        <w:t>In A</w:t>
      </w:r>
      <w:r>
        <w:t xml:space="preserve">ppendix </w:t>
      </w:r>
      <w:r w:rsidR="00DD2E09">
        <w:fldChar w:fldCharType="begin"/>
      </w:r>
      <w:r w:rsidR="00DD2E09">
        <w:instrText xml:space="preserve"> REF _Ref451265869 \r \h </w:instrText>
      </w:r>
      <w:r w:rsidR="00DD2E09">
        <w:fldChar w:fldCharType="separate"/>
      </w:r>
      <w:r w:rsidR="00BA2E8E">
        <w:t>H</w:t>
      </w:r>
      <w:r w:rsidR="00DD2E09">
        <w:fldChar w:fldCharType="end"/>
      </w:r>
      <w:r>
        <w:t xml:space="preserve">, we establish that continuing the on-the-day approach would satisfy the ARORO. Given this, changing approaches must be revenue neutral or it would either </w:t>
      </w:r>
      <w:r w:rsidRPr="00F21B32">
        <w:t>over</w:t>
      </w:r>
      <w:r>
        <w:t>- or under-</w:t>
      </w:r>
      <w:r w:rsidRPr="00F21B32">
        <w:t xml:space="preserve">compensate </w:t>
      </w:r>
      <w:r>
        <w:t>a benchmark efficient entity for its efficient debt financing costs</w:t>
      </w:r>
      <w:r w:rsidRPr="00F21B32">
        <w:t>.</w:t>
      </w:r>
      <w:r>
        <w:t xml:space="preserve"> We do not consider this outcome contributes to the achievement of the ARORO, NEO/NGO or RPPs.</w:t>
      </w:r>
      <w:r w:rsidRPr="00F21B32">
        <w:t xml:space="preserve"> </w:t>
      </w:r>
    </w:p>
    <w:p w:rsidR="006C5BEA" w:rsidRDefault="006C5BEA" w:rsidP="006C5BEA">
      <w:pPr>
        <w:pStyle w:val="AERbulletlistfirststyle"/>
      </w:pPr>
      <w:r>
        <w:t>If switching to a trailing average approach is not revenue neutral, this would change the present value of a benchmark efficient entity's expected regulated cash flows compared to the value of the expected cash flows that would be consistent with the investor expectations when they invested (under the on-the-day approach). This may increase expected regulatory uncertainty. T</w:t>
      </w:r>
      <w:r w:rsidRPr="00AC4D63">
        <w:t xml:space="preserve">his may undermine confidence in the predictability of the regulatory arrangements and </w:t>
      </w:r>
      <w:r>
        <w:t>lead to an inefficient increase in</w:t>
      </w:r>
      <w:r w:rsidRPr="00AC4D63">
        <w:t xml:space="preserve"> financing costs (all else </w:t>
      </w:r>
      <w:r>
        <w:t xml:space="preserve">being </w:t>
      </w:r>
      <w:r w:rsidRPr="00AC4D63">
        <w:t>equal).</w:t>
      </w:r>
      <w:r w:rsidRPr="004871A6">
        <w:rPr>
          <w:rStyle w:val="FootnoteReference"/>
        </w:rPr>
        <w:footnoteReference w:id="415"/>
      </w:r>
      <w:r>
        <w:t xml:space="preserve"> This is consistent with SFG's advice to the AEMC </w:t>
      </w:r>
      <w:r w:rsidRPr="00873DA6">
        <w:t>that</w:t>
      </w:r>
      <w:r>
        <w:t>:</w:t>
      </w:r>
      <w:r w:rsidRPr="00873DA6">
        <w:rPr>
          <w:rStyle w:val="FootnoteReference"/>
        </w:rPr>
        <w:footnoteReference w:id="416"/>
      </w:r>
    </w:p>
    <w:p w:rsidR="006C5BEA" w:rsidRPr="008D3474" w:rsidRDefault="006C5BEA" w:rsidP="006C5BEA">
      <w:pPr>
        <w:pStyle w:val="AERquote"/>
      </w:pPr>
      <w:r w:rsidRPr="00993131">
        <w:t>The lack of any transition arrangements in a setting whether the rule change exposes regulated businesses to risks that they did not previously face is likely to be viewed by the market for funds as a signal that a higher degree of regulatory risk should be p</w:t>
      </w:r>
      <w:r w:rsidRPr="008D3474">
        <w:t>riced into their provision of funds. Such an outcome is unlikely to be consistent with the NEO and RPP.</w:t>
      </w:r>
    </w:p>
    <w:p w:rsidR="006C5BEA" w:rsidRDefault="006C5BEA" w:rsidP="006C5BEA">
      <w:pPr>
        <w:pStyle w:val="AERbulletlistfirststyle"/>
      </w:pPr>
      <w:r>
        <w:t>I</w:t>
      </w:r>
      <w:r w:rsidRPr="00873DA6">
        <w:t>ncentives on service providers to adopt efficient financing practices (and thereby minimise their long run cost of capital</w:t>
      </w:r>
      <w:r>
        <w:t xml:space="preserve"> all else being equal</w:t>
      </w:r>
      <w:r w:rsidRPr="00873DA6">
        <w:t>) under the regulatory regime</w:t>
      </w:r>
      <w:r>
        <w:t xml:space="preserve"> may be undermined</w:t>
      </w:r>
      <w:r w:rsidRPr="00873DA6">
        <w:t>.</w:t>
      </w:r>
      <w:r w:rsidRPr="00873DA6">
        <w:rPr>
          <w:rStyle w:val="FootnoteReference"/>
        </w:rPr>
        <w:footnoteReference w:id="417"/>
      </w:r>
      <w:r w:rsidRPr="00873DA6">
        <w:t xml:space="preserve"> </w:t>
      </w:r>
      <w:r>
        <w:t>For instance, by allowing service providers to bear the consequences (or reap the benefits) of their actions from</w:t>
      </w:r>
      <w:r w:rsidRPr="00873DA6">
        <w:t xml:space="preserve"> prior </w:t>
      </w:r>
      <w:r>
        <w:t>regulatory control period</w:t>
      </w:r>
      <w:r w:rsidRPr="00873DA6">
        <w:t>s</w:t>
      </w:r>
      <w:r>
        <w:t>, this</w:t>
      </w:r>
      <w:r w:rsidRPr="00873DA6">
        <w:t xml:space="preserve"> </w:t>
      </w:r>
      <w:r>
        <w:t>incentivises them</w:t>
      </w:r>
      <w:r w:rsidRPr="00873DA6">
        <w:t xml:space="preserve"> to efficiently manage financial risk</w:t>
      </w:r>
      <w:r>
        <w:t>.</w:t>
      </w:r>
    </w:p>
    <w:p w:rsidR="006C5BEA" w:rsidRDefault="006C5BEA" w:rsidP="006C5BEA">
      <w:pPr>
        <w:pStyle w:val="HeadingItalic"/>
      </w:pPr>
      <w:r>
        <w:t>Hybrid transitions will not contribute to the achievement of the ARORO</w:t>
      </w:r>
    </w:p>
    <w:p w:rsidR="006C5BEA" w:rsidRDefault="006C5BEA" w:rsidP="006C5BEA">
      <w:pPr>
        <w:rPr>
          <w:rStyle w:val="AERbody"/>
        </w:rPr>
      </w:pPr>
      <w:r>
        <w:rPr>
          <w:rStyle w:val="AERbody"/>
        </w:rPr>
        <w:t xml:space="preserve">As </w:t>
      </w:r>
      <w:r>
        <w:rPr>
          <w:rStyle w:val="AERbody"/>
        </w:rPr>
        <w:fldChar w:fldCharType="begin"/>
      </w:r>
      <w:r>
        <w:rPr>
          <w:rStyle w:val="AERbody"/>
        </w:rPr>
        <w:instrText xml:space="preserve"> REF  _Ref451174309 \* Lower \h </w:instrText>
      </w:r>
      <w:r>
        <w:rPr>
          <w:rStyle w:val="AERbody"/>
        </w:rPr>
      </w:r>
      <w:r>
        <w:rPr>
          <w:rStyle w:val="AERbody"/>
        </w:rPr>
        <w:fldChar w:fldCharType="separate"/>
      </w:r>
      <w:r w:rsidR="00BA2E8E">
        <w:t xml:space="preserve">table </w:t>
      </w:r>
      <w:r w:rsidR="00BA2E8E">
        <w:rPr>
          <w:noProof/>
        </w:rPr>
        <w:t>3</w:t>
      </w:r>
      <w:r w:rsidR="00BA2E8E">
        <w:noBreakHyphen/>
      </w:r>
      <w:r w:rsidR="00BA2E8E">
        <w:rPr>
          <w:noProof/>
        </w:rPr>
        <w:t>11</w:t>
      </w:r>
      <w:r>
        <w:rPr>
          <w:rStyle w:val="AERbody"/>
        </w:rPr>
        <w:fldChar w:fldCharType="end"/>
      </w:r>
      <w:r>
        <w:rPr>
          <w:rStyle w:val="AERbody"/>
        </w:rPr>
        <w:t xml:space="preserve"> highlights, both hybrid transitions are effectively different combinations of a 'full transition' and 'no transition'. On the basis that a full transition contributes to the achievement of the ARORO and no transition fails to achieve this, then both hybrid transitions would fail to </w:t>
      </w:r>
      <w:r w:rsidRPr="0042237F">
        <w:rPr>
          <w:rStyle w:val="AERbody"/>
        </w:rPr>
        <w:t xml:space="preserve">achieve </w:t>
      </w:r>
      <w:r>
        <w:rPr>
          <w:rStyle w:val="AERbody"/>
        </w:rPr>
        <w:t xml:space="preserve">the ARORO. For this reason, our analysis above on why immediately moving to a trailing average approach will not contribute to the achievement of the ARORO also applies to the hybrid transitions that service providers have proposed. </w:t>
      </w:r>
    </w:p>
    <w:p w:rsidR="006C5BEA" w:rsidRDefault="006C5BEA" w:rsidP="006C5BEA">
      <w:pPr>
        <w:pStyle w:val="Caption"/>
        <w:rPr>
          <w:rStyle w:val="AERbody"/>
        </w:rPr>
      </w:pPr>
      <w:bookmarkStart w:id="148" w:name="_Ref451174309"/>
      <w:r>
        <w:t xml:space="preserve">Table </w:t>
      </w:r>
      <w:fldSimple w:instr=" STYLEREF 1 \s ">
        <w:r w:rsidR="00BA2E8E">
          <w:rPr>
            <w:noProof/>
          </w:rPr>
          <w:t>3</w:t>
        </w:r>
      </w:fldSimple>
      <w:r w:rsidR="000F4BC3">
        <w:noBreakHyphen/>
      </w:r>
      <w:fldSimple w:instr=" SEQ Table \* ARABIC \s 1 ">
        <w:r w:rsidR="00BA2E8E">
          <w:rPr>
            <w:noProof/>
          </w:rPr>
          <w:t>11</w:t>
        </w:r>
      </w:fldSimple>
      <w:bookmarkEnd w:id="148"/>
      <w:r>
        <w:tab/>
        <w:t>Different transitions to a trailing average</w:t>
      </w:r>
    </w:p>
    <w:tbl>
      <w:tblPr>
        <w:tblStyle w:val="AERtable-text0"/>
        <w:tblW w:w="0" w:type="auto"/>
        <w:tblLook w:val="04A0" w:firstRow="1" w:lastRow="0" w:firstColumn="1" w:lastColumn="0" w:noHBand="0" w:noVBand="1"/>
      </w:tblPr>
      <w:tblGrid>
        <w:gridCol w:w="2556"/>
        <w:gridCol w:w="3089"/>
        <w:gridCol w:w="3048"/>
      </w:tblGrid>
      <w:tr w:rsidR="006C5BEA" w:rsidTr="002A5C40">
        <w:trPr>
          <w:cnfStyle w:val="100000000000" w:firstRow="1" w:lastRow="0" w:firstColumn="0" w:lastColumn="0" w:oddVBand="0" w:evenVBand="0" w:oddHBand="0" w:evenHBand="0" w:firstRowFirstColumn="0" w:firstRowLastColumn="0" w:lastRowFirstColumn="0" w:lastRowLastColumn="0"/>
        </w:trPr>
        <w:tc>
          <w:tcPr>
            <w:tcW w:w="2556" w:type="dxa"/>
          </w:tcPr>
          <w:p w:rsidR="006C5BEA" w:rsidRPr="006C5BEA" w:rsidRDefault="006C5BEA" w:rsidP="006C5BEA">
            <w:r>
              <w:t>Form of transition</w:t>
            </w:r>
          </w:p>
        </w:tc>
        <w:tc>
          <w:tcPr>
            <w:tcW w:w="3089" w:type="dxa"/>
          </w:tcPr>
          <w:p w:rsidR="006C5BEA" w:rsidRPr="006C5BEA" w:rsidRDefault="006C5BEA" w:rsidP="006C5BEA">
            <w:r>
              <w:t>Revenue-neutral t</w:t>
            </w:r>
            <w:r w:rsidRPr="006C5BEA">
              <w:t>ransition by updating 10% per year over 10 years</w:t>
            </w:r>
          </w:p>
        </w:tc>
        <w:tc>
          <w:tcPr>
            <w:tcW w:w="3048" w:type="dxa"/>
          </w:tcPr>
          <w:p w:rsidR="006C5BEA" w:rsidRPr="006C5BEA" w:rsidRDefault="006C5BEA" w:rsidP="006C5BEA">
            <w:r>
              <w:t>Immediately move to a trailing average approach</w:t>
            </w:r>
          </w:p>
        </w:tc>
      </w:tr>
      <w:tr w:rsidR="006C5BEA" w:rsidTr="002A5C40">
        <w:tc>
          <w:tcPr>
            <w:tcW w:w="2556" w:type="dxa"/>
          </w:tcPr>
          <w:p w:rsidR="006C5BEA" w:rsidRPr="006C5BEA" w:rsidRDefault="006C5BEA" w:rsidP="006C5BEA">
            <w:r>
              <w:t>Full transition</w:t>
            </w:r>
          </w:p>
        </w:tc>
        <w:tc>
          <w:tcPr>
            <w:tcW w:w="3089" w:type="dxa"/>
          </w:tcPr>
          <w:p w:rsidR="006C5BEA" w:rsidRPr="006C5BEA" w:rsidRDefault="006C5BEA" w:rsidP="006C5BEA">
            <w:r>
              <w:t>100% of base rate + DRP</w:t>
            </w:r>
          </w:p>
        </w:tc>
        <w:tc>
          <w:tcPr>
            <w:tcW w:w="3048" w:type="dxa"/>
          </w:tcPr>
          <w:p w:rsidR="006C5BEA" w:rsidRPr="006C5BEA" w:rsidRDefault="006C5BEA" w:rsidP="006C5BEA">
            <w:r>
              <w:t>-</w:t>
            </w:r>
          </w:p>
        </w:tc>
      </w:tr>
      <w:tr w:rsidR="006C5BEA" w:rsidTr="002A5C40">
        <w:trPr>
          <w:cnfStyle w:val="000000010000" w:firstRow="0" w:lastRow="0" w:firstColumn="0" w:lastColumn="0" w:oddVBand="0" w:evenVBand="0" w:oddHBand="0" w:evenHBand="1" w:firstRowFirstColumn="0" w:firstRowLastColumn="0" w:lastRowFirstColumn="0" w:lastRowLastColumn="0"/>
        </w:trPr>
        <w:tc>
          <w:tcPr>
            <w:tcW w:w="2556" w:type="dxa"/>
          </w:tcPr>
          <w:p w:rsidR="006C5BEA" w:rsidRDefault="006C5BEA" w:rsidP="006C5BEA">
            <w:r>
              <w:t>Hybrid transition</w:t>
            </w:r>
          </w:p>
        </w:tc>
        <w:tc>
          <w:tcPr>
            <w:tcW w:w="3089" w:type="dxa"/>
          </w:tcPr>
          <w:p w:rsidR="006C5BEA" w:rsidRPr="006C5BEA" w:rsidRDefault="006C5BEA" w:rsidP="006C5BEA">
            <w:r>
              <w:t>100% of b</w:t>
            </w:r>
            <w:r w:rsidRPr="006C5BEA">
              <w:t xml:space="preserve">ase rate </w:t>
            </w:r>
          </w:p>
        </w:tc>
        <w:tc>
          <w:tcPr>
            <w:tcW w:w="3048" w:type="dxa"/>
          </w:tcPr>
          <w:p w:rsidR="006C5BEA" w:rsidRPr="00843751" w:rsidRDefault="006C5BEA" w:rsidP="006C5BEA">
            <w:r w:rsidRPr="00843751">
              <w:t>DRP</w:t>
            </w:r>
          </w:p>
        </w:tc>
      </w:tr>
      <w:tr w:rsidR="006C5BEA" w:rsidTr="002A5C40">
        <w:tc>
          <w:tcPr>
            <w:tcW w:w="2556" w:type="dxa"/>
          </w:tcPr>
          <w:p w:rsidR="006C5BEA" w:rsidRDefault="006C5BEA" w:rsidP="006C5BEA">
            <w:r>
              <w:t>Hybrid transition under partial hedging</w:t>
            </w:r>
          </w:p>
        </w:tc>
        <w:tc>
          <w:tcPr>
            <w:tcW w:w="3089" w:type="dxa"/>
          </w:tcPr>
          <w:p w:rsidR="006C5BEA" w:rsidRPr="006C5BEA" w:rsidRDefault="006C5BEA" w:rsidP="006C5BEA">
            <w:r>
              <w:t>1/3 of b</w:t>
            </w:r>
            <w:r w:rsidRPr="006C5BEA">
              <w:t xml:space="preserve">ase rate </w:t>
            </w:r>
          </w:p>
        </w:tc>
        <w:tc>
          <w:tcPr>
            <w:tcW w:w="3048" w:type="dxa"/>
          </w:tcPr>
          <w:p w:rsidR="006C5BEA" w:rsidRPr="006C5BEA" w:rsidRDefault="006C5BEA" w:rsidP="006C5BEA">
            <w:r>
              <w:t>2/3 of b</w:t>
            </w:r>
            <w:r w:rsidRPr="006C5BEA">
              <w:t>ase rate + DRP</w:t>
            </w:r>
          </w:p>
        </w:tc>
      </w:tr>
      <w:tr w:rsidR="006C5BEA" w:rsidTr="002A5C40">
        <w:trPr>
          <w:cnfStyle w:val="000000010000" w:firstRow="0" w:lastRow="0" w:firstColumn="0" w:lastColumn="0" w:oddVBand="0" w:evenVBand="0" w:oddHBand="0" w:evenHBand="1" w:firstRowFirstColumn="0" w:firstRowLastColumn="0" w:lastRowFirstColumn="0" w:lastRowLastColumn="0"/>
        </w:trPr>
        <w:tc>
          <w:tcPr>
            <w:tcW w:w="2556" w:type="dxa"/>
          </w:tcPr>
          <w:p w:rsidR="006C5BEA" w:rsidRDefault="006C5BEA" w:rsidP="006C5BEA">
            <w:r>
              <w:t>No transition</w:t>
            </w:r>
          </w:p>
        </w:tc>
        <w:tc>
          <w:tcPr>
            <w:tcW w:w="3089" w:type="dxa"/>
          </w:tcPr>
          <w:p w:rsidR="006C5BEA" w:rsidRPr="006C5BEA" w:rsidRDefault="006C5BEA" w:rsidP="006C5BEA">
            <w:r>
              <w:t>-</w:t>
            </w:r>
          </w:p>
        </w:tc>
        <w:tc>
          <w:tcPr>
            <w:tcW w:w="3048" w:type="dxa"/>
          </w:tcPr>
          <w:p w:rsidR="006C5BEA" w:rsidRPr="006C5BEA" w:rsidRDefault="006C5BEA" w:rsidP="006C5BEA">
            <w:r>
              <w:t>100% of b</w:t>
            </w:r>
            <w:r w:rsidRPr="006C5BEA">
              <w:t>ase rate + DRP</w:t>
            </w:r>
          </w:p>
        </w:tc>
      </w:tr>
    </w:tbl>
    <w:p w:rsidR="006C5BEA" w:rsidRDefault="006C5BEA" w:rsidP="006C5BEA">
      <w:pPr>
        <w:pStyle w:val="AERtablesource"/>
      </w:pPr>
      <w:r>
        <w:t>Source: AER analysis.</w:t>
      </w:r>
    </w:p>
    <w:p w:rsidR="006C5BEA" w:rsidRPr="00785554" w:rsidRDefault="006C5BEA" w:rsidP="006C5BEA">
      <w:r>
        <w:t xml:space="preserve">For clarity, we also emphasise why the logic underpinning the use of </w:t>
      </w:r>
      <w:r w:rsidRPr="00785554">
        <w:t>a hybrid transition is problematic. By basing service providers' debt allowance on a 10 year historical DRP, a hybrid transition effectively removes realised losses or gains from interest rate risk that they had previously borne. This reasoning also applies to an immediate transition.</w:t>
      </w:r>
    </w:p>
    <w:p w:rsidR="006C5BEA" w:rsidRPr="00785554" w:rsidRDefault="006C5BEA" w:rsidP="006C5BEA">
      <w:r>
        <w:t>As the services providers operate under an ex-ante regulatory regime, we consider the ARORO requires us to provide ex-ante efficient compensation. This does not entail compensating</w:t>
      </w:r>
      <w:r w:rsidRPr="00785554">
        <w:t xml:space="preserve"> for historically incurred costs. That would be cost of service regulation, not incentive regulation. Investors have invested accepting the interest rate risk from the on-the-day approach, and we have already appropriately compensated service providers for bearing this risk. For both reasons, removing the outcomes of this risk ex-post would not contribute to the achievement of the ARORO.</w:t>
      </w:r>
      <w:r w:rsidRPr="00785554">
        <w:rPr>
          <w:rStyle w:val="FootnoteReference"/>
        </w:rPr>
        <w:footnoteReference w:id="418"/>
      </w:r>
      <w:r w:rsidRPr="00785554">
        <w:t xml:space="preserve">  </w:t>
      </w:r>
    </w:p>
    <w:p w:rsidR="006C5BEA" w:rsidRPr="00785554" w:rsidRDefault="006C5BEA" w:rsidP="006C5BEA">
      <w:r>
        <w:t xml:space="preserve">Further, we </w:t>
      </w:r>
      <w:r w:rsidRPr="00785554">
        <w:t>consider that we have appropriately compensated investors for the risks they faced when we set the allowed return on debt using the on-the-day approach. This is because:</w:t>
      </w:r>
    </w:p>
    <w:p w:rsidR="006C5BEA" w:rsidRDefault="006C5BEA" w:rsidP="006C5BEA">
      <w:pPr>
        <w:pStyle w:val="AERbulletlistfirststyle"/>
      </w:pPr>
      <w:r>
        <w:t xml:space="preserve">We have set the allowed return on debt using the on-the-day approach </w:t>
      </w:r>
      <w:r w:rsidRPr="00A71C98">
        <w:t>for many years.</w:t>
      </w:r>
      <w:r w:rsidRPr="00A71C98">
        <w:rPr>
          <w:rStyle w:val="FootnoteReference"/>
        </w:rPr>
        <w:footnoteReference w:id="419"/>
      </w:r>
      <w:r>
        <w:t xml:space="preserve"> As such, when we applied the on-the-day approach, investors in a benchmark efficient entity would have expected us to reset</w:t>
      </w:r>
      <w:r w:rsidRPr="00A71C98">
        <w:t xml:space="preserve"> the return on debt</w:t>
      </w:r>
      <w:r>
        <w:t xml:space="preserve"> at the start </w:t>
      </w:r>
      <w:r w:rsidRPr="00A71C98">
        <w:t>of each</w:t>
      </w:r>
      <w:r>
        <w:t xml:space="preserve"> regulatory control period</w:t>
      </w:r>
      <w:r w:rsidRPr="00A71C98">
        <w:t xml:space="preserve"> and accepted any risks</w:t>
      </w:r>
      <w:r>
        <w:t xml:space="preserve"> associated with this approach. When we proposed moving to a trailing average in the Guideline, this proposal was contingent on applying a transition so that the value of the firm aligned with previous investor expectations under the on-the-day regime.</w:t>
      </w:r>
    </w:p>
    <w:p w:rsidR="006C5BEA" w:rsidRDefault="006C5BEA" w:rsidP="006C5BEA">
      <w:pPr>
        <w:pStyle w:val="AERbulletlistfirststyle"/>
      </w:pPr>
      <w:r>
        <w:t>We benchmark the allowed rate of return (which requires consistently benchmarking the return on debt, return on equity and gearing) on observed data from service providers comparable to a benchmark efficient entity operating under an on-the-day approach. Therefore, the allowed rate of return should be commensurate with the efficient financing costs of a benchmark efficient entity with a similar degree of risk as a regulated service provider operating under this approach.</w:t>
      </w:r>
      <w:r>
        <w:rPr>
          <w:rStyle w:val="FootnoteReference"/>
        </w:rPr>
        <w:footnoteReference w:id="420"/>
      </w:r>
    </w:p>
    <w:p w:rsidR="006C5BEA" w:rsidRDefault="006C5BEA" w:rsidP="006C5BEA">
      <w:r>
        <w:rPr>
          <w:rStyle w:val="AERbody"/>
        </w:rPr>
        <w:t>Further, regarding the reasoning put forward for a hybrid transition under</w:t>
      </w:r>
      <w:r>
        <w:t xml:space="preserve"> partial hedging, w</w:t>
      </w:r>
      <w:r w:rsidRPr="009F377E">
        <w:t>e consider a full transition necessary to satisfy the ARORO and NEO/NGO even if firms partially hedged</w:t>
      </w:r>
      <w:r>
        <w:t xml:space="preserve">. </w:t>
      </w:r>
      <w:r w:rsidRPr="009F377E">
        <w:t xml:space="preserve">It is also worth noting that service providers did not appear to hold the view </w:t>
      </w:r>
      <w:r>
        <w:t xml:space="preserve">that hedging one third of the base rate was optimal </w:t>
      </w:r>
      <w:r w:rsidRPr="009F377E">
        <w:t>ex-ante because they appeared to have hedged nearly their entire base rate in practice.</w:t>
      </w:r>
      <w:r w:rsidRPr="009F377E">
        <w:rPr>
          <w:rStyle w:val="FootnoteReference"/>
        </w:rPr>
        <w:footnoteReference w:id="421"/>
      </w:r>
    </w:p>
    <w:p w:rsidR="006C5BEA" w:rsidRDefault="006C5BEA" w:rsidP="006C5BEA">
      <w:pPr>
        <w:pStyle w:val="HeadingBoldItalic"/>
      </w:pPr>
      <w:r>
        <w:t>General problems with using approaches based on historical data</w:t>
      </w:r>
    </w:p>
    <w:p w:rsidR="006C5BEA" w:rsidRPr="009F3831" w:rsidRDefault="006C5BEA" w:rsidP="006C5BEA">
      <w:r>
        <w:t>Both the immediate and hybrid forms of transition to the trailing average rely on using historical data</w:t>
      </w:r>
      <w:r w:rsidRPr="009F3831">
        <w:t xml:space="preserve"> to estimate the allowed return on debt. We consider this has the following problems:</w:t>
      </w:r>
    </w:p>
    <w:p w:rsidR="006C5BEA" w:rsidRDefault="006C5BEA" w:rsidP="006C5BEA">
      <w:pPr>
        <w:pStyle w:val="AERbulletlistfirststyle"/>
      </w:pPr>
      <w:r>
        <w:t xml:space="preserve">All of these transition paths would produce a return on debt allowance that effectively removes </w:t>
      </w:r>
      <w:r w:rsidRPr="00AC4D63">
        <w:t xml:space="preserve">interest rate risk </w:t>
      </w:r>
      <w:r>
        <w:t xml:space="preserve">(to at least some extent) </w:t>
      </w:r>
      <w:r w:rsidRPr="00AC4D63">
        <w:t xml:space="preserve">incurred in prior </w:t>
      </w:r>
      <w:r>
        <w:t>regulatory control period</w:t>
      </w:r>
      <w:r w:rsidRPr="00AC4D63">
        <w:t>s</w:t>
      </w:r>
      <w:r>
        <w:t>. A benchmark efficient entity</w:t>
      </w:r>
      <w:r w:rsidRPr="00AC4D63">
        <w:t xml:space="preserve"> </w:t>
      </w:r>
      <w:r>
        <w:t xml:space="preserve">was </w:t>
      </w:r>
      <w:r w:rsidRPr="00AC4D63">
        <w:t>required to bear and manage</w:t>
      </w:r>
      <w:r>
        <w:t xml:space="preserve"> this risk under the on-the-day approach. As such, these transition paths alter the service providers' historic</w:t>
      </w:r>
      <w:r w:rsidRPr="00AC4D63">
        <w:t xml:space="preserve"> </w:t>
      </w:r>
      <w:r>
        <w:t xml:space="preserve">risk profiles </w:t>
      </w:r>
      <w:r w:rsidRPr="005772E3">
        <w:rPr>
          <w:rStyle w:val="AERtextunderline"/>
        </w:rPr>
        <w:t>after</w:t>
      </w:r>
      <w:r>
        <w:t xml:space="preserve"> they have made decisions on how to </w:t>
      </w:r>
      <w:r w:rsidRPr="00AC4D63">
        <w:t xml:space="preserve">manage </w:t>
      </w:r>
      <w:r>
        <w:t xml:space="preserve">their </w:t>
      </w:r>
      <w:r w:rsidRPr="00AC4D63">
        <w:t>financial risk</w:t>
      </w:r>
      <w:r>
        <w:t>.</w:t>
      </w:r>
    </w:p>
    <w:p w:rsidR="006C5BEA" w:rsidRPr="006451AF" w:rsidRDefault="006C5BEA" w:rsidP="006C5BEA">
      <w:pPr>
        <w:pStyle w:val="AERbulletlistfirststyle"/>
      </w:pPr>
      <w:r>
        <w:t>C</w:t>
      </w:r>
      <w:r w:rsidRPr="00614DDA">
        <w:t xml:space="preserve">hoosing an approach that uses historical data after </w:t>
      </w:r>
      <w:r>
        <w:t xml:space="preserve">parties already know </w:t>
      </w:r>
      <w:r w:rsidRPr="00614DDA">
        <w:t>the results of that historical data</w:t>
      </w:r>
      <w:r>
        <w:t xml:space="preserve"> has the</w:t>
      </w:r>
      <w:r w:rsidRPr="00614DDA">
        <w:t xml:space="preserve"> potential</w:t>
      </w:r>
      <w:r>
        <w:t xml:space="preserve"> to bias</w:t>
      </w:r>
      <w:r w:rsidRPr="00614DDA">
        <w:t xml:space="preserve"> regulatory decision</w:t>
      </w:r>
      <w:r>
        <w:t>s. In our recent preliminary decisions, we explained that when parties (whether they be service providers, the Tribunal, or ourselves) choose</w:t>
      </w:r>
      <w:r w:rsidRPr="002900B0">
        <w:t xml:space="preserve"> </w:t>
      </w:r>
      <w:r>
        <w:t xml:space="preserve">historical </w:t>
      </w:r>
      <w:r w:rsidRPr="002900B0">
        <w:t>averaging period</w:t>
      </w:r>
      <w:r>
        <w:t>s</w:t>
      </w:r>
      <w:r w:rsidRPr="002900B0">
        <w:t>, the knowledge of the return on debt at any past point may influence the choice.</w:t>
      </w:r>
      <w:r>
        <w:rPr>
          <w:rStyle w:val="FootnoteReference"/>
        </w:rPr>
        <w:footnoteReference w:id="422"/>
      </w:r>
      <w:r w:rsidRPr="002900B0">
        <w:t xml:space="preserve"> </w:t>
      </w:r>
      <w:r>
        <w:t xml:space="preserve">For example, </w:t>
      </w:r>
      <w:r w:rsidRPr="002900B0">
        <w:t>if a service provider could select an averaging period by looking at historical yields, it could introduce an upward bias.</w:t>
      </w:r>
      <w:r w:rsidRPr="002900B0">
        <w:rPr>
          <w:rStyle w:val="AERsuperscript"/>
        </w:rPr>
        <w:footnoteReference w:id="423"/>
      </w:r>
      <w:r>
        <w:t xml:space="preserve"> This is one of  the reasons why, when recommending </w:t>
      </w:r>
      <w:r w:rsidRPr="006451AF">
        <w:t>a gradual transition into the trailing average approach, QTC stated:</w:t>
      </w:r>
    </w:p>
    <w:p w:rsidR="006C5BEA" w:rsidRPr="0027558F" w:rsidRDefault="006C5BEA" w:rsidP="006C5BEA">
      <w:pPr>
        <w:pStyle w:val="AERquote"/>
        <w:rPr>
          <w:rStyle w:val="AERsuperscript"/>
        </w:rPr>
      </w:pPr>
      <w:r w:rsidRPr="006451AF">
        <w:t>The transitional rule ensures that the NSP is not able to receive a higher initial rate simply by electing to use the moving average approach. It also avoids the need to reach agreement on the return on debt calculation for each of the preceding nine years</w:t>
      </w:r>
      <w:r w:rsidRPr="0027558F">
        <w:rPr>
          <w:rStyle w:val="AERsuperscript"/>
        </w:rPr>
        <w:t>.</w:t>
      </w:r>
      <w:r w:rsidRPr="0027558F">
        <w:rPr>
          <w:rStyle w:val="AERsuperscript"/>
        </w:rPr>
        <w:footnoteReference w:id="424"/>
      </w:r>
    </w:p>
    <w:p w:rsidR="006C5BEA" w:rsidRDefault="006C5BEA" w:rsidP="006C5BEA">
      <w:r>
        <w:t>In our preliminary decision, we observed there are practical problems with using historical data dating back nine years.</w:t>
      </w:r>
      <w:r>
        <w:rPr>
          <w:rStyle w:val="FootnoteReference"/>
        </w:rPr>
        <w:footnoteReference w:id="425"/>
      </w:r>
      <w:r>
        <w:t xml:space="preserve"> In particular,</w:t>
      </w:r>
      <w:r w:rsidRPr="00756A0D">
        <w:t xml:space="preserve"> </w:t>
      </w:r>
      <w:r>
        <w:t>high quality and readily available historical data is unavailable for the DRP component of the return on debt.</w:t>
      </w:r>
      <w:r>
        <w:rPr>
          <w:rStyle w:val="FootnoteReference"/>
        </w:rPr>
        <w:footnoteReference w:id="426"/>
      </w:r>
      <w:r w:rsidRPr="00756A0D">
        <w:t xml:space="preserve"> </w:t>
      </w:r>
      <w:r>
        <w:t>There</w:t>
      </w:r>
      <w:r w:rsidRPr="00756A0D">
        <w:t xml:space="preserve"> is </w:t>
      </w:r>
      <w:r>
        <w:t xml:space="preserve">also </w:t>
      </w:r>
      <w:r w:rsidRPr="00756A0D">
        <w:t>no consensus among service providers on how to estimate the historical debt risk premium.</w:t>
      </w:r>
      <w:r>
        <w:t xml:space="preserve"> Moreover, the </w:t>
      </w:r>
      <w:r w:rsidRPr="00756A0D">
        <w:t>results of the different data series vary considerably</w:t>
      </w:r>
      <w:r>
        <w:t xml:space="preserve"> with Lally observing:</w:t>
      </w:r>
      <w:r>
        <w:rPr>
          <w:rStyle w:val="FootnoteReference"/>
        </w:rPr>
        <w:footnoteReference w:id="427"/>
      </w:r>
    </w:p>
    <w:p w:rsidR="006C5BEA" w:rsidRDefault="006C5BEA" w:rsidP="006C5BEA">
      <w:pPr>
        <w:pStyle w:val="AERquote"/>
      </w:pPr>
      <w:r w:rsidRPr="00756A0D">
        <w:t>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8D02F0" w:rsidRDefault="008D02F0" w:rsidP="008D02F0">
      <w:pPr>
        <w:pStyle w:val="HeadingBoldBlue"/>
      </w:pPr>
      <w:r>
        <w:t>Implementing the return on debt approach</w:t>
      </w:r>
    </w:p>
    <w:p w:rsidR="00520CEF" w:rsidRDefault="00520CEF" w:rsidP="00520CEF">
      <w:r>
        <w:t>In the previous section, we set out our approach to estimating the allowed return on debt. This approach involves estimating an on-the-day rate (i.e. based on prevailing market conditions) in the first regulatory year of the new period. It also involves gradually transitioning this rate into a trailing average approach (i.e. a moving historical average) over 10 years. This gradual transition will occur through updating 10 per cent of the allowed return on debt each year to reflect prevailing market conditions during the particular service provider's averaging period for that year.</w:t>
      </w:r>
    </w:p>
    <w:p w:rsidR="00520CEF" w:rsidRDefault="00520CEF" w:rsidP="00520CEF">
      <w:r>
        <w:t>In this section, we set out our considerations on the implementation issues associated with estimating the allowed return on debt approach. These issues are:</w:t>
      </w:r>
    </w:p>
    <w:p w:rsidR="00520CEF" w:rsidRPr="00DB6EB5" w:rsidRDefault="00520CEF" w:rsidP="00520CEF">
      <w:pPr>
        <w:pStyle w:val="AERbulletlistfirststyle"/>
      </w:pPr>
      <w:r>
        <w:t>the term of debt issued by a benchmark efficient entity</w:t>
      </w:r>
    </w:p>
    <w:p w:rsidR="00520CEF" w:rsidRPr="00DB6EB5" w:rsidRDefault="00520CEF" w:rsidP="00520CEF">
      <w:pPr>
        <w:pStyle w:val="AERbulletlistfirststyle"/>
      </w:pPr>
      <w:r>
        <w:t>the credit rating of a benchmark efficient entity</w:t>
      </w:r>
    </w:p>
    <w:p w:rsidR="00520CEF" w:rsidRDefault="00520CEF" w:rsidP="00520CEF">
      <w:pPr>
        <w:pStyle w:val="AERbulletlistfirststyle"/>
      </w:pPr>
      <w:r>
        <w:t>whether to use an independent third party data series or to construct our own data series (for example, based on an index of actual industry borrowing costs)</w:t>
      </w:r>
    </w:p>
    <w:p w:rsidR="00520CEF" w:rsidRPr="00DB6EB5" w:rsidRDefault="00520CEF" w:rsidP="00520CEF">
      <w:pPr>
        <w:pStyle w:val="AERbulletlistfirststyle"/>
      </w:pPr>
      <w:r>
        <w:t>the choice of third party data series (or combination of data series) to estimate the efficient debt financing costs of a benchmark efficient entity, based on the benchmark debt term and benchmark credit rating</w:t>
      </w:r>
    </w:p>
    <w:p w:rsidR="00520CEF" w:rsidRPr="00DB6EB5" w:rsidRDefault="00520CEF" w:rsidP="00520CEF">
      <w:pPr>
        <w:pStyle w:val="AERbulletlistfirststyle"/>
      </w:pPr>
      <w:r>
        <w:t>extrapolation and interpolation issues with adjusting our choice of data series</w:t>
      </w:r>
    </w:p>
    <w:p w:rsidR="00520CEF" w:rsidRDefault="00520CEF" w:rsidP="00520CEF">
      <w:pPr>
        <w:pStyle w:val="AERbulletlistfirststyle"/>
      </w:pPr>
      <w:r>
        <w:t>contingencies associated with implementing our choice of data series, if the data series we have chosen to estimate the return on debt are unavailable or change in future regulatory years during the regulatory control period</w:t>
      </w:r>
    </w:p>
    <w:p w:rsidR="00475D3A" w:rsidRPr="00DB6EB5" w:rsidRDefault="00475D3A" w:rsidP="00520CEF">
      <w:pPr>
        <w:pStyle w:val="AERbulletlistfirststyle"/>
      </w:pPr>
      <w:r>
        <w:t>the new issue premium</w:t>
      </w:r>
    </w:p>
    <w:p w:rsidR="00520CEF" w:rsidRPr="00DB6EB5" w:rsidRDefault="00520CEF" w:rsidP="00520CEF">
      <w:pPr>
        <w:pStyle w:val="AERbulletlistfirststyle"/>
      </w:pPr>
      <w:r>
        <w:t>the averaging period used to estimate the return on debt for each regulatory year</w:t>
      </w:r>
    </w:p>
    <w:p w:rsidR="00520CEF" w:rsidRDefault="00520CEF" w:rsidP="00520CEF">
      <w:pPr>
        <w:pStyle w:val="AERbulletlistfirststyle"/>
      </w:pPr>
      <w:r>
        <w:t>the annual process to update the return on debt</w:t>
      </w:r>
      <w:r w:rsidR="00475D3A">
        <w:t>.</w:t>
      </w:r>
    </w:p>
    <w:p w:rsidR="00520CEF" w:rsidRDefault="00520CEF" w:rsidP="00520CEF">
      <w:r>
        <w:t>Consistent with the Guideline, we are satisfied that a return on debt estimated based on a 10 year benchmark debt term, BBB+ benchmark credit rating, and using an independent third party data series is commensurate with the efficient financing costs of a benchmark efficient entity.</w:t>
      </w:r>
    </w:p>
    <w:p w:rsidR="00520CEF" w:rsidRDefault="00520CEF" w:rsidP="00520CEF">
      <w:r>
        <w:t>In choosing that third party series (or combination of series), we are satisfied that adopting a simple average of the broad BBB rated RBA and Bloomberg Valuation Service (BVAL) curves, with the RBA data series extrapolated to a 10 year term, is commensurate with the efficient financing costs of a benchmark efficient entity.</w:t>
      </w:r>
    </w:p>
    <w:p w:rsidR="00520CEF" w:rsidRDefault="00520CEF" w:rsidP="00520CEF">
      <w:pPr>
        <w:pStyle w:val="HeadingBoldItalic"/>
      </w:pPr>
      <w:r>
        <w:t>Term</w:t>
      </w:r>
    </w:p>
    <w:p w:rsidR="00F67558" w:rsidRPr="001B05B2" w:rsidRDefault="00F67558" w:rsidP="00F67558">
      <w:r w:rsidRPr="001B05B2">
        <w:t xml:space="preserve">Our decision is to adopt a ten year term for the return on debt. This is </w:t>
      </w:r>
      <w:r>
        <w:t xml:space="preserve">consistent with </w:t>
      </w:r>
      <w:r w:rsidRPr="001B05B2">
        <w:t xml:space="preserve">the </w:t>
      </w:r>
      <w:r>
        <w:t>G</w:t>
      </w:r>
      <w:r w:rsidRPr="001B05B2">
        <w:t>uideline.</w:t>
      </w:r>
      <w:r>
        <w:rPr>
          <w:rStyle w:val="FootnoteReference"/>
        </w:rPr>
        <w:footnoteReference w:id="428"/>
      </w:r>
      <w:r>
        <w:t xml:space="preserve"> This is also the position we adopted in our preliminary decision for CitiPower.</w:t>
      </w:r>
      <w:r>
        <w:rPr>
          <w:rStyle w:val="FootnoteReference"/>
        </w:rPr>
        <w:footnoteReference w:id="429"/>
      </w:r>
    </w:p>
    <w:p w:rsidR="00F67558" w:rsidRDefault="00F67558" w:rsidP="00F67558">
      <w:r w:rsidRPr="001B05B2">
        <w:t xml:space="preserve">All service providers </w:t>
      </w:r>
      <w:r>
        <w:t>with revised proposals currently before us</w:t>
      </w:r>
      <w:r w:rsidRPr="001B05B2">
        <w:t xml:space="preserve"> propose</w:t>
      </w:r>
      <w:r>
        <w:t>d</w:t>
      </w:r>
      <w:r w:rsidRPr="001B05B2">
        <w:t xml:space="preserve"> a ten y</w:t>
      </w:r>
      <w:r>
        <w:t>ear term for the return on debt.</w:t>
      </w:r>
      <w:r>
        <w:rPr>
          <w:rStyle w:val="FootnoteReference"/>
        </w:rPr>
        <w:footnoteReference w:id="430"/>
      </w:r>
      <w:r>
        <w:t xml:space="preserve"> This is consistent with their initial regulatory proposals</w:t>
      </w:r>
      <w:r w:rsidRPr="001B05B2">
        <w:t>.</w:t>
      </w:r>
      <w:r>
        <w:rPr>
          <w:rStyle w:val="FootnoteReference"/>
        </w:rPr>
        <w:footnoteReference w:id="431"/>
      </w:r>
      <w:r w:rsidRPr="001B05B2">
        <w:t xml:space="preserve"> This position is also consisten</w:t>
      </w:r>
      <w:r>
        <w:t>t with advice from NERA and CEG (commissioned by service providers in recent regulatory processes)</w:t>
      </w:r>
      <w:r w:rsidRPr="001B05B2">
        <w:t>.</w:t>
      </w:r>
      <w:r>
        <w:rPr>
          <w:rStyle w:val="FootnoteReference"/>
        </w:rPr>
        <w:footnoteReference w:id="432"/>
      </w:r>
    </w:p>
    <w:p w:rsidR="00F67558" w:rsidRDefault="00F67558" w:rsidP="00F67558">
      <w:r>
        <w:t>However, the Consumer Challenge Panel (CCP) has submitted that a seven year term is more suitable given our evidence on the weighted average bond tenor of service providers.</w:t>
      </w:r>
      <w:r>
        <w:rPr>
          <w:rStyle w:val="FootnoteReference"/>
        </w:rPr>
        <w:footnoteReference w:id="433"/>
      </w:r>
      <w:r>
        <w:t xml:space="preserve"> Recently, CCP subpanel three (CCP3) characterised this as one 'conservative decision' in a </w:t>
      </w:r>
      <w:r w:rsidRPr="00717FF1">
        <w:t>s</w:t>
      </w:r>
      <w:r>
        <w:t>eries of conservative decisions that would have the cumulative effect of a consistently overestimating the allowed rate of return.</w:t>
      </w:r>
      <w:r>
        <w:rPr>
          <w:rStyle w:val="FootnoteReference"/>
        </w:rPr>
        <w:footnoteReference w:id="434"/>
      </w:r>
      <w:r>
        <w:t xml:space="preserve"> Our view on this submission is:</w:t>
      </w:r>
    </w:p>
    <w:p w:rsidR="00F67558" w:rsidRPr="00F67558" w:rsidRDefault="00F67558" w:rsidP="00F67558">
      <w:pPr>
        <w:pStyle w:val="AERbulletlistfirststyle"/>
      </w:pPr>
      <w:r>
        <w:t>We agree that our decision to adopt a 10 year term for the return on debt could be characterised as 'conservative' given this</w:t>
      </w:r>
      <w:r w:rsidRPr="00F67558">
        <w:t xml:space="preserve"> is more likely to overstate rather than understate the debt term of a benchmark efficient entity.</w:t>
      </w:r>
      <w:r w:rsidRPr="00F67558">
        <w:rPr>
          <w:rStyle w:val="FootnoteReference"/>
        </w:rPr>
        <w:footnoteReference w:id="435"/>
      </w:r>
      <w:r w:rsidRPr="00F67558">
        <w:t xml:space="preserve"> It is worth noting that some service providers have previously submitted that they did not agree this assessment.</w:t>
      </w:r>
      <w:r w:rsidRPr="00F67558">
        <w:rPr>
          <w:rStyle w:val="FootnoteReference"/>
        </w:rPr>
        <w:footnoteReference w:id="436"/>
      </w:r>
      <w:r w:rsidRPr="00F67558">
        <w:t xml:space="preserve"> We responded to these submissions in our most recent preliminary decisions and reinforced our finding that the industry average term for the return on debt is 8.7 years.</w:t>
      </w:r>
      <w:r w:rsidRPr="00F67558">
        <w:rPr>
          <w:rStyle w:val="FootnoteReference"/>
        </w:rPr>
        <w:footnoteReference w:id="437"/>
      </w:r>
      <w:r w:rsidRPr="00F67558">
        <w:t xml:space="preserve"> While several of the revised proposals currently before us reiterated this disagreement, these did not provide new supporting information.</w:t>
      </w:r>
      <w:r w:rsidRPr="00F67558">
        <w:rPr>
          <w:rStyle w:val="FootnoteReference"/>
        </w:rPr>
        <w:footnoteReference w:id="438"/>
      </w:r>
      <w:r w:rsidRPr="00F67558">
        <w:t xml:space="preserve"> As such, we have no reason to depart from our positon or reasons in our most recent preliminary decisions.</w:t>
      </w:r>
    </w:p>
    <w:p w:rsidR="00F67558" w:rsidRPr="00F67558" w:rsidRDefault="00F67558" w:rsidP="00F67558">
      <w:pPr>
        <w:pStyle w:val="AERbulletlistfirststyle"/>
      </w:pPr>
      <w:r>
        <w:t>We do not agree that our decision has the cumulative effect of a consistently overestimating the allowed rate of return. We are cognisant that the overall rate of return must be determined such that it achieves the ARORO.</w:t>
      </w:r>
      <w:r w:rsidRPr="00F67558">
        <w:rPr>
          <w:rStyle w:val="FootnoteReference"/>
        </w:rPr>
        <w:footnoteReference w:id="439"/>
      </w:r>
      <w:r w:rsidRPr="00F67558">
        <w:t xml:space="preserve"> As such, in forming this decision, we have considered the allowed rate of return holistically and have taken into account interrelationships between parameters (see section 3.6.3). Having done this, we are satisfied that our allowed rate of return achieves the ARORO.</w:t>
      </w:r>
    </w:p>
    <w:p w:rsidR="00F67558" w:rsidRPr="001B05B2" w:rsidRDefault="00F67558" w:rsidP="00F67558">
      <w:r>
        <w:t>We</w:t>
      </w:r>
      <w:r w:rsidRPr="001B05B2">
        <w:t xml:space="preserve"> are satisfied that </w:t>
      </w:r>
      <w:r>
        <w:t>measuring the allowed return on debt by reference to a 10</w:t>
      </w:r>
      <w:r w:rsidRPr="001B05B2">
        <w:t xml:space="preserve"> year </w:t>
      </w:r>
      <w:r>
        <w:t xml:space="preserve">benchmark term is commensurate with </w:t>
      </w:r>
      <w:r w:rsidRPr="001B05B2">
        <w:t xml:space="preserve">the efficient </w:t>
      </w:r>
      <w:r>
        <w:t xml:space="preserve">financing </w:t>
      </w:r>
      <w:r w:rsidRPr="001B05B2">
        <w:t>costs o</w:t>
      </w:r>
      <w:r>
        <w:t>f a benchmark efficient entity. Our</w:t>
      </w:r>
      <w:r w:rsidRPr="001B05B2">
        <w:t xml:space="preserve"> reasons for </w:t>
      </w:r>
      <w:r>
        <w:t>adopting a 10 year benchmark debt term are</w:t>
      </w:r>
      <w:r w:rsidRPr="001B05B2">
        <w:t>:</w:t>
      </w:r>
    </w:p>
    <w:p w:rsidR="00F67558" w:rsidRPr="00F67558" w:rsidRDefault="00F67558" w:rsidP="00F67558">
      <w:pPr>
        <w:pStyle w:val="AERbulletlistfirststyle"/>
      </w:pPr>
      <w:r w:rsidRPr="001B05B2">
        <w:t xml:space="preserve">A long debt tenor is consistent with the long lived assets of </w:t>
      </w:r>
      <w:r w:rsidRPr="00F67558">
        <w:t>a benchmark efficient entity and reduces refinancing risk.</w:t>
      </w:r>
    </w:p>
    <w:p w:rsidR="00F67558" w:rsidRPr="00F67558" w:rsidRDefault="00F67558" w:rsidP="00F67558">
      <w:pPr>
        <w:pStyle w:val="AERbulletlistfirststyle"/>
      </w:pPr>
      <w:r w:rsidRPr="001B05B2">
        <w:t>A 10 year term is similar to (though somewhat longer than) the industry average term at issuance of a sample of firms that are comparable to the benchmark efficient entity.</w:t>
      </w:r>
    </w:p>
    <w:p w:rsidR="00F67558" w:rsidRPr="001B05B2" w:rsidRDefault="00F67558" w:rsidP="00F67558">
      <w:r w:rsidRPr="001B05B2">
        <w:t xml:space="preserve">Regulated network assets are long lived, and have asset lives that are longer than the terms commonly available for debt. Refinancing risk is the risk that a firm would not be able to </w:t>
      </w:r>
      <w:r>
        <w:t>re</w:t>
      </w:r>
      <w:r w:rsidRPr="001B05B2">
        <w:t xml:space="preserve">finance its debt at a given point in time due to this mismatch in terms. While conceptually we agree that businesses will seek to issue longer term debt to lower their refinancing risk, generally the cost of long term debt is higher than shorter term debt. This is because debt holders require compensation for the risks associated with holding debt over a longer time period. We consider a benchmark efficient entity would have regard to the trade-off between the higher cost of long term debt and the risk associated with refinancing and structure their debt holdings accordingly. Overall, these considerations suggest the average debt term of </w:t>
      </w:r>
      <w:r>
        <w:t>a</w:t>
      </w:r>
      <w:r w:rsidRPr="001B05B2">
        <w:t xml:space="preserve"> benchmark efficient entity </w:t>
      </w:r>
      <w:r>
        <w:t>would</w:t>
      </w:r>
      <w:r w:rsidRPr="001B05B2">
        <w:t xml:space="preserve"> be long term, but they do not provide clear guidance on wh</w:t>
      </w:r>
      <w:r>
        <w:t>at exactly that term should be.</w:t>
      </w:r>
    </w:p>
    <w:p w:rsidR="00F67558" w:rsidRPr="00E761F9" w:rsidRDefault="00F67558" w:rsidP="00F67558">
      <w:r w:rsidRPr="001B05B2">
        <w:t>For that reason, in our Guideline, we requested information from a range of privately owned service providers on the amount, type, term and credit rating of their debt issuances.</w:t>
      </w:r>
      <w:r>
        <w:rPr>
          <w:rStyle w:val="FootnoteReference"/>
        </w:rPr>
        <w:footnoteReference w:id="440"/>
      </w:r>
      <w:r w:rsidRPr="001B05B2">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 providers was 8.7 years at the time of the Guideline. We observed that service providers are securing bank debt with an average term at issuance of 4.3 years, issuing Australian bonds with an average term at issuance of 9.6 years, and issuing offshore bonds with an average term of 9.7 years.</w:t>
      </w:r>
      <w:r>
        <w:rPr>
          <w:rStyle w:val="FootnoteReference"/>
        </w:rPr>
        <w:footnoteReference w:id="441"/>
      </w:r>
    </w:p>
    <w:p w:rsidR="00520CEF" w:rsidRDefault="00520CEF" w:rsidP="00520CEF">
      <w:pPr>
        <w:pStyle w:val="HeadingBoldItalic"/>
      </w:pPr>
      <w:r>
        <w:t>Credit rating</w:t>
      </w:r>
    </w:p>
    <w:p w:rsidR="00F67558" w:rsidRDefault="00F67558" w:rsidP="00F67558">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preliminary decision.</w:t>
      </w:r>
      <w:r>
        <w:rPr>
          <w:rStyle w:val="FootnoteReference"/>
        </w:rPr>
        <w:footnoteReference w:id="442"/>
      </w:r>
      <w:r>
        <w:t xml:space="preserve"> We also applied this credit rating to recent decisions that were upheld before the Tribunal.</w:t>
      </w:r>
      <w:r>
        <w:rPr>
          <w:rStyle w:val="FootnoteReference"/>
        </w:rPr>
        <w:footnoteReference w:id="443"/>
      </w:r>
    </w:p>
    <w:p w:rsidR="00F67558" w:rsidRDefault="00F67558" w:rsidP="00F67558">
      <w:r>
        <w:t>In current regulatory processes, different service providers, consultants and other stakeholders have proposed different credit ratings for the benchmark efficient entity. In particular:</w:t>
      </w:r>
    </w:p>
    <w:p w:rsidR="00F67558" w:rsidRPr="00F67558" w:rsidRDefault="00F67558" w:rsidP="00F67558">
      <w:pPr>
        <w:pStyle w:val="AERbulletlistfirststyle"/>
      </w:pPr>
      <w:r>
        <w:t>CitiPower</w:t>
      </w:r>
      <w:r w:rsidRPr="00F67558">
        <w:t>, Powercor, AusNet Services distribution and ActewAGL proposed a credit rating of BBB to BBB+.</w:t>
      </w:r>
      <w:r w:rsidRPr="00F67558">
        <w:rPr>
          <w:rStyle w:val="FootnoteReference"/>
        </w:rPr>
        <w:footnoteReference w:id="444"/>
      </w:r>
    </w:p>
    <w:p w:rsidR="00F67558" w:rsidRPr="00F67558" w:rsidRDefault="00F67558" w:rsidP="00F67558">
      <w:pPr>
        <w:pStyle w:val="AERbulletlistfirststyle"/>
      </w:pPr>
      <w:r>
        <w:t xml:space="preserve">Jemena </w:t>
      </w:r>
      <w:r w:rsidRPr="00F67558">
        <w:t>and AGN accepted our benchmark credit rating of BBB+, but submitted that the evidence supported a BBB to BBB+ credit rating.</w:t>
      </w:r>
      <w:r w:rsidRPr="00F67558">
        <w:rPr>
          <w:rStyle w:val="FootnoteReference"/>
        </w:rPr>
        <w:footnoteReference w:id="445"/>
      </w:r>
    </w:p>
    <w:p w:rsidR="00F67558" w:rsidRPr="00F67558" w:rsidRDefault="00F67558" w:rsidP="00F67558">
      <w:pPr>
        <w:pStyle w:val="AERbulletlistfirststyle"/>
      </w:pPr>
      <w:r>
        <w:t xml:space="preserve">United Energy </w:t>
      </w:r>
      <w:r w:rsidRPr="00F67558">
        <w:t>and AusNet Services transmission submitted a BBB rating.</w:t>
      </w:r>
      <w:r w:rsidRPr="00F67558">
        <w:rPr>
          <w:rStyle w:val="FootnoteReference"/>
        </w:rPr>
        <w:footnoteReference w:id="446"/>
      </w:r>
      <w:r w:rsidRPr="00F67558">
        <w:t xml:space="preserve"> APT Pipelines (NT) Pty Ltd initially submitted a BBB rating, but did not address benchmark credit rating in its revised proposal.</w:t>
      </w:r>
      <w:r w:rsidRPr="00F67558">
        <w:rPr>
          <w:rStyle w:val="FootnoteReference"/>
        </w:rPr>
        <w:footnoteReference w:id="447"/>
      </w:r>
      <w:r w:rsidRPr="00F67558">
        <w:t xml:space="preserve"> </w:t>
      </w:r>
    </w:p>
    <w:p w:rsidR="00F67558" w:rsidRPr="00F67558" w:rsidRDefault="00F67558" w:rsidP="00F67558">
      <w:pPr>
        <w:pStyle w:val="AERbulletlistfirststyle"/>
      </w:pPr>
      <w:r>
        <w:t>Powerlink transmission and TasNetworks distribution applied the BBB+ credit rating in the Guideline.</w:t>
      </w:r>
      <w:r w:rsidRPr="00F67558">
        <w:rPr>
          <w:rStyle w:val="FootnoteReference"/>
        </w:rPr>
        <w:footnoteReference w:id="448"/>
      </w:r>
    </w:p>
    <w:p w:rsidR="00F67558" w:rsidRDefault="00F67558" w:rsidP="00F67558">
      <w:r>
        <w:t xml:space="preserve">Service providers with revised proposals currently before us did not submit any new consultant reports on the benchmark credit rating. However, the consultant reports we received previously were mixed. For instance: </w:t>
      </w:r>
    </w:p>
    <w:p w:rsidR="00F67558" w:rsidRPr="00F67558" w:rsidRDefault="00F67558" w:rsidP="00F67558">
      <w:pPr>
        <w:pStyle w:val="AERbulletlistfirststyle"/>
      </w:pPr>
      <w:r>
        <w:t>NERA and Houston Kemp (commissioned by TransGrid in a recent regulatory process) recommended a BBB+ credit rating</w:t>
      </w:r>
      <w:r w:rsidRPr="00F67558">
        <w:t>.</w:t>
      </w:r>
      <w:r w:rsidRPr="00F67558">
        <w:rPr>
          <w:rStyle w:val="FootnoteReference"/>
        </w:rPr>
        <w:footnoteReference w:id="449"/>
      </w:r>
    </w:p>
    <w:p w:rsidR="00F67558" w:rsidRPr="00F67558" w:rsidRDefault="00F67558" w:rsidP="00F67558">
      <w:pPr>
        <w:pStyle w:val="AERbulletlistfirststyle"/>
      </w:pPr>
      <w:r>
        <w:t xml:space="preserve">Several service providers and </w:t>
      </w:r>
      <w:r w:rsidRPr="00F67558">
        <w:t>CEG (commissioned by several service providers) recommended a BBB credit rating.</w:t>
      </w:r>
      <w:r w:rsidRPr="00F67558">
        <w:rPr>
          <w:rStyle w:val="FootnoteReference"/>
        </w:rPr>
        <w:footnoteReference w:id="450"/>
      </w:r>
    </w:p>
    <w:p w:rsidR="00F67558" w:rsidRPr="00F67558" w:rsidRDefault="00F67558" w:rsidP="00F67558">
      <w:pPr>
        <w:pStyle w:val="AERbulletlistfirststyle"/>
      </w:pPr>
      <w:r>
        <w:t>Lally (commissioned by us) and the South Australian Centre for Economic Studies (SACES) recommended a credit rating for energy networks of BBB to BBB+</w:t>
      </w:r>
      <w:r w:rsidRPr="00F67558">
        <w:t>.</w:t>
      </w:r>
      <w:r w:rsidRPr="00F67558">
        <w:rPr>
          <w:rStyle w:val="FootnoteReference"/>
        </w:rPr>
        <w:footnoteReference w:id="451"/>
      </w:r>
    </w:p>
    <w:p w:rsidR="00F67558" w:rsidRDefault="00F67558" w:rsidP="00F67558">
      <w:r>
        <w:t>In contrast, consumer groups generally submitted the benchmark credit rating of BBB+ was too low. For instance:</w:t>
      </w:r>
    </w:p>
    <w:p w:rsidR="00F67558" w:rsidRPr="00F67558" w:rsidRDefault="00F67558" w:rsidP="00F67558">
      <w:pPr>
        <w:pStyle w:val="AERbulletlistfirststyle"/>
      </w:pPr>
      <w:r>
        <w:t xml:space="preserve">The Chamber of Commerce and Industry Queensland (CCIQ) </w:t>
      </w:r>
      <w:r w:rsidRPr="00F67558">
        <w:t>and Energy Consumers Coalition of South Australia (ECCSA) submitted that credit ratings of BBB and BBB+ are too low.</w:t>
      </w:r>
      <w:r w:rsidRPr="00F67558">
        <w:rPr>
          <w:rStyle w:val="FootnoteReference"/>
        </w:rPr>
        <w:footnoteReference w:id="452"/>
      </w:r>
      <w:r w:rsidRPr="00F67558">
        <w:t xml:space="preserve"> ECCSA specifically noted this was the case given benchmark firms' gearing levels.</w:t>
      </w:r>
      <w:r w:rsidRPr="00F67558">
        <w:rPr>
          <w:rStyle w:val="FootnoteReference"/>
        </w:rPr>
        <w:footnoteReference w:id="453"/>
      </w:r>
    </w:p>
    <w:p w:rsidR="00F67558" w:rsidRPr="00F67558" w:rsidRDefault="00F67558" w:rsidP="00F67558">
      <w:pPr>
        <w:pStyle w:val="AERbulletlistfirststyle"/>
      </w:pPr>
      <w:r>
        <w:t xml:space="preserve">The Victorian </w:t>
      </w:r>
      <w:r w:rsidRPr="00F67558">
        <w:t>Energy Consumer and User Alliance (VECUA) referred to an analysis by the Energy Users Rule Change Committee (EURCC) in 2011 to support their view that we should recognise or have regard to service providers' actual credit ratings.</w:t>
      </w:r>
      <w:r w:rsidRPr="00F67558">
        <w:rPr>
          <w:rStyle w:val="FootnoteReference"/>
        </w:rPr>
        <w:footnoteReference w:id="454"/>
      </w:r>
      <w:r w:rsidRPr="00F67558">
        <w:t xml:space="preserve"> VECUA submitted that we provide higher debt allowances than appropriate by basing these on credit ratings that are lower than service providers' actual credit ratings.</w:t>
      </w:r>
      <w:r w:rsidRPr="00F67558">
        <w:rPr>
          <w:rStyle w:val="FootnoteReference"/>
        </w:rPr>
        <w:footnoteReference w:id="455"/>
      </w:r>
      <w:r w:rsidRPr="00F67558">
        <w:t xml:space="preserve">  Further, VECUA also submitted that by using debt in a broad BBB band to estimate the allowed return on debt, the debt allowance we provide is predominantly based on more expensive debt ratings.</w:t>
      </w:r>
      <w:r w:rsidRPr="00F67558">
        <w:rPr>
          <w:rStyle w:val="FootnoteReference"/>
        </w:rPr>
        <w:footnoteReference w:id="456"/>
      </w:r>
      <w:r w:rsidRPr="00F67558">
        <w:t xml:space="preserve"> We note that several service providers disagreed with this submission.</w:t>
      </w:r>
      <w:r w:rsidRPr="00F67558">
        <w:rPr>
          <w:rStyle w:val="FootnoteReference"/>
        </w:rPr>
        <w:footnoteReference w:id="457"/>
      </w:r>
    </w:p>
    <w:p w:rsidR="00F67558" w:rsidRPr="00F67558" w:rsidRDefault="00F67558" w:rsidP="00F67558">
      <w:pPr>
        <w:pStyle w:val="AERbulletlistfirststyle"/>
      </w:pPr>
      <w:r>
        <w:t>The CCP submitted that we should account for the difference between service providers actual cost of debt and the BBB benchmark so the allowance better reflects service providers' actual debt costs.</w:t>
      </w:r>
      <w:r w:rsidRPr="00F67558">
        <w:rPr>
          <w:rStyle w:val="FootnoteReference"/>
        </w:rPr>
        <w:footnoteReference w:id="458"/>
      </w:r>
      <w:r w:rsidRPr="00F67558">
        <w:t xml:space="preserve"> </w:t>
      </w:r>
    </w:p>
    <w:p w:rsidR="00F67558" w:rsidRPr="00E46612" w:rsidRDefault="00F67558" w:rsidP="00F67558">
      <w:r w:rsidRPr="00E46612">
        <w:t>We are satisfied that a benchmark efficient entity would have a BBB+ credit rating. We formed this view, as well as our view on the benchmark term of issuance, from considering a set of firms that we consider com parable to a benchmark efficient entity.</w:t>
      </w:r>
      <w:r w:rsidRPr="00E46612">
        <w:rPr>
          <w:rStyle w:val="FootnoteReference"/>
        </w:rPr>
        <w:footnoteReference w:id="459"/>
      </w:r>
      <w:r w:rsidRPr="00E46612">
        <w:t xml:space="preserve"> We consider this is more consistent with incentive regulation than basing our allowance for individual service providers on their actual credit ratings or actual historical costs of debt.</w:t>
      </w:r>
    </w:p>
    <w:p w:rsidR="00F67558" w:rsidRPr="007B3953" w:rsidRDefault="00F67558" w:rsidP="00F67558">
      <w:r w:rsidRPr="007B3953">
        <w:t xml:space="preserve">In our preliminary decision, we </w:t>
      </w:r>
      <w:r>
        <w:t>had regard to the evidence and differing opinions put before us by different services providers, consultants and consumer groups. This included responding</w:t>
      </w:r>
      <w:r w:rsidRPr="007B3953">
        <w:t xml:space="preserve"> to the following issues raised by stakeholders:</w:t>
      </w:r>
    </w:p>
    <w:p w:rsidR="00F67558" w:rsidRPr="00F67558" w:rsidRDefault="00F67558" w:rsidP="00F67558">
      <w:pPr>
        <w:pStyle w:val="AERbulletlistfirststyle"/>
      </w:pPr>
      <w:r w:rsidRPr="007B3953">
        <w:t xml:space="preserve">Whether the current </w:t>
      </w:r>
      <w:r w:rsidRPr="00F67558">
        <w:t>industry median is BBB+ or BBB (raised by service providers).</w:t>
      </w:r>
      <w:r w:rsidRPr="00F67558">
        <w:rPr>
          <w:rStyle w:val="FootnoteReference"/>
        </w:rPr>
        <w:footnoteReference w:id="460"/>
      </w:r>
    </w:p>
    <w:p w:rsidR="00F67558" w:rsidRPr="00F67558" w:rsidRDefault="00F67558" w:rsidP="00F67558">
      <w:pPr>
        <w:pStyle w:val="AERbulletlistfirststyle"/>
      </w:pPr>
      <w:r w:rsidRPr="007B3953">
        <w:t>The length of the period used to estimate the industry median (raised by service providers).</w:t>
      </w:r>
      <w:r w:rsidRPr="00F67558">
        <w:rPr>
          <w:rStyle w:val="FootnoteReference"/>
        </w:rPr>
        <w:footnoteReference w:id="461"/>
      </w:r>
    </w:p>
    <w:p w:rsidR="00F67558" w:rsidRPr="00F67558" w:rsidRDefault="00F67558" w:rsidP="00F67558">
      <w:pPr>
        <w:pStyle w:val="AERbulletlistfirststyle"/>
      </w:pPr>
      <w:r w:rsidRPr="007B3953">
        <w:t>Whether we should exclude certain businesses from the comparator set used to estimate the industry median.</w:t>
      </w:r>
      <w:r w:rsidRPr="00F67558">
        <w:rPr>
          <w:rStyle w:val="FootnoteReference"/>
        </w:rPr>
        <w:footnoteReference w:id="462"/>
      </w:r>
    </w:p>
    <w:p w:rsidR="00F67558" w:rsidRDefault="00F67558" w:rsidP="00F67558">
      <w:r w:rsidRPr="007B3953">
        <w:t>Since we have not received further supporting information in the revised proposals</w:t>
      </w:r>
      <w:r>
        <w:t xml:space="preserve"> or submissions</w:t>
      </w:r>
      <w:r w:rsidRPr="007B3953">
        <w:t xml:space="preserve">, </w:t>
      </w:r>
      <w:r>
        <w:t xml:space="preserve">our view has not changed. </w:t>
      </w:r>
      <w:r w:rsidRPr="00BF669E">
        <w:t>We note in the revised proposals the businesses put forward the same substantive arguments for a lower credit rating as they submitted in their original proposals.</w:t>
      </w:r>
      <w:r w:rsidRPr="00BF669E">
        <w:rPr>
          <w:rStyle w:val="FootnoteReference"/>
        </w:rPr>
        <w:footnoteReference w:id="463"/>
      </w:r>
      <w:r>
        <w:t xml:space="preserve"> Our decision is to maintain a BBB+ benchmark credit rating. We have had regard to data over the short, medium and longer term with the majority of evidence supporting a benchmark credit rating of BBB+. We draw our comparator set for estimating the benchmark credit rating from Standard and Poor's industry report cards, with the exclusion of one business which is owned by an Australian state government.</w:t>
      </w:r>
      <w:r>
        <w:rPr>
          <w:rStyle w:val="FootnoteReference"/>
        </w:rPr>
        <w:footnoteReference w:id="464"/>
      </w:r>
      <w:r>
        <w:t xml:space="preserve"> We do not agree with the reasons put forward for excluding firms from the comparator set. Nevertheless, even if we applied all of the potential exclusion criteria, this would not support departing from a BBB+ benchmark credit rating.</w:t>
      </w:r>
      <w:r>
        <w:rPr>
          <w:rStyle w:val="FootnoteReference"/>
        </w:rPr>
        <w:footnoteReference w:id="465"/>
      </w:r>
      <w:r>
        <w:t xml:space="preserve"> </w:t>
      </w:r>
      <w:r w:rsidRPr="007B3953">
        <w:t>For our supporting analysis</w:t>
      </w:r>
      <w:r>
        <w:t xml:space="preserve">, </w:t>
      </w:r>
      <w:r w:rsidRPr="007B3953">
        <w:t>see our preliminary decision.</w:t>
      </w:r>
      <w:r w:rsidRPr="007B3953">
        <w:rPr>
          <w:rStyle w:val="FootnoteReference"/>
        </w:rPr>
        <w:footnoteReference w:id="466"/>
      </w:r>
    </w:p>
    <w:p w:rsidR="00F67558" w:rsidRPr="007B3953" w:rsidRDefault="00F67558" w:rsidP="00F67558">
      <w:pPr>
        <w:pStyle w:val="HeadingItalic"/>
      </w:pPr>
      <w:r>
        <w:t>Update of empirical evidence</w:t>
      </w:r>
    </w:p>
    <w:p w:rsidR="00F67558" w:rsidRPr="008E3CDC" w:rsidRDefault="00F67558" w:rsidP="00F67558">
      <w:r>
        <w:t>Consistent with our estimate in</w:t>
      </w:r>
      <w:r w:rsidRPr="008E3CDC">
        <w:t xml:space="preserve"> </w:t>
      </w:r>
      <w:r>
        <w:t xml:space="preserve">the </w:t>
      </w:r>
      <w:r w:rsidRPr="008E3CDC">
        <w:t>Guideline and preliminary decision</w:t>
      </w:r>
      <w:r>
        <w:t>, we have had regard to empirical evidence in applying a benchmark credit rating of BBB+</w:t>
      </w:r>
      <w:r w:rsidRPr="008E3CDC">
        <w:t>.</w:t>
      </w:r>
      <w:r w:rsidRPr="008E3CDC">
        <w:rPr>
          <w:rStyle w:val="FootnoteReference"/>
        </w:rPr>
        <w:footnoteReference w:id="467"/>
      </w:r>
      <w:r w:rsidRPr="008E3CDC">
        <w:t xml:space="preserve"> </w:t>
      </w:r>
    </w:p>
    <w:p w:rsidR="00F67558" w:rsidRDefault="00F67558" w:rsidP="00F67558">
      <w:r>
        <w:fldChar w:fldCharType="begin"/>
      </w:r>
      <w:r>
        <w:instrText xml:space="preserve"> REF _Ref450564768 \h </w:instrText>
      </w:r>
      <w:r>
        <w:fldChar w:fldCharType="separate"/>
      </w:r>
      <w:r w:rsidR="00BA2E8E">
        <w:t xml:space="preserve">Table </w:t>
      </w:r>
      <w:r w:rsidR="00BA2E8E">
        <w:rPr>
          <w:noProof/>
        </w:rPr>
        <w:t>3</w:t>
      </w:r>
      <w:r w:rsidR="00BA2E8E">
        <w:noBreakHyphen/>
      </w:r>
      <w:r w:rsidR="00BA2E8E">
        <w:rPr>
          <w:noProof/>
        </w:rPr>
        <w:t>12</w:t>
      </w:r>
      <w:r>
        <w:fldChar w:fldCharType="end"/>
      </w:r>
      <w:r>
        <w:t xml:space="preserve"> sets out the median credit rating over historical periods of progressively longer length. While </w:t>
      </w:r>
      <w:r>
        <w:fldChar w:fldCharType="begin"/>
      </w:r>
      <w:r>
        <w:instrText xml:space="preserve"> REF  _Ref450564768 \* Lower \h </w:instrText>
      </w:r>
      <w:r>
        <w:fldChar w:fldCharType="separate"/>
      </w:r>
      <w:r w:rsidR="00BA2E8E">
        <w:t xml:space="preserve">table </w:t>
      </w:r>
      <w:r w:rsidR="00BA2E8E">
        <w:rPr>
          <w:noProof/>
        </w:rPr>
        <w:t>3</w:t>
      </w:r>
      <w:r w:rsidR="00BA2E8E">
        <w:noBreakHyphen/>
      </w:r>
      <w:r w:rsidR="00BA2E8E">
        <w:rPr>
          <w:noProof/>
        </w:rPr>
        <w:t>12</w:t>
      </w:r>
      <w:r>
        <w:fldChar w:fldCharType="end"/>
      </w:r>
      <w:r>
        <w:t xml:space="preserve"> shows some support for a credit rating of BBB, we consider it shows stronger support for a credit rating of BBB+. </w:t>
      </w:r>
    </w:p>
    <w:p w:rsidR="00F67558" w:rsidRDefault="00F67558" w:rsidP="00F67558">
      <w:r>
        <w:t>We also note that this estimate entails taking the median from the yearly medians. We could also take the median of all credit rating observations over these time periods. This gives</w:t>
      </w:r>
      <w:r w:rsidRPr="00057769">
        <w:t xml:space="preserve"> BBB+ for the five most recent periods, BBB/BBB+ for the period 2010–2015 and BBB for the longer averaging periods (2006–2015 to 2009–15)</w:t>
      </w:r>
      <w:r>
        <w:t>. Both median of yearly medians and median of all observations show stronger support for a BBB+ benchmark credit rating. Similarly, having considered our presentation of this dat</w:t>
      </w:r>
      <w:r w:rsidR="00582F11">
        <w:t xml:space="preserve">a in recent determinations, the </w:t>
      </w:r>
      <w:r>
        <w:t>Tribunal observed that the more recent years firmly point towards a BBB+ credit rating for the benchmark efficient entity.</w:t>
      </w:r>
      <w:r>
        <w:rPr>
          <w:rStyle w:val="FootnoteReference"/>
        </w:rPr>
        <w:footnoteReference w:id="468"/>
      </w:r>
    </w:p>
    <w:p w:rsidR="00F67558" w:rsidRDefault="00F67558" w:rsidP="00F67558">
      <w:r>
        <w:t>For further analysis regarding median credit ratings over historical periods, refer to our past decisions.</w:t>
      </w:r>
      <w:r>
        <w:rPr>
          <w:rStyle w:val="FootnoteReference"/>
        </w:rPr>
        <w:footnoteReference w:id="469"/>
      </w:r>
    </w:p>
    <w:p w:rsidR="00F67558" w:rsidRPr="00E41C8B" w:rsidRDefault="000F4BC3" w:rsidP="000F4BC3">
      <w:pPr>
        <w:pStyle w:val="Caption"/>
      </w:pPr>
      <w:bookmarkStart w:id="149" w:name="_Ref450564768"/>
      <w:r>
        <w:t xml:space="preserve">Table </w:t>
      </w:r>
      <w:fldSimple w:instr=" STYLEREF 1 \s ">
        <w:r w:rsidR="00BA2E8E">
          <w:rPr>
            <w:noProof/>
          </w:rPr>
          <w:t>3</w:t>
        </w:r>
      </w:fldSimple>
      <w:r>
        <w:noBreakHyphen/>
      </w:r>
      <w:fldSimple w:instr=" SEQ Table \* ARABIC \s 1 ">
        <w:r w:rsidR="00BA2E8E">
          <w:rPr>
            <w:noProof/>
          </w:rPr>
          <w:t>12</w:t>
        </w:r>
      </w:fldSimple>
      <w:bookmarkEnd w:id="149"/>
      <w:r w:rsidR="00F67558">
        <w:t xml:space="preserve"> </w:t>
      </w:r>
      <w:r w:rsidR="00F67558" w:rsidRPr="00E41C8B">
        <w:t>Median credit rating</w:t>
      </w:r>
      <w:r w:rsidR="00F67558" w:rsidRPr="00627B3D">
        <w:t>—</w:t>
      </w:r>
      <w:r w:rsidR="00F67558" w:rsidRPr="00E41C8B">
        <w:t>Comparator set of firms</w:t>
      </w:r>
    </w:p>
    <w:tbl>
      <w:tblPr>
        <w:tblStyle w:val="AERtable-text0"/>
        <w:tblW w:w="0" w:type="auto"/>
        <w:tblLook w:val="04A0" w:firstRow="1" w:lastRow="0" w:firstColumn="1" w:lastColumn="0" w:noHBand="0" w:noVBand="1"/>
      </w:tblPr>
      <w:tblGrid>
        <w:gridCol w:w="2153"/>
        <w:gridCol w:w="2192"/>
        <w:gridCol w:w="2155"/>
        <w:gridCol w:w="2193"/>
      </w:tblGrid>
      <w:tr w:rsidR="00F67558" w:rsidRPr="00073F41" w:rsidTr="007201E8">
        <w:trPr>
          <w:cnfStyle w:val="100000000000" w:firstRow="1" w:lastRow="0" w:firstColumn="0" w:lastColumn="0" w:oddVBand="0" w:evenVBand="0" w:oddHBand="0" w:evenHBand="0" w:firstRowFirstColumn="0" w:firstRowLastColumn="0" w:lastRowFirstColumn="0" w:lastRowLastColumn="0"/>
        </w:trPr>
        <w:tc>
          <w:tcPr>
            <w:tcW w:w="2153" w:type="dxa"/>
          </w:tcPr>
          <w:p w:rsidR="00F67558" w:rsidRPr="00F67558" w:rsidRDefault="00F67558" w:rsidP="000F4BC3">
            <w:r w:rsidRPr="00073F41">
              <w:t xml:space="preserve">Time </w:t>
            </w:r>
            <w:r w:rsidRPr="00F67558">
              <w:t xml:space="preserve">period </w:t>
            </w:r>
          </w:p>
        </w:tc>
        <w:tc>
          <w:tcPr>
            <w:tcW w:w="2192" w:type="dxa"/>
          </w:tcPr>
          <w:p w:rsidR="00F67558" w:rsidRPr="00F67558" w:rsidRDefault="00F67558" w:rsidP="000F4BC3">
            <w:r w:rsidRPr="00073F41">
              <w:t>Median credit rating</w:t>
            </w:r>
          </w:p>
        </w:tc>
        <w:tc>
          <w:tcPr>
            <w:tcW w:w="2155" w:type="dxa"/>
          </w:tcPr>
          <w:p w:rsidR="00F67558" w:rsidRPr="00F67558" w:rsidRDefault="00F67558" w:rsidP="000F4BC3">
            <w:r w:rsidRPr="00073F41">
              <w:t>Time period</w:t>
            </w:r>
          </w:p>
        </w:tc>
        <w:tc>
          <w:tcPr>
            <w:tcW w:w="2193" w:type="dxa"/>
          </w:tcPr>
          <w:p w:rsidR="00F67558" w:rsidRPr="00F67558" w:rsidRDefault="00F67558" w:rsidP="000F4BC3">
            <w:r w:rsidRPr="00073F41">
              <w:t>Median credit rating</w:t>
            </w:r>
          </w:p>
        </w:tc>
      </w:tr>
      <w:tr w:rsidR="00F67558" w:rsidRPr="00073F41" w:rsidTr="007201E8">
        <w:trPr>
          <w:trHeight w:val="622"/>
        </w:trPr>
        <w:tc>
          <w:tcPr>
            <w:tcW w:w="2153" w:type="dxa"/>
          </w:tcPr>
          <w:p w:rsidR="00F67558" w:rsidRPr="00F67558" w:rsidRDefault="00F67558" w:rsidP="000F4BC3">
            <w:r>
              <w:t xml:space="preserve">2015 </w:t>
            </w:r>
          </w:p>
        </w:tc>
        <w:tc>
          <w:tcPr>
            <w:tcW w:w="2192" w:type="dxa"/>
          </w:tcPr>
          <w:p w:rsidR="00F67558" w:rsidRPr="00F67558" w:rsidRDefault="00F67558" w:rsidP="000F4BC3">
            <w:r w:rsidRPr="00073F41">
              <w:t>BBB+</w:t>
            </w:r>
          </w:p>
        </w:tc>
        <w:tc>
          <w:tcPr>
            <w:tcW w:w="2155" w:type="dxa"/>
          </w:tcPr>
          <w:p w:rsidR="00F67558" w:rsidRPr="00F67558" w:rsidRDefault="00F67558" w:rsidP="000F4BC3">
            <w:r>
              <w:t>2010</w:t>
            </w:r>
            <w:r w:rsidRPr="00F67558">
              <w:t>–2015</w:t>
            </w:r>
          </w:p>
        </w:tc>
        <w:tc>
          <w:tcPr>
            <w:tcW w:w="2193" w:type="dxa"/>
          </w:tcPr>
          <w:p w:rsidR="00F67558" w:rsidRPr="00F67558" w:rsidRDefault="00F67558" w:rsidP="000F4BC3">
            <w:r w:rsidRPr="00073F41">
              <w:t>BBB</w:t>
            </w:r>
            <w:r w:rsidRPr="00F67558">
              <w:t>/BBB+</w:t>
            </w:r>
          </w:p>
        </w:tc>
      </w:tr>
      <w:tr w:rsidR="00F67558" w:rsidRPr="00073F41" w:rsidTr="007201E8">
        <w:trPr>
          <w:cnfStyle w:val="000000010000" w:firstRow="0" w:lastRow="0" w:firstColumn="0" w:lastColumn="0" w:oddVBand="0" w:evenVBand="0" w:oddHBand="0" w:evenHBand="1" w:firstRowFirstColumn="0" w:firstRowLastColumn="0" w:lastRowFirstColumn="0" w:lastRowLastColumn="0"/>
        </w:trPr>
        <w:tc>
          <w:tcPr>
            <w:tcW w:w="2153" w:type="dxa"/>
          </w:tcPr>
          <w:p w:rsidR="00F67558" w:rsidRPr="00F67558" w:rsidRDefault="00F67558" w:rsidP="000F4BC3">
            <w:r>
              <w:t>2014–2015</w:t>
            </w:r>
          </w:p>
        </w:tc>
        <w:tc>
          <w:tcPr>
            <w:tcW w:w="2192" w:type="dxa"/>
          </w:tcPr>
          <w:p w:rsidR="00F67558" w:rsidRPr="00F67558" w:rsidRDefault="00F67558" w:rsidP="000F4BC3">
            <w:r w:rsidRPr="00073F41">
              <w:t>BBB+</w:t>
            </w:r>
          </w:p>
        </w:tc>
        <w:tc>
          <w:tcPr>
            <w:tcW w:w="2155" w:type="dxa"/>
          </w:tcPr>
          <w:p w:rsidR="00F67558" w:rsidRPr="00F67558" w:rsidRDefault="00F67558" w:rsidP="000F4BC3">
            <w:r>
              <w:t>2009–2015</w:t>
            </w:r>
          </w:p>
        </w:tc>
        <w:tc>
          <w:tcPr>
            <w:tcW w:w="2193" w:type="dxa"/>
          </w:tcPr>
          <w:p w:rsidR="00F67558" w:rsidRPr="00F67558" w:rsidRDefault="00F67558" w:rsidP="000F4BC3">
            <w:r>
              <w:t>BBB</w:t>
            </w:r>
          </w:p>
        </w:tc>
      </w:tr>
      <w:tr w:rsidR="00F67558" w:rsidRPr="00073F41" w:rsidTr="007201E8">
        <w:tc>
          <w:tcPr>
            <w:tcW w:w="2153" w:type="dxa"/>
          </w:tcPr>
          <w:p w:rsidR="00F67558" w:rsidRPr="00F67558" w:rsidRDefault="00F67558" w:rsidP="000F4BC3">
            <w:r>
              <w:t>2013–2015</w:t>
            </w:r>
          </w:p>
        </w:tc>
        <w:tc>
          <w:tcPr>
            <w:tcW w:w="2192" w:type="dxa"/>
          </w:tcPr>
          <w:p w:rsidR="00F67558" w:rsidRPr="00F67558" w:rsidRDefault="00F67558" w:rsidP="000F4BC3">
            <w:r w:rsidRPr="00073F41">
              <w:t>BBB+</w:t>
            </w:r>
          </w:p>
        </w:tc>
        <w:tc>
          <w:tcPr>
            <w:tcW w:w="2155" w:type="dxa"/>
          </w:tcPr>
          <w:p w:rsidR="00F67558" w:rsidRPr="00F67558" w:rsidRDefault="00F67558" w:rsidP="000F4BC3">
            <w:r>
              <w:t>2008–2015</w:t>
            </w:r>
          </w:p>
        </w:tc>
        <w:tc>
          <w:tcPr>
            <w:tcW w:w="2193" w:type="dxa"/>
          </w:tcPr>
          <w:p w:rsidR="00F67558" w:rsidRPr="00F67558" w:rsidRDefault="00F67558" w:rsidP="000F4BC3">
            <w:r>
              <w:t>BBB</w:t>
            </w:r>
            <w:r w:rsidRPr="00F67558">
              <w:t>/BBB+</w:t>
            </w:r>
          </w:p>
        </w:tc>
      </w:tr>
      <w:tr w:rsidR="00F67558" w:rsidRPr="00073F41" w:rsidTr="007201E8">
        <w:trPr>
          <w:cnfStyle w:val="000000010000" w:firstRow="0" w:lastRow="0" w:firstColumn="0" w:lastColumn="0" w:oddVBand="0" w:evenVBand="0" w:oddHBand="0" w:evenHBand="1" w:firstRowFirstColumn="0" w:firstRowLastColumn="0" w:lastRowFirstColumn="0" w:lastRowLastColumn="0"/>
        </w:trPr>
        <w:tc>
          <w:tcPr>
            <w:tcW w:w="2153" w:type="dxa"/>
          </w:tcPr>
          <w:p w:rsidR="00F67558" w:rsidRPr="00F67558" w:rsidRDefault="00F67558" w:rsidP="000F4BC3">
            <w:r>
              <w:t>2012–2015</w:t>
            </w:r>
          </w:p>
        </w:tc>
        <w:tc>
          <w:tcPr>
            <w:tcW w:w="2192" w:type="dxa"/>
          </w:tcPr>
          <w:p w:rsidR="00F67558" w:rsidRPr="00F67558" w:rsidRDefault="00F67558" w:rsidP="000F4BC3">
            <w:r w:rsidRPr="00073F41">
              <w:t>BBB</w:t>
            </w:r>
            <w:r w:rsidRPr="00F67558">
              <w:t>/BBB+</w:t>
            </w:r>
          </w:p>
        </w:tc>
        <w:tc>
          <w:tcPr>
            <w:tcW w:w="2155" w:type="dxa"/>
          </w:tcPr>
          <w:p w:rsidR="00F67558" w:rsidRPr="00F67558" w:rsidRDefault="00F67558" w:rsidP="000F4BC3">
            <w:r>
              <w:t>2007–2015</w:t>
            </w:r>
          </w:p>
        </w:tc>
        <w:tc>
          <w:tcPr>
            <w:tcW w:w="2193" w:type="dxa"/>
          </w:tcPr>
          <w:p w:rsidR="00F67558" w:rsidRPr="00F67558" w:rsidRDefault="00F67558" w:rsidP="000F4BC3">
            <w:r>
              <w:t>BBB/</w:t>
            </w:r>
            <w:r w:rsidRPr="00F67558">
              <w:t>BBB+</w:t>
            </w:r>
          </w:p>
        </w:tc>
      </w:tr>
      <w:tr w:rsidR="00F67558" w:rsidRPr="00073F41" w:rsidTr="007201E8">
        <w:tc>
          <w:tcPr>
            <w:tcW w:w="2153" w:type="dxa"/>
          </w:tcPr>
          <w:p w:rsidR="00F67558" w:rsidRPr="00F67558" w:rsidRDefault="00F67558" w:rsidP="000F4BC3">
            <w:r>
              <w:t>2011–2015</w:t>
            </w:r>
          </w:p>
        </w:tc>
        <w:tc>
          <w:tcPr>
            <w:tcW w:w="2192" w:type="dxa"/>
          </w:tcPr>
          <w:p w:rsidR="00F67558" w:rsidRPr="00F67558" w:rsidRDefault="00F67558" w:rsidP="000F4BC3">
            <w:r>
              <w:t>BBB</w:t>
            </w:r>
            <w:r w:rsidRPr="00F67558">
              <w:t>/BBB+</w:t>
            </w:r>
          </w:p>
        </w:tc>
        <w:tc>
          <w:tcPr>
            <w:tcW w:w="2155" w:type="dxa"/>
          </w:tcPr>
          <w:p w:rsidR="00F67558" w:rsidRPr="00F67558" w:rsidRDefault="00F67558" w:rsidP="000F4BC3">
            <w:r>
              <w:t>2006–2015</w:t>
            </w:r>
          </w:p>
        </w:tc>
        <w:tc>
          <w:tcPr>
            <w:tcW w:w="2193" w:type="dxa"/>
          </w:tcPr>
          <w:p w:rsidR="00F67558" w:rsidRPr="00F67558" w:rsidRDefault="00F67558" w:rsidP="000F4BC3">
            <w:r>
              <w:t>BBB/</w:t>
            </w:r>
            <w:r w:rsidRPr="00F67558">
              <w:t>BBB+</w:t>
            </w:r>
          </w:p>
        </w:tc>
      </w:tr>
    </w:tbl>
    <w:p w:rsidR="00F67558" w:rsidRDefault="00F67558" w:rsidP="00F67558">
      <w:pPr>
        <w:pStyle w:val="AERtablesource"/>
      </w:pPr>
      <w:r w:rsidRPr="00E41C8B">
        <w:t xml:space="preserve">Source: </w:t>
      </w:r>
      <w:r w:rsidRPr="00E41C8B">
        <w:tab/>
        <w:t>Bloomberg (S&amp;P), AER analysis.</w:t>
      </w:r>
      <w:r>
        <w:t xml:space="preserve"> </w:t>
      </w:r>
    </w:p>
    <w:p w:rsidR="00F67558" w:rsidRDefault="00F67558" w:rsidP="00F67558">
      <w:r>
        <w:t>In our preliminary decision, we also set out the comparator set we use to estimate the industry median.</w:t>
      </w:r>
      <w:r>
        <w:rPr>
          <w:rStyle w:val="FootnoteReference"/>
        </w:rPr>
        <w:footnoteReference w:id="470"/>
      </w:r>
      <w:r>
        <w:t xml:space="preserve"> Since that time, Powercor Australia LLC and the CitiPower Trust now raise debt under a common funding vehicle, Victoria Power Networks (Finance) Pty Ltd.</w:t>
      </w:r>
      <w:r>
        <w:rPr>
          <w:rStyle w:val="FootnoteReference"/>
        </w:rPr>
        <w:footnoteReference w:id="471"/>
      </w:r>
      <w:r>
        <w:t xml:space="preserve"> We have added this common funding vehicle to our comparator set. </w:t>
      </w:r>
    </w:p>
    <w:p w:rsidR="00F67558" w:rsidRDefault="00F67558" w:rsidP="00F67558">
      <w:r>
        <w:t xml:space="preserve">The yearly median credit ratings across our updated comparator set since the 2006 calendar year end are shown in </w:t>
      </w:r>
      <w:r>
        <w:fldChar w:fldCharType="begin"/>
      </w:r>
      <w:r>
        <w:instrText xml:space="preserve"> REF  _Ref450564789 \* Lower \h </w:instrText>
      </w:r>
      <w:r>
        <w:fldChar w:fldCharType="separate"/>
      </w:r>
      <w:r w:rsidR="00BA2E8E">
        <w:t xml:space="preserve">table </w:t>
      </w:r>
      <w:r w:rsidR="00BA2E8E">
        <w:rPr>
          <w:noProof/>
        </w:rPr>
        <w:t>3</w:t>
      </w:r>
      <w:r w:rsidR="00BA2E8E">
        <w:noBreakHyphen/>
      </w:r>
      <w:r w:rsidR="00BA2E8E">
        <w:rPr>
          <w:noProof/>
        </w:rPr>
        <w:t>13</w:t>
      </w:r>
      <w:r>
        <w:fldChar w:fldCharType="end"/>
      </w:r>
      <w:r>
        <w:t>.</w:t>
      </w:r>
    </w:p>
    <w:p w:rsidR="00F67558" w:rsidRPr="00411A04" w:rsidRDefault="000F4BC3" w:rsidP="000F4BC3">
      <w:pPr>
        <w:pStyle w:val="Caption"/>
      </w:pPr>
      <w:bookmarkStart w:id="150" w:name="_Ref450564789"/>
      <w:r>
        <w:t xml:space="preserve">Table </w:t>
      </w:r>
      <w:fldSimple w:instr=" STYLEREF 1 \s ">
        <w:r w:rsidR="00BA2E8E">
          <w:rPr>
            <w:noProof/>
          </w:rPr>
          <w:t>3</w:t>
        </w:r>
      </w:fldSimple>
      <w:r>
        <w:noBreakHyphen/>
      </w:r>
      <w:fldSimple w:instr=" SEQ Table \* ARABIC \s 1 ">
        <w:r w:rsidR="00BA2E8E">
          <w:rPr>
            <w:noProof/>
          </w:rPr>
          <w:t>13</w:t>
        </w:r>
      </w:fldSimple>
      <w:bookmarkEnd w:id="150"/>
      <w:r>
        <w:t xml:space="preserve"> </w:t>
      </w:r>
      <w:r w:rsidR="00F67558">
        <w:t>Credit ratings of network service providers over time</w:t>
      </w:r>
    </w:p>
    <w:tbl>
      <w:tblPr>
        <w:tblStyle w:val="AERtable-text0"/>
        <w:tblW w:w="5000" w:type="pct"/>
        <w:tblLook w:val="04A0" w:firstRow="1" w:lastRow="0" w:firstColumn="1" w:lastColumn="0" w:noHBand="0" w:noVBand="1"/>
      </w:tblPr>
      <w:tblGrid>
        <w:gridCol w:w="1512"/>
        <w:gridCol w:w="734"/>
        <w:gridCol w:w="734"/>
        <w:gridCol w:w="734"/>
        <w:gridCol w:w="734"/>
        <w:gridCol w:w="683"/>
        <w:gridCol w:w="683"/>
        <w:gridCol w:w="683"/>
        <w:gridCol w:w="734"/>
        <w:gridCol w:w="734"/>
        <w:gridCol w:w="728"/>
      </w:tblGrid>
      <w:tr w:rsidR="00F67558" w:rsidRPr="007D3E67" w:rsidTr="007201E8">
        <w:trPr>
          <w:cnfStyle w:val="100000000000" w:firstRow="1" w:lastRow="0" w:firstColumn="0" w:lastColumn="0" w:oddVBand="0" w:evenVBand="0" w:oddHBand="0" w:evenHBand="0" w:firstRowFirstColumn="0" w:firstRowLastColumn="0" w:lastRowFirstColumn="0" w:lastRowLastColumn="0"/>
        </w:trPr>
        <w:tc>
          <w:tcPr>
            <w:tcW w:w="870" w:type="pct"/>
          </w:tcPr>
          <w:p w:rsidR="00F67558" w:rsidRPr="00F67558" w:rsidRDefault="00F67558" w:rsidP="000F4BC3">
            <w:r w:rsidRPr="007D3E67">
              <w:t>Issuer</w:t>
            </w:r>
          </w:p>
        </w:tc>
        <w:tc>
          <w:tcPr>
            <w:tcW w:w="422" w:type="pct"/>
          </w:tcPr>
          <w:p w:rsidR="00F67558" w:rsidRPr="00F67558" w:rsidRDefault="00F67558" w:rsidP="000F4BC3">
            <w:r w:rsidRPr="007D3E67">
              <w:t>2006</w:t>
            </w:r>
          </w:p>
        </w:tc>
        <w:tc>
          <w:tcPr>
            <w:tcW w:w="422" w:type="pct"/>
          </w:tcPr>
          <w:p w:rsidR="00F67558" w:rsidRPr="00F67558" w:rsidRDefault="00F67558" w:rsidP="000F4BC3">
            <w:r w:rsidRPr="007D3E67">
              <w:t>2007</w:t>
            </w:r>
          </w:p>
        </w:tc>
        <w:tc>
          <w:tcPr>
            <w:tcW w:w="422" w:type="pct"/>
          </w:tcPr>
          <w:p w:rsidR="00F67558" w:rsidRPr="00F67558" w:rsidRDefault="00F67558" w:rsidP="000F4BC3">
            <w:r w:rsidRPr="007D3E67">
              <w:t>2008</w:t>
            </w:r>
          </w:p>
        </w:tc>
        <w:tc>
          <w:tcPr>
            <w:tcW w:w="422" w:type="pct"/>
          </w:tcPr>
          <w:p w:rsidR="00F67558" w:rsidRPr="00F67558" w:rsidRDefault="00F67558" w:rsidP="000F4BC3">
            <w:r w:rsidRPr="007D3E67">
              <w:t>2009</w:t>
            </w:r>
          </w:p>
        </w:tc>
        <w:tc>
          <w:tcPr>
            <w:tcW w:w="393" w:type="pct"/>
          </w:tcPr>
          <w:p w:rsidR="00F67558" w:rsidRPr="00F67558" w:rsidRDefault="00F67558" w:rsidP="000F4BC3">
            <w:r w:rsidRPr="007D3E67">
              <w:t>2010</w:t>
            </w:r>
          </w:p>
        </w:tc>
        <w:tc>
          <w:tcPr>
            <w:tcW w:w="393" w:type="pct"/>
          </w:tcPr>
          <w:p w:rsidR="00F67558" w:rsidRPr="00F67558" w:rsidRDefault="00F67558" w:rsidP="000F4BC3">
            <w:r w:rsidRPr="007D3E67">
              <w:t>2011</w:t>
            </w:r>
          </w:p>
        </w:tc>
        <w:tc>
          <w:tcPr>
            <w:tcW w:w="393" w:type="pct"/>
          </w:tcPr>
          <w:p w:rsidR="00F67558" w:rsidRPr="00F67558" w:rsidRDefault="00F67558" w:rsidP="000F4BC3">
            <w:r w:rsidRPr="007D3E67">
              <w:t>2012</w:t>
            </w:r>
          </w:p>
        </w:tc>
        <w:tc>
          <w:tcPr>
            <w:tcW w:w="422" w:type="pct"/>
          </w:tcPr>
          <w:p w:rsidR="00F67558" w:rsidRPr="00F67558" w:rsidRDefault="00F67558" w:rsidP="000F4BC3">
            <w:r w:rsidRPr="007D3E67">
              <w:t>2013</w:t>
            </w:r>
          </w:p>
        </w:tc>
        <w:tc>
          <w:tcPr>
            <w:tcW w:w="422" w:type="pct"/>
          </w:tcPr>
          <w:p w:rsidR="00F67558" w:rsidRPr="00F67558" w:rsidRDefault="00F67558" w:rsidP="000F4BC3">
            <w:r w:rsidRPr="007D3E67">
              <w:t xml:space="preserve">2014 </w:t>
            </w:r>
          </w:p>
        </w:tc>
        <w:tc>
          <w:tcPr>
            <w:tcW w:w="422" w:type="pct"/>
          </w:tcPr>
          <w:p w:rsidR="00F67558" w:rsidRPr="00F67558" w:rsidRDefault="00F67558" w:rsidP="000F4BC3">
            <w:r>
              <w:t>2015</w:t>
            </w:r>
          </w:p>
        </w:tc>
      </w:tr>
      <w:tr w:rsidR="00F67558" w:rsidRPr="007D3E67" w:rsidTr="007201E8">
        <w:tc>
          <w:tcPr>
            <w:tcW w:w="870" w:type="pct"/>
          </w:tcPr>
          <w:p w:rsidR="00F67558" w:rsidRPr="00F67558" w:rsidRDefault="00F67558" w:rsidP="000F4BC3">
            <w:r w:rsidRPr="007D3E67">
              <w:t xml:space="preserve">APT Pipelines Ltd </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rsidRPr="007D3E67">
              <w:t xml:space="preserve">ATCO Gas Australian LP </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393" w:type="pct"/>
          </w:tcPr>
          <w:p w:rsidR="00F67558" w:rsidRPr="00F67558" w:rsidRDefault="00F67558" w:rsidP="000F4BC3">
            <w:r w:rsidRPr="007D3E67">
              <w:t>NR</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t>A-</w:t>
            </w:r>
          </w:p>
        </w:tc>
      </w:tr>
      <w:tr w:rsidR="00F67558" w:rsidRPr="007D3E67" w:rsidTr="007201E8">
        <w:tc>
          <w:tcPr>
            <w:tcW w:w="870" w:type="pct"/>
          </w:tcPr>
          <w:p w:rsidR="00F67558" w:rsidRPr="00F67558" w:rsidRDefault="00F67558" w:rsidP="000F4BC3">
            <w:r w:rsidRPr="007D3E67">
              <w:t>DBNGP Trust</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rsidRPr="007D3E67">
              <w:t xml:space="preserve">DUET Group </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422" w:type="pct"/>
          </w:tcPr>
          <w:p w:rsidR="00F67558" w:rsidRPr="00F67558" w:rsidRDefault="00F67558" w:rsidP="000F4BC3">
            <w:r>
              <w:t>NR</w:t>
            </w:r>
          </w:p>
        </w:tc>
      </w:tr>
      <w:tr w:rsidR="00F67558" w:rsidRPr="007D3E67" w:rsidTr="007201E8">
        <w:tc>
          <w:tcPr>
            <w:tcW w:w="870" w:type="pct"/>
          </w:tcPr>
          <w:p w:rsidR="00F67558" w:rsidRPr="00F67558" w:rsidRDefault="00F67558" w:rsidP="000F4BC3">
            <w:r w:rsidRPr="007D3E67">
              <w:t>ElectraNet</w:t>
            </w:r>
            <w:r w:rsidRPr="00F67558">
              <w:t xml:space="preserve"> Pty Ltd </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r w:rsidRPr="00F67558">
              <w:t>+</w:t>
            </w:r>
          </w:p>
        </w:tc>
        <w:tc>
          <w:tcPr>
            <w:tcW w:w="422" w:type="pct"/>
          </w:tcPr>
          <w:p w:rsidR="00F67558" w:rsidRPr="00F67558" w:rsidRDefault="00F67558" w:rsidP="000F4BC3">
            <w:r>
              <w:t>BBB+</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rsidRPr="007D3E67">
              <w:t xml:space="preserve">Energy </w:t>
            </w:r>
            <w:r w:rsidRPr="00F67558">
              <w:t>Partnership (Gas) Pty Ltd</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r w:rsidR="00F67558" w:rsidRPr="007D3E67" w:rsidTr="007201E8">
        <w:tc>
          <w:tcPr>
            <w:tcW w:w="870" w:type="pct"/>
          </w:tcPr>
          <w:p w:rsidR="00F67558" w:rsidRPr="00F67558" w:rsidRDefault="00F67558" w:rsidP="000F4BC3">
            <w:r>
              <w:t>Australian Gas Networks</w:t>
            </w:r>
            <w:r w:rsidRPr="00F67558">
              <w:t xml:space="preserve"> Ltd </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rsidRPr="007D3E67">
              <w:t>ETSA Utilities</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t>A-</w:t>
            </w:r>
          </w:p>
        </w:tc>
      </w:tr>
      <w:tr w:rsidR="00F67558" w:rsidRPr="007D3E67" w:rsidTr="007201E8">
        <w:tc>
          <w:tcPr>
            <w:tcW w:w="870" w:type="pct"/>
          </w:tcPr>
          <w:p w:rsidR="00F67558" w:rsidRPr="00F67558" w:rsidRDefault="00F67558" w:rsidP="000F4BC3">
            <w:r w:rsidRPr="007D3E67">
              <w:t>Powercor</w:t>
            </w:r>
            <w:r w:rsidRPr="00F67558">
              <w:t xml:space="preserve"> Australia LLC</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200BFA">
              <w:t>N</w:t>
            </w:r>
            <w:r w:rsidRPr="00F67558">
              <w:t>R</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t>AusNet Services</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t>A-</w:t>
            </w:r>
          </w:p>
        </w:tc>
      </w:tr>
      <w:tr w:rsidR="00F67558" w:rsidRPr="007D3E67" w:rsidTr="007201E8">
        <w:tc>
          <w:tcPr>
            <w:tcW w:w="870" w:type="pct"/>
          </w:tcPr>
          <w:p w:rsidR="00F67558" w:rsidRPr="00F67558" w:rsidRDefault="00F67558" w:rsidP="000F4BC3">
            <w:r>
              <w:t xml:space="preserve">SGSP </w:t>
            </w:r>
            <w:r w:rsidRPr="00F67558">
              <w:t>Australia Assets Pty Ltd</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NR</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rsidRPr="007D3E67">
              <w:t xml:space="preserve">The CitiPower Trust </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422"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393" w:type="pct"/>
          </w:tcPr>
          <w:p w:rsidR="00F67558" w:rsidRPr="00F67558" w:rsidRDefault="00F67558" w:rsidP="000F4BC3">
            <w:r w:rsidRPr="007D3E67">
              <w:t>A-</w:t>
            </w:r>
          </w:p>
        </w:tc>
        <w:tc>
          <w:tcPr>
            <w:tcW w:w="422" w:type="pct"/>
          </w:tcPr>
          <w:p w:rsidR="00F67558" w:rsidRPr="00F67558" w:rsidRDefault="00F67558" w:rsidP="000F4BC3">
            <w:r>
              <w:t>BBB+</w:t>
            </w:r>
          </w:p>
        </w:tc>
        <w:tc>
          <w:tcPr>
            <w:tcW w:w="422" w:type="pct"/>
          </w:tcPr>
          <w:p w:rsidR="00F67558" w:rsidRPr="00F67558" w:rsidRDefault="00F67558" w:rsidP="000F4BC3">
            <w:r>
              <w:t>BBB+</w:t>
            </w:r>
          </w:p>
        </w:tc>
        <w:tc>
          <w:tcPr>
            <w:tcW w:w="422" w:type="pct"/>
          </w:tcPr>
          <w:p w:rsidR="00F67558" w:rsidRPr="00F67558" w:rsidRDefault="00F67558" w:rsidP="000F4BC3">
            <w:r>
              <w:t>NR</w:t>
            </w:r>
          </w:p>
        </w:tc>
      </w:tr>
      <w:tr w:rsidR="00F67558" w:rsidRPr="007D3E67" w:rsidTr="007201E8">
        <w:tc>
          <w:tcPr>
            <w:tcW w:w="870" w:type="pct"/>
          </w:tcPr>
          <w:p w:rsidR="00F67558" w:rsidRPr="00F67558" w:rsidRDefault="00F67558" w:rsidP="000F4BC3">
            <w:r w:rsidRPr="007D3E67">
              <w:t xml:space="preserve">United Energy Distribution </w:t>
            </w:r>
            <w:r w:rsidRPr="00F67558">
              <w:t>Pty Ltd</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r w:rsidR="00F67558" w:rsidRPr="007D3E67" w:rsidTr="007201E8">
        <w:trPr>
          <w:cnfStyle w:val="000000010000" w:firstRow="0" w:lastRow="0" w:firstColumn="0" w:lastColumn="0" w:oddVBand="0" w:evenVBand="0" w:oddHBand="0" w:evenHBand="1" w:firstRowFirstColumn="0" w:firstRowLastColumn="0" w:lastRowFirstColumn="0" w:lastRowLastColumn="0"/>
        </w:trPr>
        <w:tc>
          <w:tcPr>
            <w:tcW w:w="870" w:type="pct"/>
          </w:tcPr>
          <w:p w:rsidR="00F67558" w:rsidRPr="00F67558" w:rsidRDefault="00F67558" w:rsidP="000F4BC3">
            <w:r>
              <w:t>Victoria Power Networks Pty Ltd</w:t>
            </w:r>
          </w:p>
        </w:tc>
        <w:tc>
          <w:tcPr>
            <w:tcW w:w="422" w:type="pct"/>
          </w:tcPr>
          <w:p w:rsidR="00F67558" w:rsidRPr="00F67558" w:rsidRDefault="00F67558" w:rsidP="000F4BC3">
            <w:r>
              <w:t>NR</w:t>
            </w:r>
          </w:p>
        </w:tc>
        <w:tc>
          <w:tcPr>
            <w:tcW w:w="422" w:type="pct"/>
          </w:tcPr>
          <w:p w:rsidR="00F67558" w:rsidRPr="00F67558" w:rsidRDefault="00F67558" w:rsidP="000F4BC3">
            <w:r>
              <w:t>NR</w:t>
            </w:r>
          </w:p>
        </w:tc>
        <w:tc>
          <w:tcPr>
            <w:tcW w:w="422" w:type="pct"/>
          </w:tcPr>
          <w:p w:rsidR="00F67558" w:rsidRPr="00F67558" w:rsidRDefault="00F67558" w:rsidP="000F4BC3">
            <w:r>
              <w:t>NR</w:t>
            </w:r>
          </w:p>
        </w:tc>
        <w:tc>
          <w:tcPr>
            <w:tcW w:w="422" w:type="pct"/>
          </w:tcPr>
          <w:p w:rsidR="00F67558" w:rsidRPr="00F67558" w:rsidRDefault="00F67558" w:rsidP="000F4BC3">
            <w:r>
              <w:t>NR</w:t>
            </w:r>
          </w:p>
        </w:tc>
        <w:tc>
          <w:tcPr>
            <w:tcW w:w="393" w:type="pct"/>
          </w:tcPr>
          <w:p w:rsidR="00F67558" w:rsidRPr="00F67558" w:rsidRDefault="00F67558" w:rsidP="000F4BC3">
            <w:r>
              <w:t>NR</w:t>
            </w:r>
          </w:p>
        </w:tc>
        <w:tc>
          <w:tcPr>
            <w:tcW w:w="393" w:type="pct"/>
          </w:tcPr>
          <w:p w:rsidR="00F67558" w:rsidRPr="00F67558" w:rsidRDefault="00F67558" w:rsidP="000F4BC3">
            <w:r>
              <w:t>NR</w:t>
            </w:r>
          </w:p>
        </w:tc>
        <w:tc>
          <w:tcPr>
            <w:tcW w:w="393" w:type="pct"/>
          </w:tcPr>
          <w:p w:rsidR="00F67558" w:rsidRPr="00F67558" w:rsidRDefault="00F67558" w:rsidP="000F4BC3">
            <w:r>
              <w:t>NR</w:t>
            </w:r>
          </w:p>
        </w:tc>
        <w:tc>
          <w:tcPr>
            <w:tcW w:w="422" w:type="pct"/>
          </w:tcPr>
          <w:p w:rsidR="00F67558" w:rsidRPr="00F67558" w:rsidRDefault="00F67558" w:rsidP="000F4BC3">
            <w:r>
              <w:t>NR</w:t>
            </w:r>
          </w:p>
        </w:tc>
        <w:tc>
          <w:tcPr>
            <w:tcW w:w="422" w:type="pct"/>
          </w:tcPr>
          <w:p w:rsidR="00F67558" w:rsidRPr="00F67558" w:rsidRDefault="00F67558" w:rsidP="000F4BC3">
            <w:r>
              <w:t>NR</w:t>
            </w:r>
          </w:p>
        </w:tc>
        <w:tc>
          <w:tcPr>
            <w:tcW w:w="422" w:type="pct"/>
          </w:tcPr>
          <w:p w:rsidR="00F67558" w:rsidRPr="00F67558" w:rsidRDefault="00F67558" w:rsidP="000F4BC3">
            <w:r>
              <w:t>BBB+</w:t>
            </w:r>
          </w:p>
        </w:tc>
      </w:tr>
      <w:tr w:rsidR="00F67558" w:rsidRPr="007D3E67" w:rsidTr="007201E8">
        <w:tc>
          <w:tcPr>
            <w:tcW w:w="870" w:type="pct"/>
          </w:tcPr>
          <w:p w:rsidR="00F67558" w:rsidRPr="00F67558" w:rsidRDefault="00F67558" w:rsidP="000F4BC3">
            <w:r w:rsidRPr="007D3E67">
              <w:t>Median (year)</w:t>
            </w:r>
          </w:p>
        </w:tc>
        <w:tc>
          <w:tcPr>
            <w:tcW w:w="422" w:type="pct"/>
          </w:tcPr>
          <w:p w:rsidR="00F67558" w:rsidRPr="00F67558" w:rsidRDefault="00F67558" w:rsidP="000F4BC3">
            <w:r>
              <w:t xml:space="preserve">BBB/ </w:t>
            </w:r>
            <w:r w:rsidRPr="00F67558">
              <w:t>BBB+</w:t>
            </w:r>
          </w:p>
        </w:tc>
        <w:tc>
          <w:tcPr>
            <w:tcW w:w="422" w:type="pct"/>
          </w:tcPr>
          <w:p w:rsidR="00F67558" w:rsidRPr="00F67558" w:rsidRDefault="00F67558" w:rsidP="000F4BC3">
            <w:r>
              <w:t xml:space="preserve">BBB/ </w:t>
            </w:r>
            <w:r w:rsidRPr="00F67558">
              <w:t>BBB+</w:t>
            </w:r>
          </w:p>
        </w:tc>
        <w:tc>
          <w:tcPr>
            <w:tcW w:w="422" w:type="pct"/>
          </w:tcPr>
          <w:p w:rsidR="00F67558" w:rsidRPr="00F67558" w:rsidRDefault="00F67558" w:rsidP="000F4BC3">
            <w:r w:rsidRPr="007D3E67">
              <w:t>BBB+</w:t>
            </w:r>
          </w:p>
        </w:tc>
        <w:tc>
          <w:tcPr>
            <w:tcW w:w="422"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393" w:type="pct"/>
          </w:tcPr>
          <w:p w:rsidR="00F67558" w:rsidRPr="00F67558" w:rsidRDefault="00F67558" w:rsidP="000F4BC3">
            <w:r w:rsidRPr="007D3E67">
              <w:t>BBB</w:t>
            </w:r>
          </w:p>
        </w:tc>
        <w:tc>
          <w:tcPr>
            <w:tcW w:w="422" w:type="pct"/>
          </w:tcPr>
          <w:p w:rsidR="00F67558" w:rsidRPr="00F67558" w:rsidRDefault="00F67558" w:rsidP="000F4BC3">
            <w:r>
              <w:t>BBB/ BBB+</w:t>
            </w:r>
          </w:p>
        </w:tc>
        <w:tc>
          <w:tcPr>
            <w:tcW w:w="422" w:type="pct"/>
          </w:tcPr>
          <w:p w:rsidR="00F67558" w:rsidRPr="00F67558" w:rsidRDefault="00F67558" w:rsidP="000F4BC3">
            <w:r w:rsidRPr="007D3E67">
              <w:t>BBB+</w:t>
            </w:r>
          </w:p>
        </w:tc>
        <w:tc>
          <w:tcPr>
            <w:tcW w:w="422" w:type="pct"/>
          </w:tcPr>
          <w:p w:rsidR="00F67558" w:rsidRPr="00F67558" w:rsidRDefault="00F67558" w:rsidP="000F4BC3">
            <w:r>
              <w:t>BBB+</w:t>
            </w:r>
          </w:p>
        </w:tc>
      </w:tr>
    </w:tbl>
    <w:p w:rsidR="00F67558" w:rsidRDefault="00F67558" w:rsidP="00F67558">
      <w:pPr>
        <w:pStyle w:val="AERtablesource"/>
      </w:pPr>
      <w:r w:rsidRPr="00411A04">
        <w:t>Source:</w:t>
      </w:r>
      <w:r w:rsidRPr="00411A04">
        <w:tab/>
        <w:t>Bloomberg</w:t>
      </w:r>
      <w:r>
        <w:t xml:space="preserve">, </w:t>
      </w:r>
      <w:r w:rsidRPr="00411A04">
        <w:t>Sta</w:t>
      </w:r>
      <w:r>
        <w:t>ndard and Poor's, AER analysis.</w:t>
      </w:r>
    </w:p>
    <w:p w:rsidR="00520CEF" w:rsidRDefault="00520CEF" w:rsidP="00520CEF">
      <w:pPr>
        <w:pStyle w:val="HeadingBoldItalic"/>
      </w:pPr>
      <w:r>
        <w:t>Use of independent third party data series</w:t>
      </w:r>
    </w:p>
    <w:p w:rsidR="00520CEF" w:rsidRPr="0031633C" w:rsidRDefault="00520CEF" w:rsidP="00520CEF">
      <w:pPr>
        <w:numPr>
          <w:ilvl w:val="0"/>
          <w:numId w:val="24"/>
        </w:numPr>
      </w:pPr>
      <w:r w:rsidRPr="0031633C">
        <w:t>Our decision is to estimate the return on debt by reference to an independent third party data series. Using third party data series is the same approach we proposed in the Guideline.</w:t>
      </w:r>
      <w:r w:rsidRPr="0031633C">
        <w:rPr>
          <w:rStyle w:val="AERsuperscript"/>
        </w:rPr>
        <w:footnoteReference w:id="472"/>
      </w:r>
    </w:p>
    <w:p w:rsidR="00520CEF" w:rsidRDefault="00520CEF" w:rsidP="00520CEF">
      <w:pPr>
        <w:numPr>
          <w:ilvl w:val="0"/>
          <w:numId w:val="24"/>
        </w:numPr>
      </w:pPr>
      <w:r>
        <w:t>S</w:t>
      </w:r>
      <w:r w:rsidRPr="0031633C">
        <w:t>ervice provider</w:t>
      </w:r>
      <w:r>
        <w:t>s</w:t>
      </w:r>
      <w:r w:rsidRPr="0031633C">
        <w:t xml:space="preserve"> </w:t>
      </w:r>
      <w:r>
        <w:t xml:space="preserve">with </w:t>
      </w:r>
      <w:r w:rsidRPr="0031633C">
        <w:t>proposals currently before us all propose</w:t>
      </w:r>
      <w:r>
        <w:t>d</w:t>
      </w:r>
      <w:r w:rsidRPr="0031633C">
        <w:t xml:space="preserve"> using </w:t>
      </w:r>
      <w:r>
        <w:t xml:space="preserve">independent </w:t>
      </w:r>
      <w:r w:rsidRPr="0031633C">
        <w:t>third party data series</w:t>
      </w:r>
      <w:r w:rsidRPr="0031633C" w:rsidDel="0079452F">
        <w:t xml:space="preserve"> </w:t>
      </w:r>
      <w:r w:rsidRPr="0031633C">
        <w:t>to estimate the return on debt</w:t>
      </w:r>
      <w:r>
        <w:t>, with the exception of United Energy</w:t>
      </w:r>
      <w:r w:rsidRPr="0031633C">
        <w:t xml:space="preserve">. </w:t>
      </w:r>
      <w:r>
        <w:t>While United Energy stated its proposal is based only on independent third party data series, an examination of United Energy's proposed method reveals that this is not the case.</w:t>
      </w:r>
      <w:r>
        <w:rPr>
          <w:rStyle w:val="FootnoteReference"/>
        </w:rPr>
        <w:footnoteReference w:id="473"/>
      </w:r>
    </w:p>
    <w:p w:rsidR="00520CEF" w:rsidRPr="0031633C" w:rsidRDefault="00520CEF" w:rsidP="00520CEF">
      <w:pPr>
        <w:numPr>
          <w:ilvl w:val="0"/>
          <w:numId w:val="24"/>
        </w:numPr>
      </w:pPr>
      <w:r w:rsidRPr="0031633C">
        <w:t xml:space="preserve">We agree with </w:t>
      </w:r>
      <w:r>
        <w:t xml:space="preserve">the service providers that proposed to use independent </w:t>
      </w:r>
      <w:r w:rsidRPr="0031633C">
        <w:t xml:space="preserve">third party data series to estimate the return on debt. </w:t>
      </w:r>
      <w:r>
        <w:t xml:space="preserve">We do not agree with United Energy's proposal which would require the AER to empirically derive its own yield curves, based on United Energy's proposed method of estimation, rather than using only yield curves sourced from independent third party providers. </w:t>
      </w:r>
    </w:p>
    <w:p w:rsidR="00520CEF" w:rsidRDefault="00520CEF" w:rsidP="00520CEF">
      <w:pPr>
        <w:numPr>
          <w:ilvl w:val="0"/>
          <w:numId w:val="24"/>
        </w:numPr>
      </w:pPr>
      <w:r w:rsidRPr="0031633C">
        <w:t xml:space="preserve">The CCP and several other consumer groups raised our use of third party data service providers as an issue in several of the current </w:t>
      </w:r>
      <w:r>
        <w:t>or recent regulatory processes</w:t>
      </w:r>
      <w:r w:rsidRPr="0031633C">
        <w:t>. For instance, the CCP recommended using service providers' actual borrowing costs as a reasonableness check and/or using an industry index based on actual borrowing costs.</w:t>
      </w:r>
      <w:r w:rsidRPr="0031633C">
        <w:rPr>
          <w:rStyle w:val="AERsuperscript"/>
        </w:rPr>
        <w:footnoteReference w:id="474"/>
      </w:r>
      <w:r w:rsidRPr="0031633C">
        <w:t xml:space="preserve"> </w:t>
      </w:r>
    </w:p>
    <w:p w:rsidR="00520CEF" w:rsidRPr="0031633C" w:rsidRDefault="00520CEF" w:rsidP="00520CEF">
      <w:pPr>
        <w:numPr>
          <w:ilvl w:val="0"/>
          <w:numId w:val="24"/>
        </w:numPr>
      </w:pPr>
      <w:r w:rsidRPr="0031633C">
        <w:t xml:space="preserve">We are satisfied that using a third party data series (or multiple series), appropriately chosen, is commensurate with the efficient debt financing costs of </w:t>
      </w:r>
      <w:r>
        <w:t>a</w:t>
      </w:r>
      <w:r w:rsidRPr="0031633C">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520CEF" w:rsidRPr="0031633C" w:rsidRDefault="00520CEF" w:rsidP="00520CEF">
      <w:pPr>
        <w:pStyle w:val="AERbulletlistfirststyle"/>
      </w:pPr>
      <w:r w:rsidRPr="0031633C">
        <w:t xml:space="preserve">A third party data series can be practically applied in the annual debt update process—We discuss this </w:t>
      </w:r>
      <w:r>
        <w:t xml:space="preserve">point </w:t>
      </w:r>
      <w:r w:rsidRPr="0031633C">
        <w:t>further below.</w:t>
      </w:r>
    </w:p>
    <w:p w:rsidR="00520CEF" w:rsidRPr="0031633C" w:rsidRDefault="00520CEF" w:rsidP="00520CEF">
      <w:pPr>
        <w:pStyle w:val="AERbulletlistfirststyle"/>
      </w:pPr>
      <w:r w:rsidRPr="0031633C">
        <w:t>A third party data series is independent information developed by finance experts with access to financial datasets—These experts develop this independently from the regulatory process and for the use of market practitioners.</w:t>
      </w:r>
    </w:p>
    <w:p w:rsidR="00520CEF" w:rsidRPr="0031633C" w:rsidRDefault="00520CEF" w:rsidP="00520CEF">
      <w:pPr>
        <w:pStyle w:val="AERbulletlistfirststyle"/>
      </w:pPr>
      <w:r w:rsidRPr="0031633C">
        <w:t xml:space="preserve">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w:t>
      </w:r>
      <w:r w:rsidR="009C74CF">
        <w:t>ARORO</w:t>
      </w:r>
      <w:r w:rsidRPr="0031633C">
        <w:t>.</w:t>
      </w:r>
    </w:p>
    <w:p w:rsidR="00520CEF" w:rsidRPr="00293457" w:rsidRDefault="00520CEF" w:rsidP="00520CEF">
      <w:pPr>
        <w:pStyle w:val="AERbulletlistfirststyle"/>
      </w:pPr>
      <w:r w:rsidRPr="00293457">
        <w:t>There is no consensus among Australian regulators on the best method to estimate the return on debt—Some regulators use independent third party data series while others use their own data series (with or without it being cross checked against a third party data series).</w:t>
      </w:r>
      <w:r>
        <w:rPr>
          <w:rStyle w:val="FootnoteReference"/>
        </w:rPr>
        <w:footnoteReference w:id="475"/>
      </w:r>
      <w:r w:rsidRPr="00293457">
        <w:t xml:space="preserve"> </w:t>
      </w:r>
      <w:r w:rsidRPr="0031633C">
        <w:t>The Tribunal has found both approaches reasonable</w:t>
      </w:r>
      <w:r>
        <w:t>.</w:t>
      </w:r>
      <w:r>
        <w:rPr>
          <w:rStyle w:val="FootnoteReference"/>
        </w:rPr>
        <w:footnoteReference w:id="476"/>
      </w:r>
    </w:p>
    <w:p w:rsidR="00520CEF" w:rsidRPr="0031633C" w:rsidRDefault="00520CEF" w:rsidP="00520CEF">
      <w:r w:rsidRPr="0031633C">
        <w:t xml:space="preserve">We explain our first reason listed above in more detail here. The </w:t>
      </w:r>
      <w:r>
        <w:t>rules</w:t>
      </w:r>
      <w:r w:rsidRPr="0031633C">
        <w:t xml:space="preserve"> require that if we apply annual updating (or any other approach that could result in a different return on debt each year), then the change in revenue must be effected through the automatic application of a formula that is specified in the determination. Even if this were not a rule requirement, </w:t>
      </w:r>
      <w:r>
        <w:t xml:space="preserve">we consider </w:t>
      </w:r>
      <w:r w:rsidRPr="0031633C">
        <w:t xml:space="preserve">using a third party data series </w:t>
      </w:r>
      <w:r>
        <w:t>is likely to b</w:t>
      </w:r>
      <w:r w:rsidRPr="0031633C">
        <w:t>e the only practical option to update the return on debt annually. This position is supported by NERA</w:t>
      </w:r>
      <w:r>
        <w:t xml:space="preserve"> (commissioned by TransGrid in a recent decision process)</w:t>
      </w:r>
      <w:r w:rsidRPr="0031633C">
        <w:t>, who advised that:</w:t>
      </w:r>
    </w:p>
    <w:p w:rsidR="00520CEF" w:rsidRPr="0031633C" w:rsidRDefault="00520CEF" w:rsidP="00520CEF">
      <w:pPr>
        <w:pStyle w:val="AERquote"/>
      </w:pPr>
      <w:r w:rsidRPr="0031633C">
        <w:t>…a third party data service provider is essential to allow the return on debt to be updated automatically'.</w:t>
      </w:r>
      <w:r w:rsidRPr="0031633C">
        <w:rPr>
          <w:rStyle w:val="AERsuperscript"/>
        </w:rPr>
        <w:footnoteReference w:id="477"/>
      </w:r>
    </w:p>
    <w:p w:rsidR="00520CEF" w:rsidRDefault="00520CEF" w:rsidP="00520CEF">
      <w:r w:rsidRPr="0031633C">
        <w:t xml:space="preserve">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w:t>
      </w:r>
      <w:r>
        <w:t>after</w:t>
      </w:r>
      <w:r w:rsidRPr="0031633C">
        <w:t xml:space="preserve"> the section on the averaging period. This process needs to occur relatively quickly and without consultation. Using a third party data series enables this. This is because we can consult on the choice of the data series and any implementation issues (for example, weighting of data series, extrapolation, or interpolation issues) when making the determination. We can then add a formula to the determination and apply it mechanistically during the annual debt update process.</w:t>
      </w:r>
    </w:p>
    <w:p w:rsidR="00520CEF" w:rsidRDefault="00520CEF" w:rsidP="00520CEF">
      <w:pPr>
        <w:pStyle w:val="HeadingItalic"/>
        <w:numPr>
          <w:ilvl w:val="0"/>
          <w:numId w:val="24"/>
        </w:numPr>
      </w:pPr>
      <w:r>
        <w:t>Response to key issues raised by stakeholders</w:t>
      </w:r>
    </w:p>
    <w:p w:rsidR="00520CEF" w:rsidRPr="0031633C" w:rsidRDefault="00520CEF" w:rsidP="00520CEF">
      <w:pPr>
        <w:numPr>
          <w:ilvl w:val="0"/>
          <w:numId w:val="24"/>
        </w:numPr>
      </w:pPr>
      <w:r w:rsidRPr="0031633C">
        <w:t>During the Guideline development process, we considered the use of a third party data series, in consultation with stakeholders.</w:t>
      </w:r>
      <w:r w:rsidRPr="0031633C">
        <w:rPr>
          <w:rStyle w:val="AERsuperscript"/>
        </w:rPr>
        <w:footnoteReference w:id="478"/>
      </w:r>
      <w:r w:rsidRPr="0031633C">
        <w:rPr>
          <w:rStyle w:val="AERsuperscript"/>
        </w:rPr>
        <w:t xml:space="preserve"> </w:t>
      </w:r>
      <w:r w:rsidRPr="0031633C">
        <w:t>Service providers tended to support using a third party data series.</w:t>
      </w:r>
      <w:r w:rsidRPr="0031633C">
        <w:rPr>
          <w:rStyle w:val="AERsuperscript"/>
        </w:rPr>
        <w:footnoteReference w:id="479"/>
      </w:r>
      <w:r w:rsidRPr="0031633C">
        <w:t xml:space="preserve"> While consumer representatives tended to consider we should develop our own data series.</w:t>
      </w:r>
      <w:r w:rsidRPr="0031633C">
        <w:rPr>
          <w:rStyle w:val="AERsuperscript"/>
        </w:rPr>
        <w:footnoteReference w:id="480"/>
      </w:r>
      <w:r w:rsidRPr="0031633C">
        <w:t xml:space="preserve"> We acknowledge these views. However, our decision is to use a third party data series, in the context of annual updating. This is for the reasons set out above.</w:t>
      </w:r>
    </w:p>
    <w:p w:rsidR="00520CEF" w:rsidRDefault="00520CEF" w:rsidP="00520CEF">
      <w:r>
        <w:t>As noted above, United Energy's proposed method does not use only third party data series. United Energy's proposal is for the AER to compare a range of data series each year against observed bond yields based on United Energy's particular method for choosing those bond yields. The data series that United Energy proposed be compared includes third party data series, but also includes two yield curves that the AER would be required to estimate itself each year. United Energy's proposed method for the AER to follow in this estimation involves bond selection criteria and the Nelson-Siegel curve fitting methodology for one curve, and a par yield curve fitting methodology for the second curve. These options were recommended by Esquant, who is a consultant commissioned by United Energy.</w:t>
      </w:r>
      <w:r>
        <w:rPr>
          <w:rStyle w:val="FootnoteReference"/>
        </w:rPr>
        <w:footnoteReference w:id="481"/>
      </w:r>
    </w:p>
    <w:p w:rsidR="00520CEF" w:rsidRDefault="00520CEF" w:rsidP="00520CEF">
      <w:r>
        <w:t>United Energy's proposed method is contrary to several of the benefits of adopting an independent third party data series. The benefits are:</w:t>
      </w:r>
    </w:p>
    <w:p w:rsidR="00520CEF" w:rsidRDefault="00520CEF" w:rsidP="00520CEF">
      <w:pPr>
        <w:pStyle w:val="AERbulletlistfirststyle"/>
      </w:pPr>
      <w:r>
        <w:t>An independent third party data series is already calculated by another party, and can be used directly by the AER (with the exception of adjustments concerning extrapolation, interpolation and/or annualisation). The use of third party data series is therefore a practical choice that facilitates the annual debt update process. In contrast, United Energy's proposed method involves complex empirical estimation processes that would need to be performed every year, for every service provider (if applied more broadly), and in very short timeframes. It is therefore not a practical choice where the return on debt is being updated each year.</w:t>
      </w:r>
    </w:p>
    <w:p w:rsidR="00520CEF" w:rsidRDefault="00520CEF" w:rsidP="00520CEF">
      <w:pPr>
        <w:pStyle w:val="AERbulletlistfirststyle"/>
      </w:pPr>
      <w:r>
        <w:t>An independent third party data series is developed by experts who are independent of the regulatory process. In contrast, United Energy's proposed data series is not independent of the regulatory process. This position is supported by Lally, who stated:</w:t>
      </w:r>
    </w:p>
    <w:p w:rsidR="00520CEF" w:rsidRDefault="00520CEF" w:rsidP="00520CEF">
      <w:pPr>
        <w:pStyle w:val="AERquoteindent1"/>
      </w:pPr>
      <w:r>
        <w:t>UED is clearly alive to the possibility that Esquant's work might not be viewed as that of an independent provider and states that this work "…should be regarded as an independent and credible data source..". However, in my view, an entity hired by a regulated business is not an independent provider and UED cannot turn black into white merely by saying that it should be regarded as white. Thus, Esquant's work is not that of an independent provider, and therefore fails a test that is imposed by UED.</w:t>
      </w:r>
      <w:r>
        <w:rPr>
          <w:rStyle w:val="FootnoteReference"/>
        </w:rPr>
        <w:footnoteReference w:id="482"/>
      </w:r>
    </w:p>
    <w:p w:rsidR="00520CEF" w:rsidRDefault="00520CEF" w:rsidP="00520CEF">
      <w:r>
        <w:t xml:space="preserve">For these reasons, and the reasons set out in the next section, we therefore do not agree with United Energy's proposal which includes the use of non-third party independent data series. Importantly, we remain satisfied that our decision approach, relying on third party data series, will contribute to achievement of the </w:t>
      </w:r>
      <w:r w:rsidR="009C74CF">
        <w:t>ARORO</w:t>
      </w:r>
      <w:r>
        <w:t>.</w:t>
      </w:r>
    </w:p>
    <w:p w:rsidR="00520CEF" w:rsidRDefault="00520CEF" w:rsidP="00520CEF">
      <w:pPr>
        <w:pStyle w:val="HeadingBoldItalic"/>
      </w:pPr>
      <w:r w:rsidRPr="00484372">
        <w:t>Choice of third party data series (including adjustments)</w:t>
      </w:r>
    </w:p>
    <w:p w:rsidR="00520CEF" w:rsidRPr="00484372" w:rsidRDefault="00520CEF" w:rsidP="00520CEF">
      <w:pPr>
        <w:numPr>
          <w:ilvl w:val="0"/>
          <w:numId w:val="24"/>
        </w:numPr>
      </w:pPr>
      <w:r w:rsidRPr="00484372">
        <w:t>In the previous section, we explained our decision is to use third party published data series to estimate the allowed return on debt, rather than deriving our own data series. In this section, we explain our choice of third party data series, including adjustments we have decided to make to those data series.</w:t>
      </w:r>
    </w:p>
    <w:p w:rsidR="00520CEF" w:rsidRPr="00484372" w:rsidRDefault="00520CEF" w:rsidP="00520CEF">
      <w:pPr>
        <w:numPr>
          <w:ilvl w:val="0"/>
          <w:numId w:val="24"/>
        </w:numPr>
      </w:pPr>
      <w:r w:rsidRPr="00484372">
        <w:t xml:space="preserve">Our decision is to adopt a simple average of the debt data series published by the </w:t>
      </w:r>
      <w:r w:rsidR="00582F11">
        <w:t>RBA</w:t>
      </w:r>
      <w:r w:rsidRPr="00484372">
        <w:t xml:space="preserve"> and Bloomberg that match, as close as available, our benchmarks of a BBB+ credit rating and a 10 year debt term. Specifically, our decision is to adopt a simple average of:</w:t>
      </w:r>
    </w:p>
    <w:p w:rsidR="00520CEF" w:rsidRPr="00484372" w:rsidRDefault="00520CEF" w:rsidP="00520CEF">
      <w:pPr>
        <w:pStyle w:val="AERbulletlistfirststyle"/>
      </w:pPr>
      <w:r>
        <w:t>t</w:t>
      </w:r>
      <w:r w:rsidRPr="00484372">
        <w:t>he</w:t>
      </w:r>
      <w:r>
        <w:t xml:space="preserve"> </w:t>
      </w:r>
      <w:r w:rsidRPr="00484372">
        <w:t>10 year estimate from the non-financial corporate BBB rated data series published by the RBA (the RBA curve),</w:t>
      </w:r>
      <w:r w:rsidRPr="000F4BC3">
        <w:rPr>
          <w:rStyle w:val="AERsuperscript"/>
        </w:rPr>
        <w:footnoteReference w:id="483"/>
      </w:r>
      <w:r w:rsidRPr="00484372">
        <w:t xml:space="preserve"> and</w:t>
      </w:r>
    </w:p>
    <w:p w:rsidR="00520CEF" w:rsidRPr="00484372" w:rsidRDefault="00520CEF" w:rsidP="00520CEF">
      <w:pPr>
        <w:pStyle w:val="AERbulletlistfirststyle"/>
      </w:pPr>
      <w:r w:rsidRPr="00484372">
        <w:t>the 10 year yield estimate from the Australian corporate BBB rated Bloomberg Valuation Service (BVAL) data series published by Bloomberg (the BVAL curve).</w:t>
      </w:r>
      <w:r w:rsidRPr="000F4BC3">
        <w:rPr>
          <w:rStyle w:val="AERsuperscript"/>
        </w:rPr>
        <w:footnoteReference w:id="484"/>
      </w:r>
    </w:p>
    <w:p w:rsidR="00520CEF" w:rsidRPr="00484372" w:rsidRDefault="00520CEF" w:rsidP="00520CEF">
      <w:pPr>
        <w:numPr>
          <w:ilvl w:val="0"/>
          <w:numId w:val="24"/>
        </w:numPr>
      </w:pPr>
      <w:r w:rsidRPr="00484372">
        <w:t>The RBA and BVAL curves are both 'broad BBB' rated data series in that they reflect bond pricing generally across the BBB+, BBB and BBB- rated spectrum of bonds.</w:t>
      </w:r>
    </w:p>
    <w:p w:rsidR="00520CEF" w:rsidRPr="00484372" w:rsidRDefault="00520CEF" w:rsidP="00520CEF">
      <w:pPr>
        <w:numPr>
          <w:ilvl w:val="0"/>
          <w:numId w:val="24"/>
        </w:numPr>
      </w:pPr>
      <w:r w:rsidRPr="00484372">
        <w:t>Our decision is also to make certain adjustments to the RBA and BVAL curves so these rates are consistent with our 10 year benchmark debt term and also so they can be applied across the dates of a service provider's averaging periods. Those adjustments are:</w:t>
      </w:r>
    </w:p>
    <w:p w:rsidR="00520CEF" w:rsidRPr="00484372" w:rsidRDefault="00520CEF" w:rsidP="00520CEF">
      <w:r w:rsidRPr="00484372">
        <w:t>For the RBA curve, to extrapolate the data series from a 'target' 10 year term to an 'effective' 10 year term using the method recommended by Dr Lally (the Lally method),</w:t>
      </w:r>
      <w:r w:rsidRPr="00940FFA">
        <w:rPr>
          <w:rStyle w:val="AERsuperscript"/>
        </w:rPr>
        <w:footnoteReference w:id="485"/>
      </w:r>
      <w:r w:rsidRPr="00484372">
        <w:t xml:space="preserve"> to interpolate the monthly data points to produce daily estimates, and to convert the estimates from a semi-annual to an effective annual rate.</w:t>
      </w:r>
    </w:p>
    <w:p w:rsidR="00520CEF" w:rsidRPr="00484372" w:rsidRDefault="00520CEF" w:rsidP="00520CEF">
      <w:pPr>
        <w:pStyle w:val="AERbulletlistfirststyle"/>
      </w:pPr>
      <w:r w:rsidRPr="00484372">
        <w:t>For the BVAL curve, to convert the estimates from a semi-annual to an effective annual rate.</w:t>
      </w:r>
      <w:r w:rsidRPr="00484372">
        <w:rPr>
          <w:rStyle w:val="AERsuperscript"/>
        </w:rPr>
        <w:footnoteReference w:id="486"/>
      </w:r>
    </w:p>
    <w:p w:rsidR="00520CEF" w:rsidRDefault="00520CEF" w:rsidP="00520CEF">
      <w:pPr>
        <w:pStyle w:val="AERbulletlistfirststyle"/>
      </w:pPr>
      <w:r w:rsidRPr="00484372">
        <w:t xml:space="preserve">The above positions are consistent with the approach we adopted in the first round of decisions since the publication of the Guideline, the most recent being our </w:t>
      </w:r>
      <w:r>
        <w:t>decisions released in November 2015</w:t>
      </w:r>
      <w:r w:rsidRPr="00484372">
        <w:t>.</w:t>
      </w:r>
      <w:r w:rsidRPr="00484372">
        <w:rPr>
          <w:rStyle w:val="AERsuperscript"/>
        </w:rPr>
        <w:footnoteReference w:id="487"/>
      </w:r>
    </w:p>
    <w:p w:rsidR="00520CEF" w:rsidRPr="0044315E" w:rsidRDefault="00520CEF" w:rsidP="00520CEF">
      <w:r w:rsidRPr="0044315E">
        <w:t xml:space="preserve">We are satisfied that a simple average of the two </w:t>
      </w:r>
      <w:r>
        <w:t>curves</w:t>
      </w:r>
      <w:r w:rsidRPr="0044315E">
        <w:t xml:space="preserve"> will result in a return on debt that contributes to the achievement of the </w:t>
      </w:r>
      <w:r w:rsidR="009C74CF">
        <w:t>ARORO</w:t>
      </w:r>
      <w:r w:rsidRPr="0044315E">
        <w:t>. This is because:</w:t>
      </w:r>
    </w:p>
    <w:p w:rsidR="00520CEF" w:rsidRPr="0044315E" w:rsidRDefault="00520CEF" w:rsidP="00520CEF">
      <w:pPr>
        <w:pStyle w:val="AERbulletlistfirststyle"/>
      </w:pPr>
      <w:r w:rsidRPr="0044315E">
        <w:t>Based on analysis of the bond selection criteria</w:t>
      </w:r>
      <w:r>
        <w:t xml:space="preserve"> (including approach for identifying outliers)</w:t>
      </w:r>
      <w:r w:rsidRPr="0044315E">
        <w:t xml:space="preserve">, we consider that both approaches employed by the RBA and Bloomberg have </w:t>
      </w:r>
      <w:r>
        <w:t xml:space="preserve">their unique </w:t>
      </w:r>
      <w:r w:rsidRPr="0044315E">
        <w:t>strengths</w:t>
      </w:r>
      <w:r>
        <w:t xml:space="preserve"> and weaknesses</w:t>
      </w:r>
      <w:r w:rsidRPr="0044315E">
        <w:t>, but we are not satisfied that either is clearly superior.</w:t>
      </w:r>
    </w:p>
    <w:p w:rsidR="00520CEF" w:rsidRPr="0044315E" w:rsidRDefault="00520CEF" w:rsidP="00520CEF">
      <w:pPr>
        <w:pStyle w:val="AERbulletlistfirststyle"/>
      </w:pPr>
      <w:r w:rsidRPr="0044315E">
        <w:t xml:space="preserve">Based on analysis of the curve fitting (or averaging) methodologies, we consider that both approaches have </w:t>
      </w:r>
      <w:r>
        <w:t xml:space="preserve">their unique </w:t>
      </w:r>
      <w:r w:rsidRPr="0044315E">
        <w:t>strengths</w:t>
      </w:r>
      <w:r>
        <w:t xml:space="preserve"> and weaknesses</w:t>
      </w:r>
      <w:r w:rsidRPr="0044315E">
        <w:t>, but we are not satisfied that either is clearly superior.</w:t>
      </w:r>
    </w:p>
    <w:p w:rsidR="00520CEF" w:rsidRPr="0044315E" w:rsidRDefault="00520CEF" w:rsidP="00520CEF">
      <w:pPr>
        <w:pStyle w:val="AERbulletlistfirststyle"/>
      </w:pPr>
      <w:r w:rsidRPr="0044315E">
        <w:t xml:space="preserve">Both curves require adjustments from their published form to make them </w:t>
      </w:r>
      <w:r>
        <w:t>fit-for-purpose</w:t>
      </w:r>
      <w:r w:rsidRPr="0044315E">
        <w:t xml:space="preserve">, and we are not satisfied that either can be more simply or reliably </w:t>
      </w:r>
      <w:r>
        <w:t>adjusted</w:t>
      </w:r>
      <w:r w:rsidRPr="0044315E">
        <w:t xml:space="preserve"> </w:t>
      </w:r>
      <w:r>
        <w:t>to estimate</w:t>
      </w:r>
      <w:r w:rsidRPr="0044315E">
        <w:t xml:space="preserve"> the annual return on debt.</w:t>
      </w:r>
      <w:r w:rsidRPr="0044315E">
        <w:rPr>
          <w:rStyle w:val="FootnoteReference"/>
        </w:rPr>
        <w:footnoteReference w:id="488"/>
      </w:r>
    </w:p>
    <w:p w:rsidR="00520CEF" w:rsidRDefault="00520CEF" w:rsidP="00520CEF">
      <w:pPr>
        <w:pStyle w:val="AERbulletlistfirststyle"/>
      </w:pPr>
      <w:r w:rsidRPr="0044315E">
        <w:t xml:space="preserve">A simple average is consistent with expert advice from Dr Lally that we adopt a simple average of the BVAL curve and the RBA curve, subject to the necessary adjustments to each curve. </w:t>
      </w:r>
      <w:r w:rsidRPr="0044315E">
        <w:rPr>
          <w:rStyle w:val="AERsuperscript"/>
        </w:rPr>
        <w:footnoteReference w:id="489"/>
      </w:r>
      <w:r w:rsidRPr="0044315E">
        <w:t xml:space="preserve"> In particular, Lally concluded that based on analysis of the curves, it was reasonably likely that a simple average of the two curves would produce an estimator with a lower mean squared error (MSE) than using either curv</w:t>
      </w:r>
      <w:r>
        <w:t>e in isolation. Lally also advised:</w:t>
      </w:r>
    </w:p>
    <w:p w:rsidR="00520CEF" w:rsidRPr="0044315E" w:rsidRDefault="00520CEF" w:rsidP="00520CEF">
      <w:pPr>
        <w:pStyle w:val="AERquoteindent1"/>
      </w:pPr>
      <w:r>
        <w:t>…</w:t>
      </w:r>
      <w:r w:rsidRPr="0044315E">
        <w:t>on the question of which index better reflects the cost of debt for the efficient benchmark e</w:t>
      </w:r>
      <w:r>
        <w:t>ntity, there is no clear winner</w:t>
      </w:r>
      <w:r w:rsidRPr="0044315E">
        <w:t>.</w:t>
      </w:r>
      <w:r w:rsidRPr="0044315E">
        <w:rPr>
          <w:rStyle w:val="AERsuperscript"/>
        </w:rPr>
        <w:footnoteReference w:id="490"/>
      </w:r>
    </w:p>
    <w:p w:rsidR="00520CEF" w:rsidRPr="0044315E" w:rsidRDefault="00520CEF" w:rsidP="00520CEF">
      <w:pPr>
        <w:pStyle w:val="AERbulletlistfirststyle"/>
      </w:pPr>
      <w:r w:rsidRPr="0044315E">
        <w:t>The two curves have regularly produced materially different results at particular points in time. Both curves have their strengths</w:t>
      </w:r>
      <w:r>
        <w:t xml:space="preserve"> and shortcomings</w:t>
      </w:r>
      <w:r w:rsidRPr="0044315E">
        <w:t>, but it is no</w:t>
      </w:r>
      <w:r>
        <w:t>t clear to us that one approach</w:t>
      </w:r>
      <w:r w:rsidRPr="0044315E">
        <w:t xml:space="preserve"> is clearly superior. Consequently, </w:t>
      </w:r>
      <w:r>
        <w:t>when the curves depart, we consider it is not easily discernible which curve produces estimates that better reflect the efficient financing costs of a benchmark efficient entity. We also note that the BVAL curve has produced estimates both higher than, lower than, and similar to, the RBA curve, depending on the particular point in time. So there is no clear indication that one curve produces systematically higher or lower estimates than the other.</w:t>
      </w:r>
    </w:p>
    <w:p w:rsidR="00520CEF" w:rsidRPr="0044315E" w:rsidRDefault="00520CEF" w:rsidP="00520CEF">
      <w:pPr>
        <w:pStyle w:val="AERbulletlistfirststyle"/>
      </w:pPr>
      <w:r w:rsidRPr="0044315E">
        <w:t>A simple average of two curves, in these circumstances, is consistent with the Tribunal's decision in the ActewAGL matter where the Tribunal concluded that:</w:t>
      </w:r>
    </w:p>
    <w:p w:rsidR="00520CEF" w:rsidRPr="0044315E" w:rsidRDefault="00520CEF" w:rsidP="00520CEF">
      <w:pPr>
        <w:pStyle w:val="AERquote"/>
      </w:pPr>
      <w:r w:rsidRPr="0044315E">
        <w:t>…if the AER cannot find a basis upon which to distinguish between the published curves, it is appropriate to average the yields provided by each curve, so long as the published curves are widely used and market respected.</w:t>
      </w:r>
      <w:r w:rsidRPr="0044315E">
        <w:rPr>
          <w:rStyle w:val="AERsuperscript"/>
        </w:rPr>
        <w:footnoteReference w:id="491"/>
      </w:r>
    </w:p>
    <w:p w:rsidR="00520CEF" w:rsidRPr="0044315E" w:rsidRDefault="00520CEF" w:rsidP="00520CEF">
      <w:pPr>
        <w:pStyle w:val="AERbulletlistfirststyle"/>
      </w:pPr>
      <w:r w:rsidRPr="0044315E">
        <w:t>A simple average of the two curves will reduce the likely price shock if either curve becomes unavailable or produces erroneous estimates during the period.</w:t>
      </w:r>
    </w:p>
    <w:p w:rsidR="00520CEF" w:rsidRDefault="00520CEF" w:rsidP="00520CEF">
      <w:r>
        <w:t>In our previous decisions, we have explained each of these reasons in more detail.</w:t>
      </w:r>
      <w:r>
        <w:rPr>
          <w:rStyle w:val="FootnoteReference"/>
        </w:rPr>
        <w:footnoteReference w:id="492"/>
      </w:r>
      <w:r>
        <w:t xml:space="preserve"> This analysis included the following evidence.</w:t>
      </w:r>
    </w:p>
    <w:p w:rsidR="00520CEF" w:rsidRDefault="00520CEF" w:rsidP="00520CEF">
      <w:pPr>
        <w:numPr>
          <w:ilvl w:val="0"/>
          <w:numId w:val="24"/>
        </w:numPr>
      </w:pPr>
      <w:r>
        <w:t>Dr Lally used the report of the Regulatory Economic Unit to identify 11 points of distinction between the RBA and BVAL curves. Lally analysed each of those differences and concluded:</w:t>
      </w:r>
    </w:p>
    <w:p w:rsidR="00520CEF" w:rsidRDefault="00520CEF" w:rsidP="00520CEF">
      <w:pPr>
        <w:pStyle w:val="AERquote"/>
      </w:pPr>
      <w:r w:rsidRPr="00305172">
        <w:t>In summary, eleven points of distinction have been identified between the BVAL and RBA indexes. Point (11) is irrelevant in view of the AER not requiring historical data. In respect of points (3), (4), (6), (7) and (8), it is not possible to express a preference for one of the two indexes. The BVAL is favoured in respect of points (1) and (9), but the advantage in respect of point (9) is small. The RBA is favoured in respect of points (2), (5) and (10), but the advantage in respect of point (5) is small. The most that can be said here is that neither index is clearly superior to the other.</w:t>
      </w:r>
      <w:r w:rsidRPr="00305172">
        <w:rPr>
          <w:rStyle w:val="FootnoteReference"/>
        </w:rPr>
        <w:footnoteReference w:id="493"/>
      </w:r>
    </w:p>
    <w:p w:rsidR="00520CEF" w:rsidRDefault="00520CEF" w:rsidP="00520CEF">
      <w:pPr>
        <w:numPr>
          <w:ilvl w:val="0"/>
          <w:numId w:val="24"/>
        </w:numPr>
      </w:pPr>
      <w:r>
        <w:t>Based on this analysis, Lally recommended using a simple average of the two curves. Lally advised:</w:t>
      </w:r>
    </w:p>
    <w:p w:rsidR="00520CEF" w:rsidRPr="00305172" w:rsidRDefault="00520CEF" w:rsidP="00520CEF">
      <w:pPr>
        <w:pStyle w:val="AERquote"/>
      </w:pPr>
      <w:r w:rsidRPr="00305172">
        <w:t>Firstly, on the question of which independent third-party data service provider should be used to estimate the cost of debt … I … recommend that a combined estimator be used. Since the standard deviations of these estimators are similar and it is not possible to quantify any biases in these two indexes, I recommend that the two indexes be equally weighted. This will lower the Mean Squared Error (MSE) of the estimator relative to using only one of the indexes, and significantly so if the correlation between the indexes is low.</w:t>
      </w:r>
      <w:r w:rsidRPr="00305172">
        <w:rPr>
          <w:rStyle w:val="FootnoteReference"/>
        </w:rPr>
        <w:footnoteReference w:id="494"/>
      </w:r>
    </w:p>
    <w:p w:rsidR="00520CEF" w:rsidRDefault="00520CEF" w:rsidP="00520CEF">
      <w:r>
        <w:t>Those 11 points of distinction, and Lally's assessment of those differences between the RBA and BVAL curves, are summarised in the following table.</w:t>
      </w:r>
    </w:p>
    <w:p w:rsidR="00520CEF" w:rsidRPr="00420956" w:rsidRDefault="00520CEF" w:rsidP="00520CEF">
      <w:pPr>
        <w:pStyle w:val="Caption"/>
      </w:pPr>
      <w:r>
        <w:t xml:space="preserve">Table </w:t>
      </w:r>
      <w:fldSimple w:instr=" STYLEREF 1 \s ">
        <w:r w:rsidR="00BA2E8E">
          <w:rPr>
            <w:noProof/>
          </w:rPr>
          <w:t>3</w:t>
        </w:r>
      </w:fldSimple>
      <w:r w:rsidR="000F4BC3">
        <w:noBreakHyphen/>
      </w:r>
      <w:fldSimple w:instr=" SEQ Table \* ARABIC \s 1 ">
        <w:r w:rsidR="00BA2E8E">
          <w:rPr>
            <w:noProof/>
          </w:rPr>
          <w:t>14</w:t>
        </w:r>
      </w:fldSimple>
      <w:r>
        <w:tab/>
      </w:r>
      <w:r w:rsidRPr="008523DD">
        <w:t>Dr Lally's advice of the differences between the RBA and BVAL curves</w:t>
      </w:r>
      <w:r>
        <w:tab/>
      </w:r>
    </w:p>
    <w:tbl>
      <w:tblPr>
        <w:tblStyle w:val="AERtable-text0"/>
        <w:tblW w:w="0" w:type="auto"/>
        <w:tblLook w:val="04A0" w:firstRow="1" w:lastRow="0" w:firstColumn="1" w:lastColumn="0" w:noHBand="0" w:noVBand="1"/>
      </w:tblPr>
      <w:tblGrid>
        <w:gridCol w:w="959"/>
        <w:gridCol w:w="4394"/>
        <w:gridCol w:w="3340"/>
      </w:tblGrid>
      <w:tr w:rsidR="00520CEF" w:rsidTr="00170917">
        <w:trPr>
          <w:cnfStyle w:val="100000000000" w:firstRow="1" w:lastRow="0" w:firstColumn="0" w:lastColumn="0" w:oddVBand="0" w:evenVBand="0" w:oddHBand="0" w:evenHBand="0" w:firstRowFirstColumn="0" w:firstRowLastColumn="0" w:lastRowFirstColumn="0" w:lastRowLastColumn="0"/>
          <w:tblHeader/>
        </w:trPr>
        <w:tc>
          <w:tcPr>
            <w:tcW w:w="959" w:type="dxa"/>
          </w:tcPr>
          <w:p w:rsidR="00520CEF" w:rsidRDefault="00520CEF" w:rsidP="00520CEF">
            <w:pPr>
              <w:numPr>
                <w:ilvl w:val="0"/>
                <w:numId w:val="24"/>
              </w:numPr>
            </w:pPr>
            <w:r>
              <w:t>No.</w:t>
            </w:r>
          </w:p>
        </w:tc>
        <w:tc>
          <w:tcPr>
            <w:tcW w:w="4394" w:type="dxa"/>
          </w:tcPr>
          <w:p w:rsidR="00520CEF" w:rsidRDefault="00520CEF" w:rsidP="00520CEF">
            <w:pPr>
              <w:numPr>
                <w:ilvl w:val="0"/>
                <w:numId w:val="24"/>
              </w:numPr>
            </w:pPr>
            <w:r>
              <w:t>Points of distinction identified by REU</w:t>
            </w:r>
            <w:r>
              <w:rPr>
                <w:rStyle w:val="FootnoteReference"/>
              </w:rPr>
              <w:footnoteReference w:id="495"/>
            </w:r>
          </w:p>
        </w:tc>
        <w:tc>
          <w:tcPr>
            <w:tcW w:w="3340" w:type="dxa"/>
          </w:tcPr>
          <w:p w:rsidR="00520CEF" w:rsidRDefault="00520CEF" w:rsidP="00520CEF">
            <w:pPr>
              <w:numPr>
                <w:ilvl w:val="0"/>
                <w:numId w:val="24"/>
              </w:numPr>
            </w:pPr>
            <w:r>
              <w:t>Advice from Dr Lally</w:t>
            </w:r>
            <w:r>
              <w:rPr>
                <w:rStyle w:val="FootnoteReference"/>
              </w:rPr>
              <w:footnoteReference w:id="496"/>
            </w:r>
          </w:p>
        </w:tc>
      </w:tr>
      <w:tr w:rsidR="00520CEF" w:rsidTr="00170917">
        <w:tc>
          <w:tcPr>
            <w:tcW w:w="959" w:type="dxa"/>
          </w:tcPr>
          <w:p w:rsidR="00520CEF" w:rsidRDefault="00520CEF" w:rsidP="00520CEF">
            <w:pPr>
              <w:numPr>
                <w:ilvl w:val="0"/>
                <w:numId w:val="24"/>
              </w:numPr>
            </w:pPr>
            <w:r>
              <w:t>1</w:t>
            </w:r>
          </w:p>
        </w:tc>
        <w:tc>
          <w:tcPr>
            <w:tcW w:w="4394" w:type="dxa"/>
          </w:tcPr>
          <w:p w:rsidR="00520CEF" w:rsidRDefault="00520CEF" w:rsidP="00520CEF">
            <w:pPr>
              <w:numPr>
                <w:ilvl w:val="0"/>
                <w:numId w:val="24"/>
              </w:numPr>
            </w:pPr>
            <w:r w:rsidRPr="009F0E67">
              <w:t>The BVAL is available daily whilst the RBA is only available monthly.</w:t>
            </w:r>
          </w:p>
        </w:tc>
        <w:tc>
          <w:tcPr>
            <w:tcW w:w="3340" w:type="dxa"/>
          </w:tcPr>
          <w:p w:rsidR="00520CEF" w:rsidRDefault="00520CEF" w:rsidP="00520CEF">
            <w:pPr>
              <w:numPr>
                <w:ilvl w:val="0"/>
                <w:numId w:val="24"/>
              </w:numPr>
            </w:pPr>
            <w:r w:rsidRPr="009F0E67">
              <w:t>BVAL favoured.</w:t>
            </w:r>
          </w:p>
        </w:tc>
      </w:tr>
      <w:tr w:rsidR="00520CEF" w:rsidTr="00170917">
        <w:trPr>
          <w:cnfStyle w:val="000000010000" w:firstRow="0" w:lastRow="0" w:firstColumn="0" w:lastColumn="0" w:oddVBand="0" w:evenVBand="0" w:oddHBand="0" w:evenHBand="1" w:firstRowFirstColumn="0" w:firstRowLastColumn="0" w:lastRowFirstColumn="0" w:lastRowLastColumn="0"/>
        </w:trPr>
        <w:tc>
          <w:tcPr>
            <w:tcW w:w="959" w:type="dxa"/>
          </w:tcPr>
          <w:p w:rsidR="00520CEF" w:rsidRDefault="00520CEF" w:rsidP="00520CEF">
            <w:pPr>
              <w:numPr>
                <w:ilvl w:val="0"/>
                <w:numId w:val="24"/>
              </w:numPr>
            </w:pPr>
            <w:r>
              <w:t>2</w:t>
            </w:r>
          </w:p>
        </w:tc>
        <w:tc>
          <w:tcPr>
            <w:tcW w:w="4394" w:type="dxa"/>
          </w:tcPr>
          <w:p w:rsidR="00520CEF" w:rsidRDefault="00520CEF" w:rsidP="00520CEF">
            <w:pPr>
              <w:numPr>
                <w:ilvl w:val="0"/>
                <w:numId w:val="24"/>
              </w:numPr>
            </w:pPr>
            <w:r w:rsidRPr="009F0E67">
              <w:t>The BVAL is only available for terms up to seven years, and therefore would have to be extrapolated out to the desired ten years, whilst the RBA is at least notionally available for the desired ten year term.</w:t>
            </w:r>
          </w:p>
        </w:tc>
        <w:tc>
          <w:tcPr>
            <w:tcW w:w="3340" w:type="dxa"/>
          </w:tcPr>
          <w:p w:rsidR="00520CEF" w:rsidRPr="009F0E67" w:rsidRDefault="00520CEF" w:rsidP="00520CEF">
            <w:pPr>
              <w:numPr>
                <w:ilvl w:val="0"/>
                <w:numId w:val="24"/>
              </w:numPr>
            </w:pPr>
            <w:r w:rsidRPr="009F0E67">
              <w:t>RBA favoured.</w:t>
            </w:r>
          </w:p>
          <w:p w:rsidR="00520CEF" w:rsidRPr="005C054F" w:rsidRDefault="00520CEF" w:rsidP="00520CEF">
            <w:pPr>
              <w:numPr>
                <w:ilvl w:val="0"/>
                <w:numId w:val="24"/>
              </w:numPr>
              <w:rPr>
                <w:rStyle w:val="AERtextitalic"/>
              </w:rPr>
            </w:pPr>
            <w:r w:rsidRPr="005C054F">
              <w:rPr>
                <w:rStyle w:val="AERtextitalic"/>
              </w:rPr>
              <w:t>Note: From April 2015, this point would have changed to “BVAL favoured” as Bloomberg commenced publication of a 10 year BVAL curve, which no longer requires any extrapolation adjustment.</w:t>
            </w:r>
          </w:p>
        </w:tc>
      </w:tr>
      <w:tr w:rsidR="00520CEF" w:rsidTr="00170917">
        <w:tc>
          <w:tcPr>
            <w:tcW w:w="959" w:type="dxa"/>
          </w:tcPr>
          <w:p w:rsidR="00520CEF" w:rsidRDefault="00520CEF" w:rsidP="00520CEF">
            <w:pPr>
              <w:numPr>
                <w:ilvl w:val="0"/>
                <w:numId w:val="24"/>
              </w:numPr>
            </w:pPr>
            <w:r>
              <w:t>3</w:t>
            </w:r>
          </w:p>
        </w:tc>
        <w:tc>
          <w:tcPr>
            <w:tcW w:w="4394" w:type="dxa"/>
          </w:tcPr>
          <w:p w:rsidR="00520CEF" w:rsidRDefault="00520CEF" w:rsidP="00520CEF">
            <w:pPr>
              <w:numPr>
                <w:ilvl w:val="0"/>
                <w:numId w:val="24"/>
              </w:numPr>
            </w:pPr>
            <w:r w:rsidRPr="009F0E67">
              <w:t>The BVAL sample of bonds is limited to those with a minimum pricing quality (liquidity measure), at least two months to maturity, and above retail size ($10m: see REU, 2014, page 20), whilst the RBA sample is limited to bond issues of at least $100mAUD and at least one year to maturity.</w:t>
            </w:r>
          </w:p>
        </w:tc>
        <w:tc>
          <w:tcPr>
            <w:tcW w:w="3340" w:type="dxa"/>
          </w:tcPr>
          <w:p w:rsidR="00520CEF" w:rsidRDefault="00520CEF" w:rsidP="00520CEF">
            <w:pPr>
              <w:numPr>
                <w:ilvl w:val="0"/>
                <w:numId w:val="24"/>
              </w:numPr>
            </w:pPr>
            <w:r w:rsidRPr="009F0E67">
              <w:t>Not possible to express preference for one over the other.</w:t>
            </w:r>
          </w:p>
        </w:tc>
      </w:tr>
      <w:tr w:rsidR="00520CEF" w:rsidTr="00170917">
        <w:trPr>
          <w:cnfStyle w:val="000000010000" w:firstRow="0" w:lastRow="0" w:firstColumn="0" w:lastColumn="0" w:oddVBand="0" w:evenVBand="0" w:oddHBand="0" w:evenHBand="1" w:firstRowFirstColumn="0" w:firstRowLastColumn="0" w:lastRowFirstColumn="0" w:lastRowLastColumn="0"/>
        </w:trPr>
        <w:tc>
          <w:tcPr>
            <w:tcW w:w="959" w:type="dxa"/>
          </w:tcPr>
          <w:p w:rsidR="00520CEF" w:rsidRDefault="00520CEF" w:rsidP="00520CEF">
            <w:pPr>
              <w:numPr>
                <w:ilvl w:val="0"/>
                <w:numId w:val="24"/>
              </w:numPr>
            </w:pPr>
            <w:r>
              <w:t>4</w:t>
            </w:r>
          </w:p>
        </w:tc>
        <w:tc>
          <w:tcPr>
            <w:tcW w:w="4394" w:type="dxa"/>
          </w:tcPr>
          <w:p w:rsidR="00520CEF" w:rsidRDefault="00520CEF" w:rsidP="00520CEF">
            <w:pPr>
              <w:numPr>
                <w:ilvl w:val="0"/>
                <w:numId w:val="24"/>
              </w:numPr>
            </w:pPr>
            <w:r w:rsidRPr="009F0E67">
              <w:t>The BVAL sample does not exclude financial corporations whilst the RBA’s does.</w:t>
            </w:r>
          </w:p>
        </w:tc>
        <w:tc>
          <w:tcPr>
            <w:tcW w:w="3340" w:type="dxa"/>
          </w:tcPr>
          <w:p w:rsidR="00520CEF" w:rsidRDefault="00520CEF" w:rsidP="00520CEF">
            <w:pPr>
              <w:numPr>
                <w:ilvl w:val="0"/>
                <w:numId w:val="24"/>
              </w:numPr>
            </w:pPr>
            <w:r w:rsidRPr="009F0E67">
              <w:t>Not possible to express preference for one over the other.</w:t>
            </w:r>
          </w:p>
        </w:tc>
      </w:tr>
      <w:tr w:rsidR="00520CEF" w:rsidTr="00170917">
        <w:tc>
          <w:tcPr>
            <w:tcW w:w="959" w:type="dxa"/>
          </w:tcPr>
          <w:p w:rsidR="00520CEF" w:rsidRDefault="00520CEF" w:rsidP="00520CEF">
            <w:pPr>
              <w:numPr>
                <w:ilvl w:val="0"/>
                <w:numId w:val="24"/>
              </w:numPr>
            </w:pPr>
            <w:r>
              <w:t>5</w:t>
            </w:r>
          </w:p>
        </w:tc>
        <w:tc>
          <w:tcPr>
            <w:tcW w:w="4394" w:type="dxa"/>
          </w:tcPr>
          <w:p w:rsidR="00520CEF" w:rsidRDefault="00520CEF" w:rsidP="00520CEF">
            <w:pPr>
              <w:numPr>
                <w:ilvl w:val="0"/>
                <w:numId w:val="24"/>
              </w:numPr>
            </w:pPr>
            <w:r w:rsidRPr="009F0E67">
              <w:t>The BVAL sample is limited to unsecured bonds whilst the RBA’s sample includes both secured and unsecured bonds.</w:t>
            </w:r>
          </w:p>
        </w:tc>
        <w:tc>
          <w:tcPr>
            <w:tcW w:w="3340" w:type="dxa"/>
          </w:tcPr>
          <w:p w:rsidR="00520CEF" w:rsidRDefault="00520CEF" w:rsidP="00520CEF">
            <w:pPr>
              <w:numPr>
                <w:ilvl w:val="0"/>
                <w:numId w:val="24"/>
              </w:numPr>
            </w:pPr>
            <w:r w:rsidRPr="009F0E67">
              <w:t>RBA favoured, but advantage is small.</w:t>
            </w:r>
          </w:p>
        </w:tc>
      </w:tr>
      <w:tr w:rsidR="00520CEF" w:rsidTr="00170917">
        <w:trPr>
          <w:cnfStyle w:val="000000010000" w:firstRow="0" w:lastRow="0" w:firstColumn="0" w:lastColumn="0" w:oddVBand="0" w:evenVBand="0" w:oddHBand="0" w:evenHBand="1" w:firstRowFirstColumn="0" w:firstRowLastColumn="0" w:lastRowFirstColumn="0" w:lastRowLastColumn="0"/>
        </w:trPr>
        <w:tc>
          <w:tcPr>
            <w:tcW w:w="959" w:type="dxa"/>
          </w:tcPr>
          <w:p w:rsidR="00520CEF" w:rsidRDefault="00520CEF" w:rsidP="00520CEF">
            <w:pPr>
              <w:numPr>
                <w:ilvl w:val="0"/>
                <w:numId w:val="24"/>
              </w:numPr>
            </w:pPr>
            <w:r>
              <w:t>6</w:t>
            </w:r>
          </w:p>
        </w:tc>
        <w:tc>
          <w:tcPr>
            <w:tcW w:w="4394" w:type="dxa"/>
          </w:tcPr>
          <w:p w:rsidR="00520CEF" w:rsidRDefault="00520CEF" w:rsidP="00520CEF">
            <w:pPr>
              <w:numPr>
                <w:ilvl w:val="0"/>
                <w:numId w:val="24"/>
              </w:numPr>
            </w:pPr>
            <w:r w:rsidRPr="009F0E67">
              <w:t>The BVAL sample is limited to bonds rated by either S&amp;P or Moody’s, whilst the RBA sample is limited to bonds rated by S&amp;P or issued by a firm with an S&amp;P rating.</w:t>
            </w:r>
          </w:p>
        </w:tc>
        <w:tc>
          <w:tcPr>
            <w:tcW w:w="3340" w:type="dxa"/>
          </w:tcPr>
          <w:p w:rsidR="00520CEF" w:rsidRDefault="00520CEF" w:rsidP="00520CEF">
            <w:pPr>
              <w:numPr>
                <w:ilvl w:val="0"/>
                <w:numId w:val="24"/>
              </w:numPr>
            </w:pPr>
            <w:r w:rsidRPr="009F0E67">
              <w:t>Not possible to express preference for one over the other.</w:t>
            </w:r>
          </w:p>
        </w:tc>
      </w:tr>
      <w:tr w:rsidR="00520CEF" w:rsidTr="00170917">
        <w:tc>
          <w:tcPr>
            <w:tcW w:w="959" w:type="dxa"/>
          </w:tcPr>
          <w:p w:rsidR="00520CEF" w:rsidRDefault="00520CEF" w:rsidP="00520CEF">
            <w:pPr>
              <w:numPr>
                <w:ilvl w:val="0"/>
                <w:numId w:val="24"/>
              </w:numPr>
            </w:pPr>
            <w:r>
              <w:t>7</w:t>
            </w:r>
          </w:p>
        </w:tc>
        <w:tc>
          <w:tcPr>
            <w:tcW w:w="4394" w:type="dxa"/>
          </w:tcPr>
          <w:p w:rsidR="00520CEF" w:rsidRDefault="00520CEF" w:rsidP="00520CEF">
            <w:pPr>
              <w:numPr>
                <w:ilvl w:val="0"/>
                <w:numId w:val="24"/>
              </w:numPr>
            </w:pPr>
            <w:r w:rsidRPr="009F0E67">
              <w:t>The BVAL sample is limited to AUD denominated bonds whilst the RBA sample also includes USD and Euro denominated bonds.</w:t>
            </w:r>
          </w:p>
        </w:tc>
        <w:tc>
          <w:tcPr>
            <w:tcW w:w="3340" w:type="dxa"/>
          </w:tcPr>
          <w:p w:rsidR="00520CEF" w:rsidRDefault="00520CEF" w:rsidP="00520CEF">
            <w:pPr>
              <w:numPr>
                <w:ilvl w:val="0"/>
                <w:numId w:val="24"/>
              </w:numPr>
            </w:pPr>
            <w:r w:rsidRPr="009F0E67">
              <w:t>Not possible to express preference for one over the other.</w:t>
            </w:r>
          </w:p>
        </w:tc>
      </w:tr>
      <w:tr w:rsidR="00520CEF" w:rsidTr="00170917">
        <w:trPr>
          <w:cnfStyle w:val="000000010000" w:firstRow="0" w:lastRow="0" w:firstColumn="0" w:lastColumn="0" w:oddVBand="0" w:evenVBand="0" w:oddHBand="0" w:evenHBand="1" w:firstRowFirstColumn="0" w:firstRowLastColumn="0" w:lastRowFirstColumn="0" w:lastRowLastColumn="0"/>
        </w:trPr>
        <w:tc>
          <w:tcPr>
            <w:tcW w:w="959" w:type="dxa"/>
          </w:tcPr>
          <w:p w:rsidR="00520CEF" w:rsidRDefault="00520CEF" w:rsidP="00520CEF">
            <w:pPr>
              <w:numPr>
                <w:ilvl w:val="0"/>
                <w:numId w:val="24"/>
              </w:numPr>
            </w:pPr>
            <w:r>
              <w:t>8</w:t>
            </w:r>
          </w:p>
        </w:tc>
        <w:tc>
          <w:tcPr>
            <w:tcW w:w="4394" w:type="dxa"/>
          </w:tcPr>
          <w:p w:rsidR="00520CEF" w:rsidRDefault="00520CEF" w:rsidP="00520CEF">
            <w:pPr>
              <w:numPr>
                <w:ilvl w:val="0"/>
                <w:numId w:val="24"/>
              </w:numPr>
            </w:pPr>
            <w:r w:rsidRPr="009F0E67">
              <w:t>The BVAL sample excludes bonds with call, put and conversion options, whilst the RBA sample does not exclude them.</w:t>
            </w:r>
          </w:p>
        </w:tc>
        <w:tc>
          <w:tcPr>
            <w:tcW w:w="3340" w:type="dxa"/>
          </w:tcPr>
          <w:p w:rsidR="00520CEF" w:rsidRDefault="00520CEF" w:rsidP="00520CEF">
            <w:pPr>
              <w:numPr>
                <w:ilvl w:val="0"/>
                <w:numId w:val="24"/>
              </w:numPr>
            </w:pPr>
            <w:r w:rsidRPr="009F0E67">
              <w:t>Not possible to express preference for one over the other.</w:t>
            </w:r>
          </w:p>
        </w:tc>
      </w:tr>
      <w:tr w:rsidR="00520CEF" w:rsidTr="00170917">
        <w:tc>
          <w:tcPr>
            <w:tcW w:w="959" w:type="dxa"/>
          </w:tcPr>
          <w:p w:rsidR="00520CEF" w:rsidRDefault="00520CEF" w:rsidP="00520CEF">
            <w:pPr>
              <w:numPr>
                <w:ilvl w:val="0"/>
                <w:numId w:val="24"/>
              </w:numPr>
            </w:pPr>
            <w:r>
              <w:t>9</w:t>
            </w:r>
          </w:p>
        </w:tc>
        <w:tc>
          <w:tcPr>
            <w:tcW w:w="4394" w:type="dxa"/>
          </w:tcPr>
          <w:p w:rsidR="00520CEF" w:rsidRDefault="00520CEF" w:rsidP="00520CEF">
            <w:pPr>
              <w:numPr>
                <w:ilvl w:val="0"/>
                <w:numId w:val="24"/>
              </w:numPr>
            </w:pPr>
            <w:r w:rsidRPr="009F0E67">
              <w:t>The BVAL methodology involves a par yield curve whilst the RBA’s does not.</w:t>
            </w:r>
          </w:p>
        </w:tc>
        <w:tc>
          <w:tcPr>
            <w:tcW w:w="3340" w:type="dxa"/>
          </w:tcPr>
          <w:p w:rsidR="00520CEF" w:rsidRDefault="00520CEF" w:rsidP="00520CEF">
            <w:pPr>
              <w:numPr>
                <w:ilvl w:val="0"/>
                <w:numId w:val="24"/>
              </w:numPr>
            </w:pPr>
            <w:r w:rsidRPr="009F0E67">
              <w:t>BVAL favoured, but advantage is small.</w:t>
            </w:r>
          </w:p>
        </w:tc>
      </w:tr>
      <w:tr w:rsidR="00520CEF" w:rsidTr="00170917">
        <w:trPr>
          <w:cnfStyle w:val="000000010000" w:firstRow="0" w:lastRow="0" w:firstColumn="0" w:lastColumn="0" w:oddVBand="0" w:evenVBand="0" w:oddHBand="0" w:evenHBand="1" w:firstRowFirstColumn="0" w:firstRowLastColumn="0" w:lastRowFirstColumn="0" w:lastRowLastColumn="0"/>
        </w:trPr>
        <w:tc>
          <w:tcPr>
            <w:tcW w:w="959" w:type="dxa"/>
          </w:tcPr>
          <w:p w:rsidR="00520CEF" w:rsidRDefault="00520CEF" w:rsidP="00520CEF">
            <w:pPr>
              <w:numPr>
                <w:ilvl w:val="0"/>
                <w:numId w:val="24"/>
              </w:numPr>
            </w:pPr>
            <w:r>
              <w:t>10</w:t>
            </w:r>
          </w:p>
        </w:tc>
        <w:tc>
          <w:tcPr>
            <w:tcW w:w="4394" w:type="dxa"/>
          </w:tcPr>
          <w:p w:rsidR="00520CEF" w:rsidRDefault="00520CEF" w:rsidP="00520CEF">
            <w:pPr>
              <w:numPr>
                <w:ilvl w:val="0"/>
                <w:numId w:val="24"/>
              </w:numPr>
            </w:pPr>
            <w:r w:rsidRPr="009F0E67">
              <w:t>The BVAL methodology for curve fitting is (in large part) not disclosed whilst the RBA’s methodology is disclosed.</w:t>
            </w:r>
          </w:p>
        </w:tc>
        <w:tc>
          <w:tcPr>
            <w:tcW w:w="3340" w:type="dxa"/>
          </w:tcPr>
          <w:p w:rsidR="00520CEF" w:rsidRDefault="00520CEF" w:rsidP="00520CEF">
            <w:pPr>
              <w:numPr>
                <w:ilvl w:val="0"/>
                <w:numId w:val="24"/>
              </w:numPr>
            </w:pPr>
            <w:r w:rsidRPr="009F0E67">
              <w:t>RBA favoured.</w:t>
            </w:r>
          </w:p>
        </w:tc>
      </w:tr>
      <w:tr w:rsidR="00520CEF" w:rsidTr="00170917">
        <w:tc>
          <w:tcPr>
            <w:tcW w:w="959" w:type="dxa"/>
          </w:tcPr>
          <w:p w:rsidR="00520CEF" w:rsidRDefault="00520CEF" w:rsidP="00520CEF">
            <w:pPr>
              <w:numPr>
                <w:ilvl w:val="0"/>
                <w:numId w:val="24"/>
              </w:numPr>
            </w:pPr>
            <w:r>
              <w:t>11</w:t>
            </w:r>
          </w:p>
        </w:tc>
        <w:tc>
          <w:tcPr>
            <w:tcW w:w="4394" w:type="dxa"/>
          </w:tcPr>
          <w:p w:rsidR="00520CEF" w:rsidRDefault="00520CEF" w:rsidP="00520CEF">
            <w:pPr>
              <w:numPr>
                <w:ilvl w:val="0"/>
                <w:numId w:val="24"/>
              </w:numPr>
            </w:pPr>
            <w:r w:rsidRPr="009F0E67">
              <w:t>The BVAL is only available back to February 2011 (continuously) whilst the RBA is available back to January 2005, and therefore there will be more problems obtaining a ten-year trailing average when using the BVAL.</w:t>
            </w:r>
          </w:p>
        </w:tc>
        <w:tc>
          <w:tcPr>
            <w:tcW w:w="3340" w:type="dxa"/>
          </w:tcPr>
          <w:p w:rsidR="00520CEF" w:rsidRDefault="00520CEF" w:rsidP="00520CEF">
            <w:pPr>
              <w:numPr>
                <w:ilvl w:val="0"/>
                <w:numId w:val="24"/>
              </w:numPr>
            </w:pPr>
            <w:r w:rsidRPr="009F0E67">
              <w:t>Not relevant, as AER does not require historical data.</w:t>
            </w:r>
          </w:p>
        </w:tc>
      </w:tr>
    </w:tbl>
    <w:p w:rsidR="00520CEF" w:rsidRDefault="00520CEF" w:rsidP="00520CEF">
      <w:pPr>
        <w:pStyle w:val="AERtablesource"/>
      </w:pPr>
      <w:r>
        <w:t xml:space="preserve">Source: </w:t>
      </w:r>
      <w:r>
        <w:tab/>
        <w:t>Advice from Dr Lally.</w:t>
      </w:r>
      <w:r>
        <w:rPr>
          <w:rStyle w:val="FootnoteReference"/>
        </w:rPr>
        <w:footnoteReference w:id="497"/>
      </w:r>
    </w:p>
    <w:p w:rsidR="00520CEF" w:rsidRDefault="00520CEF" w:rsidP="00520CEF">
      <w:r>
        <w:t>In our previous decisions, we explained each of these reasons in more detail.</w:t>
      </w:r>
      <w:r>
        <w:rPr>
          <w:rStyle w:val="FootnoteReference"/>
        </w:rPr>
        <w:footnoteReference w:id="498"/>
      </w:r>
      <w:r>
        <w:t xml:space="preserve"> </w:t>
      </w:r>
    </w:p>
    <w:p w:rsidR="00520CEF" w:rsidRDefault="00520CEF" w:rsidP="00520CEF">
      <w:r>
        <w:t xml:space="preserve">Recently, the Tribunal also upheld this approach, in relation to the NSW/ACT electricity distribution determinations and JGN gas access arrangement. </w:t>
      </w:r>
    </w:p>
    <w:p w:rsidR="00520CEF" w:rsidRDefault="00520CEF" w:rsidP="00520CEF">
      <w:r>
        <w:t>The Tribunal was satisfied that our approach of adopting a simple average of the information from both the RBA and Bloomberg data services in those reviews was legally open and appropriate, stating:</w:t>
      </w:r>
      <w:r>
        <w:rPr>
          <w:rStyle w:val="FootnoteReference"/>
        </w:rPr>
        <w:footnoteReference w:id="499"/>
      </w:r>
    </w:p>
    <w:p w:rsidR="00520CEF" w:rsidRDefault="00520CEF" w:rsidP="00520CEF">
      <w:pPr>
        <w:pStyle w:val="AERquote"/>
      </w:pPr>
      <w:r w:rsidRPr="008B6856">
        <w:t xml:space="preserve">983 </w:t>
      </w:r>
      <w:r>
        <w:t>…</w:t>
      </w:r>
      <w:r w:rsidRPr="008B6856">
        <w:t xml:space="preserve"> 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w:t>
      </w:r>
    </w:p>
    <w:p w:rsidR="00520CEF" w:rsidRDefault="00520CEF" w:rsidP="00520CEF">
      <w:r>
        <w:t>Similarly, in relation to the choice of a BBB+ credit rating, the Tribunal noted:</w:t>
      </w:r>
      <w:r>
        <w:rPr>
          <w:rStyle w:val="FootnoteReference"/>
        </w:rPr>
        <w:footnoteReference w:id="500"/>
      </w:r>
    </w:p>
    <w:p w:rsidR="00520CEF" w:rsidRDefault="00520CEF" w:rsidP="00520CEF">
      <w:pPr>
        <w:pStyle w:val="AERquote"/>
      </w:pPr>
      <w:r w:rsidRPr="00C32DF3">
        <w:t xml:space="preserve">993 </w:t>
      </w:r>
      <w:r>
        <w:t xml:space="preserve"> </w:t>
      </w:r>
      <w:r w:rsidRPr="00C32DF3">
        <w:t xml:space="preserve">The Tribunal is not satisfied that the AER’s relevant Final Decisions on this topic disclose a ground of review. In the Final Decisions </w:t>
      </w:r>
      <w:r>
        <w:t>…</w:t>
      </w:r>
      <w:r w:rsidRPr="00C32DF3">
        <w:t xml:space="preserve"> is a table analysing the median credit ratings over time. The table itself is not apparently inaccurate. The more recent years point firmly towards a BBB+ credit rating for the BEE. The Tribunal does not consider that it was either factually wrong, or a wrong exercise of the discretion, to have regard to that material for the purpose of identifying the characteristics of the BEE.</w:t>
      </w:r>
    </w:p>
    <w:p w:rsidR="00520CEF" w:rsidRDefault="00520CEF" w:rsidP="00520CEF">
      <w:r>
        <w:t>Indeed, the Tribunal went further, noting that even if it was wrong in these findings, it would not be persuaded that it was materially preferable and in the long term interests of consumers to adopt a different approach to that adopted by the AER, noting:</w:t>
      </w:r>
      <w:r>
        <w:rPr>
          <w:rStyle w:val="FootnoteReference"/>
        </w:rPr>
        <w:footnoteReference w:id="501"/>
      </w:r>
    </w:p>
    <w:p w:rsidR="00520CEF" w:rsidRDefault="00520CEF" w:rsidP="000F4BC3">
      <w:pPr>
        <w:pStyle w:val="AERquote"/>
      </w:pPr>
      <w:r w:rsidRPr="00C32DF3">
        <w:t>995</w:t>
      </w:r>
      <w:r>
        <w:t xml:space="preserve"> </w:t>
      </w:r>
      <w:r w:rsidRPr="00C32DF3">
        <w:t xml:space="preserve"> In any event, the Tribunal would not take the step of being satisfied, in either respect, that to vary or set aside the relevant Final Decision would, or would be likely to, result in a materially preferable NEO decision under s 71P(2a)(c)</w:t>
      </w:r>
      <w:r>
        <w:t>.While some aspects of the Tribunal's decision have been challenged in the Full Federal Court, this aspect of the Tribunal's decision has not been challenged by any party.</w:t>
      </w:r>
    </w:p>
    <w:p w:rsidR="00520CEF" w:rsidRDefault="00520CEF" w:rsidP="00520CEF">
      <w:r>
        <w:t>We have assessed the new information received in current proposals from service providers who recommend that we depart from our previous position of adopting a simple average of the RBA and BVAL curves. That new information does not persuade us to depart from our position or reasons from recent decisions. We explain our reasons for this decision in the re</w:t>
      </w:r>
      <w:r w:rsidR="00DD2E09">
        <w:t>mainder of this section and in A</w:t>
      </w:r>
      <w:r>
        <w:t>ppendix</w:t>
      </w:r>
      <w:r w:rsidR="00DD2E09">
        <w:t xml:space="preserve"> </w:t>
      </w:r>
      <w:r w:rsidR="00DD2E09">
        <w:fldChar w:fldCharType="begin"/>
      </w:r>
      <w:r w:rsidR="00DD2E09">
        <w:instrText xml:space="preserve"> REF _Ref451266050 \r \h </w:instrText>
      </w:r>
      <w:r w:rsidR="00DD2E09">
        <w:fldChar w:fldCharType="separate"/>
      </w:r>
      <w:r w:rsidR="00BA2E8E">
        <w:t>I</w:t>
      </w:r>
      <w:r w:rsidR="00DD2E09">
        <w:fldChar w:fldCharType="end"/>
      </w:r>
      <w:r>
        <w:t>.</w:t>
      </w:r>
    </w:p>
    <w:p w:rsidR="00520CEF" w:rsidRDefault="00520CEF" w:rsidP="00520CEF">
      <w:r>
        <w:t xml:space="preserve">We also requested Dr Lally review the recommendations from his previous report in light of the material submitted by service providers with current proposals. As part of that analysis, we requested Dr Lally review both the AER's approach and the various approaches proposed by service providers with current proposals against a set of criteria drawn from the requirements of the law and the rules, including the </w:t>
      </w:r>
      <w:r w:rsidR="009C74CF">
        <w:t>ARORO</w:t>
      </w:r>
      <w:r>
        <w:t>. After reviewing that material, Dr Lally concluded:</w:t>
      </w:r>
    </w:p>
    <w:p w:rsidR="00520CEF" w:rsidRPr="002C49C4" w:rsidRDefault="00520CEF" w:rsidP="00520CEF">
      <w:pPr>
        <w:pStyle w:val="AERquote"/>
      </w:pPr>
      <w:r>
        <w:t>…</w:t>
      </w:r>
      <w:r w:rsidRPr="002C49C4">
        <w:t>the AER’s proposed approach satisfies the criteria and these criteria are not satisfied by any other proposed approach.</w:t>
      </w:r>
    </w:p>
    <w:p w:rsidR="00520CEF" w:rsidRDefault="00520CEF" w:rsidP="00520CEF">
      <w:pPr>
        <w:pStyle w:val="AERquote"/>
      </w:pPr>
      <w:r w:rsidRPr="002C49C4">
        <w:t>Finally, I have previously provided advice on these implementation issues to the AER and nothing in these submissions warrants any change in that advice.</w:t>
      </w:r>
      <w:r>
        <w:rPr>
          <w:rStyle w:val="FootnoteReference"/>
        </w:rPr>
        <w:footnoteReference w:id="502"/>
      </w:r>
    </w:p>
    <w:p w:rsidR="00520CEF" w:rsidRDefault="00520CEF" w:rsidP="00520CEF">
      <w:pPr>
        <w:pStyle w:val="HeadingItalic"/>
      </w:pPr>
      <w:r>
        <w:t>Response to key issues raised by stakeholders</w:t>
      </w:r>
    </w:p>
    <w:p w:rsidR="00520CEF" w:rsidRDefault="00520CEF" w:rsidP="00520CEF">
      <w:r>
        <w:fldChar w:fldCharType="begin"/>
      </w:r>
      <w:r>
        <w:instrText xml:space="preserve"> REF _Ref431241994 \h </w:instrText>
      </w:r>
      <w:r>
        <w:fldChar w:fldCharType="separate"/>
      </w:r>
      <w:r w:rsidR="00BA2E8E" w:rsidRPr="00986ABB">
        <w:t xml:space="preserve">Table </w:t>
      </w:r>
      <w:r w:rsidR="00BA2E8E">
        <w:rPr>
          <w:noProof/>
        </w:rPr>
        <w:t>3</w:t>
      </w:r>
      <w:r w:rsidR="00BA2E8E">
        <w:noBreakHyphen/>
      </w:r>
      <w:r w:rsidR="00BA2E8E">
        <w:rPr>
          <w:noProof/>
        </w:rPr>
        <w:t>15</w:t>
      </w:r>
      <w:r>
        <w:fldChar w:fldCharType="end"/>
      </w:r>
      <w:r>
        <w:t xml:space="preserve"> sets out the service providers' proposals.</w:t>
      </w:r>
    </w:p>
    <w:p w:rsidR="00520CEF" w:rsidRPr="00986ABB" w:rsidRDefault="00520CEF" w:rsidP="00520CEF">
      <w:pPr>
        <w:pStyle w:val="Caption"/>
      </w:pPr>
      <w:bookmarkStart w:id="151" w:name="_Ref431241994"/>
      <w:r w:rsidRPr="00986ABB">
        <w:t xml:space="preserve">Table </w:t>
      </w:r>
      <w:fldSimple w:instr=" STYLEREF 1 \s ">
        <w:r w:rsidR="00BA2E8E">
          <w:rPr>
            <w:noProof/>
          </w:rPr>
          <w:t>3</w:t>
        </w:r>
      </w:fldSimple>
      <w:r w:rsidR="000F4BC3">
        <w:noBreakHyphen/>
      </w:r>
      <w:fldSimple w:instr=" SEQ Table \* ARABIC \s 1 ">
        <w:r w:rsidR="00BA2E8E">
          <w:rPr>
            <w:noProof/>
          </w:rPr>
          <w:t>15</w:t>
        </w:r>
      </w:fldSimple>
      <w:bookmarkEnd w:id="151"/>
      <w:r w:rsidRPr="00986ABB">
        <w:t xml:space="preserve">   Choice of data series and adjustments: Summary of current service provider proposals</w:t>
      </w:r>
    </w:p>
    <w:tbl>
      <w:tblPr>
        <w:tblStyle w:val="AERtable-text0"/>
        <w:tblW w:w="0" w:type="auto"/>
        <w:tblLook w:val="04A0" w:firstRow="1" w:lastRow="0" w:firstColumn="1" w:lastColumn="0" w:noHBand="0" w:noVBand="1"/>
      </w:tblPr>
      <w:tblGrid>
        <w:gridCol w:w="3070"/>
        <w:gridCol w:w="3025"/>
        <w:gridCol w:w="2598"/>
      </w:tblGrid>
      <w:tr w:rsidR="00520CEF" w:rsidRPr="00986ABB" w:rsidTr="00170917">
        <w:trPr>
          <w:cnfStyle w:val="100000000000" w:firstRow="1" w:lastRow="0" w:firstColumn="0" w:lastColumn="0" w:oddVBand="0" w:evenVBand="0" w:oddHBand="0" w:evenHBand="0" w:firstRowFirstColumn="0" w:firstRowLastColumn="0" w:lastRowFirstColumn="0" w:lastRowLastColumn="0"/>
        </w:trPr>
        <w:tc>
          <w:tcPr>
            <w:tcW w:w="3070" w:type="dxa"/>
          </w:tcPr>
          <w:p w:rsidR="00520CEF" w:rsidRPr="00986ABB" w:rsidRDefault="00520CEF" w:rsidP="00520CEF">
            <w:pPr>
              <w:numPr>
                <w:ilvl w:val="0"/>
                <w:numId w:val="24"/>
              </w:numPr>
            </w:pPr>
            <w:r w:rsidRPr="00986ABB">
              <w:t>Service provider</w:t>
            </w:r>
          </w:p>
        </w:tc>
        <w:tc>
          <w:tcPr>
            <w:tcW w:w="3025" w:type="dxa"/>
          </w:tcPr>
          <w:p w:rsidR="00520CEF" w:rsidRPr="00986ABB" w:rsidRDefault="00520CEF" w:rsidP="00520CEF">
            <w:pPr>
              <w:numPr>
                <w:ilvl w:val="0"/>
                <w:numId w:val="24"/>
              </w:numPr>
            </w:pPr>
            <w:r w:rsidRPr="00986ABB">
              <w:t>Choice of data series</w:t>
            </w:r>
          </w:p>
        </w:tc>
        <w:tc>
          <w:tcPr>
            <w:tcW w:w="2598" w:type="dxa"/>
          </w:tcPr>
          <w:p w:rsidR="00520CEF" w:rsidRPr="00986ABB" w:rsidRDefault="00520CEF" w:rsidP="00520CEF">
            <w:pPr>
              <w:numPr>
                <w:ilvl w:val="0"/>
                <w:numId w:val="24"/>
              </w:numPr>
            </w:pPr>
            <w:r w:rsidRPr="00986ABB">
              <w:t>Extrapolation/interpolation adjustments</w:t>
            </w:r>
          </w:p>
        </w:tc>
      </w:tr>
      <w:tr w:rsidR="00520CEF" w:rsidRPr="00986ABB" w:rsidTr="00170917">
        <w:tc>
          <w:tcPr>
            <w:tcW w:w="3070" w:type="dxa"/>
          </w:tcPr>
          <w:p w:rsidR="00520CEF" w:rsidRPr="00986ABB" w:rsidRDefault="00520CEF" w:rsidP="00520CEF">
            <w:pPr>
              <w:numPr>
                <w:ilvl w:val="0"/>
                <w:numId w:val="24"/>
              </w:numPr>
            </w:pPr>
            <w:r w:rsidRPr="00986ABB">
              <w:t>VIC electricity distribution revised proposals</w:t>
            </w:r>
          </w:p>
        </w:tc>
        <w:tc>
          <w:tcPr>
            <w:tcW w:w="3025" w:type="dxa"/>
          </w:tcPr>
          <w:p w:rsidR="00520CEF" w:rsidRPr="00986ABB" w:rsidRDefault="00520CEF" w:rsidP="00520CEF">
            <w:pPr>
              <w:numPr>
                <w:ilvl w:val="0"/>
                <w:numId w:val="24"/>
              </w:numPr>
            </w:pPr>
          </w:p>
        </w:tc>
        <w:tc>
          <w:tcPr>
            <w:tcW w:w="2598" w:type="dxa"/>
          </w:tcPr>
          <w:p w:rsidR="00520CEF" w:rsidRPr="00986ABB" w:rsidRDefault="00520CEF" w:rsidP="00520CEF">
            <w:pPr>
              <w:numPr>
                <w:ilvl w:val="0"/>
                <w:numId w:val="24"/>
              </w:numPr>
            </w:pPr>
          </w:p>
        </w:tc>
      </w:tr>
      <w:tr w:rsidR="00520CEF" w:rsidRPr="00986ABB" w:rsidTr="00170917">
        <w:trPr>
          <w:cnfStyle w:val="000000010000" w:firstRow="0" w:lastRow="0" w:firstColumn="0" w:lastColumn="0" w:oddVBand="0" w:evenVBand="0" w:oddHBand="0" w:evenHBand="1" w:firstRowFirstColumn="0" w:firstRowLastColumn="0" w:lastRowFirstColumn="0" w:lastRowLastColumn="0"/>
        </w:trPr>
        <w:tc>
          <w:tcPr>
            <w:tcW w:w="3070" w:type="dxa"/>
          </w:tcPr>
          <w:p w:rsidR="00520CEF" w:rsidRPr="00986ABB" w:rsidRDefault="00520CEF" w:rsidP="00520CEF">
            <w:pPr>
              <w:numPr>
                <w:ilvl w:val="0"/>
                <w:numId w:val="24"/>
              </w:numPr>
            </w:pPr>
            <w:r w:rsidRPr="00986ABB">
              <w:t>AusNet Services</w:t>
            </w:r>
          </w:p>
        </w:tc>
        <w:tc>
          <w:tcPr>
            <w:tcW w:w="3025" w:type="dxa"/>
          </w:tcPr>
          <w:p w:rsidR="00520CEF" w:rsidRPr="00986ABB" w:rsidRDefault="00520CEF" w:rsidP="00520CEF">
            <w:pPr>
              <w:numPr>
                <w:ilvl w:val="0"/>
                <w:numId w:val="24"/>
              </w:numPr>
            </w:pPr>
            <w:r w:rsidRPr="00986ABB">
              <w:t>Proposed simple average of RBA and Reuters curves.</w:t>
            </w:r>
            <w:r>
              <w:t xml:space="preserve"> AusNet Services made two submissions after the window for submissions in which AusNet Services submitted the BVAL curve would not contribute to an estimate that achieved the ARORO.</w:t>
            </w:r>
          </w:p>
        </w:tc>
        <w:tc>
          <w:tcPr>
            <w:tcW w:w="2598" w:type="dxa"/>
          </w:tcPr>
          <w:p w:rsidR="00520CEF" w:rsidRPr="00986ABB" w:rsidRDefault="00520CEF" w:rsidP="00520CEF">
            <w:pPr>
              <w:numPr>
                <w:ilvl w:val="0"/>
                <w:numId w:val="24"/>
              </w:numPr>
            </w:pPr>
            <w:r w:rsidRPr="00986ABB">
              <w:t>Proposed the Lally extrapolation method(s), consistent with our recent decisions.</w:t>
            </w:r>
          </w:p>
        </w:tc>
      </w:tr>
      <w:tr w:rsidR="00520CEF" w:rsidRPr="00986ABB" w:rsidTr="00170917">
        <w:tc>
          <w:tcPr>
            <w:tcW w:w="3070" w:type="dxa"/>
          </w:tcPr>
          <w:p w:rsidR="00520CEF" w:rsidRPr="00986ABB" w:rsidRDefault="00520CEF" w:rsidP="00520CEF">
            <w:pPr>
              <w:numPr>
                <w:ilvl w:val="0"/>
                <w:numId w:val="24"/>
              </w:numPr>
            </w:pPr>
            <w:r w:rsidRPr="00986ABB">
              <w:t>CitiPower and Powercor</w:t>
            </w:r>
          </w:p>
        </w:tc>
        <w:tc>
          <w:tcPr>
            <w:tcW w:w="3025" w:type="dxa"/>
          </w:tcPr>
          <w:p w:rsidR="00520CEF" w:rsidRPr="00986ABB" w:rsidRDefault="00520CEF" w:rsidP="00520CEF">
            <w:pPr>
              <w:numPr>
                <w:ilvl w:val="0"/>
                <w:numId w:val="24"/>
              </w:numPr>
            </w:pPr>
            <w:r w:rsidRPr="00986ABB">
              <w:t>Proposed weighted average of the RBA, BVAL and Reuters curves; with 50 per cent weight allocated to the RBA curve and 25 per cent allocated to each of the BVAL and Reuters curves.</w:t>
            </w:r>
          </w:p>
        </w:tc>
        <w:tc>
          <w:tcPr>
            <w:tcW w:w="2598" w:type="dxa"/>
          </w:tcPr>
          <w:p w:rsidR="00520CEF" w:rsidRPr="00986ABB" w:rsidRDefault="00520CEF" w:rsidP="00520CEF">
            <w:pPr>
              <w:numPr>
                <w:ilvl w:val="0"/>
                <w:numId w:val="24"/>
              </w:numPr>
            </w:pPr>
            <w:r w:rsidRPr="00986ABB">
              <w:t>Proposed adjustments to the RBA and BVAL curves consistent with our recent decisions.</w:t>
            </w:r>
            <w:r w:rsidRPr="00986ABB" w:rsidDel="009D1D24">
              <w:t xml:space="preserve"> </w:t>
            </w:r>
          </w:p>
        </w:tc>
      </w:tr>
      <w:tr w:rsidR="00520CEF" w:rsidRPr="00986ABB" w:rsidTr="00170917">
        <w:trPr>
          <w:cnfStyle w:val="000000010000" w:firstRow="0" w:lastRow="0" w:firstColumn="0" w:lastColumn="0" w:oddVBand="0" w:evenVBand="0" w:oddHBand="0" w:evenHBand="1" w:firstRowFirstColumn="0" w:firstRowLastColumn="0" w:lastRowFirstColumn="0" w:lastRowLastColumn="0"/>
        </w:trPr>
        <w:tc>
          <w:tcPr>
            <w:tcW w:w="3070" w:type="dxa"/>
          </w:tcPr>
          <w:p w:rsidR="00520CEF" w:rsidRPr="00986ABB" w:rsidRDefault="00520CEF" w:rsidP="00520CEF">
            <w:pPr>
              <w:numPr>
                <w:ilvl w:val="0"/>
                <w:numId w:val="24"/>
              </w:numPr>
            </w:pPr>
            <w:r w:rsidRPr="00986ABB">
              <w:t>Jemena Electricity Networks (JEN)</w:t>
            </w:r>
          </w:p>
        </w:tc>
        <w:tc>
          <w:tcPr>
            <w:tcW w:w="3025" w:type="dxa"/>
          </w:tcPr>
          <w:p w:rsidR="00520CEF" w:rsidRPr="00986ABB" w:rsidRDefault="00520CEF" w:rsidP="00520CEF">
            <w:pPr>
              <w:numPr>
                <w:ilvl w:val="0"/>
                <w:numId w:val="24"/>
              </w:numPr>
            </w:pPr>
            <w:r w:rsidRPr="00986ABB">
              <w:t>For the first averaging period, the data source or combination of data sources that best fits a representative sample of bond yields is used.</w:t>
            </w:r>
          </w:p>
          <w:p w:rsidR="00520CEF" w:rsidRPr="00986ABB" w:rsidRDefault="00520CEF" w:rsidP="00520CEF">
            <w:pPr>
              <w:numPr>
                <w:ilvl w:val="0"/>
                <w:numId w:val="24"/>
              </w:numPr>
            </w:pPr>
            <w:r w:rsidRPr="00986ABB">
              <w:t>For subsequent averaging periods, proposed a simple average of data points from all available third party data series using both Lally and SAPN extrapolation, unless there is a material (60 basis point) difference  between the highest and lowest of the estimates.</w:t>
            </w:r>
          </w:p>
          <w:p w:rsidR="00520CEF" w:rsidRPr="00986ABB" w:rsidRDefault="00520CEF" w:rsidP="00520CEF">
            <w:pPr>
              <w:numPr>
                <w:ilvl w:val="0"/>
                <w:numId w:val="24"/>
              </w:numPr>
            </w:pPr>
            <w:r w:rsidRPr="00986ABB">
              <w:t>In which case a 'best fit' process is used to select between all available third party data series and extrapolation methods, or an average of all available third party data series and extrapolation methods. JEN proposed that all BBB rated third party data series with published yields of seven years or greater, and a simple average of all such data series, be tested.</w:t>
            </w:r>
          </w:p>
        </w:tc>
        <w:tc>
          <w:tcPr>
            <w:tcW w:w="2598" w:type="dxa"/>
          </w:tcPr>
          <w:p w:rsidR="00520CEF" w:rsidRPr="00986ABB" w:rsidRDefault="00520CEF" w:rsidP="00520CEF">
            <w:pPr>
              <w:numPr>
                <w:ilvl w:val="0"/>
                <w:numId w:val="24"/>
              </w:numPr>
            </w:pPr>
            <w:r w:rsidRPr="00986ABB">
              <w:t>See description in 'choice of data series' column.</w:t>
            </w:r>
          </w:p>
          <w:p w:rsidR="00520CEF" w:rsidRPr="00986ABB" w:rsidRDefault="00520CEF" w:rsidP="00520CEF">
            <w:pPr>
              <w:numPr>
                <w:ilvl w:val="0"/>
                <w:numId w:val="24"/>
              </w:numPr>
            </w:pPr>
            <w:r w:rsidRPr="00986ABB">
              <w:t>Selection is between the Lally and SAPN extrapolation methods.</w:t>
            </w:r>
            <w:r>
              <w:t xml:space="preserve"> The SAPN extrapolation method extends the 7 year yield estimate using the slope of spreads to swap from all published term points (1,3,5 and 7 years) and the difference between the 10 and 7 year base rates.</w:t>
            </w:r>
          </w:p>
        </w:tc>
      </w:tr>
      <w:tr w:rsidR="00520CEF" w:rsidRPr="00986ABB" w:rsidTr="00170917">
        <w:tc>
          <w:tcPr>
            <w:tcW w:w="3070" w:type="dxa"/>
          </w:tcPr>
          <w:p w:rsidR="00520CEF" w:rsidRPr="00986ABB" w:rsidRDefault="00520CEF" w:rsidP="00520CEF">
            <w:pPr>
              <w:numPr>
                <w:ilvl w:val="0"/>
                <w:numId w:val="24"/>
              </w:numPr>
            </w:pPr>
            <w:r w:rsidRPr="00986ABB">
              <w:t>United Energy</w:t>
            </w:r>
          </w:p>
        </w:tc>
        <w:tc>
          <w:tcPr>
            <w:tcW w:w="3025" w:type="dxa"/>
          </w:tcPr>
          <w:p w:rsidR="00520CEF" w:rsidRPr="00986ABB" w:rsidRDefault="00520CEF" w:rsidP="00520CEF">
            <w:pPr>
              <w:numPr>
                <w:ilvl w:val="0"/>
                <w:numId w:val="24"/>
              </w:numPr>
            </w:pPr>
            <w:r w:rsidRPr="00986ABB">
              <w:t xml:space="preserve">Proposed that a range of third party data series (with different extrapolation methods) and other information be tested each year against observed bond yields using United Energy's proposed 'best fit' approach.  </w:t>
            </w:r>
          </w:p>
          <w:p w:rsidR="00520CEF" w:rsidRPr="00986ABB" w:rsidRDefault="00520CEF" w:rsidP="00520CEF">
            <w:pPr>
              <w:numPr>
                <w:ilvl w:val="0"/>
                <w:numId w:val="24"/>
              </w:numPr>
            </w:pPr>
            <w:r w:rsidRPr="00986ABB">
              <w:t>The data series that United Energy proposed be tested each year are the RBA data series, the Bloomberg BVAL or FVC data series, an empirically derived Nelson-Siegel yield curve estimated following United Energy's proposed method, an empirically derived par yield curve estimated following United Energy's proposed method, and any other sources of published yield information on A and BBB rated corporate bonds with yields of seven years and greater.</w:t>
            </w:r>
          </w:p>
        </w:tc>
        <w:tc>
          <w:tcPr>
            <w:tcW w:w="2598" w:type="dxa"/>
          </w:tcPr>
          <w:p w:rsidR="00520CEF" w:rsidRPr="00986ABB" w:rsidRDefault="00520CEF" w:rsidP="00520CEF">
            <w:pPr>
              <w:numPr>
                <w:ilvl w:val="0"/>
                <w:numId w:val="24"/>
              </w:numPr>
            </w:pPr>
            <w:r w:rsidRPr="00986ABB">
              <w:t>Proposed an annual 'best fit' test process to select between the Lally and SAPN methods.</w:t>
            </w:r>
          </w:p>
        </w:tc>
      </w:tr>
      <w:tr w:rsidR="00520CEF" w:rsidRPr="00986ABB" w:rsidTr="00170917">
        <w:trPr>
          <w:cnfStyle w:val="000000010000" w:firstRow="0" w:lastRow="0" w:firstColumn="0" w:lastColumn="0" w:oddVBand="0" w:evenVBand="0" w:oddHBand="0" w:evenHBand="1" w:firstRowFirstColumn="0" w:firstRowLastColumn="0" w:lastRowFirstColumn="0" w:lastRowLastColumn="0"/>
        </w:trPr>
        <w:tc>
          <w:tcPr>
            <w:tcW w:w="3070" w:type="dxa"/>
          </w:tcPr>
          <w:p w:rsidR="00520CEF" w:rsidRPr="00986ABB" w:rsidRDefault="00520CEF" w:rsidP="00520CEF">
            <w:pPr>
              <w:numPr>
                <w:ilvl w:val="0"/>
                <w:numId w:val="24"/>
              </w:numPr>
            </w:pPr>
            <w:r w:rsidRPr="00986ABB">
              <w:t>Gas revised proposals</w:t>
            </w:r>
          </w:p>
        </w:tc>
        <w:tc>
          <w:tcPr>
            <w:tcW w:w="3025" w:type="dxa"/>
          </w:tcPr>
          <w:p w:rsidR="00520CEF" w:rsidRPr="00986ABB" w:rsidRDefault="00520CEF" w:rsidP="00520CEF">
            <w:pPr>
              <w:numPr>
                <w:ilvl w:val="0"/>
                <w:numId w:val="24"/>
              </w:numPr>
            </w:pPr>
          </w:p>
        </w:tc>
        <w:tc>
          <w:tcPr>
            <w:tcW w:w="2598" w:type="dxa"/>
          </w:tcPr>
          <w:p w:rsidR="00520CEF" w:rsidRPr="00986ABB" w:rsidRDefault="00520CEF" w:rsidP="00520CEF">
            <w:pPr>
              <w:numPr>
                <w:ilvl w:val="0"/>
                <w:numId w:val="24"/>
              </w:numPr>
            </w:pPr>
          </w:p>
        </w:tc>
      </w:tr>
      <w:tr w:rsidR="00520CEF" w:rsidRPr="00986ABB" w:rsidTr="00170917">
        <w:tc>
          <w:tcPr>
            <w:tcW w:w="3070" w:type="dxa"/>
          </w:tcPr>
          <w:p w:rsidR="00520CEF" w:rsidRPr="00986ABB" w:rsidRDefault="00520CEF" w:rsidP="00520CEF">
            <w:pPr>
              <w:numPr>
                <w:ilvl w:val="0"/>
                <w:numId w:val="24"/>
              </w:numPr>
            </w:pPr>
            <w:r w:rsidRPr="00986ABB">
              <w:t>ActewAGL</w:t>
            </w:r>
          </w:p>
        </w:tc>
        <w:tc>
          <w:tcPr>
            <w:tcW w:w="3025" w:type="dxa"/>
          </w:tcPr>
          <w:p w:rsidR="00520CEF" w:rsidRPr="00986ABB" w:rsidRDefault="00520CEF" w:rsidP="00520CEF">
            <w:pPr>
              <w:numPr>
                <w:ilvl w:val="0"/>
                <w:numId w:val="24"/>
              </w:numPr>
            </w:pPr>
            <w:r w:rsidRPr="00986ABB">
              <w:t>Proposed a 'best fit' process is used to select between all available third party data series and extrapolation methods, or an average of all available third party data series and extrapolation methods. ActewAGL proposed that all BBB rated third party data series with published yields of seven years or greater, and a simple average of all such data series, be tested.</w:t>
            </w:r>
          </w:p>
          <w:p w:rsidR="00520CEF" w:rsidRPr="00986ABB" w:rsidRDefault="00520CEF" w:rsidP="00520CEF">
            <w:pPr>
              <w:numPr>
                <w:ilvl w:val="0"/>
                <w:numId w:val="24"/>
              </w:numPr>
            </w:pPr>
            <w:r w:rsidRPr="00986ABB">
              <w:t xml:space="preserve">Note: In ActewAGL's initial proposal, it proposed that a 'best fit' process be used only when the highest and lowest of four data points (RBA curve with Lally extrapolation, RBA curve with SAPN extrapolation, BVAL curve with Lally extrapolation, and BVAL curve with SAPN extrapolation) is greater than 20 basis points. </w:t>
            </w:r>
          </w:p>
          <w:p w:rsidR="00520CEF" w:rsidRPr="00986ABB" w:rsidRDefault="00520CEF" w:rsidP="00520CEF">
            <w:pPr>
              <w:numPr>
                <w:ilvl w:val="0"/>
                <w:numId w:val="24"/>
              </w:numPr>
            </w:pPr>
            <w:r w:rsidRPr="00986ABB">
              <w:t xml:space="preserve">In its revised proposal, ActewAGL submitted that is maintains its initial proposal, but does not </w:t>
            </w:r>
            <w:r>
              <w:t>appear to refer to</w:t>
            </w:r>
            <w:r w:rsidRPr="00986ABB">
              <w:t xml:space="preserve"> the 20 basis point threshold.</w:t>
            </w:r>
            <w:r>
              <w:rPr>
                <w:rStyle w:val="FootnoteReference"/>
              </w:rPr>
              <w:footnoteReference w:id="503"/>
            </w:r>
          </w:p>
        </w:tc>
        <w:tc>
          <w:tcPr>
            <w:tcW w:w="2598" w:type="dxa"/>
          </w:tcPr>
          <w:p w:rsidR="00520CEF" w:rsidRPr="00986ABB" w:rsidRDefault="00520CEF" w:rsidP="00520CEF">
            <w:pPr>
              <w:numPr>
                <w:ilvl w:val="0"/>
                <w:numId w:val="24"/>
              </w:numPr>
            </w:pPr>
            <w:r w:rsidRPr="00986ABB">
              <w:t>See description in 'choice of data series' column.</w:t>
            </w:r>
          </w:p>
          <w:p w:rsidR="00520CEF" w:rsidRPr="00986ABB" w:rsidRDefault="00520CEF" w:rsidP="00520CEF">
            <w:pPr>
              <w:numPr>
                <w:ilvl w:val="0"/>
                <w:numId w:val="24"/>
              </w:numPr>
            </w:pPr>
            <w:r w:rsidRPr="00986ABB">
              <w:t>Selection is between the Lally and SAPN extrapolation methods.</w:t>
            </w:r>
          </w:p>
        </w:tc>
      </w:tr>
      <w:tr w:rsidR="00520CEF" w:rsidRPr="00986ABB" w:rsidTr="00170917">
        <w:trPr>
          <w:cnfStyle w:val="000000010000" w:firstRow="0" w:lastRow="0" w:firstColumn="0" w:lastColumn="0" w:oddVBand="0" w:evenVBand="0" w:oddHBand="0" w:evenHBand="1" w:firstRowFirstColumn="0" w:firstRowLastColumn="0" w:lastRowFirstColumn="0" w:lastRowLastColumn="0"/>
        </w:trPr>
        <w:tc>
          <w:tcPr>
            <w:tcW w:w="3070" w:type="dxa"/>
          </w:tcPr>
          <w:p w:rsidR="00520CEF" w:rsidRPr="00986ABB" w:rsidRDefault="00520CEF" w:rsidP="00520CEF">
            <w:pPr>
              <w:numPr>
                <w:ilvl w:val="0"/>
                <w:numId w:val="24"/>
              </w:numPr>
            </w:pPr>
            <w:r w:rsidRPr="00986ABB">
              <w:t>Australian Gas Networks (AGN)</w:t>
            </w:r>
          </w:p>
        </w:tc>
        <w:tc>
          <w:tcPr>
            <w:tcW w:w="3025" w:type="dxa"/>
          </w:tcPr>
          <w:p w:rsidR="00520CEF" w:rsidRPr="00986ABB" w:rsidRDefault="00520CEF" w:rsidP="00520CEF">
            <w:pPr>
              <w:numPr>
                <w:ilvl w:val="0"/>
                <w:numId w:val="24"/>
              </w:numPr>
            </w:pPr>
            <w:r w:rsidRPr="00986ABB">
              <w:t>Proposed an annual 'best fit' test process to choose between available third party data series and extrapolation methods.</w:t>
            </w:r>
          </w:p>
        </w:tc>
        <w:tc>
          <w:tcPr>
            <w:tcW w:w="2598" w:type="dxa"/>
          </w:tcPr>
          <w:p w:rsidR="00520CEF" w:rsidRPr="00986ABB" w:rsidRDefault="00520CEF" w:rsidP="00520CEF">
            <w:pPr>
              <w:numPr>
                <w:ilvl w:val="0"/>
                <w:numId w:val="24"/>
              </w:numPr>
            </w:pPr>
            <w:r w:rsidRPr="00986ABB">
              <w:t>Proposed an annual 'best fit' test to choose between the Lally and SAPN methods.</w:t>
            </w:r>
          </w:p>
        </w:tc>
      </w:tr>
      <w:tr w:rsidR="00520CEF" w:rsidRPr="00986ABB" w:rsidTr="00170917">
        <w:tc>
          <w:tcPr>
            <w:tcW w:w="3070" w:type="dxa"/>
          </w:tcPr>
          <w:p w:rsidR="00520CEF" w:rsidRPr="00986ABB" w:rsidRDefault="00520CEF" w:rsidP="00520CEF">
            <w:pPr>
              <w:numPr>
                <w:ilvl w:val="0"/>
                <w:numId w:val="24"/>
              </w:numPr>
            </w:pPr>
            <w:r w:rsidRPr="00986ABB">
              <w:t>APTNT</w:t>
            </w:r>
          </w:p>
        </w:tc>
        <w:tc>
          <w:tcPr>
            <w:tcW w:w="3025" w:type="dxa"/>
          </w:tcPr>
          <w:p w:rsidR="00520CEF" w:rsidRPr="00986ABB" w:rsidRDefault="00520CEF" w:rsidP="00520CEF">
            <w:pPr>
              <w:numPr>
                <w:ilvl w:val="0"/>
                <w:numId w:val="24"/>
              </w:numPr>
            </w:pPr>
            <w:r w:rsidRPr="00986ABB">
              <w:t>Proposed sole reliance on RBA curve.</w:t>
            </w:r>
          </w:p>
        </w:tc>
        <w:tc>
          <w:tcPr>
            <w:tcW w:w="2598" w:type="dxa"/>
          </w:tcPr>
          <w:p w:rsidR="00520CEF" w:rsidRPr="00986ABB" w:rsidRDefault="00520CEF" w:rsidP="00520CEF">
            <w:pPr>
              <w:numPr>
                <w:ilvl w:val="0"/>
                <w:numId w:val="24"/>
              </w:numPr>
            </w:pPr>
            <w:r w:rsidRPr="00986ABB">
              <w:t>Proposed extrapolation (the Lally method)</w:t>
            </w:r>
            <w:r>
              <w:t xml:space="preserve"> </w:t>
            </w:r>
            <w:r w:rsidRPr="00986ABB">
              <w:t xml:space="preserve"> and interpolation methods for the RBA curve consistent with our recent decisions.</w:t>
            </w:r>
          </w:p>
        </w:tc>
      </w:tr>
    </w:tbl>
    <w:p w:rsidR="00520CEF" w:rsidRDefault="00520CEF" w:rsidP="00520CEF">
      <w:pPr>
        <w:pStyle w:val="AERtablesource"/>
      </w:pPr>
      <w:r w:rsidRPr="00986ABB">
        <w:t xml:space="preserve">Source: </w:t>
      </w:r>
      <w:r>
        <w:tab/>
      </w:r>
      <w:r w:rsidRPr="00986ABB">
        <w:t>Regulatory proposals.</w:t>
      </w:r>
      <w:r w:rsidRPr="00FF6215">
        <w:rPr>
          <w:rStyle w:val="AERsuperscript"/>
        </w:rPr>
        <w:footnoteReference w:id="504"/>
      </w:r>
    </w:p>
    <w:p w:rsidR="00520CEF" w:rsidRDefault="00520CEF" w:rsidP="000F4BC3">
      <w:r>
        <w:t>Having considered these proposals, our final decision is to maintain our approach as adopted in previous decisions and upheld by the Tribunal.</w:t>
      </w:r>
      <w:r>
        <w:rPr>
          <w:rStyle w:val="FootnoteReference"/>
        </w:rPr>
        <w:footnoteReference w:id="505"/>
      </w:r>
      <w:r w:rsidR="000F4BC3">
        <w:t xml:space="preserve"> In summary, we consider </w:t>
      </w:r>
      <w:r>
        <w:t xml:space="preserve">we have had limited opportunity to undertake analysis of and consultation on the Reuters 10 year yield estimate due to it being raised late in the process (in the revised proposal) despite being available since May 2015. Further, we consider that adopting  a changed proposal from service providers after, during or close to its averaging period would introduce upward bias into the regulatory decision making process. </w:t>
      </w:r>
    </w:p>
    <w:p w:rsidR="00520CEF" w:rsidRDefault="00520CEF" w:rsidP="00520CEF">
      <w:r>
        <w:t xml:space="preserve">Nonetheless, we have sought to evaluate all three curves to the fullest extent possible. For the </w:t>
      </w:r>
      <w:r w:rsidR="00DD2E09">
        <w:t>reasons in this section and in A</w:t>
      </w:r>
      <w:r>
        <w:t xml:space="preserve">ppendix </w:t>
      </w:r>
      <w:r w:rsidR="00DD2E09">
        <w:fldChar w:fldCharType="begin"/>
      </w:r>
      <w:r w:rsidR="00DD2E09">
        <w:instrText xml:space="preserve"> REF _Ref451266050 \r \h </w:instrText>
      </w:r>
      <w:r w:rsidR="00DD2E09">
        <w:fldChar w:fldCharType="separate"/>
      </w:r>
      <w:r w:rsidR="00BA2E8E">
        <w:t>I</w:t>
      </w:r>
      <w:r w:rsidR="00DD2E09">
        <w:fldChar w:fldCharType="end"/>
      </w:r>
      <w:r w:rsidR="00DD2E09">
        <w:t xml:space="preserve"> </w:t>
      </w:r>
      <w:r>
        <w:t xml:space="preserve">we remain satisfied that a simple average of the BVAL and RBA curves will contribute to an estimate that will achieve the </w:t>
      </w:r>
      <w:r w:rsidR="009C74CF">
        <w:t>ARORO</w:t>
      </w:r>
      <w:r>
        <w:t>. We have not yet formed a definitive view on the suitability of the Reuters curve, and are open to further consideration of this curve in the future.</w:t>
      </w:r>
    </w:p>
    <w:p w:rsidR="00520CEF" w:rsidRPr="00FD3F6B" w:rsidRDefault="00520CEF" w:rsidP="00520CEF">
      <w:pPr>
        <w:pStyle w:val="AERbulletlistfirststyle"/>
      </w:pPr>
      <w:r>
        <w:t xml:space="preserve">more specifically, we remain satisfied that the BVAL curve is fit-for-purpose, and combined with the RBA curve , are satisfied that it will contribute to an estimate which achieves the </w:t>
      </w:r>
      <w:r w:rsidR="009C74CF">
        <w:t>ARORO.</w:t>
      </w:r>
    </w:p>
    <w:p w:rsidR="00520CEF" w:rsidRDefault="00520CEF" w:rsidP="00520CEF">
      <w:pPr>
        <w:pStyle w:val="AERbulletlistfirststyle"/>
      </w:pPr>
      <w:r>
        <w:t>in proposing their recommendations, neither the service providers nor CEG have addressed the impact of our conservative benchmark assumptions. Specifically:</w:t>
      </w:r>
    </w:p>
    <w:p w:rsidR="00520CEF" w:rsidRDefault="00520CEF" w:rsidP="00520CEF">
      <w:pPr>
        <w:pStyle w:val="AERbulletlistsecondstyle"/>
      </w:pPr>
      <w:r>
        <w:t xml:space="preserve"> in the </w:t>
      </w:r>
      <w:r w:rsidR="004533F5">
        <w:t>G</w:t>
      </w:r>
      <w:r>
        <w:t>uideline, we adopted a 10 year benchmark term based on a weighted average term at issuance of 8.7 years observed amongst service providers.</w:t>
      </w:r>
      <w:r>
        <w:rPr>
          <w:rStyle w:val="FootnoteReference"/>
        </w:rPr>
        <w:footnoteReference w:id="506"/>
      </w:r>
      <w:r>
        <w:t xml:space="preserve"> Ordinarily, this will lead to an upward bias in our benchmark compared to the sector's costs of debt. Using the RBA curve since 2005, this difference leads to an average upward bias of approximately 14 basis points.</w:t>
      </w:r>
      <w:r>
        <w:rPr>
          <w:rStyle w:val="FootnoteReference"/>
        </w:rPr>
        <w:footnoteReference w:id="507"/>
      </w:r>
      <w:r>
        <w:t xml:space="preserve"> </w:t>
      </w:r>
    </w:p>
    <w:p w:rsidR="00520CEF" w:rsidRDefault="00520CEF" w:rsidP="00520CEF">
      <w:pPr>
        <w:pStyle w:val="AERbulletlistsecondstyle"/>
      </w:pPr>
      <w:r>
        <w:t>we adopt a benchmark credit rating of BBB+ but estimate the return on debt using the 'broad-BBB' rated curves published by the RBA and Bloomberg. This means that these curves are estimated based on a bond sample that includes lower rated BBB and BBB</w:t>
      </w:r>
      <w:r>
        <w:softHyphen/>
        <w:t>– rated bonds. To the extent that the estimates produced by these curves reflect those lower rated bonds, this would similarly introduce an upward bias.</w:t>
      </w:r>
    </w:p>
    <w:p w:rsidR="00520CEF" w:rsidRDefault="00DD2E09" w:rsidP="00520CEF">
      <w:r>
        <w:t>In A</w:t>
      </w:r>
      <w:r w:rsidR="00520CEF">
        <w:t xml:space="preserve">ppendix </w:t>
      </w:r>
      <w:r>
        <w:fldChar w:fldCharType="begin"/>
      </w:r>
      <w:r>
        <w:instrText xml:space="preserve"> REF _Ref451266050 \r \h </w:instrText>
      </w:r>
      <w:r>
        <w:fldChar w:fldCharType="separate"/>
      </w:r>
      <w:r w:rsidR="00BA2E8E">
        <w:t>I</w:t>
      </w:r>
      <w:r>
        <w:fldChar w:fldCharType="end"/>
      </w:r>
      <w:r w:rsidR="00520CEF">
        <w:t xml:space="preserve">, we have set out more detailed analysis on our responses to issues raised by key stakeholders, including: </w:t>
      </w:r>
    </w:p>
    <w:p w:rsidR="00520CEF" w:rsidRPr="001A36BA" w:rsidRDefault="00520CEF" w:rsidP="00520CEF">
      <w:pPr>
        <w:pStyle w:val="AERbulletlistfirststyle"/>
      </w:pPr>
      <w:r w:rsidRPr="001A36BA">
        <w:t>the Reuters curve</w:t>
      </w:r>
    </w:p>
    <w:p w:rsidR="00520CEF" w:rsidRPr="001A36BA" w:rsidRDefault="00520CEF" w:rsidP="00520CEF">
      <w:pPr>
        <w:pStyle w:val="AERbulletlistfirststyle"/>
      </w:pPr>
      <w:r>
        <w:t xml:space="preserve">new </w:t>
      </w:r>
      <w:r w:rsidRPr="001A36BA">
        <w:t xml:space="preserve">criticisms of the </w:t>
      </w:r>
      <w:r>
        <w:t>BVAL</w:t>
      </w:r>
      <w:r w:rsidRPr="001A36BA">
        <w:t xml:space="preserve"> curve</w:t>
      </w:r>
    </w:p>
    <w:p w:rsidR="00520CEF" w:rsidRPr="001A36BA" w:rsidRDefault="00520CEF" w:rsidP="00520CEF">
      <w:pPr>
        <w:pStyle w:val="AERbulletlistfirststyle"/>
      </w:pPr>
      <w:r>
        <w:t>other issues</w:t>
      </w:r>
      <w:r w:rsidRPr="001A36BA">
        <w:t>.</w:t>
      </w:r>
    </w:p>
    <w:p w:rsidR="00520CEF" w:rsidRDefault="00520CEF" w:rsidP="00520CEF">
      <w:pPr>
        <w:pStyle w:val="HeadingBoldItalic"/>
      </w:pPr>
      <w:r>
        <w:t>Annual testing for the choice of data series</w:t>
      </w:r>
    </w:p>
    <w:p w:rsidR="00520CEF" w:rsidRDefault="00520CEF" w:rsidP="00520CEF">
      <w:r>
        <w:t xml:space="preserve">Since our decision for JGN, we have set out our reasons for not adopting the annual testing approaches proposed by some service providers and recommended by CEG.  </w:t>
      </w:r>
      <w:r w:rsidRPr="003A118B">
        <w:t xml:space="preserve">In contrast, we are satisfied that a simple average of the BVAL and RBA curves extrapolated using the AER methodology will contribute to an estimate of the return on debt which achieves the </w:t>
      </w:r>
      <w:r w:rsidR="009C74CF">
        <w:t>ARORO</w:t>
      </w:r>
      <w:r w:rsidRPr="003A118B">
        <w:t xml:space="preserve">. </w:t>
      </w:r>
      <w:r>
        <w:t>Amongst current proposals, ActewAGL,</w:t>
      </w:r>
      <w:r>
        <w:rPr>
          <w:rStyle w:val="FootnoteReference"/>
        </w:rPr>
        <w:footnoteReference w:id="508"/>
      </w:r>
      <w:r>
        <w:t xml:space="preserve"> AGN, JEN and United Energy</w:t>
      </w:r>
      <w:r w:rsidRPr="002E3BB1">
        <w:t xml:space="preserve"> </w:t>
      </w:r>
      <w:r>
        <w:t>proposed</w:t>
      </w:r>
      <w:r w:rsidRPr="002E3BB1">
        <w:t xml:space="preserve"> an annual process to test which of various curves, or averages of curves, 'best fit' a sample of bond yields during the particular service provider's averaging period in a particular year. </w:t>
      </w:r>
      <w:r>
        <w:t>These service providers propose to</w:t>
      </w:r>
      <w:r w:rsidRPr="002E3BB1">
        <w:t xml:space="preserve"> apply this annual testing methodology to select both the choice of data series and the extrapolation method.</w:t>
      </w:r>
    </w:p>
    <w:p w:rsidR="00520CEF" w:rsidRPr="002E3BB1" w:rsidRDefault="00520CEF" w:rsidP="00520CEF">
      <w:pPr>
        <w:numPr>
          <w:ilvl w:val="0"/>
          <w:numId w:val="24"/>
        </w:numPr>
      </w:pPr>
      <w:r>
        <w:t>We are not persuaded that either the service providers or CEG has identified material new reasons to justify adoption of an annual testing approach. In previous decisions, we have not adopted this annual testing approach for the following reasons</w:t>
      </w:r>
      <w:r w:rsidRPr="002E3BB1">
        <w:t>:</w:t>
      </w:r>
    </w:p>
    <w:p w:rsidR="00520CEF" w:rsidRPr="002E3BB1" w:rsidRDefault="00520CEF" w:rsidP="00520CEF">
      <w:pPr>
        <w:pStyle w:val="AERbulletlistfirststyle"/>
      </w:pPr>
      <w:r w:rsidRPr="002E3BB1">
        <w:t>The premise of the 'best fit' method is that it assumes, by definition, that this test better reflects efficient financing costs than either the RBA or BVAL method, and we are not persuaded this is the case.</w:t>
      </w:r>
    </w:p>
    <w:p w:rsidR="00520CEF" w:rsidRPr="002E3BB1" w:rsidRDefault="00520CEF" w:rsidP="00520CEF">
      <w:pPr>
        <w:pStyle w:val="AERbulletlistfirststyle"/>
      </w:pPr>
      <w:r w:rsidRPr="002E3BB1">
        <w:t>Placing sole weight on the 'best fit' method ignores useful information that can be gathered from examining and analysing the underlying bond selection criteria and curve fitting methodologies of the RBA and BVAL methods.</w:t>
      </w:r>
    </w:p>
    <w:p w:rsidR="00520CEF" w:rsidRDefault="00520CEF" w:rsidP="00520CEF">
      <w:pPr>
        <w:pStyle w:val="AERbulletlistfirststyle"/>
      </w:pPr>
      <w:r w:rsidRPr="002E3BB1">
        <w:t>The particular 'best fit' methods that have been proposed to us by service providers are inconsistent with the rules requirement for a change in revenue from the annual debt update to be from an automatic application of a formula in the decision.</w:t>
      </w:r>
      <w:r w:rsidRPr="002E3BB1">
        <w:rPr>
          <w:rStyle w:val="AERsuperscript"/>
        </w:rPr>
        <w:footnoteReference w:id="509"/>
      </w:r>
    </w:p>
    <w:p w:rsidR="00520CEF" w:rsidRDefault="00520CEF" w:rsidP="00520CEF">
      <w:pPr>
        <w:numPr>
          <w:ilvl w:val="0"/>
          <w:numId w:val="24"/>
        </w:numPr>
      </w:pPr>
      <w:r>
        <w:t>We explain each of these reasons below.</w:t>
      </w:r>
    </w:p>
    <w:p w:rsidR="00520CEF" w:rsidRDefault="00520CEF" w:rsidP="00520CEF">
      <w:pPr>
        <w:numPr>
          <w:ilvl w:val="0"/>
          <w:numId w:val="24"/>
        </w:numPr>
      </w:pPr>
      <w:r>
        <w:t>Firstly, the following is a simplified explanation of the range of annual testing methods proposed by various service providers, which is helpful to illustrate our objection to its core premise:</w:t>
      </w:r>
    </w:p>
    <w:p w:rsidR="00520CEF" w:rsidRDefault="00520CEF" w:rsidP="00520CEF">
      <w:pPr>
        <w:pStyle w:val="AERbulletlistfirststyle"/>
      </w:pPr>
      <w:r>
        <w:t>Assume there are three sets of bonds labelled Group A, Group B and Group C. The selection criteria for each group is different, but partially overlapping, meaning there is some commonality of the bonds in each group.</w:t>
      </w:r>
    </w:p>
    <w:p w:rsidR="00520CEF" w:rsidRDefault="00520CEF" w:rsidP="00520CEF">
      <w:pPr>
        <w:pStyle w:val="AERbulletlistfirststyle"/>
      </w:pPr>
      <w:r>
        <w:t>Group A bonds are used to construct Curve A, Group B bonds are used to construct Curve B, and Group C bonds are used as a ‘test group’.</w:t>
      </w:r>
    </w:p>
    <w:p w:rsidR="00520CEF" w:rsidRDefault="00520CEF" w:rsidP="00520CEF">
      <w:pPr>
        <w:pStyle w:val="AERbulletlistfirststyle"/>
      </w:pPr>
      <w:r>
        <w:t>The test is applied as follows—Curve A and Curve B are tested to assess which curve better fits the bonds in Group C, the test group.</w:t>
      </w:r>
    </w:p>
    <w:p w:rsidR="00520CEF" w:rsidRDefault="00520CEF" w:rsidP="00520CEF">
      <w:pPr>
        <w:pStyle w:val="AERbulletlistfirststyle"/>
      </w:pPr>
      <w:r>
        <w:t>Assume Group A bonds and Curve A represent the BVAL methodology, Group B bonds and Curve B represent the RBA methodology, and Group C bonds represent the test group of bonds proposed by service providers (based on either the CEG or Esquant methodology).</w:t>
      </w:r>
    </w:p>
    <w:p w:rsidR="00520CEF" w:rsidRDefault="00520CEF" w:rsidP="00520CEF">
      <w:pPr>
        <w:pStyle w:val="AERbulletlistfirststyle"/>
      </w:pPr>
      <w:r>
        <w:t xml:space="preserve">The underlying premise of this test is that Group C bonds are a better reflection of the efficient financing costs of a benchmark efficient entity than Group A (BVAL) bonds or Group B (RBA) bonds. Unless this underlying premise is established then the fact that the Group C bonds might be a better fit to Curve A or Curve B in a particular year says nothing about which curve is a better reflection of the efficient financing costs of a benchmark efficient entity. </w:t>
      </w:r>
    </w:p>
    <w:p w:rsidR="00520CEF" w:rsidRDefault="00520CEF" w:rsidP="00520CEF">
      <w:pPr>
        <w:numPr>
          <w:ilvl w:val="0"/>
          <w:numId w:val="24"/>
        </w:numPr>
      </w:pPr>
      <w:r>
        <w:t xml:space="preserve">The service providers have not established that the test group of bonds they proposed (the 'Group C bonds' in the above illustration) are a better reflection of the efficient financing costs of the benchmark efficient entity than were the Group A bonds (based on Bloomberg’s nominated selection criteria) or the Group B bonds (based on the RBA’s nominated selection criteria). Rather, the proposals generally rely on an assumption that because the test group of bonds is large, it is therefore a good test group. Further, their proposed test group of bonds—which differed between the CEG and Esquant methodology—includes bonds that both the RBA and Bloomberg have excluded without explaining why both the RBA and Bloomberg were wrong to exclude these bonds. </w:t>
      </w:r>
    </w:p>
    <w:p w:rsidR="00520CEF" w:rsidRDefault="00520CEF" w:rsidP="00520CEF">
      <w:pPr>
        <w:numPr>
          <w:ilvl w:val="0"/>
          <w:numId w:val="24"/>
        </w:numPr>
      </w:pPr>
      <w:r>
        <w:t>Our adoption of a simple average of the RBA and BVAL curves was informed by the analysis from Lally, the REU and our own analysis. That analysis established that there were strengths and weaknesses with the RBA’s and BVAL’s bond selection criteria in relation to reflecting the efficient financing costs of a benchmark efficient entity</w:t>
      </w:r>
      <w:r w:rsidR="001B14B6">
        <w:t>;</w:t>
      </w:r>
      <w:r>
        <w:t xml:space="preserve"> however, neither was clearly superior to the other.</w:t>
      </w:r>
    </w:p>
    <w:p w:rsidR="00520CEF" w:rsidRDefault="00520CEF" w:rsidP="00520CEF">
      <w:pPr>
        <w:numPr>
          <w:ilvl w:val="0"/>
          <w:numId w:val="24"/>
        </w:numPr>
      </w:pPr>
      <w:r>
        <w:t xml:space="preserve">The above simplified explanation is similar to the testing approach proposed by ActewAGL, AGN and JEN. United Energy proposed a similar though substantially more complex version of ActewAGL's, AGN's and JEN's approach. United Energy's approach is considerably more complex because, along with testing the available third party published data series, United Energy also proposed the AER empirically derive its own data series using two separate complex methodologies and add these into the mix of curves to be tested. However, despite this additional complexity, we are not satisfied United Energy's approach adds to the accuracy of this annual testing process, because of the reasons set out in this section that apply to any such annual testing approach. </w:t>
      </w:r>
    </w:p>
    <w:p w:rsidR="00520CEF" w:rsidRDefault="00520CEF" w:rsidP="00520CEF">
      <w:pPr>
        <w:numPr>
          <w:ilvl w:val="0"/>
          <w:numId w:val="24"/>
        </w:numPr>
      </w:pPr>
      <w:r w:rsidRPr="00305172">
        <w:t xml:space="preserve">Secondly, </w:t>
      </w:r>
      <w:r>
        <w:t xml:space="preserve">we consider it is appropriate to select a data series (or average of data series) 'up-front' in circumstances where there is detailed information available to us at the time of the decision about both the RBA curve and BVAL curve and that information did not disclose that one was superior to the other. </w:t>
      </w:r>
    </w:p>
    <w:p w:rsidR="00520CEF" w:rsidRPr="00865B14" w:rsidRDefault="00520CEF" w:rsidP="00520CEF">
      <w:pPr>
        <w:numPr>
          <w:ilvl w:val="0"/>
          <w:numId w:val="24"/>
        </w:numPr>
      </w:pPr>
      <w:r>
        <w:t xml:space="preserve">In contrast, the annual testing approach </w:t>
      </w:r>
      <w:r w:rsidRPr="00865B14">
        <w:t xml:space="preserve">treats each curve as a 'black box', when they are not. We might adopt an approach like </w:t>
      </w:r>
      <w:r>
        <w:t>that i</w:t>
      </w:r>
      <w:r w:rsidRPr="00865B14">
        <w:t xml:space="preserve">f we were unable to analyse the underlying characteristics of the curves (that is, the bond selection criteria and curve fitting methodology). However, this is not the case. The RBA and BVAL have applied their expertise to assess debt market information. Each determined a distinct approach to synthesize the available corporate bond data into yield curves. We have a </w:t>
      </w:r>
      <w:r>
        <w:t>substantial</w:t>
      </w:r>
      <w:r w:rsidRPr="00865B14">
        <w:t xml:space="preserve"> </w:t>
      </w:r>
      <w:r>
        <w:t>amount</w:t>
      </w:r>
      <w:r w:rsidRPr="00865B14">
        <w:t xml:space="preserve"> of available information on the bond selection criteria of both curves. Further, we have a fair degree of available information on the curve fitting (or averaging) methodology used by the RBA, and some available information on Bloomberg's curve fitting methodology. We have assessed that available information. Based on our assessment of the underlying characteristics of the RBA and BVAL curves we consider both curves have strengths, but neither curve is clearly superior to the other.</w:t>
      </w:r>
    </w:p>
    <w:p w:rsidR="00520CEF" w:rsidRDefault="00520CEF" w:rsidP="00520CEF">
      <w:pPr>
        <w:numPr>
          <w:ilvl w:val="0"/>
          <w:numId w:val="24"/>
        </w:numPr>
      </w:pPr>
      <w:r>
        <w:t xml:space="preserve">Some service providers have stated this reasoning is inconsistent with the principles articulated by the Tribunal in </w:t>
      </w:r>
      <w:r w:rsidRPr="00B25EF6">
        <w:rPr>
          <w:rStyle w:val="AERtextitalic"/>
        </w:rPr>
        <w:t>Application by Jemena Gas Networks (NSW) Ltd (No 5) [2011] ACompT 10</w:t>
      </w:r>
      <w:r>
        <w:t>, in which the Tribunal determined to use a particular curve over another on the basis that it provided a better fit to the available data.</w:t>
      </w:r>
      <w:r>
        <w:rPr>
          <w:rStyle w:val="FootnoteReference"/>
        </w:rPr>
        <w:footnoteReference w:id="510"/>
      </w:r>
      <w:r>
        <w:t xml:space="preserve">  We disagree.  In the JGN matter, the Tribunal said:</w:t>
      </w:r>
    </w:p>
    <w:p w:rsidR="00520CEF" w:rsidRPr="006A2654" w:rsidRDefault="00520CEF" w:rsidP="00520CEF">
      <w:pPr>
        <w:pStyle w:val="AERquote"/>
      </w:pPr>
      <w:r w:rsidRPr="006A2654">
        <w:t>In </w:t>
      </w:r>
      <w:r w:rsidRPr="006C71C6">
        <w:t>ActewAGL</w:t>
      </w:r>
      <w:r w:rsidRPr="006A2654">
        <w:t> averaging of rival fair value curves was undertaken because there was no clear basis to justify a preference for one curve over the other. Here, by way of contrast, Professor Handley was somewhat equivocal in his support for the CBA</w:t>
      </w:r>
      <w:r>
        <w:t xml:space="preserve"> </w:t>
      </w:r>
      <w:r w:rsidRPr="006A2654">
        <w:t>Spectrum curve; Dr Hird meticulously evaluated different groupings of bonds and made many adjustments to allow for non-standard bond features, and his tests clearly pointed to the superiority of the Bloomberg curve over many different iterations; and the publishers of the CBASpectrum curve have stopped producing it, citing lack of relevance to the market.</w:t>
      </w:r>
      <w:r>
        <w:rPr>
          <w:rStyle w:val="FootnoteReference"/>
        </w:rPr>
        <w:footnoteReference w:id="511"/>
      </w:r>
    </w:p>
    <w:p w:rsidR="00520CEF" w:rsidRDefault="00520CEF" w:rsidP="00520CEF">
      <w:pPr>
        <w:numPr>
          <w:ilvl w:val="0"/>
          <w:numId w:val="24"/>
        </w:numPr>
      </w:pPr>
      <w:r>
        <w:t xml:space="preserve">The Tribunal was thus persuaded by expert evidence favouring one curve over another; which included the fact that one of the curves in contention had ceased to be produced. In contrast, both the RBA and BVAL curves continue to be produced and there is expert support for each data source. We consider our proposed approach to averaging the BVAL and RBA curves is thus entirely consistent with the Tribunal’s decision in </w:t>
      </w:r>
      <w:r w:rsidRPr="00305172">
        <w:t xml:space="preserve">Application by Jemena Gas Networks (NSW) Ltd (No 5), </w:t>
      </w:r>
      <w:r>
        <w:t xml:space="preserve">and also with the endorsement given by the Tribunal to curve averaging in </w:t>
      </w:r>
      <w:r w:rsidRPr="00B25EF6">
        <w:rPr>
          <w:rStyle w:val="AERtextitalic"/>
        </w:rPr>
        <w:t>Application by ActewAGL Distribution [2010] ACompT 4</w:t>
      </w:r>
      <w:r>
        <w:t>.</w:t>
      </w:r>
      <w:r>
        <w:rPr>
          <w:rStyle w:val="FootnoteReference"/>
        </w:rPr>
        <w:footnoteReference w:id="512"/>
      </w:r>
    </w:p>
    <w:p w:rsidR="00520CEF" w:rsidRDefault="00520CEF" w:rsidP="00520CEF">
      <w:pPr>
        <w:numPr>
          <w:ilvl w:val="0"/>
          <w:numId w:val="24"/>
        </w:numPr>
      </w:pPr>
      <w:r>
        <w:t>We further note that both the ActewAGL and JGN matters appeared before the Tribunal before the change to the rules that permits annual updating of the allowed return on debt. In the ActewAGL matter, the Tribunal cautioned against any sort of 'best fit' testing that did not use judgement and a qualitative approach to check for outliers in the sample of bonds used as the test group.</w:t>
      </w:r>
      <w:r>
        <w:rPr>
          <w:rStyle w:val="FootnoteReference"/>
        </w:rPr>
        <w:footnoteReference w:id="513"/>
      </w:r>
      <w:r>
        <w:t xml:space="preserve"> However, the new rules that permit annual updating also require for a change in revenue from the annual debt update to be from an automatic application of a formula in the decision.</w:t>
      </w:r>
      <w:r>
        <w:rPr>
          <w:rStyle w:val="FootnoteReference"/>
        </w:rPr>
        <w:footnoteReference w:id="514"/>
      </w:r>
      <w:r>
        <w:t xml:space="preserve"> Accordingly, the rules no not permit the sort of qualitative approach to checking for outliers that the Tribunal considers important if an annual testing approach was adopted. </w:t>
      </w:r>
    </w:p>
    <w:p w:rsidR="00520CEF" w:rsidRDefault="00520CEF" w:rsidP="00520CEF">
      <w:r w:rsidRPr="00305172">
        <w:t xml:space="preserve">Thirdly, </w:t>
      </w:r>
      <w:r>
        <w:t>and most significantly, following on from the last point, we consider the annual 'best fit' test to curve and extrapolation method selection is inconsistent with the rules. The rules provides that if the return on debt is to be estimated using a methodology which results in (potentially) different returns for different regulatory years, then “</w:t>
      </w:r>
      <w:r w:rsidRPr="000605B5">
        <w:t>a resulting change to the service provider's total revenue must be effected through the automatic application of a formula tha</w:t>
      </w:r>
      <w:r>
        <w:t>t is specified in the determination”.</w:t>
      </w:r>
      <w:r>
        <w:rPr>
          <w:rStyle w:val="FootnoteReference"/>
        </w:rPr>
        <w:footnoteReference w:id="515"/>
      </w:r>
      <w:r>
        <w:t xml:space="preserve">  In the 2012 rule determination, the AEMC said in relation to this rule that “t</w:t>
      </w:r>
      <w:r w:rsidRPr="003C192D">
        <w:t>he formula for calculating the</w:t>
      </w:r>
      <w:r>
        <w:t xml:space="preserve"> </w:t>
      </w:r>
      <w:r w:rsidRPr="003C192D">
        <w:t>updated return on debt must be specified in the regulatory determination or access</w:t>
      </w:r>
      <w:r>
        <w:t xml:space="preserve"> </w:t>
      </w:r>
      <w:r w:rsidRPr="003C192D">
        <w:t>arrangement and must be capable of applying automatically</w:t>
      </w:r>
      <w:r>
        <w:t>”.</w:t>
      </w:r>
      <w:r>
        <w:rPr>
          <w:rStyle w:val="FootnoteReference"/>
        </w:rPr>
        <w:footnoteReference w:id="516"/>
      </w:r>
      <w:r>
        <w:t xml:space="preserve"> We are not satisfied that proposed approaches to estimating return on debt by reason to a 'best fit' data source could be formulaically applied as required by this rule.  </w:t>
      </w:r>
    </w:p>
    <w:p w:rsidR="00520CEF" w:rsidRDefault="00520CEF" w:rsidP="00520CEF">
      <w:pPr>
        <w:numPr>
          <w:ilvl w:val="0"/>
          <w:numId w:val="24"/>
        </w:numPr>
      </w:pPr>
      <w:r>
        <w:t xml:space="preserve">The annual 'best fit' test that was initially proposed by JGN forms the basis for the annual 'best fit' test proposed by a number of service providers with current proposals. This process entails the use from year to year not only of the RBA curve and/or the BVAL curve, but “any other sources of published yield information for corporate bonds which are well recognised and used by market practitioners”. Further, for the purpose of ascertaining yields from the observed foreign currency bond data, this approach includes a conversion to Australian dollar equivalents by use of swaps “in a methodology that is well accepted in the finance industry”.  </w:t>
      </w:r>
    </w:p>
    <w:p w:rsidR="00520CEF" w:rsidRPr="00305172" w:rsidRDefault="00520CEF" w:rsidP="00520CEF">
      <w:pPr>
        <w:numPr>
          <w:ilvl w:val="0"/>
          <w:numId w:val="24"/>
        </w:numPr>
      </w:pPr>
      <w:r>
        <w:t>However, the rules do not permit the calculation of return on debt from year to year by reference to qualitative assessments of whether a particular data source is “well-accepted”. In this regard, rule 87 of the NGR formerly provided that in determining a rate of return on capital, a “</w:t>
      </w:r>
      <w:r w:rsidRPr="00305172">
        <w:t>well accepted approach that incorporates the cost of equity and debt, such as the Weighted Average Cost of Capital</w:t>
      </w:r>
      <w:r>
        <w:t>” and a “</w:t>
      </w:r>
      <w:r w:rsidRPr="00305172">
        <w:t>well accepted financial model, such as the Capital Asset Pricing Model</w:t>
      </w:r>
      <w:r>
        <w:t>”</w:t>
      </w:r>
      <w:r w:rsidRPr="00305172">
        <w:t xml:space="preserve">, </w:t>
      </w:r>
      <w:r>
        <w:t>are</w:t>
      </w:r>
      <w:r w:rsidRPr="00305172">
        <w:t xml:space="preserve"> to be used.</w:t>
      </w:r>
      <w:r>
        <w:t xml:space="preserve">  However, this criterion was deleted following the 2012 rule change  The NER and NGR now specifically require debt allowances to be updated “through the automatic application of a formula that is specified” in the final decision, and have eliminated the difficulties involved in subjective determinations of what “well accepted” means.  </w:t>
      </w:r>
    </w:p>
    <w:p w:rsidR="00520CEF" w:rsidRDefault="00520CEF" w:rsidP="00520CEF">
      <w:pPr>
        <w:numPr>
          <w:ilvl w:val="0"/>
          <w:numId w:val="24"/>
        </w:numPr>
      </w:pPr>
      <w:r>
        <w:t>We consider b</w:t>
      </w:r>
      <w:r w:rsidRPr="00305172">
        <w:t xml:space="preserve">oth of these steps </w:t>
      </w:r>
      <w:r>
        <w:t xml:space="preserve">(i.e. </w:t>
      </w:r>
      <w:r w:rsidRPr="00305172">
        <w:t>determination of a well-accepted or well-recognised methodology</w:t>
      </w:r>
      <w:r>
        <w:t xml:space="preserve">) </w:t>
      </w:r>
      <w:r w:rsidRPr="00305172">
        <w:t>require</w:t>
      </w:r>
      <w:r>
        <w:t>s</w:t>
      </w:r>
      <w:r w:rsidRPr="00305172">
        <w:t xml:space="preserve"> extensive use of judgement, as there is no objective standard for wide use, recognition or acceptance of a method within the finance industry.</w:t>
      </w:r>
      <w:r>
        <w:t xml:space="preserve"> For example, in relation to:</w:t>
      </w:r>
    </w:p>
    <w:p w:rsidR="00520CEF" w:rsidRDefault="00520CEF" w:rsidP="00520CEF">
      <w:pPr>
        <w:pStyle w:val="AERbulletlistfirststyle"/>
      </w:pPr>
      <w:r w:rsidRPr="00D57027">
        <w:t xml:space="preserve">The identification of relevant yield curves—How would the AER determine if a yield curve was 'well recognised' and 'used' by market practitioners? Would the AER be required to conduct a survey of market practitioners each year to determine which yield curves were 'well recognised' and 'used' by market practitioners in that particular year? Which market practitioners would the AER need to survey to construct a representative sample? What proportion of that sample would need to use the yield curve for it to be considered 'well recognised'? And 'used' for what purpose or purposes by market practitioners? </w:t>
      </w:r>
    </w:p>
    <w:p w:rsidR="00520CEF" w:rsidRPr="00D57027" w:rsidRDefault="00520CEF" w:rsidP="00520CEF">
      <w:pPr>
        <w:pStyle w:val="AERbulletlistfirststyle"/>
      </w:pPr>
      <w:r w:rsidRPr="00D57027">
        <w:t xml:space="preserve">The selection of the cross-currency conversion methodology—How would the AER determine if a cross currency conversion formula was 'well accepted' within the finance industry? Would the AER be required to conduct a survey of the finance industry each year to determine which conversion methodologies were 'well accepted' that year? Who in the finance industry would the AER need to approach? What proportion of that sample would need to use the cross-currency conversion methodology for it to be considered 'well accepted'? What if no particular methodology had wide acceptance? What if multiple methodologies had wide acceptance? </w:t>
      </w:r>
    </w:p>
    <w:p w:rsidR="00520CEF" w:rsidRDefault="00520CEF" w:rsidP="00520CEF">
      <w:pPr>
        <w:numPr>
          <w:ilvl w:val="0"/>
          <w:numId w:val="24"/>
        </w:numPr>
      </w:pPr>
      <w:r>
        <w:t xml:space="preserve">Accordingly, the JGN method, which has been adopted by a number of service providers </w:t>
      </w:r>
      <w:r w:rsidRPr="00305172">
        <w:t xml:space="preserve">leaves many questions unanswered. Answering these questions would involve, each year, considerable amounts of analysis, judgement and possibly consultation. We are not satisfied </w:t>
      </w:r>
      <w:r>
        <w:t>this</w:t>
      </w:r>
      <w:r w:rsidRPr="00305172">
        <w:t xml:space="preserve"> proposed formula can be 'automatically applied'</w:t>
      </w:r>
      <w:r w:rsidRPr="0063215F">
        <w:t xml:space="preserve">, as required by the </w:t>
      </w:r>
      <w:r>
        <w:t>rules</w:t>
      </w:r>
      <w:r w:rsidRPr="0063215F">
        <w:t>.</w:t>
      </w:r>
    </w:p>
    <w:p w:rsidR="00520CEF" w:rsidRDefault="00520CEF" w:rsidP="00520CEF">
      <w:r>
        <w:t>We are also not satisfied that United Energy's proposed method meets the rules requirement for automatic application. This is because, on the one hand, United Energy proposed an annual 'best fit' method, based on a report from Esquant. However, among the data series to be tested, United Energy proposed the AER should empirically derive its own yield curves based on the Nelson-Siegel and pay yield curve fitting methodologies. In addition to the practical difficulties involved with using non-third party data series, as explained in the previous section, there is a further problem with United Energy's approach which means it cannot be automatically applied. This further problem is explained by Lally, who stated:</w:t>
      </w:r>
    </w:p>
    <w:p w:rsidR="00520CEF" w:rsidRPr="0070343A" w:rsidRDefault="00520CEF" w:rsidP="00520CEF">
      <w:pPr>
        <w:pStyle w:val="AERquote"/>
      </w:pPr>
      <w:r w:rsidRPr="0070343A">
        <w:t xml:space="preserve">UED (2015, pp. 24-30) favours a similar process to that of JEN, in choosing between independent providers of DRP curves according to their goodness-of-fit to data collected in accordance with particular criteria, but subject to dispensing with the preliminary test of materiality in differences and also augmenting the set of independent providers by the results from Nelson-Siegel and par yield curves (applied to bond yields on bonds selected in accordance with criteria determined by Esquant (2013)).  In addition, UED (2015, page 29) also states that, “notwithstanding the goodness-of-fit tests…precedence will be given to the results from the Nelson-Siegel yield curves and from par yield curves…”.  </w:t>
      </w:r>
    </w:p>
    <w:p w:rsidR="00520CEF" w:rsidRDefault="00520CEF" w:rsidP="00520CEF">
      <w:pPr>
        <w:pStyle w:val="AERquote"/>
      </w:pPr>
      <w:r w:rsidRPr="0070343A">
        <w:t>This approach has the following drawbacks.  Firstly, the requirement to annually determine the set of independent data providers violates the requirement in Rule 6.5.2 (1) of the NER and Rule 87 (12) of the NGR for the annual updating of the cost of debt to be formulaic.  Secondly, the process involved in testing for goodness of fit also violates the formulaic requirement in the NER and NGR.  Thirdly, the requirement to give precedence to the results from the Nelson-Siegel yield curves and from par yield curves requires judgement over when these results would supplant all others, and therefore also violates the formulaic requirement of the NER and NGR.</w:t>
      </w:r>
      <w:r>
        <w:rPr>
          <w:rStyle w:val="FootnoteReference"/>
        </w:rPr>
        <w:footnoteReference w:id="517"/>
      </w:r>
      <w:r w:rsidRPr="0070343A">
        <w:t xml:space="preserve">  </w:t>
      </w:r>
    </w:p>
    <w:p w:rsidR="00520CEF" w:rsidRDefault="00520CEF" w:rsidP="00520CEF">
      <w:r w:rsidRPr="003A118B">
        <w:t xml:space="preserve">We maintain </w:t>
      </w:r>
      <w:r>
        <w:t>these</w:t>
      </w:r>
      <w:r w:rsidRPr="003A118B">
        <w:t xml:space="preserve"> reasons as set out in previous decisions,</w:t>
      </w:r>
      <w:r>
        <w:rPr>
          <w:rStyle w:val="FootnoteReference"/>
        </w:rPr>
        <w:footnoteReference w:id="518"/>
      </w:r>
      <w:r w:rsidRPr="003A118B">
        <w:t xml:space="preserve"> and are satisfied that </w:t>
      </w:r>
      <w:r>
        <w:t xml:space="preserve">they remain relevant. </w:t>
      </w:r>
      <w:r w:rsidRPr="003A118B">
        <w:t xml:space="preserve">Our detailed explanation of these reasons is set out in previous decisions. </w:t>
      </w:r>
      <w:r>
        <w:t>In addition, we note that our decision on the JGN approach was upheld by the Tribunal.</w:t>
      </w:r>
      <w:r>
        <w:rPr>
          <w:rStyle w:val="FootnoteReference"/>
        </w:rPr>
        <w:footnoteReference w:id="519"/>
      </w:r>
    </w:p>
    <w:p w:rsidR="00520CEF" w:rsidRDefault="00520CEF" w:rsidP="00F80179">
      <w:pPr>
        <w:pStyle w:val="HeadingBoldItalic"/>
        <w:keepNext/>
      </w:pPr>
      <w:r>
        <w:t>Extrapolation and interpolation</w:t>
      </w:r>
    </w:p>
    <w:p w:rsidR="00520CEF" w:rsidRPr="00F427A1" w:rsidRDefault="00520CEF" w:rsidP="00F80179">
      <w:pPr>
        <w:keepNext/>
      </w:pPr>
      <w:r w:rsidRPr="00F427A1">
        <w:t>Our decision on extrapolation and interpolation issues is to maintain the approach set out in our recent decisions. This refers to:</w:t>
      </w:r>
    </w:p>
    <w:p w:rsidR="00520CEF" w:rsidRPr="00F427A1" w:rsidRDefault="00520CEF" w:rsidP="00520CEF">
      <w:pPr>
        <w:pStyle w:val="AERbulletlistfirststyle"/>
      </w:pPr>
      <w:r w:rsidRPr="00F427A1">
        <w:t>Extrapolation—where we need to extend a curve beyond its observed or published range. For example, before April 2015, Bloomberg publishes its BVAL curve to a maximum term of 7 years, whereas we require an estimate for a 10 year term.</w:t>
      </w:r>
    </w:p>
    <w:p w:rsidR="00520CEF" w:rsidRPr="00F427A1" w:rsidRDefault="00520CEF" w:rsidP="00520CEF">
      <w:pPr>
        <w:pStyle w:val="AERbulletlistfirststyle"/>
      </w:pPr>
      <w:r w:rsidRPr="00F427A1">
        <w:t>Interpolation—where we need a value for which there is no published estimate but it lies between two published estimates. For example, the RBA only publishes its curve estimates for one day each month, but we require estimates for each business day.</w:t>
      </w:r>
    </w:p>
    <w:p w:rsidR="00520CEF" w:rsidRPr="00F427A1" w:rsidRDefault="00520CEF" w:rsidP="00520CEF">
      <w:r w:rsidRPr="00F427A1">
        <w:t xml:space="preserve">Specifically, we will make the following adjustments as set out in </w:t>
      </w:r>
      <w:r w:rsidRPr="00F427A1">
        <w:fldChar w:fldCharType="begin"/>
      </w:r>
      <w:r w:rsidRPr="00F427A1">
        <w:instrText xml:space="preserve"> REF  _Ref415565506 \* Lower \h </w:instrText>
      </w:r>
      <w:r w:rsidRPr="00F427A1">
        <w:fldChar w:fldCharType="separate"/>
      </w:r>
      <w:r w:rsidR="00BA2E8E" w:rsidRPr="00F427A1">
        <w:t xml:space="preserve">table </w:t>
      </w:r>
      <w:r w:rsidR="00BA2E8E">
        <w:rPr>
          <w:noProof/>
        </w:rPr>
        <w:t>3</w:t>
      </w:r>
      <w:r w:rsidR="00BA2E8E">
        <w:noBreakHyphen/>
      </w:r>
      <w:r w:rsidR="00BA2E8E">
        <w:rPr>
          <w:noProof/>
        </w:rPr>
        <w:t>16</w:t>
      </w:r>
      <w:r w:rsidRPr="00F427A1">
        <w:fldChar w:fldCharType="end"/>
      </w:r>
      <w:r w:rsidRPr="00F427A1">
        <w:t xml:space="preserve"> and </w:t>
      </w:r>
      <w:r w:rsidRPr="00F427A1">
        <w:fldChar w:fldCharType="begin"/>
      </w:r>
      <w:r w:rsidRPr="00F427A1">
        <w:instrText xml:space="preserve"> REF  _Ref415565534 \* Lower \h </w:instrText>
      </w:r>
      <w:r w:rsidRPr="00F427A1">
        <w:fldChar w:fldCharType="separate"/>
      </w:r>
      <w:r w:rsidR="00BA2E8E" w:rsidRPr="00F427A1">
        <w:t xml:space="preserve">table </w:t>
      </w:r>
      <w:r w:rsidR="00BA2E8E">
        <w:rPr>
          <w:noProof/>
        </w:rPr>
        <w:t>3</w:t>
      </w:r>
      <w:r w:rsidR="00BA2E8E">
        <w:noBreakHyphen/>
      </w:r>
      <w:r w:rsidR="00BA2E8E">
        <w:rPr>
          <w:noProof/>
        </w:rPr>
        <w:t>17</w:t>
      </w:r>
      <w:r w:rsidRPr="00F427A1">
        <w:fldChar w:fldCharType="end"/>
      </w:r>
      <w:r w:rsidRPr="00F427A1">
        <w:t xml:space="preserve">. </w:t>
      </w:r>
    </w:p>
    <w:p w:rsidR="00520CEF" w:rsidRPr="00F427A1" w:rsidRDefault="00520CEF" w:rsidP="00520CEF">
      <w:pPr>
        <w:pStyle w:val="Caption"/>
      </w:pPr>
      <w:r w:rsidRPr="00F427A1">
        <w:t xml:space="preserve"> </w:t>
      </w:r>
      <w:bookmarkStart w:id="152" w:name="_Ref415565506"/>
      <w:bookmarkStart w:id="153" w:name="_Ref415565496"/>
      <w:r w:rsidRPr="00F427A1">
        <w:t xml:space="preserve">Table </w:t>
      </w:r>
      <w:fldSimple w:instr=" STYLEREF 1 \s ">
        <w:r w:rsidR="00BA2E8E">
          <w:rPr>
            <w:noProof/>
          </w:rPr>
          <w:t>3</w:t>
        </w:r>
      </w:fldSimple>
      <w:r w:rsidR="000F4BC3">
        <w:noBreakHyphen/>
      </w:r>
      <w:fldSimple w:instr=" SEQ Table \* ARABIC \s 1 ">
        <w:r w:rsidR="00BA2E8E">
          <w:rPr>
            <w:noProof/>
          </w:rPr>
          <w:t>16</w:t>
        </w:r>
      </w:fldSimple>
      <w:bookmarkEnd w:id="152"/>
      <w:r w:rsidRPr="00F427A1">
        <w:tab/>
        <w:t>Adjustments to the RBA curve</w:t>
      </w:r>
      <w:bookmarkEnd w:id="153"/>
    </w:p>
    <w:tbl>
      <w:tblPr>
        <w:tblStyle w:val="AERtable-text0"/>
        <w:tblW w:w="0" w:type="auto"/>
        <w:tblLook w:val="04A0" w:firstRow="1" w:lastRow="0" w:firstColumn="1" w:lastColumn="0" w:noHBand="0" w:noVBand="1"/>
      </w:tblPr>
      <w:tblGrid>
        <w:gridCol w:w="1763"/>
        <w:gridCol w:w="1262"/>
        <w:gridCol w:w="5668"/>
      </w:tblGrid>
      <w:tr w:rsidR="00520CEF" w:rsidRPr="00F427A1" w:rsidTr="00170917">
        <w:trPr>
          <w:cnfStyle w:val="100000000000" w:firstRow="1" w:lastRow="0" w:firstColumn="0" w:lastColumn="0" w:oddVBand="0" w:evenVBand="0" w:oddHBand="0" w:evenHBand="0" w:firstRowFirstColumn="0" w:firstRowLastColumn="0" w:lastRowFirstColumn="0" w:lastRowLastColumn="0"/>
          <w:tblHeader/>
        </w:trPr>
        <w:tc>
          <w:tcPr>
            <w:tcW w:w="1763" w:type="dxa"/>
          </w:tcPr>
          <w:p w:rsidR="00520CEF" w:rsidRPr="00520CEF" w:rsidRDefault="00520CEF" w:rsidP="00520CEF">
            <w:r w:rsidRPr="00F427A1">
              <w:t>Adjustment Type</w:t>
            </w:r>
          </w:p>
        </w:tc>
        <w:tc>
          <w:tcPr>
            <w:tcW w:w="1262" w:type="dxa"/>
          </w:tcPr>
          <w:p w:rsidR="00520CEF" w:rsidRPr="00520CEF" w:rsidRDefault="00520CEF" w:rsidP="00520CEF">
            <w:r w:rsidRPr="00F427A1">
              <w:t>Amendment made?</w:t>
            </w:r>
          </w:p>
        </w:tc>
        <w:tc>
          <w:tcPr>
            <w:tcW w:w="5668" w:type="dxa"/>
          </w:tcPr>
          <w:p w:rsidR="00520CEF" w:rsidRPr="00520CEF" w:rsidRDefault="00520CEF" w:rsidP="00520CEF">
            <w:r w:rsidRPr="00F427A1">
              <w:t>Comments</w:t>
            </w:r>
          </w:p>
        </w:tc>
      </w:tr>
      <w:tr w:rsidR="00520CEF" w:rsidRPr="00F427A1" w:rsidTr="00170917">
        <w:tc>
          <w:tcPr>
            <w:tcW w:w="1763" w:type="dxa"/>
          </w:tcPr>
          <w:p w:rsidR="00520CEF" w:rsidRPr="00520CEF" w:rsidRDefault="00520CEF" w:rsidP="00520CEF">
            <w:r w:rsidRPr="00F427A1">
              <w:t>Interpolation to construct daily estimates.</w:t>
            </w:r>
          </w:p>
        </w:tc>
        <w:tc>
          <w:tcPr>
            <w:tcW w:w="1262" w:type="dxa"/>
          </w:tcPr>
          <w:p w:rsidR="00520CEF" w:rsidRPr="00520CEF" w:rsidRDefault="00520CEF" w:rsidP="00520CEF">
            <w:r w:rsidRPr="00F427A1">
              <w:t>Yes</w:t>
            </w:r>
          </w:p>
        </w:tc>
        <w:tc>
          <w:tcPr>
            <w:tcW w:w="5668" w:type="dxa"/>
          </w:tcPr>
          <w:p w:rsidR="00520CEF" w:rsidRPr="00520CEF" w:rsidRDefault="00520CEF" w:rsidP="00520CEF">
            <w:r w:rsidRPr="00F427A1">
              <w:t xml:space="preserve">The RBA curve only provides an estimate for one business day at the end of each month. In our experience, averaging periods commonly start and/or end on dates during the month.  </w:t>
            </w:r>
          </w:p>
          <w:p w:rsidR="00520CEF" w:rsidRPr="00520CEF" w:rsidRDefault="00520CEF" w:rsidP="00520CEF">
            <w:r w:rsidRPr="00F427A1">
              <w:t>We will address this issue by linearly interpolating between month end values where possible. While we are satisfied that interpolation over business days is also reasonable, we will interpolate over all days because:</w:t>
            </w:r>
          </w:p>
          <w:p w:rsidR="00520CEF" w:rsidRPr="00520CEF" w:rsidRDefault="00520CEF" w:rsidP="00520CEF">
            <w:pPr>
              <w:pStyle w:val="AERbulletlistfirststyle"/>
            </w:pPr>
            <w:r w:rsidRPr="00F427A1">
              <w:t>this is consistent with our widely accepted approach to interpolate estimates of the risk free rate using CGS</w:t>
            </w:r>
          </w:p>
          <w:p w:rsidR="00520CEF" w:rsidRPr="00520CEF" w:rsidRDefault="00520CEF" w:rsidP="00520CEF">
            <w:pPr>
              <w:pStyle w:val="AERbulletlistfirststyle"/>
            </w:pPr>
            <w:r w:rsidRPr="00F427A1">
              <w:t>interpolating over all days is simpler to implement</w:t>
            </w:r>
          </w:p>
          <w:p w:rsidR="00520CEF" w:rsidRPr="00520CEF" w:rsidRDefault="00520CEF" w:rsidP="00520CEF">
            <w:pPr>
              <w:pStyle w:val="AERbulletlistfirststyle"/>
            </w:pPr>
            <w:r w:rsidRPr="00F427A1">
              <w:t>it is impractical to interpolate over business days for estimating the risk free rate, as this would require calculations relative to specific trading days 10 years in advance</w:t>
            </w:r>
          </w:p>
          <w:p w:rsidR="00520CEF" w:rsidRPr="00520CEF" w:rsidRDefault="00520CEF" w:rsidP="00520CEF">
            <w:pPr>
              <w:pStyle w:val="AERbulletlistfirststyle"/>
            </w:pPr>
            <w:r w:rsidRPr="00F427A1">
              <w:t>the difference to the estimates between interpolating over business days or interpolating over all days is immaterial.</w:t>
            </w:r>
            <w:r w:rsidRPr="00520CEF">
              <w:rPr>
                <w:rStyle w:val="AERsuperscript"/>
              </w:rPr>
              <w:footnoteReference w:id="520"/>
            </w:r>
          </w:p>
          <w:p w:rsidR="00520CEF" w:rsidRPr="00520CEF" w:rsidRDefault="00520CEF" w:rsidP="00520CEF">
            <w:r w:rsidRPr="00F427A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draft decision on the annual debt update process is set out in the annual debt update process later in this attachment. </w:t>
            </w:r>
          </w:p>
        </w:tc>
      </w:tr>
      <w:tr w:rsidR="00520CEF" w:rsidRPr="00F427A1" w:rsidTr="00170917">
        <w:trPr>
          <w:cnfStyle w:val="000000010000" w:firstRow="0" w:lastRow="0" w:firstColumn="0" w:lastColumn="0" w:oddVBand="0" w:evenVBand="0" w:oddHBand="0" w:evenHBand="1" w:firstRowFirstColumn="0" w:firstRowLastColumn="0" w:lastRowFirstColumn="0" w:lastRowLastColumn="0"/>
        </w:trPr>
        <w:tc>
          <w:tcPr>
            <w:tcW w:w="1763" w:type="dxa"/>
          </w:tcPr>
          <w:p w:rsidR="00520CEF" w:rsidRPr="00520CEF" w:rsidRDefault="00520CEF" w:rsidP="00520CEF">
            <w:r w:rsidRPr="00F427A1">
              <w:t>Extrapolation to target term.</w:t>
            </w:r>
          </w:p>
        </w:tc>
        <w:tc>
          <w:tcPr>
            <w:tcW w:w="1262" w:type="dxa"/>
          </w:tcPr>
          <w:p w:rsidR="00520CEF" w:rsidRPr="00520CEF" w:rsidRDefault="00520CEF" w:rsidP="00520CEF">
            <w:r w:rsidRPr="00F427A1">
              <w:t>Yes</w:t>
            </w:r>
          </w:p>
        </w:tc>
        <w:tc>
          <w:tcPr>
            <w:tcW w:w="5668" w:type="dxa"/>
          </w:tcPr>
          <w:p w:rsidR="00520CEF" w:rsidRPr="00520CEF" w:rsidRDefault="00520CEF" w:rsidP="00520CEF">
            <w:r w:rsidRPr="00F427A1">
              <w:t xml:space="preserve">The 'effective term' of the RBA bond sample is commonly less than 10 years. For this reason, </w:t>
            </w:r>
            <w:r w:rsidRPr="00520CEF">
              <w:t>Lally recommended that the spread component of the yield should be extrapolated from its effective term at publication to the benchmark term (10 years).</w:t>
            </w:r>
            <w:r w:rsidRPr="00520CEF">
              <w:rPr>
                <w:rStyle w:val="AERsuperscript"/>
              </w:rPr>
              <w:footnoteReference w:id="521"/>
            </w:r>
            <w:r w:rsidRPr="00520CEF">
              <w:rPr>
                <w:rStyle w:val="AERsuperscript"/>
              </w:rPr>
              <w:t xml:space="preserve"> </w:t>
            </w:r>
          </w:p>
          <w:p w:rsidR="00520CEF" w:rsidRPr="00520CEF" w:rsidRDefault="00520CEF" w:rsidP="00520CEF">
            <w:r w:rsidRPr="00F427A1">
              <w:t xml:space="preserve">We agree with Lally's recommendation to extrapolate the spread component of the RBA's published yield in order to match it with the benchmark term of debt. </w:t>
            </w:r>
          </w:p>
          <w:p w:rsidR="00520CEF" w:rsidRPr="00520CEF" w:rsidRDefault="00520CEF" w:rsidP="00520CEF">
            <w:r w:rsidRPr="00F427A1">
              <w:t>Further, while the benchmark term of debt is 10 years, this benchmark was based on analysis of debt issuance that indicated a weighted average of 8.7 years amongst the benchmark sample.</w:t>
            </w:r>
            <w:r w:rsidRPr="00520CEF">
              <w:rPr>
                <w:rStyle w:val="AERsuperscript"/>
              </w:rPr>
              <w:footnoteReference w:id="522"/>
            </w:r>
            <w:r w:rsidRPr="00520CEF">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8.9 years.</w:t>
            </w:r>
            <w:r w:rsidRPr="00520CEF">
              <w:rPr>
                <w:rStyle w:val="AERsuperscript"/>
              </w:rPr>
              <w:footnoteReference w:id="523"/>
            </w:r>
            <w:r w:rsidRPr="00520CEF">
              <w:rPr>
                <w:rStyle w:val="AERsuperscript"/>
              </w:rPr>
              <w:t xml:space="preserve"> </w:t>
            </w:r>
            <w:r w:rsidRPr="00520CEF">
              <w:t>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decision, we have maintained our position from recent decisions to extrapolate the RBA curve. However, we may revisit this in in future decisions or the next Guideline review.</w:t>
            </w:r>
          </w:p>
        </w:tc>
      </w:tr>
      <w:tr w:rsidR="00520CEF" w:rsidRPr="00F427A1" w:rsidTr="00170917">
        <w:tc>
          <w:tcPr>
            <w:tcW w:w="1763" w:type="dxa"/>
          </w:tcPr>
          <w:p w:rsidR="00520CEF" w:rsidRPr="00520CEF" w:rsidRDefault="00520CEF" w:rsidP="00520CEF">
            <w:r w:rsidRPr="00F427A1">
              <w:t>Conversion to effective annual rate</w:t>
            </w:r>
          </w:p>
        </w:tc>
        <w:tc>
          <w:tcPr>
            <w:tcW w:w="1262" w:type="dxa"/>
          </w:tcPr>
          <w:p w:rsidR="00520CEF" w:rsidRPr="00520CEF" w:rsidRDefault="00520CEF" w:rsidP="00520CEF">
            <w:r w:rsidRPr="00F427A1">
              <w:t>Yes</w:t>
            </w:r>
          </w:p>
        </w:tc>
        <w:tc>
          <w:tcPr>
            <w:tcW w:w="5668" w:type="dxa"/>
          </w:tcPr>
          <w:p w:rsidR="00520CEF" w:rsidRPr="00520CEF" w:rsidRDefault="00520CEF" w:rsidP="00520CEF">
            <w:r w:rsidRPr="00F427A1">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520CEF">
              <w:rPr>
                <w:rStyle w:val="AERsuperscript"/>
              </w:rPr>
              <w:footnoteReference w:id="524"/>
            </w:r>
            <w:r w:rsidRPr="00520CEF">
              <w:rPr>
                <w:rStyle w:val="AERsuperscript"/>
              </w:rPr>
              <w:t xml:space="preserve"> </w:t>
            </w:r>
            <w:r w:rsidRPr="00520CEF">
              <w:t xml:space="preserve">Therefore, this would require conversion into an effective annual rate, using the same approach as is applied to the BVAL yield estimate. </w:t>
            </w:r>
          </w:p>
          <w:p w:rsidR="00520CEF" w:rsidRPr="00520CEF" w:rsidRDefault="00520CEF" w:rsidP="00520CEF">
            <w:r w:rsidRPr="00F427A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520CEF" w:rsidRPr="00F427A1" w:rsidRDefault="00520CEF" w:rsidP="00520CEF">
      <w:pPr>
        <w:pStyle w:val="AERtablesource"/>
      </w:pPr>
      <w:bookmarkStart w:id="154" w:name="_Ref414863290"/>
      <w:r w:rsidRPr="00F427A1">
        <w:t>Source: AER analysis</w:t>
      </w:r>
    </w:p>
    <w:p w:rsidR="00520CEF" w:rsidRPr="00F427A1" w:rsidRDefault="00520CEF" w:rsidP="00520CEF">
      <w:pPr>
        <w:pStyle w:val="Caption"/>
      </w:pPr>
      <w:bookmarkStart w:id="155" w:name="_Ref415565534"/>
      <w:r w:rsidRPr="00F427A1">
        <w:t xml:space="preserve">Table </w:t>
      </w:r>
      <w:fldSimple w:instr=" STYLEREF 1 \s ">
        <w:r w:rsidR="00BA2E8E">
          <w:rPr>
            <w:noProof/>
          </w:rPr>
          <w:t>3</w:t>
        </w:r>
      </w:fldSimple>
      <w:r w:rsidR="000F4BC3">
        <w:noBreakHyphen/>
      </w:r>
      <w:fldSimple w:instr=" SEQ Table \* ARABIC \s 1 ">
        <w:r w:rsidR="00BA2E8E">
          <w:rPr>
            <w:noProof/>
          </w:rPr>
          <w:t>17</w:t>
        </w:r>
      </w:fldSimple>
      <w:bookmarkEnd w:id="154"/>
      <w:bookmarkEnd w:id="155"/>
      <w:r w:rsidRPr="00F427A1">
        <w:tab/>
        <w:t>Adjustments to the BVAL curve</w:t>
      </w:r>
    </w:p>
    <w:tbl>
      <w:tblPr>
        <w:tblStyle w:val="AERtable-text0"/>
        <w:tblW w:w="0" w:type="auto"/>
        <w:tblLook w:val="04A0" w:firstRow="1" w:lastRow="0" w:firstColumn="1" w:lastColumn="0" w:noHBand="0" w:noVBand="1"/>
      </w:tblPr>
      <w:tblGrid>
        <w:gridCol w:w="2891"/>
        <w:gridCol w:w="1416"/>
        <w:gridCol w:w="4386"/>
      </w:tblGrid>
      <w:tr w:rsidR="00520CEF" w:rsidRPr="00F427A1" w:rsidTr="00170917">
        <w:trPr>
          <w:cnfStyle w:val="100000000000" w:firstRow="1" w:lastRow="0" w:firstColumn="0" w:lastColumn="0" w:oddVBand="0" w:evenVBand="0" w:oddHBand="0" w:evenHBand="0" w:firstRowFirstColumn="0" w:firstRowLastColumn="0" w:lastRowFirstColumn="0" w:lastRowLastColumn="0"/>
          <w:tblHeader/>
        </w:trPr>
        <w:tc>
          <w:tcPr>
            <w:tcW w:w="2891" w:type="dxa"/>
          </w:tcPr>
          <w:p w:rsidR="00520CEF" w:rsidRPr="00520CEF" w:rsidRDefault="00520CEF" w:rsidP="00520CEF">
            <w:r w:rsidRPr="00F427A1">
              <w:t>Adjustment Type</w:t>
            </w:r>
          </w:p>
        </w:tc>
        <w:tc>
          <w:tcPr>
            <w:tcW w:w="1416" w:type="dxa"/>
          </w:tcPr>
          <w:p w:rsidR="00520CEF" w:rsidRPr="00520CEF" w:rsidRDefault="00520CEF" w:rsidP="00520CEF">
            <w:r w:rsidRPr="00F427A1">
              <w:t>Amendment made?</w:t>
            </w:r>
          </w:p>
        </w:tc>
        <w:tc>
          <w:tcPr>
            <w:tcW w:w="4386" w:type="dxa"/>
          </w:tcPr>
          <w:p w:rsidR="00520CEF" w:rsidRPr="00F427A1" w:rsidRDefault="00520CEF" w:rsidP="00520CEF">
            <w:pPr>
              <w:numPr>
                <w:ilvl w:val="0"/>
                <w:numId w:val="24"/>
              </w:numPr>
            </w:pPr>
            <w:r w:rsidRPr="00F427A1">
              <w:t>Comments</w:t>
            </w:r>
          </w:p>
        </w:tc>
      </w:tr>
      <w:tr w:rsidR="00520CEF" w:rsidRPr="00F427A1" w:rsidTr="00170917">
        <w:tc>
          <w:tcPr>
            <w:tcW w:w="2891" w:type="dxa"/>
          </w:tcPr>
          <w:p w:rsidR="00520CEF" w:rsidRPr="00520CEF" w:rsidRDefault="00520CEF" w:rsidP="00520CEF">
            <w:r w:rsidRPr="00F427A1">
              <w:t>Interpolation to construct daily estimates</w:t>
            </w:r>
          </w:p>
        </w:tc>
        <w:tc>
          <w:tcPr>
            <w:tcW w:w="1416" w:type="dxa"/>
          </w:tcPr>
          <w:p w:rsidR="00520CEF" w:rsidRPr="00520CEF" w:rsidRDefault="00520CEF" w:rsidP="00520CEF">
            <w:r w:rsidRPr="00F427A1">
              <w:t>No</w:t>
            </w:r>
          </w:p>
        </w:tc>
        <w:tc>
          <w:tcPr>
            <w:tcW w:w="4386" w:type="dxa"/>
          </w:tcPr>
          <w:p w:rsidR="00520CEF" w:rsidRPr="00F427A1" w:rsidRDefault="00520CEF" w:rsidP="00520CEF">
            <w:pPr>
              <w:numPr>
                <w:ilvl w:val="0"/>
                <w:numId w:val="24"/>
              </w:numPr>
            </w:pPr>
            <w:r w:rsidRPr="00F427A1">
              <w:t>Bloomberg publishes daily estimates.</w:t>
            </w:r>
          </w:p>
        </w:tc>
      </w:tr>
      <w:tr w:rsidR="00520CEF" w:rsidRPr="00F427A1" w:rsidTr="00170917">
        <w:trPr>
          <w:cnfStyle w:val="000000010000" w:firstRow="0" w:lastRow="0" w:firstColumn="0" w:lastColumn="0" w:oddVBand="0" w:evenVBand="0" w:oddHBand="0" w:evenHBand="1" w:firstRowFirstColumn="0" w:firstRowLastColumn="0" w:lastRowFirstColumn="0" w:lastRowLastColumn="0"/>
        </w:trPr>
        <w:tc>
          <w:tcPr>
            <w:tcW w:w="2891" w:type="dxa"/>
          </w:tcPr>
          <w:p w:rsidR="00520CEF" w:rsidRPr="00520CEF" w:rsidRDefault="00520CEF" w:rsidP="00520CEF">
            <w:r w:rsidRPr="00F427A1">
              <w:t>Extrapolation to target term</w:t>
            </w:r>
          </w:p>
        </w:tc>
        <w:tc>
          <w:tcPr>
            <w:tcW w:w="1416" w:type="dxa"/>
          </w:tcPr>
          <w:p w:rsidR="00520CEF" w:rsidRPr="00520CEF" w:rsidRDefault="00520CEF" w:rsidP="00520CEF">
            <w:r w:rsidRPr="00F427A1">
              <w:t>Depends on maximum term published by Bloomberg</w:t>
            </w:r>
          </w:p>
        </w:tc>
        <w:tc>
          <w:tcPr>
            <w:tcW w:w="4386" w:type="dxa"/>
          </w:tcPr>
          <w:p w:rsidR="00520CEF" w:rsidRPr="00F427A1" w:rsidRDefault="00520CEF" w:rsidP="00520CEF">
            <w:pPr>
              <w:numPr>
                <w:ilvl w:val="0"/>
                <w:numId w:val="24"/>
              </w:numPr>
            </w:pPr>
            <w:r w:rsidRPr="00F427A1">
              <w:t>For most of the time that the BVAL curve has been published, it has had a maximum term of 7 years. However, between September 2014 and November 2014, it was published to a maximum 5 year term.</w:t>
            </w:r>
            <w:r w:rsidRPr="00F427A1">
              <w:rPr>
                <w:rStyle w:val="AERsuperscript"/>
              </w:rPr>
              <w:footnoteReference w:id="525"/>
            </w:r>
            <w:r w:rsidRPr="00F427A1">
              <w:t xml:space="preserve"> In April 2015, Bloomberg revised its methodology for the BVAL curve (BVCSAB10) and it now publishes a 10 year estimate.</w:t>
            </w:r>
            <w:r w:rsidRPr="00F427A1">
              <w:rPr>
                <w:rStyle w:val="AERsuperscript"/>
              </w:rPr>
              <w:footnoteReference w:id="526"/>
            </w:r>
            <w:r w:rsidRPr="00F427A1">
              <w:rPr>
                <w:rStyle w:val="AERsuperscript"/>
              </w:rPr>
              <w:t xml:space="preserve"> </w:t>
            </w:r>
          </w:p>
          <w:p w:rsidR="00520CEF" w:rsidRPr="00F427A1" w:rsidRDefault="00520CEF" w:rsidP="00520CEF">
            <w:pPr>
              <w:numPr>
                <w:ilvl w:val="0"/>
                <w:numId w:val="24"/>
              </w:numPr>
            </w:pPr>
            <w:r w:rsidRPr="00F427A1">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520CEF" w:rsidRPr="00F427A1" w:rsidRDefault="00520CEF" w:rsidP="00520CEF">
            <w:pPr>
              <w:numPr>
                <w:ilvl w:val="0"/>
                <w:numId w:val="24"/>
              </w:numPr>
            </w:pPr>
            <w:r w:rsidRPr="00F427A1">
              <w:t>BVAL yield 10 years = BVAL yield 7 years + difference in CGS from 7 to 10 years + difference in RBA extrapolated spread to CGS from 7 to 10 years</w:t>
            </w:r>
          </w:p>
          <w:p w:rsidR="00520CEF" w:rsidRPr="00F427A1" w:rsidRDefault="00520CEF" w:rsidP="00520CEF">
            <w:pPr>
              <w:numPr>
                <w:ilvl w:val="0"/>
                <w:numId w:val="24"/>
              </w:numPr>
            </w:pPr>
            <w:r w:rsidRPr="00F427A1">
              <w:t>As recommended by Lally,</w:t>
            </w:r>
            <w:r w:rsidRPr="00F427A1">
              <w:rPr>
                <w:rStyle w:val="AERsuperscript"/>
              </w:rPr>
              <w:footnoteReference w:id="527"/>
            </w:r>
            <w:r w:rsidRPr="00F427A1">
              <w:t xml:space="preserve"> we are satisfied this approach is comparably reliable to the more complex approaches submitted by other stakeholders,</w:t>
            </w:r>
            <w:r w:rsidRPr="00F427A1">
              <w:footnoteReference w:id="528"/>
            </w:r>
            <w:r w:rsidRPr="00F427A1">
              <w:t xml:space="preserve"> but is simpler to implement and based on publicly available data.</w:t>
            </w:r>
          </w:p>
          <w:p w:rsidR="00520CEF" w:rsidRPr="00F427A1" w:rsidRDefault="00520CEF" w:rsidP="00520CEF">
            <w:pPr>
              <w:numPr>
                <w:ilvl w:val="0"/>
                <w:numId w:val="24"/>
              </w:numPr>
            </w:pPr>
            <w:r w:rsidRPr="00F427A1">
              <w:t>For a period of time in 2014, the maximum published BVAL term was 5 years. Accordingly, we extrapolate the spread component of the 5 year yield estimate to the 10 year target term using an analogous methodology to that used to extrapolate from 7 to 10 years.</w:t>
            </w:r>
          </w:p>
          <w:p w:rsidR="00520CEF" w:rsidRPr="00F427A1" w:rsidRDefault="00520CEF" w:rsidP="00520CEF">
            <w:pPr>
              <w:numPr>
                <w:ilvl w:val="0"/>
                <w:numId w:val="24"/>
              </w:numPr>
            </w:pPr>
            <w:r w:rsidRPr="00F427A1">
              <w:t xml:space="preserve">Additionally, as of 14 April 2015, Bloomberg has revised its methodology for the BVAL curve (BVCSAB10). It has correspondingly recommenced publishing a 10 year yield estimate. Data from 14 April 2015 onwards, therefore does not require any extrapolation adjustment. </w:t>
            </w:r>
          </w:p>
        </w:tc>
      </w:tr>
      <w:tr w:rsidR="00520CEF" w:rsidRPr="00F427A1" w:rsidTr="00170917">
        <w:tc>
          <w:tcPr>
            <w:tcW w:w="2891" w:type="dxa"/>
          </w:tcPr>
          <w:p w:rsidR="00520CEF" w:rsidRPr="00520CEF" w:rsidRDefault="00520CEF" w:rsidP="00520CEF">
            <w:r w:rsidRPr="00F427A1">
              <w:t>Conversion to effective annual rate</w:t>
            </w:r>
          </w:p>
        </w:tc>
        <w:tc>
          <w:tcPr>
            <w:tcW w:w="1416" w:type="dxa"/>
          </w:tcPr>
          <w:p w:rsidR="00520CEF" w:rsidRPr="00520CEF" w:rsidRDefault="00520CEF" w:rsidP="00520CEF">
            <w:r w:rsidRPr="00F427A1">
              <w:t>Yes</w:t>
            </w:r>
          </w:p>
        </w:tc>
        <w:tc>
          <w:tcPr>
            <w:tcW w:w="4386" w:type="dxa"/>
          </w:tcPr>
          <w:p w:rsidR="00520CEF" w:rsidRPr="00F427A1" w:rsidRDefault="00520CEF" w:rsidP="00520CEF">
            <w:pPr>
              <w:numPr>
                <w:ilvl w:val="0"/>
                <w:numId w:val="24"/>
              </w:numPr>
            </w:pPr>
            <w:r w:rsidRPr="00F427A1">
              <w:t>Bloomberg publishes its yield as annual rates with semi-annual compounding. This needs to be converted into an effective annual rate.</w:t>
            </w:r>
          </w:p>
        </w:tc>
      </w:tr>
    </w:tbl>
    <w:p w:rsidR="00520CEF" w:rsidRDefault="00520CEF" w:rsidP="00520CEF">
      <w:pPr>
        <w:pStyle w:val="HeadingItalic"/>
      </w:pPr>
      <w:r>
        <w:t>Response to key issues raised by stakeholders</w:t>
      </w:r>
    </w:p>
    <w:p w:rsidR="00520CEF" w:rsidRPr="00F427A1" w:rsidRDefault="00520CEF" w:rsidP="00520CEF">
      <w:r>
        <w:t>Some</w:t>
      </w:r>
      <w:r w:rsidRPr="00F427A1">
        <w:t xml:space="preserve"> service providers proposed an annual testing approach to choose between the Lally and SAPN extrapolation methods. We have not adopted an annual testing approach for the reasons set out above. CitiPower and Powercor </w:t>
      </w:r>
      <w:r w:rsidR="000273D3" w:rsidRPr="00F427A1">
        <w:t>initially</w:t>
      </w:r>
      <w:r w:rsidRPr="00F427A1">
        <w:t xml:space="preserve"> proposed an annual testing approach, but in their revised proposals adopted adjustments to the RBA and BVAL curves consistent with our recent decisions.</w:t>
      </w:r>
      <w:r w:rsidRPr="00F427A1">
        <w:rPr>
          <w:rStyle w:val="AERsuperscript"/>
        </w:rPr>
        <w:footnoteReference w:id="529"/>
      </w:r>
    </w:p>
    <w:p w:rsidR="00520CEF" w:rsidRPr="00F427A1" w:rsidRDefault="00520CEF" w:rsidP="00520CEF">
      <w:r w:rsidRPr="00F427A1">
        <w:t>AusNet Services initially proposed that if one method was adopted, it should be the SAPN method.</w:t>
      </w:r>
      <w:r w:rsidRPr="00F427A1">
        <w:rPr>
          <w:rStyle w:val="AERsuperscript"/>
        </w:rPr>
        <w:footnoteReference w:id="530"/>
      </w:r>
      <w:r w:rsidRPr="00F427A1">
        <w:t xml:space="preserve"> However, in its revised proposal it adopted extrapolation method(s) consistent with our recent decisions.</w:t>
      </w:r>
      <w:r w:rsidRPr="00F427A1">
        <w:rPr>
          <w:rStyle w:val="AERsuperscript"/>
        </w:rPr>
        <w:footnoteReference w:id="531"/>
      </w:r>
      <w:r w:rsidRPr="00F427A1">
        <w:rPr>
          <w:rStyle w:val="AERsuperscript"/>
        </w:rPr>
        <w:t xml:space="preserve"> </w:t>
      </w:r>
    </w:p>
    <w:p w:rsidR="00520CEF" w:rsidRPr="00F427A1" w:rsidRDefault="00520CEF" w:rsidP="00520CEF">
      <w:r w:rsidRPr="00F427A1">
        <w:t>Dr Lally examined the initial proposal from AusNet Services and advised:</w:t>
      </w:r>
    </w:p>
    <w:p w:rsidR="00520CEF" w:rsidRPr="00F427A1" w:rsidRDefault="00520CEF" w:rsidP="00520CEF">
      <w:pPr>
        <w:pStyle w:val="AERquote"/>
      </w:pPr>
      <w:r w:rsidRPr="00F427A1">
        <w:t>Ausnet (2015, pp. 343-344) favours the SAPN extrapolation methodology in general on the basis of CEG’s (2015a, sections 5.2-5.4) analysis of data in January 2015.  However, as discussed in section 2.1, CEG’s analysis conflates the merits of curve fitting/extrapolation methods with the merits of competing criteria for selecting bonds, and its conclusions (even if valid for the period examined) should not be extrapolated to other periods because the period examined is too short.</w:t>
      </w:r>
      <w:r w:rsidRPr="00F427A1">
        <w:rPr>
          <w:rStyle w:val="AERsuperscript"/>
        </w:rPr>
        <w:footnoteReference w:id="532"/>
      </w:r>
    </w:p>
    <w:p w:rsidR="00520CEF" w:rsidRDefault="00520CEF" w:rsidP="00520CEF">
      <w:r w:rsidRPr="00F427A1">
        <w:t>We agree with Dr Lally's assessment. In relation to the SAPN extrapolation method, we are not satisfied that there is a compelling conceptual or practical basis to assume that yield curves should conform to a straight line along their entire length.</w:t>
      </w:r>
      <w:r>
        <w:t xml:space="preserve"> While the impact of the SAPN extrapolation methodology only affects the curve from 7 to 10 years, its slope implicitly assumes a straight line path through all prior term points.</w:t>
      </w:r>
      <w:r w:rsidRPr="00F427A1">
        <w:t xml:space="preserve"> In contrast, our approach relies only on the shape of the yield curve from 7 to 10 years as published by the RBA. We are satisfied that this is likely to be informative about the appropriate shape for the yield curve from 7 to 10 years. </w:t>
      </w:r>
      <w:r>
        <w:t>Further, we note that the 7 year RBA yield exceeded the 10 year RBA yield over the past year. CEG has previously criticised the Bloomberg curve on the basis that it exhibited an inverted spread-to-swap curve and that this appears to be 'inconsistent with finance theory'.</w:t>
      </w:r>
      <w:r>
        <w:rPr>
          <w:rStyle w:val="FootnoteReference"/>
        </w:rPr>
        <w:footnoteReference w:id="533"/>
      </w:r>
      <w:r>
        <w:t xml:space="preserve"> However:</w:t>
      </w:r>
    </w:p>
    <w:p w:rsidR="00520CEF" w:rsidRDefault="00520CEF" w:rsidP="00520CEF">
      <w:pPr>
        <w:pStyle w:val="AERbulletlistfirststyle"/>
      </w:pPr>
      <w:r>
        <w:t>we are not satisfied that an inverted yield curve, or an inverted segment of a yield curve appears to be inconsistent with any of the key finance theories to describe the shape of the yield curve.</w:t>
      </w:r>
      <w:r>
        <w:rPr>
          <w:rStyle w:val="FootnoteReference"/>
        </w:rPr>
        <w:footnoteReference w:id="534"/>
      </w:r>
      <w:r>
        <w:t xml:space="preserve"> In contrast, these theories provide direct explanations for why an inverted yield curve might occur.</w:t>
      </w:r>
    </w:p>
    <w:p w:rsidR="00520CEF" w:rsidRDefault="00520CEF" w:rsidP="00520CEF">
      <w:pPr>
        <w:pStyle w:val="AERbulletlistfirststyle"/>
      </w:pPr>
      <w:r>
        <w:t xml:space="preserve">CEG's preferred RBA curve, on which it proposes whole reliance unless we adopt annual testing, has also recently and previously exhibited a negative slope from the 7 to 10 year yield and spread-to-swap estimates. This can be observed in </w:t>
      </w:r>
      <w:r>
        <w:fldChar w:fldCharType="begin"/>
      </w:r>
      <w:r>
        <w:instrText xml:space="preserve"> REF _Ref447617152 \h </w:instrText>
      </w:r>
      <w:r>
        <w:fldChar w:fldCharType="separate"/>
      </w:r>
      <w:r w:rsidR="00BA2E8E" w:rsidRPr="007D0518">
        <w:t xml:space="preserve">Figure </w:t>
      </w:r>
      <w:r w:rsidR="00BA2E8E">
        <w:rPr>
          <w:noProof/>
        </w:rPr>
        <w:t>3</w:t>
      </w:r>
      <w:r w:rsidR="00BA2E8E">
        <w:noBreakHyphen/>
      </w:r>
      <w:r w:rsidR="00BA2E8E">
        <w:rPr>
          <w:noProof/>
        </w:rPr>
        <w:t>23</w:t>
      </w:r>
      <w:r>
        <w:fldChar w:fldCharType="end"/>
      </w:r>
      <w:r w:rsidR="00DD2E09">
        <w:t>, and in A</w:t>
      </w:r>
      <w:r>
        <w:t xml:space="preserve">ppendix </w:t>
      </w:r>
      <w:r w:rsidR="00DD2E09">
        <w:fldChar w:fldCharType="begin"/>
      </w:r>
      <w:r w:rsidR="00DD2E09">
        <w:instrText xml:space="preserve"> REF _Ref451266050 \r \h </w:instrText>
      </w:r>
      <w:r w:rsidR="00DD2E09">
        <w:fldChar w:fldCharType="separate"/>
      </w:r>
      <w:r w:rsidR="00BA2E8E">
        <w:t>I</w:t>
      </w:r>
      <w:r w:rsidR="00DD2E09">
        <w:fldChar w:fldCharType="end"/>
      </w:r>
      <w:r>
        <w:t xml:space="preserve">. </w:t>
      </w:r>
    </w:p>
    <w:p w:rsidR="00520CEF" w:rsidRDefault="00520CEF" w:rsidP="00520CEF">
      <w:pPr>
        <w:pStyle w:val="AERbulletlistfirststyle"/>
      </w:pPr>
      <w:r>
        <w:t xml:space="preserve">Over 2016, application of the SAPN method introduces a 'kink' into the yield curve which CEG has not justified or reconciled with finance theory. </w:t>
      </w:r>
    </w:p>
    <w:p w:rsidR="00520CEF" w:rsidRDefault="00520CEF" w:rsidP="00520CEF">
      <w:r>
        <w:t>In addition, some</w:t>
      </w:r>
      <w:r w:rsidRPr="00F427A1">
        <w:t xml:space="preserve"> service provider</w:t>
      </w:r>
      <w:r>
        <w:t>s have previously</w:t>
      </w:r>
      <w:r w:rsidRPr="00F427A1">
        <w:t xml:space="preserve"> expressed a preference </w:t>
      </w:r>
      <w:r>
        <w:t>to</w:t>
      </w:r>
      <w:r w:rsidRPr="00F427A1">
        <w:t xml:space="preserve"> </w:t>
      </w:r>
      <w:r>
        <w:t>independently</w:t>
      </w:r>
      <w:r w:rsidRPr="00F427A1">
        <w:t xml:space="preserve"> </w:t>
      </w:r>
      <w:r>
        <w:t>extrapolate</w:t>
      </w:r>
      <w:r w:rsidRPr="00F427A1">
        <w:t xml:space="preserve"> the BVAL curve from 7 to 10 years, rather than adopting the published BVAL 10 year estimate.</w:t>
      </w:r>
      <w:r w:rsidRPr="00F427A1">
        <w:rPr>
          <w:rStyle w:val="AERsuperscript"/>
        </w:rPr>
        <w:footnoteReference w:id="535"/>
      </w:r>
      <w:r w:rsidRPr="00F427A1">
        <w:t xml:space="preserve"> This was based on advice from CEG. We approached Bloomberg to check CEG's understanding of the BVAL methodology. Bloomberg confirmed that CEG has not correctly understood its methodology. Dr Lally also examined CEG's report and found further errors in CEG's analysis.</w:t>
      </w:r>
      <w:r w:rsidRPr="00F427A1">
        <w:rPr>
          <w:rStyle w:val="AERsuperscript"/>
        </w:rPr>
        <w:footnoteReference w:id="536"/>
      </w:r>
      <w:r w:rsidRPr="00F427A1">
        <w:t xml:space="preserve"> Dr Lally's report also sets out Bloomberg's response to us, which we provided to Dr Lally to assist his analysis. Further, Dr Lally has examined the new 10 year estimate and concluded it is fit for the AER's purposes.</w:t>
      </w:r>
    </w:p>
    <w:p w:rsidR="00520CEF" w:rsidRPr="00F427A1" w:rsidRDefault="00520CEF" w:rsidP="00520CEF">
      <w:r>
        <w:t>For these reasons</w:t>
      </w:r>
      <w:r w:rsidRPr="00F427A1">
        <w:t xml:space="preserve">, we </w:t>
      </w:r>
      <w:r>
        <w:t xml:space="preserve">remain satisfied that the method of extrapolation recommended by Dr Lally will contribute to achievement of the </w:t>
      </w:r>
      <w:r w:rsidR="009C74CF">
        <w:t>ARORO</w:t>
      </w:r>
      <w:r>
        <w:t>. Specifically, where there is a 10 year BVAL estimate we will use that estimate, but where that estimate is unavailable we will use the longest published BVAL estimate extrapolated to 10 years using the corresponding margin in the RBA estimate.</w:t>
      </w:r>
    </w:p>
    <w:p w:rsidR="00520CEF" w:rsidRDefault="00520CEF" w:rsidP="00520CEF">
      <w:pPr>
        <w:pStyle w:val="HeadingBoldItalic"/>
      </w:pPr>
      <w:r>
        <w:t>Choice of data series—Contingencies</w:t>
      </w:r>
    </w:p>
    <w:p w:rsidR="00520CEF" w:rsidRDefault="00520CEF" w:rsidP="00520CEF">
      <w:r>
        <w:t>Our decision is to largely maintain the set of contingencies as set out in our recent decisions. The two minor adjustments are clarifications to the contingency event labelled 'a different third party commences publication of a 10 year yield estimate'. These are:</w:t>
      </w:r>
    </w:p>
    <w:p w:rsidR="00520CEF" w:rsidRDefault="00520CEF" w:rsidP="00520CEF">
      <w:pPr>
        <w:pStyle w:val="AERbulletlistfirststyle"/>
      </w:pPr>
      <w:r>
        <w:t>The change of approach previously referred to data providers not evaluated and included in our draft decision. We have updated this to reflect the final decision stage.</w:t>
      </w:r>
    </w:p>
    <w:p w:rsidR="00520CEF" w:rsidRDefault="00520CEF" w:rsidP="00520CEF">
      <w:pPr>
        <w:pStyle w:val="AERbulletlistfirststyle"/>
      </w:pPr>
      <w:r>
        <w:t>We have clarified the event type to refer to circumstances where either a new third party commences publishing a 10 year curve, or occasions we are first made aware of a third party that already publishes a 10 year yield estimate. This change is only a clarification and does not change our interpretation of the event.</w:t>
      </w:r>
    </w:p>
    <w:p w:rsidR="00520CEF" w:rsidRDefault="00520CEF" w:rsidP="00520CEF">
      <w:r>
        <w:t>W</w:t>
      </w:r>
      <w:r w:rsidRPr="00A86E9A">
        <w:t>e have made our decision based on the information and third party data that is currently available.</w:t>
      </w:r>
      <w:r>
        <w:rPr>
          <w:rStyle w:val="FootnoteReference"/>
        </w:rPr>
        <w:footnoteReference w:id="537"/>
      </w:r>
      <w:r w:rsidRPr="00A86E9A">
        <w:t xml:space="preserve"> Nonetheless, in our experience it is common that the availability of third party data changes. Our decision is to annually update the trailing average portfolio return on debt. Under the </w:t>
      </w:r>
      <w:r>
        <w:t>rules</w:t>
      </w:r>
      <w:r w:rsidRPr="00A86E9A">
        <w:t>, the change in revenue resulting from the annual update must occur by automatic application of a formula that is specified in the decision.</w:t>
      </w:r>
      <w:r w:rsidRPr="0067680A">
        <w:rPr>
          <w:rStyle w:val="AERsuperscript"/>
        </w:rPr>
        <w:t xml:space="preserve"> </w:t>
      </w:r>
      <w:r w:rsidRPr="00A86E9A">
        <w:rPr>
          <w:rStyle w:val="AERsuperscript"/>
        </w:rPr>
        <w:footnoteReference w:id="538"/>
      </w:r>
      <w:r w:rsidRPr="00A86E9A">
        <w:t xml:space="preserve"> This means our decision on how to apply these third party data sources must be fully specified</w:t>
      </w:r>
      <w:r>
        <w:t xml:space="preserve"> upfront in the determination or access arrangement</w:t>
      </w:r>
      <w:r w:rsidRPr="00A86E9A">
        <w:t xml:space="preserve">, and must be capable of application over the </w:t>
      </w:r>
      <w:r>
        <w:t>regulatory control or access arrangement</w:t>
      </w:r>
      <w:r w:rsidRPr="00A86E9A">
        <w:t xml:space="preserve"> period without the use of subsequent judgement or discretion. For this reason, we have set out a series of contingencies in</w:t>
      </w:r>
      <w:r>
        <w:t xml:space="preserve"> </w:t>
      </w:r>
      <w:r>
        <w:fldChar w:fldCharType="begin"/>
      </w:r>
      <w:r>
        <w:instrText xml:space="preserve"> REF  _Ref415565798 \* Lower \h </w:instrText>
      </w:r>
      <w:r>
        <w:fldChar w:fldCharType="separate"/>
      </w:r>
      <w:r w:rsidR="00BA2E8E">
        <w:t xml:space="preserve">table </w:t>
      </w:r>
      <w:r w:rsidR="00BA2E8E">
        <w:rPr>
          <w:noProof/>
        </w:rPr>
        <w:t>3</w:t>
      </w:r>
      <w:r w:rsidR="00BA2E8E">
        <w:noBreakHyphen/>
      </w:r>
      <w:r w:rsidR="00BA2E8E">
        <w:rPr>
          <w:noProof/>
        </w:rPr>
        <w:t>18</w:t>
      </w:r>
      <w:r>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520CEF" w:rsidRDefault="00520CEF" w:rsidP="00520CEF">
      <w:pPr>
        <w:pStyle w:val="Caption"/>
      </w:pPr>
      <w:bookmarkStart w:id="156" w:name="_Ref415565798"/>
      <w:r>
        <w:t xml:space="preserve">Table </w:t>
      </w:r>
      <w:fldSimple w:instr=" STYLEREF 1 \s ">
        <w:r w:rsidR="00BA2E8E">
          <w:rPr>
            <w:noProof/>
          </w:rPr>
          <w:t>3</w:t>
        </w:r>
      </w:fldSimple>
      <w:r w:rsidR="000F4BC3">
        <w:noBreakHyphen/>
      </w:r>
      <w:fldSimple w:instr=" SEQ Table \* ARABIC \s 1 ">
        <w:r w:rsidR="00BA2E8E">
          <w:rPr>
            <w:noProof/>
          </w:rPr>
          <w:t>18</w:t>
        </w:r>
      </w:fldSimple>
      <w:bookmarkEnd w:id="156"/>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1"/>
      </w:tblGrid>
      <w:tr w:rsidR="00520CEF" w:rsidRPr="00BB7AB1" w:rsidTr="00170917">
        <w:trPr>
          <w:cnfStyle w:val="100000000000" w:firstRow="1" w:lastRow="0" w:firstColumn="0" w:lastColumn="0" w:oddVBand="0" w:evenVBand="0" w:oddHBand="0" w:evenHBand="0" w:firstRowFirstColumn="0" w:firstRowLastColumn="0" w:lastRowFirstColumn="0" w:lastRowLastColumn="0"/>
          <w:tblHeader/>
        </w:trPr>
        <w:tc>
          <w:tcPr>
            <w:tcW w:w="1461" w:type="pct"/>
          </w:tcPr>
          <w:p w:rsidR="00520CEF" w:rsidRPr="00BB7AB1" w:rsidRDefault="00520CEF" w:rsidP="00520CEF">
            <w:pPr>
              <w:numPr>
                <w:ilvl w:val="0"/>
                <w:numId w:val="24"/>
              </w:numPr>
            </w:pPr>
            <w:r w:rsidRPr="00BB7AB1">
              <w:t>Event</w:t>
            </w:r>
          </w:p>
        </w:tc>
        <w:tc>
          <w:tcPr>
            <w:tcW w:w="3539" w:type="pct"/>
          </w:tcPr>
          <w:p w:rsidR="00520CEF" w:rsidRPr="00BB7AB1" w:rsidRDefault="00520CEF" w:rsidP="00520CEF">
            <w:pPr>
              <w:numPr>
                <w:ilvl w:val="0"/>
                <w:numId w:val="24"/>
              </w:numPr>
            </w:pPr>
            <w:r w:rsidRPr="00BB7AB1">
              <w:t>Changes to approach</w:t>
            </w:r>
          </w:p>
        </w:tc>
      </w:tr>
      <w:tr w:rsidR="00520CEF" w:rsidRPr="00BB7AB1" w:rsidTr="00170917">
        <w:tc>
          <w:tcPr>
            <w:tcW w:w="1461" w:type="pct"/>
          </w:tcPr>
          <w:p w:rsidR="00520CEF" w:rsidRPr="00BB7AB1" w:rsidRDefault="00520CEF" w:rsidP="00520CEF">
            <w:pPr>
              <w:numPr>
                <w:ilvl w:val="0"/>
                <w:numId w:val="24"/>
              </w:numPr>
            </w:pPr>
            <w:r w:rsidRPr="00BB7AB1">
              <w:t>Either the RBA or Bloomberg ceases publication of Australian yield curves that reflect a broad BBB rating.</w:t>
            </w:r>
          </w:p>
        </w:tc>
        <w:tc>
          <w:tcPr>
            <w:tcW w:w="3539" w:type="pct"/>
          </w:tcPr>
          <w:p w:rsidR="00520CEF" w:rsidRPr="00BB7AB1" w:rsidRDefault="00520CEF" w:rsidP="00520CEF">
            <w:pPr>
              <w:numPr>
                <w:ilvl w:val="0"/>
                <w:numId w:val="24"/>
              </w:numPr>
            </w:pPr>
            <w:r w:rsidRPr="00BB7AB1">
              <w:t>We will estimate the annual return on debt using the remaining curve.</w:t>
            </w:r>
          </w:p>
        </w:tc>
      </w:tr>
      <w:tr w:rsidR="00520CEF" w:rsidRPr="00BB7AB1" w:rsidTr="00170917">
        <w:trPr>
          <w:cnfStyle w:val="000000010000" w:firstRow="0" w:lastRow="0" w:firstColumn="0" w:lastColumn="0" w:oddVBand="0" w:evenVBand="0" w:oddHBand="0" w:evenHBand="1" w:firstRowFirstColumn="0" w:firstRowLastColumn="0" w:lastRowFirstColumn="0" w:lastRowLastColumn="0"/>
        </w:trPr>
        <w:tc>
          <w:tcPr>
            <w:tcW w:w="1461" w:type="pct"/>
          </w:tcPr>
          <w:p w:rsidR="00520CEF" w:rsidRPr="00BB7AB1" w:rsidRDefault="00520CEF" w:rsidP="00520CEF">
            <w:pPr>
              <w:numPr>
                <w:ilvl w:val="0"/>
                <w:numId w:val="24"/>
              </w:numPr>
            </w:pPr>
            <w:r w:rsidRPr="00BB7AB1">
              <w:t xml:space="preserve">A different third party commences publication of a 10 year yield estimate </w:t>
            </w:r>
            <w:r w:rsidRPr="005306B1">
              <w:t>(or we are made aware of a different third party publishing a 10 year yield estimate)</w:t>
            </w:r>
            <w:r w:rsidRPr="005306B1">
              <w:rPr>
                <w:rStyle w:val="AERsuperscript"/>
              </w:rPr>
              <w:footnoteReference w:id="539"/>
            </w:r>
            <w:r w:rsidRPr="00BB7AB1">
              <w:t>.</w:t>
            </w:r>
          </w:p>
        </w:tc>
        <w:tc>
          <w:tcPr>
            <w:tcW w:w="3539" w:type="pct"/>
          </w:tcPr>
          <w:p w:rsidR="00520CEF" w:rsidRPr="00BB7AB1" w:rsidRDefault="00520CEF" w:rsidP="00520CEF">
            <w:pPr>
              <w:numPr>
                <w:ilvl w:val="0"/>
                <w:numId w:val="24"/>
              </w:numPr>
            </w:pPr>
            <w:r w:rsidRPr="00BB7AB1">
              <w:t xml:space="preserve">We will not apply estimates from a third party data provider that we have not evaluated and included in our </w:t>
            </w:r>
            <w:r>
              <w:t>final</w:t>
            </w:r>
            <w:r w:rsidRPr="00BB7AB1">
              <w:t xml:space="preserve"> decision approach. We will consider any new data sources in future determinations. </w:t>
            </w:r>
          </w:p>
        </w:tc>
      </w:tr>
      <w:tr w:rsidR="00520CEF" w:rsidRPr="00BB7AB1" w:rsidTr="00170917">
        <w:tc>
          <w:tcPr>
            <w:tcW w:w="1461" w:type="pct"/>
          </w:tcPr>
          <w:p w:rsidR="00520CEF" w:rsidRPr="00BB7AB1" w:rsidRDefault="00520CEF" w:rsidP="00520CEF">
            <w:pPr>
              <w:numPr>
                <w:ilvl w:val="0"/>
                <w:numId w:val="24"/>
              </w:numPr>
            </w:pPr>
            <w:r w:rsidRPr="00BB7AB1">
              <w:t>Either Bloomberg or RBA substitutes its current methodology for a revised or updated methodology.</w:t>
            </w:r>
          </w:p>
        </w:tc>
        <w:tc>
          <w:tcPr>
            <w:tcW w:w="3539" w:type="pct"/>
          </w:tcPr>
          <w:p w:rsidR="00520CEF" w:rsidRDefault="00520CEF" w:rsidP="00520CEF">
            <w:pPr>
              <w:numPr>
                <w:ilvl w:val="0"/>
                <w:numId w:val="24"/>
              </w:numPr>
            </w:pPr>
            <w:r w:rsidRPr="00BB7AB1">
              <w:t xml:space="preserve">We will adopt the revised or updated </w:t>
            </w:r>
            <w:r>
              <w:t>methodology</w:t>
            </w:r>
            <w:r w:rsidRPr="00BB7AB1">
              <w:t>. Then, at the next regulatory determination, we will review this updated methodology. As noted above, we would also review any new data sources.</w:t>
            </w:r>
          </w:p>
          <w:p w:rsidR="00520CEF" w:rsidRPr="00BB7AB1" w:rsidRDefault="00520CEF" w:rsidP="00520CEF">
            <w:pPr>
              <w:numPr>
                <w:ilvl w:val="0"/>
                <w:numId w:val="24"/>
              </w:numPr>
            </w:pPr>
            <w:r>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Pr>
                <w:rStyle w:val="FootnoteReference"/>
              </w:rPr>
              <w:footnoteReference w:id="540"/>
            </w:r>
          </w:p>
        </w:tc>
      </w:tr>
      <w:tr w:rsidR="00520CEF" w:rsidRPr="00BB7AB1" w:rsidTr="00170917">
        <w:trPr>
          <w:cnfStyle w:val="000000010000" w:firstRow="0" w:lastRow="0" w:firstColumn="0" w:lastColumn="0" w:oddVBand="0" w:evenVBand="0" w:oddHBand="0" w:evenHBand="1" w:firstRowFirstColumn="0" w:firstRowLastColumn="0" w:lastRowFirstColumn="0" w:lastRowLastColumn="0"/>
        </w:trPr>
        <w:tc>
          <w:tcPr>
            <w:tcW w:w="1461" w:type="pct"/>
          </w:tcPr>
          <w:p w:rsidR="00520CEF" w:rsidRPr="00BB7AB1" w:rsidRDefault="00520CEF" w:rsidP="00520CEF">
            <w:pPr>
              <w:numPr>
                <w:ilvl w:val="0"/>
                <w:numId w:val="24"/>
              </w:numPr>
            </w:pPr>
            <w:r w:rsidRPr="00BB7AB1">
              <w:t xml:space="preserve">Bloomberg </w:t>
            </w:r>
            <w:r>
              <w:t>reduces the maximum published BVAL term from 10 years</w:t>
            </w:r>
          </w:p>
        </w:tc>
        <w:tc>
          <w:tcPr>
            <w:tcW w:w="3539" w:type="pct"/>
          </w:tcPr>
          <w:p w:rsidR="00520CEF" w:rsidRDefault="00520CEF" w:rsidP="00520CEF">
            <w:pPr>
              <w:numPr>
                <w:ilvl w:val="0"/>
                <w:numId w:val="24"/>
              </w:numPr>
            </w:pPr>
            <w:r w:rsidRPr="00BB7AB1">
              <w:t>If Bloomberg still publishes the BVAL curve to 5</w:t>
            </w:r>
            <w:r>
              <w:t xml:space="preserve"> or more years</w:t>
            </w:r>
            <w:r w:rsidRPr="00BB7AB1">
              <w:t xml:space="preserve">, we will extrapolate the BVAL curve from </w:t>
            </w:r>
            <w:r>
              <w:t>the longest published term</w:t>
            </w:r>
            <w:r w:rsidRPr="00BB7AB1">
              <w:t xml:space="preserve"> using the 5 to 10 year yield margin from the RBA curve.</w:t>
            </w:r>
            <w:r>
              <w:t xml:space="preserve"> </w:t>
            </w:r>
          </w:p>
          <w:p w:rsidR="00520CEF" w:rsidRPr="00BB7AB1" w:rsidRDefault="00520CEF" w:rsidP="00520CEF">
            <w:pPr>
              <w:numPr>
                <w:ilvl w:val="0"/>
                <w:numId w:val="24"/>
              </w:numPr>
            </w:pPr>
            <w:r w:rsidRPr="00BB7AB1">
              <w:t>If Bloomberg no longer publishes the BVAL curve to 5 years, we will rely entirely on the RBA curve.</w:t>
            </w:r>
          </w:p>
        </w:tc>
      </w:tr>
      <w:tr w:rsidR="00520CEF" w:rsidRPr="00BB7AB1" w:rsidTr="00170917">
        <w:tc>
          <w:tcPr>
            <w:tcW w:w="1461" w:type="pct"/>
          </w:tcPr>
          <w:p w:rsidR="00520CEF" w:rsidRPr="00BB7AB1" w:rsidRDefault="00520CEF" w:rsidP="00520CEF">
            <w:pPr>
              <w:numPr>
                <w:ilvl w:val="0"/>
                <w:numId w:val="24"/>
              </w:numPr>
            </w:pPr>
            <w:r w:rsidRPr="00BB7AB1">
              <w:t>The RBA ceases publication of a 10 year yield estimate.</w:t>
            </w:r>
            <w:r w:rsidRPr="00BB7AB1">
              <w:tab/>
            </w:r>
          </w:p>
        </w:tc>
        <w:tc>
          <w:tcPr>
            <w:tcW w:w="3539" w:type="pct"/>
          </w:tcPr>
          <w:p w:rsidR="00520CEF" w:rsidRPr="00BB7AB1" w:rsidRDefault="00520CEF" w:rsidP="00520CEF">
            <w:pPr>
              <w:numPr>
                <w:ilvl w:val="0"/>
                <w:numId w:val="24"/>
              </w:numPr>
            </w:pPr>
            <w:r w:rsidRPr="00BB7AB1">
              <w:t>If the RBA ceases publication of a 10 year yield estimate, we will extrapolate the RBA estimate to 10 years using:</w:t>
            </w:r>
          </w:p>
          <w:p w:rsidR="00520CEF" w:rsidRPr="00520CEF" w:rsidRDefault="00520CEF" w:rsidP="00520CEF">
            <w:pPr>
              <w:pStyle w:val="AERbulletlistfirststyle"/>
            </w:pPr>
            <w:r w:rsidRPr="00A86E9A">
              <w:t>if available, the margin between spreads in the Bloomberg curve,</w:t>
            </w:r>
            <w:r w:rsidRPr="00520CEF">
              <w:rPr>
                <w:rStyle w:val="FootnoteReference"/>
              </w:rPr>
              <w:footnoteReference w:id="541"/>
            </w:r>
            <w:r w:rsidRPr="00520CEF">
              <w:t xml:space="preserve"> from the RBA's longest published target term to 10 years</w:t>
            </w:r>
          </w:p>
          <w:p w:rsidR="00520CEF" w:rsidRPr="00520CEF" w:rsidRDefault="00520CEF" w:rsidP="00520CEF">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520CEF" w:rsidRPr="00BB7AB1" w:rsidTr="00170917">
        <w:trPr>
          <w:cnfStyle w:val="000000010000" w:firstRow="0" w:lastRow="0" w:firstColumn="0" w:lastColumn="0" w:oddVBand="0" w:evenVBand="0" w:oddHBand="0" w:evenHBand="1" w:firstRowFirstColumn="0" w:firstRowLastColumn="0" w:lastRowFirstColumn="0" w:lastRowLastColumn="0"/>
        </w:trPr>
        <w:tc>
          <w:tcPr>
            <w:tcW w:w="1461" w:type="pct"/>
          </w:tcPr>
          <w:p w:rsidR="00520CEF" w:rsidRPr="00BB7AB1" w:rsidRDefault="00520CEF" w:rsidP="00520CEF">
            <w:pPr>
              <w:numPr>
                <w:ilvl w:val="0"/>
                <w:numId w:val="24"/>
              </w:numPr>
            </w:pPr>
            <w:r w:rsidRPr="00BB7AB1">
              <w:t>The RBA commences publication of daily estimates.</w:t>
            </w:r>
          </w:p>
        </w:tc>
        <w:tc>
          <w:tcPr>
            <w:tcW w:w="3539" w:type="pct"/>
          </w:tcPr>
          <w:p w:rsidR="00520CEF" w:rsidRPr="00BB7AB1" w:rsidRDefault="00520CEF" w:rsidP="00520CEF">
            <w:pPr>
              <w:numPr>
                <w:ilvl w:val="0"/>
                <w:numId w:val="24"/>
              </w:numPr>
            </w:pPr>
            <w:r w:rsidRPr="00BB7AB1">
              <w:t>We will cease interpolating the RBA monthly yields. Instead, we will estimate both the RBA yield and the RBA year extrapolation margin (used with the BVAL curve) using these daily estimates.</w:t>
            </w:r>
          </w:p>
        </w:tc>
      </w:tr>
      <w:tr w:rsidR="00520CEF" w:rsidRPr="00BB7AB1" w:rsidTr="00170917">
        <w:tc>
          <w:tcPr>
            <w:tcW w:w="1461" w:type="pct"/>
          </w:tcPr>
          <w:p w:rsidR="00520CEF" w:rsidRPr="00BB7AB1" w:rsidRDefault="00520CEF" w:rsidP="00520CEF">
            <w:pPr>
              <w:numPr>
                <w:ilvl w:val="0"/>
                <w:numId w:val="24"/>
              </w:numPr>
            </w:pPr>
            <w:r w:rsidRPr="00BB7AB1">
              <w:t>Either Bloomberg or the RBA publishes a BBB+ or utilities specific yield curve.</w:t>
            </w:r>
          </w:p>
        </w:tc>
        <w:tc>
          <w:tcPr>
            <w:tcW w:w="3539" w:type="pct"/>
          </w:tcPr>
          <w:p w:rsidR="00520CEF" w:rsidRPr="00BB7AB1" w:rsidRDefault="00520CEF" w:rsidP="00520CEF">
            <w:pPr>
              <w:numPr>
                <w:ilvl w:val="0"/>
                <w:numId w:val="24"/>
              </w:numPr>
            </w:pPr>
            <w:r w:rsidRPr="00BB7AB1">
              <w:t>We will adopt the BBB+ or utilities curve in place of the provider's existing curve, on the basis that it is a closer fit to our benchmark efficient entity.</w:t>
            </w:r>
          </w:p>
        </w:tc>
      </w:tr>
    </w:tbl>
    <w:p w:rsidR="00520CEF" w:rsidRPr="00BB7AB1" w:rsidRDefault="00520CEF" w:rsidP="00520CEF">
      <w:pPr>
        <w:pStyle w:val="AERtablesource"/>
      </w:pPr>
      <w:r w:rsidRPr="00BB7AB1">
        <w:t>Source:</w:t>
      </w:r>
      <w:r w:rsidRPr="00BB7AB1">
        <w:tab/>
      </w:r>
      <w:r w:rsidRPr="00BB7AB1">
        <w:tab/>
        <w:t>AER analysis</w:t>
      </w:r>
    </w:p>
    <w:p w:rsidR="00520CEF" w:rsidRPr="00C56839" w:rsidRDefault="00520CEF" w:rsidP="00520CEF">
      <w:r w:rsidRPr="00C56839">
        <w:t>In general, we have decided on these contingencies based on a series of guiding principles. These are that the contingency must:</w:t>
      </w:r>
    </w:p>
    <w:p w:rsidR="00520CEF" w:rsidRPr="00C56839" w:rsidRDefault="00520CEF" w:rsidP="00520CEF">
      <w:pPr>
        <w:pStyle w:val="AERbulletlistfirststyle"/>
      </w:pPr>
      <w:r w:rsidRPr="00C56839">
        <w:t xml:space="preserve">Be practically implementable—the rules require the automatic application of a formula to update the trailing average portfolio return on debt. As a result, we will be unable to analyse changes to the approaches or new approaches during the </w:t>
      </w:r>
      <w:r>
        <w:t>regulatory control or access arrangement</w:t>
      </w:r>
      <w:r w:rsidRPr="00C56839">
        <w:t xml:space="preserve"> period. Therefore, it is important that any contingency be practical and easily implementable.</w:t>
      </w:r>
    </w:p>
    <w:p w:rsidR="00520CEF" w:rsidRPr="00762C27" w:rsidRDefault="00520CEF" w:rsidP="00520CEF">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520CEF" w:rsidRDefault="00520CEF" w:rsidP="00520CEF">
      <w:pPr>
        <w:pStyle w:val="AERbulletlistfirststyle"/>
      </w:pPr>
      <w:r w:rsidRPr="00C56839">
        <w:t>Where necessary, rely on the independent expert judg</w:t>
      </w:r>
      <w:r>
        <w:t>ement of the RBA and Bloomberg—I</w:t>
      </w:r>
      <w:r w:rsidRPr="00C56839">
        <w:t>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542"/>
      </w:r>
      <w:r w:rsidRPr="00C56839">
        <w:t xml:space="preserve"> However, this is not possible during the </w:t>
      </w:r>
      <w:r>
        <w:t>regulatory control or access arrangement</w:t>
      </w:r>
      <w:r w:rsidRPr="00C56839">
        <w:t xml:space="preserve">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520CEF" w:rsidRDefault="00520CEF" w:rsidP="00520CEF">
      <w:pPr>
        <w:pStyle w:val="HeadingItalic"/>
      </w:pPr>
      <w:r>
        <w:t>Response to key issues raised by stakeholders</w:t>
      </w:r>
    </w:p>
    <w:p w:rsidR="00520CEF" w:rsidRDefault="00174A6B" w:rsidP="00520CEF">
      <w:r>
        <w:t>CitiPower</w:t>
      </w:r>
      <w:r w:rsidR="00520CEF">
        <w:t xml:space="preserve"> and Powercor proposed to make some adjustments to these contingencies. In particular, they proposed to:</w:t>
      </w:r>
    </w:p>
    <w:p w:rsidR="00520CEF" w:rsidRDefault="00520CEF" w:rsidP="00520CEF">
      <w:pPr>
        <w:pStyle w:val="AERbulletlistfirststyle"/>
      </w:pPr>
      <w:r>
        <w:t>include the Reuters curve throughout the contingencies table</w:t>
      </w:r>
    </w:p>
    <w:p w:rsidR="00520CEF" w:rsidRDefault="00520CEF" w:rsidP="00520CEF">
      <w:pPr>
        <w:pStyle w:val="AERbulletlistfirststyle"/>
      </w:pPr>
      <w:r>
        <w:t>remove the contingency relating to the BBB+ or utilities specific curve.</w:t>
      </w:r>
    </w:p>
    <w:p w:rsidR="00520CEF" w:rsidRDefault="00520CEF" w:rsidP="00520CEF">
      <w:r>
        <w:t xml:space="preserve">Our final decision is to maintain the contingencies as set out in previous decisions. For the reasons set out in this section, we have not adopted use of the Reuters curve for this final decision. We may revisit the use of this curve in future where there is scope for detailed analysis and consultation on the curve. However, we are currently not satisfied that use of the Reuters curve will promote achievement of the </w:t>
      </w:r>
      <w:r w:rsidR="009C74CF">
        <w:t>ARORO</w:t>
      </w:r>
      <w:r>
        <w:t>. We therefore do not agree that it should be included within the scope of our contingencies.</w:t>
      </w:r>
    </w:p>
    <w:p w:rsidR="00520CEF" w:rsidRDefault="00520CEF" w:rsidP="00520CEF">
      <w:r>
        <w:t>We also maintain our decision to adopt the BBB+ or utilities specific curve where either the RBA or Bloomberg commences publication of such a curve. In the rate of return guideline and in subsequent decisions, we have defined the benchmark entity as 'Similarly, for the reasons set out in this section, we have adopted a BBB+ benchmark credit rating.</w:t>
      </w:r>
    </w:p>
    <w:p w:rsidR="00475D3A" w:rsidRDefault="00475D3A" w:rsidP="00475D3A">
      <w:pPr>
        <w:pStyle w:val="HeadingBoldItalic"/>
      </w:pPr>
      <w:r>
        <w:t>New issue premium</w:t>
      </w:r>
    </w:p>
    <w:p w:rsidR="00475D3A" w:rsidRDefault="00475D3A" w:rsidP="00475D3A">
      <w:r w:rsidRPr="0018148E">
        <w:t xml:space="preserve">We accept </w:t>
      </w:r>
      <w:r>
        <w:t>C</w:t>
      </w:r>
      <w:r w:rsidR="00B23918">
        <w:t>itiPower's</w:t>
      </w:r>
      <w:r>
        <w:t xml:space="preserve"> revised proposal to not</w:t>
      </w:r>
      <w:r w:rsidRPr="0018148E">
        <w:t xml:space="preserve"> include an explicit allowance for the new issue premium. However, we do not </w:t>
      </w:r>
      <w:r>
        <w:t>agree with its commentary</w:t>
      </w:r>
      <w:r w:rsidRPr="0018148E">
        <w:t xml:space="preserve"> </w:t>
      </w:r>
      <w:r>
        <w:t>that excluding</w:t>
      </w:r>
      <w:r w:rsidRPr="0018148E">
        <w:t xml:space="preserve"> a new issue premium makes</w:t>
      </w:r>
      <w:r>
        <w:t xml:space="preserve"> its proposed return on debt 'highly conservative'</w:t>
      </w:r>
      <w:r w:rsidRPr="0018148E">
        <w:t>.</w:t>
      </w:r>
      <w:r>
        <w:rPr>
          <w:rStyle w:val="FootnoteReference"/>
        </w:rPr>
        <w:footnoteReference w:id="543"/>
      </w:r>
    </w:p>
    <w:p w:rsidR="00475D3A" w:rsidRDefault="00475D3A" w:rsidP="00475D3A">
      <w:r>
        <w:t>We continue to be</w:t>
      </w:r>
      <w:r w:rsidRPr="0048764A">
        <w:t xml:space="preserve"> satisfied our current approach, without </w:t>
      </w:r>
      <w:r>
        <w:t>providing</w:t>
      </w:r>
      <w:r w:rsidRPr="0048764A">
        <w:t xml:space="preserve"> an uplift for </w:t>
      </w:r>
      <w:r>
        <w:t xml:space="preserve">a </w:t>
      </w:r>
      <w:r w:rsidRPr="0048764A">
        <w:t>new issue premium,</w:t>
      </w:r>
      <w:r>
        <w:rPr>
          <w:rStyle w:val="FootnoteReference"/>
        </w:rPr>
        <w:footnoteReference w:id="544"/>
      </w:r>
      <w:r w:rsidRPr="0048764A">
        <w:t xml:space="preserve"> contributes to the achievement of</w:t>
      </w:r>
      <w:r>
        <w:t xml:space="preserve"> the</w:t>
      </w:r>
      <w:r w:rsidRPr="0048764A">
        <w:t xml:space="preserve"> </w:t>
      </w:r>
      <w:r>
        <w:t>ARORO</w:t>
      </w:r>
      <w:r w:rsidRPr="0048764A">
        <w:t xml:space="preserve">. In particular, we are satisfied it is commensurate with the efficient financing costs of </w:t>
      </w:r>
      <w:r>
        <w:t>a</w:t>
      </w:r>
      <w:r w:rsidRPr="0048764A">
        <w:t xml:space="preserve"> benchmark efficient entity.</w:t>
      </w:r>
      <w:r>
        <w:rPr>
          <w:rStyle w:val="FootnoteReference"/>
        </w:rPr>
        <w:footnoteReference w:id="545"/>
      </w:r>
      <w:r>
        <w:t xml:space="preserve"> </w:t>
      </w:r>
      <w:r w:rsidRPr="006D5821">
        <w:t>Our main reasons for our position are:</w:t>
      </w:r>
    </w:p>
    <w:p w:rsidR="00475D3A" w:rsidRPr="00475D3A" w:rsidRDefault="00475D3A" w:rsidP="00475D3A">
      <w:pPr>
        <w:pStyle w:val="AERbulletlistfirststyle"/>
      </w:pPr>
      <w:r w:rsidRPr="001426E4">
        <w:t xml:space="preserve">Conceptually, we </w:t>
      </w:r>
      <w:r w:rsidRPr="00475D3A">
        <w:t>consider that a benchmark efficient entity would not face a new issue premium as part of its efficient financing costs.</w:t>
      </w:r>
    </w:p>
    <w:p w:rsidR="00475D3A" w:rsidRPr="00475D3A" w:rsidRDefault="00475D3A" w:rsidP="00475D3A">
      <w:pPr>
        <w:pStyle w:val="AERbulletlistfirststyle"/>
      </w:pPr>
      <w:r>
        <w:t>T</w:t>
      </w:r>
      <w:r w:rsidRPr="00475D3A">
        <w:t>he evidence before us indicates that our return on debt allowance already appropriately compensates a benchmark efficient entity overall for its efficient financing costs.</w:t>
      </w:r>
    </w:p>
    <w:p w:rsidR="00475D3A" w:rsidRPr="00475D3A" w:rsidRDefault="00475D3A" w:rsidP="00475D3A">
      <w:pPr>
        <w:pStyle w:val="AERbulletlistfirststyle"/>
      </w:pPr>
      <w:r>
        <w:t>W</w:t>
      </w:r>
      <w:r w:rsidRPr="00475D3A">
        <w:t>e consider that the empirical evidence on the new issue premium is inconclusive in general and that there is little consensus among experts on how to measure potential new issue premia.</w:t>
      </w:r>
    </w:p>
    <w:p w:rsidR="00475D3A" w:rsidRPr="00475D3A" w:rsidRDefault="00475D3A" w:rsidP="00475D3A">
      <w:pPr>
        <w:pStyle w:val="AERbulletlistfirststyle"/>
      </w:pPr>
      <w:r>
        <w:t>We are unaware of any academic literature on the new issue premium in the Australian market. On behalf of several service providers, CEG conducted an empirical analysis on the Australian marke</w:t>
      </w:r>
      <w:r w:rsidRPr="00475D3A">
        <w:t>t.</w:t>
      </w:r>
      <w:r w:rsidRPr="00475D3A">
        <w:rPr>
          <w:rStyle w:val="FootnoteReference"/>
        </w:rPr>
        <w:footnoteReference w:id="546"/>
      </w:r>
      <w:r w:rsidRPr="00475D3A">
        <w:t xml:space="preserve"> However, we have concerns with CEG's methodology, which we do not consider CEG has satisfactorily addressed.</w:t>
      </w:r>
      <w:r w:rsidRPr="00475D3A">
        <w:rPr>
          <w:rStyle w:val="FootnoteReference"/>
        </w:rPr>
        <w:footnoteReference w:id="547"/>
      </w:r>
    </w:p>
    <w:p w:rsidR="00475D3A" w:rsidRDefault="00475D3A" w:rsidP="00520CEF">
      <w:r>
        <w:t>For a more detailed explanation of our reasons, see Appendix I of our final decision for United Energy.</w:t>
      </w:r>
      <w:r>
        <w:rPr>
          <w:rStyle w:val="FootnoteReference"/>
        </w:rPr>
        <w:footnoteReference w:id="548"/>
      </w:r>
    </w:p>
    <w:p w:rsidR="00520CEF" w:rsidRDefault="00520CEF" w:rsidP="00520CEF">
      <w:pPr>
        <w:pStyle w:val="HeadingBoldItalic"/>
      </w:pPr>
      <w:r w:rsidRPr="00E761F9">
        <w:t xml:space="preserve">Averaging periods </w:t>
      </w:r>
    </w:p>
    <w:p w:rsidR="002A5C40" w:rsidRPr="00E761F9" w:rsidRDefault="002A5C40" w:rsidP="002A5C40">
      <w:r w:rsidRPr="00E761F9">
        <w:t xml:space="preserve">Our final decision is to: </w:t>
      </w:r>
    </w:p>
    <w:p w:rsidR="002A5C40" w:rsidRPr="00E761F9" w:rsidRDefault="002A5C40" w:rsidP="002A5C40">
      <w:pPr>
        <w:pStyle w:val="AERbulletlistfirststyle"/>
      </w:pPr>
      <w:r w:rsidRPr="00E761F9">
        <w:t>accept CitiPower's proposed debt averaging period for the 2016 regulatory year</w:t>
      </w:r>
    </w:p>
    <w:p w:rsidR="002A5C40" w:rsidRPr="00E761F9" w:rsidRDefault="002A5C40" w:rsidP="002A5C40">
      <w:pPr>
        <w:pStyle w:val="AERbulletlistfirststyle"/>
      </w:pPr>
      <w:r w:rsidRPr="00E761F9">
        <w:t>accept CitiPower's alternative averaging periods for the 2017 to 2020 regulatory years.</w:t>
      </w:r>
      <w:r w:rsidRPr="00E761F9">
        <w:rPr>
          <w:rStyle w:val="FootnoteReference"/>
        </w:rPr>
        <w:footnoteReference w:id="549"/>
      </w:r>
      <w:r w:rsidRPr="00E761F9">
        <w:t xml:space="preserve"> </w:t>
      </w:r>
    </w:p>
    <w:p w:rsidR="002A5C40" w:rsidRPr="00E761F9" w:rsidRDefault="002A5C40" w:rsidP="002A5C40">
      <w:r w:rsidRPr="00E761F9">
        <w:t>This is consistent with our preliminary decision.</w:t>
      </w:r>
      <w:r w:rsidRPr="00E761F9">
        <w:rPr>
          <w:rStyle w:val="FootnoteReference"/>
        </w:rPr>
        <w:footnoteReference w:id="550"/>
      </w:r>
      <w:r w:rsidRPr="00E761F9">
        <w:t xml:space="preserve"> In its revised proposal, CitiPower adopted the averaging periods set out in our preliminary decision.</w:t>
      </w:r>
      <w:r w:rsidRPr="00E761F9">
        <w:rPr>
          <w:rStyle w:val="FootnoteReference"/>
        </w:rPr>
        <w:footnoteReference w:id="551"/>
      </w:r>
    </w:p>
    <w:p w:rsidR="002A5C40" w:rsidRPr="00E761F9" w:rsidRDefault="002A5C40" w:rsidP="002A5C40">
      <w:r w:rsidRPr="00E761F9">
        <w:t>We specify these averaging periods for the 2017 to 2020 re</w:t>
      </w:r>
      <w:r w:rsidR="00DD2E09">
        <w:t xml:space="preserve">gulatory years in confidential Appendix </w:t>
      </w:r>
      <w:r w:rsidR="00DD2E09">
        <w:fldChar w:fldCharType="begin"/>
      </w:r>
      <w:r w:rsidR="00DD2E09">
        <w:instrText xml:space="preserve"> REF _Ref451266125 \r \h </w:instrText>
      </w:r>
      <w:r w:rsidR="00DD2E09">
        <w:fldChar w:fldCharType="separate"/>
      </w:r>
      <w:r w:rsidR="00BA2E8E">
        <w:t>L</w:t>
      </w:r>
      <w:r w:rsidR="00DD2E09">
        <w:fldChar w:fldCharType="end"/>
      </w:r>
      <w:r w:rsidRPr="00E761F9">
        <w:t>. This is because our practice is to keep the dates of averaging periods confidential until they have expired.</w:t>
      </w:r>
    </w:p>
    <w:p w:rsidR="002A5C40" w:rsidRPr="00E761F9" w:rsidRDefault="002A5C40" w:rsidP="002A5C40">
      <w:r w:rsidRPr="00E761F9">
        <w:t>In the preliminary decision for CitiPower, we used a placeholder averaging period of 19 consecutive business days commencing 4 August 2015 to estimate the allowed return on debt for the 2016 regulatory year. At that time, we also stated we would update this averaging period for the final decision and stated, in a confidential appendix, the dates we would use for this updating. In this final decision, we have updated CitiPower's allowed return on debt based on this averaging period, which was all business days in February 2016. We can specify this averaging period now because it has expired. We have used this averaging period to true up the preliminary estimate of allowed revenue for regulatory year 2016 that we determined in the preliminary decision.</w:t>
      </w:r>
    </w:p>
    <w:p w:rsidR="002A5C40" w:rsidRPr="00E761F9" w:rsidRDefault="002A5C40" w:rsidP="002A5C40">
      <w:r w:rsidRPr="00E761F9">
        <w:t>In the Guideline, we proposed that service providers could nominate averaging periods of 10 or more consecutive business days up to a maximum of 12 months.</w:t>
      </w:r>
      <w:r w:rsidRPr="00E761F9">
        <w:rPr>
          <w:rStyle w:val="FootnoteReference"/>
        </w:rPr>
        <w:footnoteReference w:id="552"/>
      </w:r>
      <w:r w:rsidRPr="00E761F9">
        <w:t xml:space="preserve"> We also proposed that an averaging period should satisfy certain conditions. We developed these conditions so that the application of the averaging period contributes to the achievement of the </w:t>
      </w:r>
      <w:r w:rsidR="009C74CF">
        <w:t>ARORO</w:t>
      </w:r>
      <w:r w:rsidRPr="00E761F9">
        <w:t>.</w:t>
      </w:r>
      <w:r w:rsidRPr="00E761F9">
        <w:rPr>
          <w:rStyle w:val="FootnoteReference"/>
        </w:rPr>
        <w:footnoteReference w:id="553"/>
      </w:r>
    </w:p>
    <w:p w:rsidR="002A5C40" w:rsidRPr="00E761F9" w:rsidRDefault="002A5C40" w:rsidP="002A5C40">
      <w:r w:rsidRPr="00E761F9">
        <w:t xml:space="preserve">In assessing the service providers' proposed averaging periods, we applied the conditions we proposed in the Guideline, with one exception. The proposals from AusNet and some other service providers persuade us that one of the conditions we proposed is not necessary to achieve the </w:t>
      </w:r>
      <w:r w:rsidR="009C74CF">
        <w:t>ARORO</w:t>
      </w:r>
      <w:r w:rsidRPr="00E761F9">
        <w:t xml:space="preserve">. That condition was that averaging periods should be as close as practical to the commencement of each regulatory year. We remain of the view that the remaining Guideline conditions are important and necessary to promote the </w:t>
      </w:r>
      <w:r w:rsidR="009C74CF">
        <w:t>ARORO</w:t>
      </w:r>
      <w:r w:rsidRPr="00E761F9">
        <w:t xml:space="preserve">. Those conditions include that at the time the period is nominated all dates in the averaging period must take place in the future, and that all averaging periods should be specified prior to the commencement of the regulatory control </w:t>
      </w:r>
      <w:r w:rsidR="00CC4D73">
        <w:t xml:space="preserve">or access arrangement </w:t>
      </w:r>
      <w:r w:rsidRPr="00E761F9">
        <w:t>period. These conditions, respectively, help to ensure that the return on debt resulting from the averaging period is unbiased and the annual debt update can be practically and automatically applied (as required by the rules).</w:t>
      </w:r>
    </w:p>
    <w:p w:rsidR="002A5C40" w:rsidRPr="00E761F9" w:rsidRDefault="002A5C40" w:rsidP="002A5C40">
      <w:pPr>
        <w:numPr>
          <w:ilvl w:val="0"/>
          <w:numId w:val="24"/>
        </w:numPr>
      </w:pPr>
      <w:r w:rsidRPr="00E761F9">
        <w:fldChar w:fldCharType="begin"/>
      </w:r>
      <w:r w:rsidRPr="00E761F9">
        <w:instrText xml:space="preserve"> REF _Ref433327592 \h </w:instrText>
      </w:r>
      <w:r w:rsidRPr="00E761F9">
        <w:fldChar w:fldCharType="separate"/>
      </w:r>
      <w:r w:rsidR="00BA2E8E" w:rsidRPr="00E761F9">
        <w:t xml:space="preserve">Table </w:t>
      </w:r>
      <w:r w:rsidR="00BA2E8E">
        <w:rPr>
          <w:noProof/>
        </w:rPr>
        <w:t>3</w:t>
      </w:r>
      <w:r w:rsidR="00BA2E8E">
        <w:noBreakHyphen/>
      </w:r>
      <w:r w:rsidR="00BA2E8E">
        <w:rPr>
          <w:noProof/>
        </w:rPr>
        <w:t>19</w:t>
      </w:r>
      <w:r w:rsidRPr="00E761F9">
        <w:fldChar w:fldCharType="end"/>
      </w:r>
      <w:r w:rsidRPr="00E761F9">
        <w:t xml:space="preserve"> sets out why we consider an averaging period that meets the remaining conditions in the Guideline contributes to the achievement of the </w:t>
      </w:r>
      <w:r w:rsidR="009C74CF">
        <w:t>ARORO</w:t>
      </w:r>
      <w:r w:rsidRPr="00E761F9">
        <w:t>. It also summarises our assessment of CitiPower's proposed debt averaging periods, as in its revised proposal</w:t>
      </w:r>
      <w:r>
        <w:t>, against these conditions</w:t>
      </w:r>
      <w:r w:rsidRPr="00E761F9">
        <w:t xml:space="preserve">. </w:t>
      </w:r>
    </w:p>
    <w:p w:rsidR="002A5C40" w:rsidRPr="00E761F9" w:rsidRDefault="002A5C40" w:rsidP="002A5C40">
      <w:pPr>
        <w:pStyle w:val="Caption"/>
      </w:pPr>
      <w:bookmarkStart w:id="157" w:name="_Ref433327592"/>
      <w:r w:rsidRPr="00E761F9">
        <w:t xml:space="preserve">Table </w:t>
      </w:r>
      <w:fldSimple w:instr=" STYLEREF 1 \s ">
        <w:r w:rsidR="00BA2E8E">
          <w:rPr>
            <w:noProof/>
          </w:rPr>
          <w:t>3</w:t>
        </w:r>
      </w:fldSimple>
      <w:r w:rsidR="000F4BC3">
        <w:noBreakHyphen/>
      </w:r>
      <w:fldSimple w:instr=" SEQ Table \* ARABIC \s 1 ">
        <w:r w:rsidR="00BA2E8E">
          <w:rPr>
            <w:noProof/>
          </w:rPr>
          <w:t>19</w:t>
        </w:r>
      </w:fldSimple>
      <w:bookmarkEnd w:id="157"/>
      <w:r w:rsidRPr="00E761F9">
        <w:tab/>
        <w:t>Assessment of proposed averaging periods against Guideline</w:t>
      </w:r>
    </w:p>
    <w:tbl>
      <w:tblPr>
        <w:tblStyle w:val="AERtable-text0"/>
        <w:tblW w:w="0" w:type="auto"/>
        <w:tblLook w:val="04A0" w:firstRow="1" w:lastRow="0" w:firstColumn="1" w:lastColumn="0" w:noHBand="0" w:noVBand="1"/>
      </w:tblPr>
      <w:tblGrid>
        <w:gridCol w:w="2376"/>
        <w:gridCol w:w="4395"/>
        <w:gridCol w:w="1701"/>
      </w:tblGrid>
      <w:tr w:rsidR="002A5C40" w:rsidTr="000A799E">
        <w:trPr>
          <w:cnfStyle w:val="100000000000" w:firstRow="1" w:lastRow="0" w:firstColumn="0" w:lastColumn="0" w:oddVBand="0" w:evenVBand="0" w:oddHBand="0" w:evenHBand="0" w:firstRowFirstColumn="0" w:firstRowLastColumn="0" w:lastRowFirstColumn="0" w:lastRowLastColumn="0"/>
          <w:tblHeader/>
        </w:trPr>
        <w:tc>
          <w:tcPr>
            <w:tcW w:w="2376" w:type="dxa"/>
          </w:tcPr>
          <w:p w:rsidR="002A5C40" w:rsidRPr="002A5C40" w:rsidRDefault="002A5C40" w:rsidP="00EB795B">
            <w:r w:rsidRPr="00E761F9">
              <w:t>Condition</w:t>
            </w:r>
          </w:p>
        </w:tc>
        <w:tc>
          <w:tcPr>
            <w:tcW w:w="4395" w:type="dxa"/>
          </w:tcPr>
          <w:p w:rsidR="002A5C40" w:rsidRPr="002A5C40" w:rsidRDefault="002A5C40" w:rsidP="00EB795B">
            <w:r w:rsidRPr="00E761F9">
              <w:t>Reasons for condition</w:t>
            </w:r>
          </w:p>
        </w:tc>
        <w:tc>
          <w:tcPr>
            <w:tcW w:w="1701" w:type="dxa"/>
          </w:tcPr>
          <w:p w:rsidR="002A5C40" w:rsidRPr="002A5C40" w:rsidRDefault="002A5C40" w:rsidP="00EB795B">
            <w:r w:rsidRPr="00E761F9">
              <w:t>Condition met?</w:t>
            </w:r>
          </w:p>
        </w:tc>
      </w:tr>
      <w:tr w:rsidR="002A5C40" w:rsidTr="000A799E">
        <w:tc>
          <w:tcPr>
            <w:tcW w:w="2376" w:type="dxa"/>
          </w:tcPr>
          <w:p w:rsidR="002A5C40" w:rsidRPr="002A5C40" w:rsidRDefault="002A5C40" w:rsidP="00EB795B">
            <w:r w:rsidRPr="00E761F9">
              <w:t xml:space="preserve">Observed over a period of 10 or more consecutive business days up to a maximum of </w:t>
            </w:r>
            <w:r w:rsidRPr="002A5C40">
              <w:t>12 months</w:t>
            </w:r>
          </w:p>
        </w:tc>
        <w:tc>
          <w:tcPr>
            <w:tcW w:w="4395" w:type="dxa"/>
          </w:tcPr>
          <w:p w:rsidR="002A5C40" w:rsidRPr="002A5C40" w:rsidRDefault="002A5C40" w:rsidP="00EB795B">
            <w:r w:rsidRPr="00E761F9">
              <w:t>Averaging daily estimates over a number of days smooths out short term volatility in the annually updated return on debt allowance.</w:t>
            </w:r>
          </w:p>
        </w:tc>
        <w:tc>
          <w:tcPr>
            <w:tcW w:w="1701" w:type="dxa"/>
          </w:tcPr>
          <w:p w:rsidR="002A5C40" w:rsidRPr="002A5C40" w:rsidRDefault="002A5C40" w:rsidP="00EB795B">
            <w:r w:rsidRPr="00E761F9">
              <w:t>Yes</w:t>
            </w:r>
          </w:p>
        </w:tc>
      </w:tr>
      <w:tr w:rsidR="002A5C40" w:rsidTr="000A799E">
        <w:trPr>
          <w:cnfStyle w:val="000000010000" w:firstRow="0" w:lastRow="0" w:firstColumn="0" w:lastColumn="0" w:oddVBand="0" w:evenVBand="0" w:oddHBand="0" w:evenHBand="1" w:firstRowFirstColumn="0" w:firstRowLastColumn="0" w:lastRowFirstColumn="0" w:lastRowLastColumn="0"/>
        </w:trPr>
        <w:tc>
          <w:tcPr>
            <w:tcW w:w="2376" w:type="dxa"/>
          </w:tcPr>
          <w:p w:rsidR="002A5C40" w:rsidRPr="002A5C40" w:rsidRDefault="002A5C40" w:rsidP="00EB795B">
            <w:r w:rsidRPr="00E761F9">
              <w:t xml:space="preserve">It should be specified </w:t>
            </w:r>
            <w:r w:rsidRPr="002A5C40">
              <w:t>prior to the commencement of the regulatory control period.</w:t>
            </w:r>
          </w:p>
        </w:tc>
        <w:tc>
          <w:tcPr>
            <w:tcW w:w="4395" w:type="dxa"/>
          </w:tcPr>
          <w:p w:rsidR="002A5C40" w:rsidRPr="002A5C40" w:rsidRDefault="002A5C40" w:rsidP="00EB795B">
            <w:r w:rsidRPr="00E761F9">
              <w:t>This allows us to substantively assess the service provider's proposal. This avoids the practical difficulties with either (1) creating a new process for approving averaging period proposals or (2) assessing averaging period proposals during the annual pricing process, which is meant to be a compliance check that takes place over a short time frame.</w:t>
            </w:r>
          </w:p>
        </w:tc>
        <w:tc>
          <w:tcPr>
            <w:tcW w:w="1701" w:type="dxa"/>
          </w:tcPr>
          <w:p w:rsidR="002A5C40" w:rsidRPr="002A5C40" w:rsidRDefault="002A5C40" w:rsidP="00EB795B">
            <w:r w:rsidRPr="00E761F9">
              <w:t>Yes</w:t>
            </w:r>
          </w:p>
        </w:tc>
      </w:tr>
      <w:tr w:rsidR="002A5C40" w:rsidTr="000A799E">
        <w:tc>
          <w:tcPr>
            <w:tcW w:w="2376" w:type="dxa"/>
          </w:tcPr>
          <w:p w:rsidR="002A5C40" w:rsidRPr="002A5C40" w:rsidRDefault="002A5C40" w:rsidP="00EB795B">
            <w:r w:rsidRPr="00E761F9">
              <w:t>At the time it is nominated, all dates in the averaging period must take place in the future.</w:t>
            </w:r>
          </w:p>
        </w:tc>
        <w:tc>
          <w:tcPr>
            <w:tcW w:w="4395" w:type="dxa"/>
          </w:tcPr>
          <w:p w:rsidR="002A5C40" w:rsidRPr="002A5C40" w:rsidRDefault="002A5C40" w:rsidP="00EB795B">
            <w:r w:rsidRPr="00E761F9">
              <w:t>If a regulated service provider can select an averaging period by looking at historical yields, it may introduce an upward bias.</w:t>
            </w:r>
            <w:r w:rsidRPr="002A5C40">
              <w:rPr>
                <w:rStyle w:val="FootnoteReference"/>
              </w:rPr>
              <w:footnoteReference w:id="554"/>
            </w:r>
          </w:p>
        </w:tc>
        <w:tc>
          <w:tcPr>
            <w:tcW w:w="1701" w:type="dxa"/>
          </w:tcPr>
          <w:p w:rsidR="002A5C40" w:rsidRPr="002A5C40" w:rsidRDefault="002A5C40" w:rsidP="00EB795B">
            <w:r w:rsidRPr="00E761F9">
              <w:t>Yes</w:t>
            </w:r>
          </w:p>
        </w:tc>
      </w:tr>
      <w:tr w:rsidR="002A5C40" w:rsidTr="000A799E">
        <w:trPr>
          <w:cnfStyle w:val="000000010000" w:firstRow="0" w:lastRow="0" w:firstColumn="0" w:lastColumn="0" w:oddVBand="0" w:evenVBand="0" w:oddHBand="0" w:evenHBand="1" w:firstRowFirstColumn="0" w:firstRowLastColumn="0" w:lastRowFirstColumn="0" w:lastRowLastColumn="0"/>
        </w:trPr>
        <w:tc>
          <w:tcPr>
            <w:tcW w:w="2376" w:type="dxa"/>
          </w:tcPr>
          <w:p w:rsidR="002A5C40" w:rsidRPr="002A5C40" w:rsidRDefault="002A5C40" w:rsidP="00EB795B">
            <w:r w:rsidRPr="00E761F9">
              <w:t>An averaging period needs to be specified for each regulatory year within a regulatory control period.</w:t>
            </w:r>
          </w:p>
        </w:tc>
        <w:tc>
          <w:tcPr>
            <w:tcW w:w="4395" w:type="dxa"/>
          </w:tcPr>
          <w:p w:rsidR="002A5C40" w:rsidRPr="002A5C40" w:rsidRDefault="002A5C40" w:rsidP="00EB795B">
            <w:r w:rsidRPr="00E761F9">
              <w:t>This allows for the annual debt update. The annual debt update reduces the potential for a mismatch between the allowed and actual return on debt for the benchmark efficient entity.</w:t>
            </w:r>
          </w:p>
        </w:tc>
        <w:tc>
          <w:tcPr>
            <w:tcW w:w="1701" w:type="dxa"/>
          </w:tcPr>
          <w:p w:rsidR="002A5C40" w:rsidRPr="002A5C40" w:rsidRDefault="002A5C40" w:rsidP="00EB795B">
            <w:r w:rsidRPr="00E761F9">
              <w:t>Yes</w:t>
            </w:r>
          </w:p>
        </w:tc>
      </w:tr>
      <w:tr w:rsidR="002A5C40" w:rsidTr="000A799E">
        <w:tc>
          <w:tcPr>
            <w:tcW w:w="2376" w:type="dxa"/>
          </w:tcPr>
          <w:p w:rsidR="002A5C40" w:rsidRPr="002A5C40" w:rsidRDefault="002A5C40" w:rsidP="00EB795B">
            <w:r w:rsidRPr="00E761F9">
              <w:t>The proposed averaging periods for different regulatory years are not required to be identical but should not overlap.</w:t>
            </w:r>
          </w:p>
        </w:tc>
        <w:tc>
          <w:tcPr>
            <w:tcW w:w="4395" w:type="dxa"/>
          </w:tcPr>
          <w:p w:rsidR="002A5C40" w:rsidRPr="002A5C40" w:rsidRDefault="002A5C40" w:rsidP="00EB795B">
            <w:r w:rsidRPr="00E761F9">
              <w:t>This avoids double counting averaging periods. This would detract from our specification of the trailing average, which weights periods equally. Not requiring periods to be identical helps preserve confidentiality and provide service providers with a degree of flexibility.</w:t>
            </w:r>
          </w:p>
        </w:tc>
        <w:tc>
          <w:tcPr>
            <w:tcW w:w="1701" w:type="dxa"/>
          </w:tcPr>
          <w:p w:rsidR="002A5C40" w:rsidRPr="002A5C40" w:rsidRDefault="002A5C40" w:rsidP="00EB795B">
            <w:r w:rsidRPr="00E761F9">
              <w:t>Yes</w:t>
            </w:r>
          </w:p>
        </w:tc>
      </w:tr>
      <w:tr w:rsidR="002A5C40" w:rsidTr="000A799E">
        <w:trPr>
          <w:cnfStyle w:val="000000010000" w:firstRow="0" w:lastRow="0" w:firstColumn="0" w:lastColumn="0" w:oddVBand="0" w:evenVBand="0" w:oddHBand="0" w:evenHBand="1" w:firstRowFirstColumn="0" w:firstRowLastColumn="0" w:lastRowFirstColumn="0" w:lastRowLastColumn="0"/>
        </w:trPr>
        <w:tc>
          <w:tcPr>
            <w:tcW w:w="2376" w:type="dxa"/>
          </w:tcPr>
          <w:p w:rsidR="002A5C40" w:rsidRPr="002A5C40" w:rsidRDefault="002A5C40" w:rsidP="00EB795B">
            <w:r w:rsidRPr="00E761F9">
              <w:t>The nominal return on debt is to be updated annually using the agreed averaging period for the relevant regulatory year.</w:t>
            </w:r>
          </w:p>
        </w:tc>
        <w:tc>
          <w:tcPr>
            <w:tcW w:w="4395" w:type="dxa"/>
          </w:tcPr>
          <w:p w:rsidR="002A5C40" w:rsidRPr="002A5C40" w:rsidRDefault="002A5C40" w:rsidP="00EB795B">
            <w:r w:rsidRPr="00E761F9">
              <w:t>This prevents a service provider from introducing bias by only updating annually using the agreed averaging period when it is advantageous for it to do so.</w:t>
            </w:r>
          </w:p>
        </w:tc>
        <w:tc>
          <w:tcPr>
            <w:tcW w:w="1701" w:type="dxa"/>
          </w:tcPr>
          <w:p w:rsidR="002A5C40" w:rsidRPr="002A5C40" w:rsidRDefault="002A5C40" w:rsidP="00EB795B">
            <w:r w:rsidRPr="00E761F9">
              <w:t>Yes</w:t>
            </w:r>
          </w:p>
        </w:tc>
      </w:tr>
      <w:tr w:rsidR="002A5C40" w:rsidTr="000A799E">
        <w:tc>
          <w:tcPr>
            <w:tcW w:w="2376" w:type="dxa"/>
          </w:tcPr>
          <w:p w:rsidR="002A5C40" w:rsidRPr="002A5C40" w:rsidRDefault="002A5C40" w:rsidP="00EB795B">
            <w:r w:rsidRPr="00E761F9">
              <w:t>Each agreed averaging period is to be confidential.</w:t>
            </w:r>
          </w:p>
        </w:tc>
        <w:tc>
          <w:tcPr>
            <w:tcW w:w="4395" w:type="dxa"/>
          </w:tcPr>
          <w:p w:rsidR="002A5C40" w:rsidRPr="002A5C40" w:rsidRDefault="002A5C40" w:rsidP="00EB795B">
            <w:r w:rsidRPr="00E761F9">
              <w:t xml:space="preserve">This facilitates service providers organising their financing arrangements without market participants being aware of the </w:t>
            </w:r>
            <w:r w:rsidRPr="002A5C40">
              <w:t>averaging periods. Accordingly, in practice we keep averaging periods confidential until they expire.</w:t>
            </w:r>
          </w:p>
        </w:tc>
        <w:tc>
          <w:tcPr>
            <w:tcW w:w="1701" w:type="dxa"/>
          </w:tcPr>
          <w:p w:rsidR="002A5C40" w:rsidRPr="002A5C40" w:rsidRDefault="002A5C40" w:rsidP="00EB795B">
            <w:r w:rsidRPr="00E761F9">
              <w:t>Yes</w:t>
            </w:r>
          </w:p>
        </w:tc>
      </w:tr>
    </w:tbl>
    <w:p w:rsidR="002A5C40" w:rsidRPr="00E761F9" w:rsidRDefault="002A5C40" w:rsidP="002A5C40">
      <w:pPr>
        <w:pStyle w:val="AERtablesource"/>
      </w:pPr>
      <w:r w:rsidRPr="00E761F9">
        <w:t xml:space="preserve">Source: </w:t>
      </w:r>
      <w:r w:rsidRPr="00E761F9">
        <w:tab/>
        <w:t xml:space="preserve">AER, </w:t>
      </w:r>
      <w:r w:rsidRPr="00E761F9">
        <w:rPr>
          <w:rStyle w:val="AERtextitalic"/>
        </w:rPr>
        <w:t>Rate of return guideline</w:t>
      </w:r>
      <w:r w:rsidRPr="00E761F9">
        <w:t>, December 2013, pp. 21-22; CitiPower</w:t>
      </w:r>
      <w:r w:rsidRPr="00E761F9">
        <w:rPr>
          <w:rStyle w:val="AERtextitalic"/>
        </w:rPr>
        <w:t>, Revised regulatory proposal</w:t>
      </w:r>
      <w:r w:rsidRPr="00E761F9">
        <w:t xml:space="preserve">, January 2016, p. 349; CitiPower, </w:t>
      </w:r>
      <w:r w:rsidRPr="00E761F9">
        <w:rPr>
          <w:rStyle w:val="AERtextitalic"/>
        </w:rPr>
        <w:t>Confidential letter to AER Director</w:t>
      </w:r>
      <w:r w:rsidRPr="00E761F9">
        <w:t>, 29 April 2015; AER analysis.</w:t>
      </w:r>
    </w:p>
    <w:p w:rsidR="002A5C40" w:rsidRPr="00E761F9" w:rsidRDefault="002A5C40" w:rsidP="002A5C40">
      <w:r w:rsidRPr="00E761F9">
        <w:t>In assessing the service providers' (including CitiPower's) debt averaging period proposals, we have considered the timeframe within which each period should occur. In the Guideline, we proposed that service providers could nominate averaging periods of 10 or more consecutive business days up to a maximum of 12 months. However, the timing of the annual price/tariff variation process creates practical difficulties in implementing a 12 month averaging period that falls within a regulatory year. Therefore, we consider an averaging period for estimating the return on debt for regulatory year t should fall within the following timeframe:</w:t>
      </w:r>
      <w:r w:rsidRPr="00E761F9">
        <w:rPr>
          <w:rStyle w:val="FootnoteReference"/>
        </w:rPr>
        <w:footnoteReference w:id="555"/>
      </w:r>
    </w:p>
    <w:p w:rsidR="002A5C40" w:rsidRPr="00E761F9" w:rsidRDefault="002A5C40" w:rsidP="002A5C40">
      <w:pPr>
        <w:pStyle w:val="AERbulletlistfirststyle"/>
      </w:pPr>
      <w:r w:rsidRPr="00E761F9">
        <w:t>end no later than 25 business days before a service provider submits its annual pricing proposal or reference tariff variation proposal for year t to the AER</w:t>
      </w:r>
      <w:r w:rsidRPr="00E761F9">
        <w:rPr>
          <w:rStyle w:val="FootnoteReference"/>
        </w:rPr>
        <w:footnoteReference w:id="556"/>
      </w:r>
    </w:p>
    <w:p w:rsidR="002A5C40" w:rsidRPr="00E761F9" w:rsidRDefault="002A5C40" w:rsidP="002A5C40">
      <w:pPr>
        <w:pStyle w:val="AERbulletlistfirststyle"/>
      </w:pPr>
      <w:r w:rsidRPr="00E761F9">
        <w:t>commence no earlier than 12 months plus 25 business days before a service provider submits its annual pricing proposal or reference tariff variation proposal for year t to the AER.</w:t>
      </w:r>
    </w:p>
    <w:p w:rsidR="002A5C40" w:rsidRPr="00E761F9" w:rsidRDefault="000A799E" w:rsidP="002A5C40">
      <w:r>
        <w:t xml:space="preserve">We consider CitiPower's revised proposed averaging periods for 2017 to 2020 can be practically applied because they fall within this timeframe. </w:t>
      </w:r>
      <w:r w:rsidR="002A5C40" w:rsidRPr="00E761F9">
        <w:t xml:space="preserve">We discuss this in </w:t>
      </w:r>
      <w:r>
        <w:t xml:space="preserve">more </w:t>
      </w:r>
      <w:r w:rsidR="002A5C40" w:rsidRPr="00E761F9">
        <w:t>detail in the 'Annual debt update process' section.</w:t>
      </w:r>
    </w:p>
    <w:p w:rsidR="002A5C40" w:rsidRPr="00E761F9" w:rsidRDefault="002A5C40" w:rsidP="00F80179">
      <w:pPr>
        <w:pStyle w:val="HeadingItalic"/>
        <w:keepNext/>
      </w:pPr>
      <w:r w:rsidRPr="00E761F9">
        <w:t>Response to key issues raised by stakeholders</w:t>
      </w:r>
    </w:p>
    <w:p w:rsidR="002A5C40" w:rsidRPr="00E761F9" w:rsidRDefault="002A5C40" w:rsidP="00F80179">
      <w:pPr>
        <w:keepNext/>
      </w:pPr>
      <w:r w:rsidRPr="00E761F9">
        <w:t>In our current regulatory processes, different service providers have proposed different methods for setting debt averaging periods during the regulatory control or access arrangement period. Many service providers have proposed more complicated approaches to nominating debt averaging periods in order to achieve greater flexibility. This is common to other aspects of the return on debt, such as the choice of third party data series. For example:</w:t>
      </w:r>
    </w:p>
    <w:p w:rsidR="002A5C40" w:rsidRPr="00E761F9" w:rsidRDefault="002A5C40" w:rsidP="002A5C40">
      <w:pPr>
        <w:pStyle w:val="AERbulletlistfirststyle"/>
      </w:pPr>
      <w:r w:rsidRPr="00E761F9">
        <w:t>Some service providers proposed to depart from the Guideline in relation to nominating all averaging periods before the start of the</w:t>
      </w:r>
      <w:r>
        <w:t xml:space="preserve"> regulatory control or</w:t>
      </w:r>
      <w:r w:rsidRPr="00E761F9">
        <w:t xml:space="preserve"> access arrangement period. Instead, these service providers proposed to nominate their averaging periods in a separate process each year. Within this, the service providers proposed different annual processes to nominate their averaging periods each year.</w:t>
      </w:r>
    </w:p>
    <w:p w:rsidR="002A5C40" w:rsidRPr="00E761F9" w:rsidRDefault="002A5C40" w:rsidP="002A5C40">
      <w:pPr>
        <w:pStyle w:val="AERbulletlistfirststyle"/>
      </w:pPr>
      <w:r w:rsidRPr="00E761F9">
        <w:t xml:space="preserve">AGN proposed separate averaging periods for the base rate and DRP components of the return on debt. </w:t>
      </w:r>
    </w:p>
    <w:p w:rsidR="002A5C40" w:rsidRPr="00E761F9" w:rsidRDefault="002A5C40" w:rsidP="002A5C40">
      <w:pPr>
        <w:pStyle w:val="AERbulletlistfirststyle"/>
      </w:pPr>
      <w:r w:rsidRPr="00E761F9">
        <w:t>AusNet nominated all averaging periods in its proposal, but departed from the Guideline in relation to nominating averaging periods that are as close as practically possible to the commencement of each regulatory year in its regulatory control period. Other service providers have implicitly departed from this Guideline condition by proposing a timeframe within which they can select an averaging period each year.</w:t>
      </w:r>
    </w:p>
    <w:p w:rsidR="002A5C40" w:rsidRPr="00E761F9" w:rsidRDefault="00F366FC" w:rsidP="002A5C40">
      <w:r>
        <w:fldChar w:fldCharType="begin"/>
      </w:r>
      <w:r>
        <w:instrText xml:space="preserve"> REF _Ref451241863 \h </w:instrText>
      </w:r>
      <w:r>
        <w:fldChar w:fldCharType="separate"/>
      </w:r>
      <w:r w:rsidR="00BA2E8E">
        <w:t xml:space="preserve">Table </w:t>
      </w:r>
      <w:r w:rsidR="00BA2E8E">
        <w:rPr>
          <w:noProof/>
        </w:rPr>
        <w:t>3</w:t>
      </w:r>
      <w:r w:rsidR="00BA2E8E">
        <w:noBreakHyphen/>
      </w:r>
      <w:r w:rsidR="00BA2E8E">
        <w:rPr>
          <w:noProof/>
        </w:rPr>
        <w:t>20</w:t>
      </w:r>
      <w:r>
        <w:fldChar w:fldCharType="end"/>
      </w:r>
      <w:r w:rsidR="002A5C40" w:rsidRPr="00E761F9">
        <w:t xml:space="preserve"> summarises the different approaches to the nomination of debt averaging periods proposed by different service providers. </w:t>
      </w:r>
    </w:p>
    <w:p w:rsidR="00F366FC" w:rsidRDefault="00F366FC" w:rsidP="00F366FC">
      <w:pPr>
        <w:pStyle w:val="Caption"/>
      </w:pPr>
      <w:bookmarkStart w:id="158" w:name="_Ref451241863"/>
      <w:r>
        <w:t xml:space="preserve">Table </w:t>
      </w:r>
      <w:fldSimple w:instr=" STYLEREF 1 \s ">
        <w:r w:rsidR="00BA2E8E">
          <w:rPr>
            <w:noProof/>
          </w:rPr>
          <w:t>3</w:t>
        </w:r>
      </w:fldSimple>
      <w:r w:rsidR="000F4BC3">
        <w:noBreakHyphen/>
      </w:r>
      <w:fldSimple w:instr=" SEQ Table \* ARABIC \s 1 ">
        <w:r w:rsidR="00BA2E8E">
          <w:rPr>
            <w:noProof/>
          </w:rPr>
          <w:t>20</w:t>
        </w:r>
      </w:fldSimple>
      <w:bookmarkEnd w:id="158"/>
      <w:r>
        <w:tab/>
      </w:r>
      <w:r w:rsidRPr="00E761F9">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2A5C40" w:rsidTr="002A5C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Service Provider</w:t>
            </w:r>
          </w:p>
        </w:tc>
        <w:tc>
          <w:tcPr>
            <w:tcW w:w="1449" w:type="dxa"/>
          </w:tcPr>
          <w:p w:rsidR="002A5C40" w:rsidRPr="002A5C40" w:rsidRDefault="002A5C40" w:rsidP="002A5C40">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 proposal</w:t>
            </w:r>
          </w:p>
        </w:tc>
        <w:tc>
          <w:tcPr>
            <w:tcW w:w="1449" w:type="dxa"/>
          </w:tcPr>
          <w:p w:rsidR="002A5C40" w:rsidRPr="002A5C40" w:rsidRDefault="002A5C40" w:rsidP="002A5C40">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2A5C40" w:rsidRPr="002A5C40" w:rsidRDefault="002A5C40" w:rsidP="002A5C40">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2A5C40" w:rsidRPr="002A5C40" w:rsidRDefault="002A5C40" w:rsidP="002A5C40">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w:t>
            </w:r>
            <w:r w:rsidRPr="002A5C40">
              <w:t xml:space="preserve"> rate</w:t>
            </w:r>
          </w:p>
        </w:tc>
        <w:tc>
          <w:tcPr>
            <w:tcW w:w="1449" w:type="dxa"/>
          </w:tcPr>
          <w:p w:rsidR="002A5C40" w:rsidRPr="002A5C40" w:rsidRDefault="002A5C40" w:rsidP="002A5C40">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2A5C40" w:rsidTr="002A5C40">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AusNet Services</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r>
      <w:tr w:rsidR="002A5C40" w:rsidTr="002A5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United Energy</w:t>
            </w:r>
          </w:p>
        </w:tc>
        <w:tc>
          <w:tcPr>
            <w:tcW w:w="1449" w:type="dxa"/>
          </w:tcPr>
          <w:p w:rsidR="002A5C40" w:rsidRPr="002A5C40" w:rsidRDefault="002A5C40" w:rsidP="002A5C40">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r>
      <w:tr w:rsidR="002A5C40" w:rsidTr="002A5C40">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JEN</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r>
      <w:tr w:rsidR="002A5C40" w:rsidTr="002A5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CitiPower / Powercor</w:t>
            </w:r>
          </w:p>
        </w:tc>
        <w:tc>
          <w:tcPr>
            <w:tcW w:w="1449" w:type="dxa"/>
          </w:tcPr>
          <w:p w:rsidR="002A5C40" w:rsidRPr="002A5C40" w:rsidRDefault="002A5C40" w:rsidP="002A5C40">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r>
      <w:tr w:rsidR="002A5C40" w:rsidTr="002A5C40">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ActewAGL</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X</w:t>
            </w:r>
          </w:p>
        </w:tc>
      </w:tr>
      <w:tr w:rsidR="002A5C40" w:rsidTr="002A5C4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AGN</w:t>
            </w:r>
          </w:p>
        </w:tc>
        <w:tc>
          <w:tcPr>
            <w:tcW w:w="1449" w:type="dxa"/>
          </w:tcPr>
          <w:p w:rsidR="002A5C40" w:rsidRPr="002A5C40" w:rsidRDefault="002A5C40" w:rsidP="002A5C40">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c>
          <w:tcPr>
            <w:tcW w:w="1449" w:type="dxa"/>
          </w:tcPr>
          <w:p w:rsidR="002A5C40" w:rsidRPr="002A5C40" w:rsidRDefault="002A5C40" w:rsidP="002A5C40">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2A5C40" w:rsidRPr="00E761F9" w:rsidRDefault="002A5C40" w:rsidP="002A5C40">
            <w:pPr>
              <w:cnfStyle w:val="000000010000" w:firstRow="0" w:lastRow="0" w:firstColumn="0" w:lastColumn="0" w:oddVBand="0" w:evenVBand="0" w:oddHBand="0" w:evenHBand="1" w:firstRowFirstColumn="0" w:firstRowLastColumn="0" w:lastRowFirstColumn="0" w:lastRowLastColumn="0"/>
            </w:pPr>
          </w:p>
        </w:tc>
      </w:tr>
      <w:tr w:rsidR="002A5C40" w:rsidTr="002A5C40">
        <w:tc>
          <w:tcPr>
            <w:cnfStyle w:val="001000000000" w:firstRow="0" w:lastRow="0" w:firstColumn="1" w:lastColumn="0" w:oddVBand="0" w:evenVBand="0" w:oddHBand="0" w:evenHBand="0" w:firstRowFirstColumn="0" w:firstRowLastColumn="0" w:lastRowFirstColumn="0" w:lastRowLastColumn="0"/>
            <w:tcW w:w="1448" w:type="dxa"/>
          </w:tcPr>
          <w:p w:rsidR="002A5C40" w:rsidRPr="002A5C40" w:rsidRDefault="002A5C40" w:rsidP="002A5C40">
            <w:r w:rsidRPr="00E761F9">
              <w:t>Amadeus</w:t>
            </w:r>
          </w:p>
        </w:tc>
        <w:tc>
          <w:tcPr>
            <w:tcW w:w="1449" w:type="dxa"/>
          </w:tcPr>
          <w:p w:rsidR="002A5C40" w:rsidRPr="002A5C40" w:rsidRDefault="002A5C40" w:rsidP="002A5C40">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c>
          <w:tcPr>
            <w:tcW w:w="1449" w:type="dxa"/>
          </w:tcPr>
          <w:p w:rsidR="002A5C40" w:rsidRPr="00E761F9" w:rsidRDefault="002A5C40" w:rsidP="002A5C40">
            <w:pPr>
              <w:cnfStyle w:val="000000000000" w:firstRow="0" w:lastRow="0" w:firstColumn="0" w:lastColumn="0" w:oddVBand="0" w:evenVBand="0" w:oddHBand="0" w:evenHBand="0" w:firstRowFirstColumn="0" w:firstRowLastColumn="0" w:lastRowFirstColumn="0" w:lastRowLastColumn="0"/>
            </w:pPr>
          </w:p>
        </w:tc>
      </w:tr>
    </w:tbl>
    <w:p w:rsidR="002A5C40" w:rsidRPr="00E761F9" w:rsidRDefault="002A5C40" w:rsidP="002A5C40">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xml:space="preserve">, 6 January 2016; </w:t>
      </w:r>
      <w:r>
        <w:t xml:space="preserve">United Energy, </w:t>
      </w:r>
      <w:r w:rsidRPr="004D1E24">
        <w:rPr>
          <w:rStyle w:val="AERtextitalic"/>
        </w:rPr>
        <w:t>R</w:t>
      </w:r>
      <w:r>
        <w:rPr>
          <w:rStyle w:val="AERtextitalic"/>
        </w:rPr>
        <w:t>evised r</w:t>
      </w:r>
      <w:r w:rsidRPr="004D1E24">
        <w:rPr>
          <w:rStyle w:val="AERtextitalic"/>
        </w:rPr>
        <w:t>egulatory proposal</w:t>
      </w:r>
      <w:r>
        <w:t xml:space="preserve">, 6 January 2016, p. 75;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2A5C40" w:rsidRPr="00E761F9" w:rsidRDefault="002A5C40" w:rsidP="002A5C40">
      <w:r w:rsidRPr="00E761F9">
        <w:t>We remain of view expressed in the preliminary determination</w:t>
      </w:r>
      <w:r>
        <w:t>,</w:t>
      </w:r>
      <w:r w:rsidRPr="00E761F9">
        <w:t xml:space="preserve"> that the range in the service providers' averaging period proposals suggests there is no single 'best' approach that is universally accepted. Our task is to determine a return on debt that is commensurate with the efficient financing costs of a benchmark efficient entity. Our task is not to provide a return that precisely matches each service provider's preferred financing strategies. Nevertheless, our approach provides a significant degree of flexibility for service providers to nominate an approach which allows them to organise their finances. </w:t>
      </w:r>
    </w:p>
    <w:p w:rsidR="002A5C40" w:rsidRPr="00E761F9" w:rsidRDefault="002A5C40" w:rsidP="002A5C40">
      <w:r w:rsidRPr="00E761F9">
        <w:t xml:space="preserve">In this context, we take an approach to the nomination of debt averaging periods that is consistent across service providers in line with our task of setting a benchmark return. We consider that applying a consistent approach is more transparent and predictable, which benefits stakeholders. It also reduces the complexity and administrative costs associated with implementation. Our decision is that the service providers' averaging periods: </w:t>
      </w:r>
    </w:p>
    <w:p w:rsidR="002A5C40" w:rsidRPr="00E761F9" w:rsidRDefault="002A5C40" w:rsidP="002A5C40">
      <w:pPr>
        <w:pStyle w:val="AERbulletlistfirststyle"/>
      </w:pPr>
      <w:r w:rsidRPr="00E761F9">
        <w:t xml:space="preserve">should be nominated before the regulatory </w:t>
      </w:r>
      <w:r>
        <w:t xml:space="preserve">control or access arrangement </w:t>
      </w:r>
      <w:r w:rsidRPr="00E761F9">
        <w:t>period commences</w:t>
      </w:r>
    </w:p>
    <w:p w:rsidR="002A5C40" w:rsidRPr="00E761F9" w:rsidRDefault="002A5C40" w:rsidP="002A5C40">
      <w:pPr>
        <w:pStyle w:val="AERbulletlistfirststyle"/>
      </w:pPr>
      <w:r w:rsidRPr="00E761F9">
        <w:t>should not be separated into DRP and base rate averaging periods</w:t>
      </w:r>
    </w:p>
    <w:p w:rsidR="002A5C40" w:rsidRPr="00E761F9" w:rsidRDefault="002A5C40" w:rsidP="002A5C40">
      <w:pPr>
        <w:pStyle w:val="AERbulletlistfirststyle"/>
      </w:pPr>
      <w:r w:rsidRPr="00E761F9">
        <w:t>are not required to be as close as practically possible to the start of the each regulatory year, but should fall within a particular timeframe.</w:t>
      </w:r>
    </w:p>
    <w:p w:rsidR="002A5C40" w:rsidRPr="00E761F9" w:rsidRDefault="002A5C40" w:rsidP="002A5C40">
      <w:r w:rsidRPr="00E761F9">
        <w:t xml:space="preserve">Each of these matters is discussed in more detail in section </w:t>
      </w:r>
      <w:r w:rsidR="000A799E">
        <w:fldChar w:fldCharType="begin"/>
      </w:r>
      <w:r w:rsidR="000A799E">
        <w:instrText xml:space="preserve"> REF _Ref451241591 \r \h </w:instrText>
      </w:r>
      <w:r w:rsidR="000A799E">
        <w:fldChar w:fldCharType="separate"/>
      </w:r>
      <w:r w:rsidR="00BA2E8E">
        <w:t>I.4</w:t>
      </w:r>
      <w:r w:rsidR="000A799E">
        <w:fldChar w:fldCharType="end"/>
      </w:r>
      <w:r w:rsidR="00DD2E09">
        <w:t xml:space="preserve"> of A</w:t>
      </w:r>
      <w:r w:rsidRPr="00E761F9">
        <w:t>ppendix</w:t>
      </w:r>
      <w:r w:rsidR="00DD2E09">
        <w:t xml:space="preserve"> </w:t>
      </w:r>
      <w:r w:rsidR="00DD2E09">
        <w:fldChar w:fldCharType="begin"/>
      </w:r>
      <w:r w:rsidR="00DD2E09">
        <w:instrText xml:space="preserve"> REF _Ref451266050 \r \h </w:instrText>
      </w:r>
      <w:r w:rsidR="00DD2E09">
        <w:fldChar w:fldCharType="separate"/>
      </w:r>
      <w:r w:rsidR="00BA2E8E">
        <w:t>I</w:t>
      </w:r>
      <w:r w:rsidR="00DD2E09">
        <w:fldChar w:fldCharType="end"/>
      </w:r>
      <w:r w:rsidRPr="00E761F9">
        <w:t>.</w:t>
      </w:r>
    </w:p>
    <w:p w:rsidR="002A5C40" w:rsidRDefault="002A5C40" w:rsidP="00F366FC">
      <w:r w:rsidRPr="00E761F9">
        <w:t xml:space="preserve">We have also received submissions from other stakeholders. For example, the CCP does not support the service providers' proposals to nominate an averaging period for each regulatory year just prior to that regulatory year, rather than at the start of the whole regulatory </w:t>
      </w:r>
      <w:r>
        <w:t xml:space="preserve">control or access arrangement </w:t>
      </w:r>
      <w:r w:rsidRPr="00E761F9">
        <w:t>period. It considers that this increases the complexity and opportunities for regulatory gaming.</w:t>
      </w:r>
      <w:r w:rsidRPr="00E761F9">
        <w:rPr>
          <w:rStyle w:val="FootnoteReference"/>
        </w:rPr>
        <w:footnoteReference w:id="557"/>
      </w:r>
    </w:p>
    <w:p w:rsidR="00A81F8C" w:rsidRPr="00A81F8C" w:rsidRDefault="00A81F8C" w:rsidP="00A81F8C">
      <w:r w:rsidRPr="00A81F8C">
        <w:t>We note the Tribunal, in its recent decision for Jemena Gas Networks, upheld our approach to determining debt averaging periods. It stated:</w:t>
      </w:r>
      <w:r w:rsidRPr="00A81F8C">
        <w:rPr>
          <w:rStyle w:val="FootnoteReference"/>
        </w:rPr>
        <w:footnoteReference w:id="558"/>
      </w:r>
    </w:p>
    <w:p w:rsidR="00A81F8C" w:rsidRPr="00A81F8C" w:rsidRDefault="00A81F8C" w:rsidP="00A81F8C">
      <w:pPr>
        <w:pStyle w:val="AERquote"/>
      </w:pPr>
      <w:r w:rsidRPr="00A81F8C">
        <w:t>The Tribunal is not satisfied that JGN’s contention in this regard demonstrates that any ground of review is made out. It is the Tribunal’s view that the AER’s approach accorded with r 87(12) of the NGR requiring the annual return on debt to be determined through the automatic application of a formula specified in the Final Decision. It is an approach which accords a balance between flexibility and certainty in a sensible way, and so in a way that would promote efficient investment decisions including those responsible for managing risk in the arrangement of financial arrangements. The relevant service providers have the flexibility of nominating the length of their averaging periods. It is a process which it not overly complex.</w:t>
      </w:r>
    </w:p>
    <w:p w:rsidR="002A5C40" w:rsidRPr="00E761F9" w:rsidRDefault="002A5C40" w:rsidP="002A5C40">
      <w:pPr>
        <w:pStyle w:val="HeadingBoldItalic"/>
      </w:pPr>
      <w:r w:rsidRPr="00E761F9">
        <w:t xml:space="preserve">Annual debt update process </w:t>
      </w:r>
    </w:p>
    <w:p w:rsidR="002A5C40" w:rsidRPr="00E761F9" w:rsidRDefault="002A5C40" w:rsidP="002A5C40">
      <w:pPr>
        <w:pStyle w:val="ListParagraph"/>
        <w:numPr>
          <w:ilvl w:val="0"/>
          <w:numId w:val="24"/>
        </w:numPr>
      </w:pPr>
      <w:r w:rsidRPr="00E761F9">
        <w:t>Our decision is that an averaging period should occur within a timeframe of 10 business days to 12 months. This is consistent with the position we proposed in the Guideline.</w:t>
      </w:r>
      <w:r w:rsidRPr="00E761F9">
        <w:rPr>
          <w:rStyle w:val="FootnoteReference"/>
        </w:rPr>
        <w:footnoteReference w:id="559"/>
      </w:r>
      <w:r w:rsidRPr="00E761F9">
        <w:t xml:space="preserve"> We have considered how the process to annually update the return on debt would align with the publication of distribution prices.</w:t>
      </w:r>
      <w:r w:rsidRPr="00E761F9">
        <w:rPr>
          <w:rStyle w:val="FootnoteReference"/>
        </w:rPr>
        <w:footnoteReference w:id="560"/>
      </w:r>
      <w:r w:rsidRPr="00E761F9">
        <w:t xml:space="preserve"> The timing of publishing distribution prices affects how late an averaging period can end and still be implemented in practice.</w:t>
      </w:r>
    </w:p>
    <w:p w:rsidR="002A5C40" w:rsidRPr="00E761F9" w:rsidRDefault="002A5C40" w:rsidP="002A5C40">
      <w:pPr>
        <w:numPr>
          <w:ilvl w:val="0"/>
          <w:numId w:val="24"/>
        </w:numPr>
      </w:pPr>
      <w:r w:rsidRPr="00E761F9">
        <w:fldChar w:fldCharType="begin"/>
      </w:r>
      <w:r w:rsidRPr="00E761F9">
        <w:instrText xml:space="preserve"> REF _Ref408928517 \h </w:instrText>
      </w:r>
      <w:r w:rsidRPr="00E761F9">
        <w:fldChar w:fldCharType="separate"/>
      </w:r>
      <w:r w:rsidR="00BA2E8E" w:rsidRPr="00E761F9">
        <w:t xml:space="preserve">Table </w:t>
      </w:r>
      <w:r w:rsidR="00BA2E8E">
        <w:rPr>
          <w:noProof/>
        </w:rPr>
        <w:t>3</w:t>
      </w:r>
      <w:r w:rsidR="00BA2E8E">
        <w:noBreakHyphen/>
      </w:r>
      <w:r w:rsidR="00BA2E8E">
        <w:rPr>
          <w:noProof/>
        </w:rPr>
        <w:t>21</w:t>
      </w:r>
      <w:r w:rsidRPr="00E761F9">
        <w:fldChar w:fldCharType="end"/>
      </w:r>
      <w:r w:rsidRPr="00E761F9">
        <w:t xml:space="preserve"> outlines the general process we propose to adopt for the annual debt update for distribution network service providers (distributors). Our assessment of the proposed averaging periods for distributors with current regulatory proposals or revised proposals has taken this process into account. We also propose to adopt this process for assessing the proposed averaging periods of other distributors in the future. </w:t>
      </w:r>
    </w:p>
    <w:p w:rsidR="002A5C40" w:rsidRPr="00E761F9" w:rsidRDefault="002A5C40" w:rsidP="002A5C40">
      <w:pPr>
        <w:pStyle w:val="Caption"/>
      </w:pPr>
      <w:bookmarkStart w:id="159" w:name="_Ref408928517"/>
      <w:r w:rsidRPr="00E761F9">
        <w:t xml:space="preserve">Table </w:t>
      </w:r>
      <w:fldSimple w:instr=" STYLEREF 1 \s ">
        <w:r w:rsidR="00BA2E8E">
          <w:rPr>
            <w:noProof/>
          </w:rPr>
          <w:t>3</w:t>
        </w:r>
      </w:fldSimple>
      <w:r w:rsidR="000F4BC3">
        <w:noBreakHyphen/>
      </w:r>
      <w:fldSimple w:instr=" SEQ Table \* ARABIC \s 1 ">
        <w:r w:rsidR="00BA2E8E">
          <w:rPr>
            <w:noProof/>
          </w:rPr>
          <w:t>21</w:t>
        </w:r>
      </w:fldSimple>
      <w:bookmarkEnd w:id="159"/>
      <w:r w:rsidRPr="00E761F9">
        <w:tab/>
        <w:t>Annual distribution debt update process</w:t>
      </w:r>
    </w:p>
    <w:tbl>
      <w:tblPr>
        <w:tblStyle w:val="AERtable-text0"/>
        <w:tblW w:w="0" w:type="auto"/>
        <w:tblLook w:val="04A0" w:firstRow="1" w:lastRow="0" w:firstColumn="1" w:lastColumn="0" w:noHBand="0" w:noVBand="1"/>
      </w:tblPr>
      <w:tblGrid>
        <w:gridCol w:w="650"/>
        <w:gridCol w:w="2152"/>
        <w:gridCol w:w="2693"/>
        <w:gridCol w:w="3198"/>
      </w:tblGrid>
      <w:tr w:rsidR="002A5C40" w:rsidRPr="00827C64" w:rsidTr="002A5C40">
        <w:trPr>
          <w:cnfStyle w:val="100000000000" w:firstRow="1" w:lastRow="0" w:firstColumn="0" w:lastColumn="0" w:oddVBand="0" w:evenVBand="0" w:oddHBand="0" w:evenHBand="0" w:firstRowFirstColumn="0" w:firstRowLastColumn="0" w:lastRowFirstColumn="0" w:lastRowLastColumn="0"/>
          <w:tblHeader/>
        </w:trPr>
        <w:tc>
          <w:tcPr>
            <w:tcW w:w="650" w:type="dxa"/>
          </w:tcPr>
          <w:p w:rsidR="002A5C40" w:rsidRPr="002A5C40" w:rsidRDefault="002A5C40" w:rsidP="00EB795B">
            <w:r w:rsidRPr="00E761F9">
              <w:t>Step</w:t>
            </w:r>
          </w:p>
        </w:tc>
        <w:tc>
          <w:tcPr>
            <w:tcW w:w="2152" w:type="dxa"/>
          </w:tcPr>
          <w:p w:rsidR="002A5C40" w:rsidRPr="002A5C40" w:rsidRDefault="002A5C40" w:rsidP="00EB795B">
            <w:r w:rsidRPr="00E761F9">
              <w:t>Timing</w:t>
            </w:r>
          </w:p>
        </w:tc>
        <w:tc>
          <w:tcPr>
            <w:tcW w:w="2693" w:type="dxa"/>
          </w:tcPr>
          <w:p w:rsidR="002A5C40" w:rsidRPr="002A5C40" w:rsidRDefault="002A5C40" w:rsidP="00EB795B">
            <w:r w:rsidRPr="00E761F9">
              <w:t>Description of step</w:t>
            </w:r>
          </w:p>
        </w:tc>
        <w:tc>
          <w:tcPr>
            <w:tcW w:w="3198" w:type="dxa"/>
          </w:tcPr>
          <w:p w:rsidR="002A5C40" w:rsidRPr="002A5C40" w:rsidRDefault="002A5C40" w:rsidP="00EB795B">
            <w:r w:rsidRPr="00E761F9">
              <w:t>Reasons for timing</w:t>
            </w:r>
          </w:p>
        </w:tc>
      </w:tr>
      <w:tr w:rsidR="002A5C40" w:rsidRPr="00827C64" w:rsidTr="002A5C40">
        <w:tc>
          <w:tcPr>
            <w:tcW w:w="650" w:type="dxa"/>
          </w:tcPr>
          <w:p w:rsidR="002A5C40" w:rsidRPr="002A5C40" w:rsidRDefault="002A5C40" w:rsidP="00EB795B">
            <w:r w:rsidRPr="00E761F9">
              <w:t>1</w:t>
            </w:r>
          </w:p>
        </w:tc>
        <w:tc>
          <w:tcPr>
            <w:tcW w:w="2152" w:type="dxa"/>
          </w:tcPr>
          <w:p w:rsidR="002A5C40" w:rsidRPr="002A5C40" w:rsidRDefault="002A5C40" w:rsidP="00EB795B">
            <w:r w:rsidRPr="00E761F9">
              <w:t>25 business days before a distributor submits its pricing proposal to us.</w:t>
            </w:r>
          </w:p>
        </w:tc>
        <w:tc>
          <w:tcPr>
            <w:tcW w:w="2693" w:type="dxa"/>
          </w:tcPr>
          <w:p w:rsidR="002A5C40" w:rsidRPr="002A5C40" w:rsidRDefault="002A5C40" w:rsidP="00EB795B">
            <w:r w:rsidRPr="00E761F9">
              <w:t>Averaging period ends on or before this date.</w:t>
            </w:r>
          </w:p>
        </w:tc>
        <w:tc>
          <w:tcPr>
            <w:tcW w:w="3198" w:type="dxa"/>
          </w:tcPr>
          <w:p w:rsidR="002A5C40" w:rsidRPr="002A5C40" w:rsidRDefault="002A5C40" w:rsidP="00EB795B">
            <w:r w:rsidRPr="00E761F9">
              <w:t>We determine the maximum practical end date of the averaging period from the timing of steps 2 and 3.</w:t>
            </w:r>
          </w:p>
        </w:tc>
      </w:tr>
      <w:tr w:rsidR="002A5C40" w:rsidRPr="00827C64" w:rsidTr="002A5C40">
        <w:trPr>
          <w:cnfStyle w:val="000000010000" w:firstRow="0" w:lastRow="0" w:firstColumn="0" w:lastColumn="0" w:oddVBand="0" w:evenVBand="0" w:oddHBand="0" w:evenHBand="1" w:firstRowFirstColumn="0" w:firstRowLastColumn="0" w:lastRowFirstColumn="0" w:lastRowLastColumn="0"/>
        </w:trPr>
        <w:tc>
          <w:tcPr>
            <w:tcW w:w="650" w:type="dxa"/>
          </w:tcPr>
          <w:p w:rsidR="002A5C40" w:rsidRPr="002A5C40" w:rsidRDefault="002A5C40" w:rsidP="00EB795B">
            <w:r w:rsidRPr="00E761F9">
              <w:t>2</w:t>
            </w:r>
          </w:p>
        </w:tc>
        <w:tc>
          <w:tcPr>
            <w:tcW w:w="2152" w:type="dxa"/>
          </w:tcPr>
          <w:p w:rsidR="002A5C40" w:rsidRPr="002A5C40" w:rsidRDefault="002A5C40" w:rsidP="00EB795B">
            <w:r w:rsidRPr="00E761F9">
              <w:t xml:space="preserve">10 business days before a </w:t>
            </w:r>
            <w:r w:rsidRPr="002A5C40">
              <w:t>distributor submits its pricing proposal to us.</w:t>
            </w:r>
          </w:p>
        </w:tc>
        <w:tc>
          <w:tcPr>
            <w:tcW w:w="2693" w:type="dxa"/>
          </w:tcPr>
          <w:p w:rsidR="002A5C40" w:rsidRPr="002A5C40" w:rsidRDefault="002A5C40" w:rsidP="00EB795B">
            <w:r w:rsidRPr="00E761F9">
              <w:t>So the distributor can factor this into its annual pricing proposal, we inform it of updates on the return on debt, annual building block revenue requirement and X factor that incorporates the updated return on debt.</w:t>
            </w:r>
          </w:p>
        </w:tc>
        <w:tc>
          <w:tcPr>
            <w:tcW w:w="3198" w:type="dxa"/>
          </w:tcPr>
          <w:p w:rsidR="002A5C40" w:rsidRPr="002A5C40" w:rsidRDefault="002A5C40" w:rsidP="00EB795B">
            <w:r w:rsidRPr="00E761F9">
              <w:t>15 business days between steps 1 and 2 provides sufficient time for us to calculate (and provide quality assurance checks on the updated return on debt, revenue and X factor.</w:t>
            </w:r>
          </w:p>
        </w:tc>
      </w:tr>
      <w:tr w:rsidR="002A5C40" w:rsidRPr="00827C64" w:rsidTr="002A5C40">
        <w:tc>
          <w:tcPr>
            <w:tcW w:w="650" w:type="dxa"/>
          </w:tcPr>
          <w:p w:rsidR="002A5C40" w:rsidRPr="002A5C40" w:rsidRDefault="002A5C40" w:rsidP="00EB795B">
            <w:r w:rsidRPr="00E761F9">
              <w:t>3</w:t>
            </w:r>
          </w:p>
        </w:tc>
        <w:tc>
          <w:tcPr>
            <w:tcW w:w="2152" w:type="dxa"/>
          </w:tcPr>
          <w:p w:rsidR="002A5C40" w:rsidRPr="002A5C40" w:rsidRDefault="002A5C40" w:rsidP="00EB795B">
            <w:r w:rsidRPr="00E761F9">
              <w:t>A distributor submits its pricing proposal to us on the date determined by the rules.</w:t>
            </w:r>
          </w:p>
        </w:tc>
        <w:tc>
          <w:tcPr>
            <w:tcW w:w="2693" w:type="dxa"/>
          </w:tcPr>
          <w:p w:rsidR="002A5C40" w:rsidRPr="002A5C40" w:rsidRDefault="002A5C40" w:rsidP="00EB795B">
            <w:r w:rsidRPr="00E761F9">
              <w:t>The distributor submits its pricing proposal to us for the relevant year.</w:t>
            </w:r>
          </w:p>
        </w:tc>
        <w:tc>
          <w:tcPr>
            <w:tcW w:w="3198" w:type="dxa"/>
          </w:tcPr>
          <w:p w:rsidR="002A5C40" w:rsidRPr="002A5C40" w:rsidRDefault="002A5C40" w:rsidP="00EB795B">
            <w:r w:rsidRPr="00E761F9">
              <w:t xml:space="preserve">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 </w:t>
            </w:r>
            <w:r w:rsidRPr="002A5C40">
              <w:rPr>
                <w:rStyle w:val="FootnoteReference"/>
              </w:rPr>
              <w:footnoteReference w:id="561"/>
            </w:r>
          </w:p>
        </w:tc>
      </w:tr>
    </w:tbl>
    <w:p w:rsidR="002A5C40" w:rsidRPr="00E761F9" w:rsidRDefault="002A5C40" w:rsidP="002A5C40">
      <w:pPr>
        <w:pStyle w:val="AERtablesource"/>
      </w:pPr>
      <w:r w:rsidRPr="00E761F9">
        <w:t xml:space="preserve">Source: </w:t>
      </w:r>
      <w:r w:rsidRPr="00E761F9">
        <w:tab/>
        <w:t>AER analysis.</w:t>
      </w:r>
    </w:p>
    <w:p w:rsidR="002A5C40" w:rsidRPr="00E761F9" w:rsidRDefault="002A5C40" w:rsidP="002A5C40">
      <w:r w:rsidRPr="00E761F9">
        <w:t xml:space="preserve">On the basis of the process outlined in </w:t>
      </w:r>
      <w:r w:rsidRPr="00E761F9">
        <w:fldChar w:fldCharType="begin"/>
      </w:r>
      <w:r w:rsidRPr="00E761F9">
        <w:instrText xml:space="preserve"> REF  _Ref408928517 \* Lower \h </w:instrText>
      </w:r>
      <w:r w:rsidRPr="00E761F9">
        <w:fldChar w:fldCharType="separate"/>
      </w:r>
      <w:r w:rsidR="00BA2E8E" w:rsidRPr="00E761F9">
        <w:t xml:space="preserve">table </w:t>
      </w:r>
      <w:r w:rsidR="00BA2E8E">
        <w:rPr>
          <w:noProof/>
        </w:rPr>
        <w:t>3</w:t>
      </w:r>
      <w:r w:rsidR="00BA2E8E">
        <w:noBreakHyphen/>
      </w:r>
      <w:r w:rsidR="00BA2E8E">
        <w:rPr>
          <w:noProof/>
        </w:rPr>
        <w:t>21</w:t>
      </w:r>
      <w:r w:rsidRPr="00E761F9">
        <w:fldChar w:fldCharType="end"/>
      </w:r>
      <w:r w:rsidRPr="00E761F9">
        <w:t>, we consider an averaging period for estimating the return on debt for regulatory year t should fall within the following timeframe:</w:t>
      </w:r>
    </w:p>
    <w:p w:rsidR="002A5C40" w:rsidRPr="00E761F9" w:rsidRDefault="002A5C40" w:rsidP="002A5C40">
      <w:pPr>
        <w:pStyle w:val="AERbulletlistfirststyle"/>
      </w:pPr>
      <w:r w:rsidRPr="00E761F9">
        <w:t>end no later than 25 business days before a distributor submits its annual pricing proposal for year t to the AER</w:t>
      </w:r>
    </w:p>
    <w:p w:rsidR="002A5C40" w:rsidRPr="00E761F9" w:rsidRDefault="002A5C40" w:rsidP="002A5C40">
      <w:pPr>
        <w:pStyle w:val="AERbulletlistfirststyle"/>
      </w:pPr>
      <w:r w:rsidRPr="00E761F9">
        <w:t>commence no earlier than 12 months plus 25 business days before a distributor submits its annual pricing proposal for year t to the AER.</w:t>
      </w:r>
      <w:r w:rsidRPr="00E761F9">
        <w:rPr>
          <w:rStyle w:val="FootnoteReference"/>
        </w:rPr>
        <w:footnoteReference w:id="562"/>
      </w:r>
    </w:p>
    <w:p w:rsidR="002A5C40" w:rsidRPr="00E761F9" w:rsidRDefault="002A5C40" w:rsidP="002A5C40">
      <w:pPr>
        <w:numPr>
          <w:ilvl w:val="0"/>
          <w:numId w:val="24"/>
        </w:numPr>
      </w:pPr>
      <w:r w:rsidRPr="00E761F9">
        <w:t xml:space="preserve">However, as set out in </w:t>
      </w:r>
      <w:r w:rsidRPr="00E761F9">
        <w:fldChar w:fldCharType="begin"/>
      </w:r>
      <w:r w:rsidRPr="00E761F9">
        <w:instrText xml:space="preserve"> REF  _Ref408928517 \* Lower \h </w:instrText>
      </w:r>
      <w:r w:rsidRPr="00E761F9">
        <w:fldChar w:fldCharType="separate"/>
      </w:r>
      <w:r w:rsidR="00BA2E8E" w:rsidRPr="00E761F9">
        <w:t xml:space="preserve">table </w:t>
      </w:r>
      <w:r w:rsidR="00BA2E8E">
        <w:rPr>
          <w:noProof/>
        </w:rPr>
        <w:t>3</w:t>
      </w:r>
      <w:r w:rsidR="00BA2E8E">
        <w:noBreakHyphen/>
      </w:r>
      <w:r w:rsidR="00BA2E8E">
        <w:rPr>
          <w:noProof/>
        </w:rPr>
        <w:t>21</w:t>
      </w:r>
      <w:r w:rsidRPr="00E761F9">
        <w:fldChar w:fldCharType="end"/>
      </w:r>
      <w:r w:rsidRPr="00E761F9">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2A5C40" w:rsidRPr="00E761F9" w:rsidRDefault="002A5C40" w:rsidP="002A5C40">
      <w:pPr>
        <w:numPr>
          <w:ilvl w:val="0"/>
          <w:numId w:val="24"/>
        </w:numPr>
      </w:pPr>
      <w:r w:rsidRPr="00E761F9">
        <w:t xml:space="preserve">The process outlined in </w:t>
      </w:r>
      <w:r w:rsidRPr="00E761F9">
        <w:fldChar w:fldCharType="begin"/>
      </w:r>
      <w:r w:rsidRPr="00E761F9">
        <w:instrText xml:space="preserve"> REF  _Ref408928517 \* Lower \h </w:instrText>
      </w:r>
      <w:r w:rsidRPr="00E761F9">
        <w:fldChar w:fldCharType="separate"/>
      </w:r>
      <w:r w:rsidR="00BA2E8E" w:rsidRPr="00E761F9">
        <w:t xml:space="preserve">table </w:t>
      </w:r>
      <w:r w:rsidR="00BA2E8E">
        <w:rPr>
          <w:noProof/>
        </w:rPr>
        <w:t>3</w:t>
      </w:r>
      <w:r w:rsidR="00BA2E8E">
        <w:noBreakHyphen/>
      </w:r>
      <w:r w:rsidR="00BA2E8E">
        <w:rPr>
          <w:noProof/>
        </w:rPr>
        <w:t>21</w:t>
      </w:r>
      <w:r w:rsidRPr="00E761F9">
        <w:fldChar w:fldCharType="end"/>
      </w:r>
      <w:r w:rsidRPr="00E761F9">
        <w:t xml:space="preserve"> does not apply to the first regulatory year in the regulatory control period. This is because the distribution determination will include the X factor for the first year, which will already incorporate the first year return on debt. Therefore, this process will generally apply to the subsequent years of a regulatory control period.</w:t>
      </w:r>
    </w:p>
    <w:p w:rsidR="002A5C40" w:rsidRPr="00E761F9" w:rsidRDefault="002A5C40" w:rsidP="002A5C40">
      <w:pPr>
        <w:numPr>
          <w:ilvl w:val="0"/>
          <w:numId w:val="24"/>
        </w:numPr>
      </w:pPr>
      <w:r w:rsidRPr="00E761F9">
        <w:t xml:space="preserve">In </w:t>
      </w:r>
      <w:r w:rsidRPr="00E761F9">
        <w:fldChar w:fldCharType="begin"/>
      </w:r>
      <w:r w:rsidRPr="00E761F9">
        <w:instrText xml:space="preserve"> REF  _Ref408928517 \* Lower \h </w:instrText>
      </w:r>
      <w:r w:rsidRPr="00E761F9">
        <w:fldChar w:fldCharType="separate"/>
      </w:r>
      <w:r w:rsidR="00BA2E8E" w:rsidRPr="00E761F9">
        <w:t xml:space="preserve">table </w:t>
      </w:r>
      <w:r w:rsidR="00BA2E8E">
        <w:rPr>
          <w:noProof/>
        </w:rPr>
        <w:t>3</w:t>
      </w:r>
      <w:r w:rsidR="00BA2E8E">
        <w:noBreakHyphen/>
      </w:r>
      <w:r w:rsidR="00BA2E8E">
        <w:rPr>
          <w:noProof/>
        </w:rPr>
        <w:t>21</w:t>
      </w:r>
      <w:r w:rsidRPr="00E761F9">
        <w:fldChar w:fldCharType="end"/>
      </w:r>
      <w:r w:rsidRPr="00E761F9">
        <w:t>, we propose calculating the return on debt, annual building block revenue requirement, and X factor in accordance with the formula in the distribution determination. And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2A5C40" w:rsidRPr="00E761F9" w:rsidRDefault="002A5C40" w:rsidP="002A5C40">
      <w:pPr>
        <w:numPr>
          <w:ilvl w:val="0"/>
          <w:numId w:val="24"/>
        </w:numPr>
      </w:pPr>
      <w:r w:rsidRPr="00E761F9">
        <w:t>The above process factors in the date that the rules require distributors to submit their annual pricing proposals to us.</w:t>
      </w:r>
      <w:r w:rsidRPr="00E761F9">
        <w:rPr>
          <w:rStyle w:val="FootnoteReference"/>
        </w:rPr>
        <w:footnoteReference w:id="563"/>
      </w:r>
      <w:r w:rsidRPr="00E761F9">
        <w:t xml:space="preserve"> In November 2014, the AEMC made a rule determination that affected this date.</w:t>
      </w:r>
      <w:r w:rsidRPr="00E761F9">
        <w:rPr>
          <w:rStyle w:val="FootnoteReference"/>
        </w:rPr>
        <w:footnoteReference w:id="564"/>
      </w:r>
      <w:r w:rsidRPr="00E761F9">
        <w:t xml:space="preserve"> The AEMC determined that:</w:t>
      </w:r>
    </w:p>
    <w:p w:rsidR="002A5C40" w:rsidRPr="00E761F9" w:rsidRDefault="002A5C40" w:rsidP="002A5C40">
      <w:pPr>
        <w:pStyle w:val="AERbulletlistfirststyle"/>
      </w:pPr>
      <w:r w:rsidRPr="00E761F9">
        <w:t>From 2017—distributors will be required to submit their annual pricing proposal to us by:</w:t>
      </w:r>
      <w:r w:rsidRPr="00E761F9">
        <w:rPr>
          <w:rStyle w:val="FootnoteReference"/>
        </w:rPr>
        <w:footnoteReference w:id="565"/>
      </w:r>
    </w:p>
    <w:p w:rsidR="002A5C40" w:rsidRPr="00E761F9" w:rsidRDefault="002A5C40" w:rsidP="002A5C40">
      <w:pPr>
        <w:pStyle w:val="AERbulletlistsecondstyle"/>
      </w:pPr>
      <w:r w:rsidRPr="00E761F9">
        <w:t>31 March each year (non-Victorian distributors)</w:t>
      </w:r>
    </w:p>
    <w:p w:rsidR="002A5C40" w:rsidRPr="00E761F9" w:rsidRDefault="002A5C40" w:rsidP="002A5C40">
      <w:pPr>
        <w:pStyle w:val="AERbulletlistsecondstyle"/>
      </w:pPr>
      <w:r w:rsidRPr="00E761F9">
        <w:t>30 September each year (Victorian distributors).</w:t>
      </w:r>
    </w:p>
    <w:p w:rsidR="002A5C40" w:rsidRPr="00E761F9" w:rsidRDefault="002A5C40" w:rsidP="002A5C40">
      <w:pPr>
        <w:pStyle w:val="AERbulletlistfirststyle"/>
      </w:pPr>
      <w:r w:rsidRPr="00E761F9">
        <w:t>Before 2017—transitional arrangements will maintain the current date by which distributors must submit their annual pricing proposals.</w:t>
      </w:r>
      <w:r w:rsidRPr="00E761F9">
        <w:rPr>
          <w:rStyle w:val="FootnoteReference"/>
        </w:rPr>
        <w:footnoteReference w:id="566"/>
      </w:r>
      <w:r w:rsidRPr="00E761F9">
        <w:t xml:space="preserve"> This is by 1 May each year (non-Victorian distributors).</w:t>
      </w:r>
      <w:r w:rsidRPr="00E761F9">
        <w:rPr>
          <w:rStyle w:val="FootnoteReference"/>
        </w:rPr>
        <w:footnoteReference w:id="567"/>
      </w:r>
      <w:r w:rsidRPr="00E761F9">
        <w:t xml:space="preserve"> For Victorian distributors, the new rules apply from the second regulatory year (2017) of the 2016–2020 regulatory control period, accordingly there are no transitional arrangements that affect the timing of the annual debt update process.</w:t>
      </w:r>
      <w:r w:rsidRPr="00E761F9">
        <w:rPr>
          <w:rStyle w:val="FootnoteReference"/>
        </w:rPr>
        <w:footnoteReference w:id="568"/>
      </w:r>
    </w:p>
    <w:p w:rsidR="002A5C40" w:rsidRPr="00F366FC" w:rsidRDefault="002A5C40" w:rsidP="002A5C40">
      <w:pPr>
        <w:pStyle w:val="HeadingItalic"/>
      </w:pPr>
      <w:r w:rsidRPr="00F366FC">
        <w:t>Response to key issues raised by stakeholders</w:t>
      </w:r>
    </w:p>
    <w:p w:rsidR="002A5C40" w:rsidRPr="00E761F9" w:rsidRDefault="002A5C40" w:rsidP="002A5C40">
      <w:r w:rsidRPr="00E761F9">
        <w:t>JEN and ActewAGL proposed annual processes to nominate future averaging periods that can only be implemented with a lag of one year in the annual debt update process. However, these service providers' proposals did not specifically state that a lag of one year should apply.</w:t>
      </w:r>
      <w:r w:rsidRPr="00E761F9">
        <w:rPr>
          <w:rStyle w:val="FootnoteReference"/>
        </w:rPr>
        <w:footnoteReference w:id="569"/>
      </w:r>
      <w:r w:rsidRPr="00E761F9">
        <w:t xml:space="preserve"> </w:t>
      </w:r>
    </w:p>
    <w:p w:rsidR="002A5C40" w:rsidRPr="00E761F9" w:rsidRDefault="002A5C40" w:rsidP="002A5C40">
      <w:r w:rsidRPr="00E761F9">
        <w:t xml:space="preserve">We do not agree with the submissions to incorporate a one year lag into in the annual debt update process. As set out above, our position instead is that an averaging period for regulatory year t should fall within the 12 months prior to 25 business days before submission of the annual pricing proposal or reference tariff variation proposal (for regulatory year t). We consider this approach is consistent with the requirements in the rules, which contributes to the achievement of the </w:t>
      </w:r>
      <w:r w:rsidR="009C74CF">
        <w:t>ARORO</w:t>
      </w:r>
      <w:r w:rsidRPr="00E761F9">
        <w:t>.</w:t>
      </w:r>
      <w:r w:rsidRPr="00E761F9">
        <w:rPr>
          <w:rStyle w:val="FootnoteReference"/>
        </w:rPr>
        <w:footnoteReference w:id="570"/>
      </w:r>
      <w:r w:rsidRPr="00E761F9">
        <w:t xml:space="preserve"> Our decision is based on the following reasoning:</w:t>
      </w:r>
    </w:p>
    <w:p w:rsidR="002A5C40" w:rsidRPr="00E761F9" w:rsidRDefault="002A5C40" w:rsidP="002A5C40">
      <w:pPr>
        <w:pStyle w:val="AERbulletlistfirststyle"/>
      </w:pPr>
      <w:r w:rsidRPr="00E761F9">
        <w:t>There are practical difficulties with allowing a one year lag in the annual debt update process. We considered this issue in the October 2014 proposed amendment to the PTRM.</w:t>
      </w:r>
      <w:r w:rsidRPr="00E761F9">
        <w:rPr>
          <w:rStyle w:val="FootnoteReference"/>
        </w:rPr>
        <w:footnoteReference w:id="571"/>
      </w:r>
      <w:r w:rsidRPr="00E761F9">
        <w:t xml:space="preserve"> We considered that the proposed PTRM could potentially handle a lag to the X factor change. However, we also considered that under a one year lag, 'the adjustment for the return on debt in year 5 would need to be implemented in the first year of the following regulatory control period, but it is unclear how this would occur'.</w:t>
      </w:r>
      <w:r w:rsidRPr="00E761F9">
        <w:rPr>
          <w:rStyle w:val="FootnoteReference"/>
        </w:rPr>
        <w:footnoteReference w:id="572"/>
      </w:r>
      <w:r w:rsidRPr="00E761F9">
        <w:t xml:space="preserve"> Our approach allows for a consistent and continuous practical implementation—both within a regulatory control </w:t>
      </w:r>
      <w:r>
        <w:t xml:space="preserve">or access arrangement </w:t>
      </w:r>
      <w:r w:rsidRPr="00E761F9">
        <w:t xml:space="preserve">period, and across multiple regulatory control </w:t>
      </w:r>
      <w:r>
        <w:t xml:space="preserve">or access arrangement </w:t>
      </w:r>
      <w:r w:rsidRPr="00E761F9">
        <w:t xml:space="preserve">periods. </w:t>
      </w:r>
    </w:p>
    <w:p w:rsidR="002A5C40" w:rsidRPr="00E761F9" w:rsidRDefault="002A5C40" w:rsidP="002A5C40">
      <w:pPr>
        <w:pStyle w:val="AERbulletlistfirststyle"/>
      </w:pPr>
      <w:r w:rsidRPr="00E761F9">
        <w:t>A one year lag allows for the return on debt for regulatory year t to be estimated over a period closer to that year, however, a one year lag increases the time before this estimate is incorporated into prices. This is because it is not possible to include the effect of year t's annual return on debt update in the pricing implementation for that year. We consider this mitigates some of the potential benefits of allowing the return on debt for regulatory year t to be estimated closer to that year. This would increase the mismatch between the allowed and incurred return on debt for a benchmark efficient entity because the allowed return on debt would only be updated to reflect the incurred return on debt one year later.</w:t>
      </w:r>
      <w:r w:rsidRPr="00E761F9">
        <w:rPr>
          <w:rStyle w:val="FootnoteReference"/>
        </w:rPr>
        <w:footnoteReference w:id="573"/>
      </w:r>
    </w:p>
    <w:p w:rsidR="00520CEF" w:rsidRPr="00E761F9" w:rsidRDefault="002A5C40" w:rsidP="002A5C40">
      <w:pPr>
        <w:pStyle w:val="AERbulletlistfirststyle"/>
      </w:pPr>
      <w:r w:rsidRPr="00E761F9">
        <w:t>A one year lag adds further complexity and costs to the administration of regulation. We are not satisfied that there are benefits which outweigh the additional complexity resulting from the service providers' proposals. Given the existing complexity involved in the annual update process, a consistent approach across service providers is preferable to simplify the process where possible.</w:t>
      </w:r>
    </w:p>
    <w:p w:rsidR="008D02F0" w:rsidRDefault="008D02F0" w:rsidP="000D32D3">
      <w:pPr>
        <w:pStyle w:val="Heading3"/>
        <w:ind w:left="578" w:hanging="578"/>
      </w:pPr>
      <w:bookmarkStart w:id="160" w:name="_Ref451348718"/>
      <w:bookmarkStart w:id="161" w:name="_Toc451678627"/>
      <w:r>
        <w:t>Gearing</w:t>
      </w:r>
      <w:bookmarkEnd w:id="160"/>
      <w:bookmarkEnd w:id="161"/>
    </w:p>
    <w:p w:rsidR="00117328" w:rsidRPr="00EF5528" w:rsidRDefault="00117328" w:rsidP="00117328">
      <w:pPr>
        <w:numPr>
          <w:ilvl w:val="0"/>
          <w:numId w:val="24"/>
        </w:numPr>
      </w:pPr>
      <w:r w:rsidRPr="00EF5528">
        <w:t>Our decision is to adopt a 60 per cent gearing ratio. A 60 per cent gearing ratio is the same as the gearing ratio we proposed in the Guideline and adopted in the preliminary decision.</w:t>
      </w:r>
    </w:p>
    <w:p w:rsidR="00117328" w:rsidRPr="00EF5528" w:rsidRDefault="00117328" w:rsidP="00117328">
      <w:pPr>
        <w:numPr>
          <w:ilvl w:val="0"/>
          <w:numId w:val="24"/>
        </w:numPr>
      </w:pPr>
      <w:r w:rsidRPr="00EF5528">
        <w:t xml:space="preserve">In the revised proposals currently before us, all of the service providers proposed a 60 per cent gearing ratio. We agree with that component of these proposals. However, we do not agree with the </w:t>
      </w:r>
      <w:r>
        <w:t>submissions</w:t>
      </w:r>
      <w:r w:rsidRPr="00EF5528">
        <w:t xml:space="preserve"> by some of the service providers that the adoption of a 60 per cent gearing ratio is 'likely to lead to a conservative (low) estimate of the overall rate of return'.</w:t>
      </w:r>
      <w:r w:rsidRPr="00EF5528">
        <w:rPr>
          <w:rStyle w:val="FootnoteReference"/>
        </w:rPr>
        <w:footnoteReference w:id="574"/>
      </w:r>
      <w:r w:rsidRPr="00EF5528">
        <w:t xml:space="preserve"> </w:t>
      </w:r>
      <w:r>
        <w:t>In support for their submission, t</w:t>
      </w:r>
      <w:r w:rsidRPr="00EF5528">
        <w:t>hese service providers referred to a report by Frontier Economics.</w:t>
      </w:r>
      <w:r w:rsidRPr="00EF5528">
        <w:rPr>
          <w:rStyle w:val="FootnoteReference"/>
        </w:rPr>
        <w:footnoteReference w:id="575"/>
      </w:r>
      <w:r w:rsidRPr="00EF5528">
        <w:t xml:space="preserve"> However, in this report, Frontier Economics clearly stated that it 'agree[s] with the AER’s conclusion that the relevant evidence supports leverage of 60%'.</w:t>
      </w:r>
      <w:r w:rsidRPr="00EF5528">
        <w:rPr>
          <w:rStyle w:val="FootnoteReference"/>
        </w:rPr>
        <w:footnoteReference w:id="576"/>
      </w:r>
      <w:r w:rsidRPr="00EF5528">
        <w:t xml:space="preserve"> </w:t>
      </w:r>
    </w:p>
    <w:p w:rsidR="00780B07" w:rsidRDefault="00780B07" w:rsidP="00780B07">
      <w:pPr>
        <w:numPr>
          <w:ilvl w:val="0"/>
          <w:numId w:val="24"/>
        </w:numPr>
      </w:pPr>
      <w:r>
        <w:t>T</w:t>
      </w:r>
      <w:r w:rsidRPr="00E94496">
        <w:t xml:space="preserve">he </w:t>
      </w:r>
      <w:r w:rsidRPr="00915660">
        <w:t>Energy Consumers Coalition of South Australia</w:t>
      </w:r>
      <w:r>
        <w:t xml:space="preserve"> (ECCSA)</w:t>
      </w:r>
      <w:r w:rsidRPr="00E94496">
        <w:t xml:space="preserve"> submitted that </w:t>
      </w:r>
      <w:r>
        <w:t>our adoption of a 60 per cent gearing ratio together with a credit rating of BBB+ for a benchmark efficient entity is '</w:t>
      </w:r>
      <w:r w:rsidRPr="00675D88">
        <w:t>conservative and could include a higher</w:t>
      </w:r>
      <w:r>
        <w:t xml:space="preserve"> </w:t>
      </w:r>
      <w:r w:rsidRPr="00675D88">
        <w:t>gearin</w:t>
      </w:r>
      <w:r>
        <w:t>g and/or a higher credit rating'.</w:t>
      </w:r>
      <w:r>
        <w:rPr>
          <w:rStyle w:val="FootnoteReference"/>
        </w:rPr>
        <w:footnoteReference w:id="577"/>
      </w:r>
      <w:r>
        <w:t xml:space="preserve"> ECCSA's view was based on analysis of the service providers' actual levels of gearing and actual credit ratings. Sub-panel 3 of the Consumer Challenge Panel (CCP3) also submitted that a 60 per cent gearing ratio is conservatively low and noted that there may be a disconnect between the gearing ratios and credit ratings of the service providers due to their uniquely stable cash flows.</w:t>
      </w:r>
      <w:r>
        <w:rPr>
          <w:rStyle w:val="FootnoteReference"/>
        </w:rPr>
        <w:footnoteReference w:id="578"/>
      </w:r>
    </w:p>
    <w:p w:rsidR="00117328" w:rsidRPr="00EF5528" w:rsidRDefault="00117328" w:rsidP="00117328">
      <w:pPr>
        <w:numPr>
          <w:ilvl w:val="0"/>
          <w:numId w:val="24"/>
        </w:numPr>
      </w:pPr>
      <w:r w:rsidRPr="00EF5528">
        <w:t>Overall, 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7D6D75" w:rsidRPr="007D6D75" w:rsidRDefault="007D6D75" w:rsidP="007D6D75">
      <w:pPr>
        <w:numPr>
          <w:ilvl w:val="0"/>
          <w:numId w:val="24"/>
        </w:numPr>
      </w:pPr>
      <w:r w:rsidRPr="007D6D75">
        <w:t>Gearing is defined as the ratio of the value of debt to total capital (that is, debt and equity). 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In theory, the optimal debt to equity ratio is the point at which business value is maximised, where the marginal benefits just offset the marginal cost of debt. While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 In other words, we assume that the industry is, on average, efficient and therefore use the industry average to guide our regulatory benchmark.</w:t>
      </w:r>
    </w:p>
    <w:p w:rsidR="007D6D75" w:rsidRPr="007D6D75" w:rsidRDefault="007D6D75" w:rsidP="007D6D75">
      <w:pPr>
        <w:numPr>
          <w:ilvl w:val="0"/>
          <w:numId w:val="24"/>
        </w:numPr>
      </w:pPr>
      <w:r w:rsidRPr="007D6D75">
        <w:t>We consider that the empirical evidence supports a gearing of 60 per cent. Average gearing levels from the 2009 WACC review are presented in the following table, as are the Bloomberg market valuations using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7D6D75" w:rsidRPr="007D6D75" w:rsidRDefault="007D6D75" w:rsidP="007D6D75">
      <w:pPr>
        <w:pStyle w:val="Caption"/>
      </w:pPr>
      <w:r w:rsidRPr="007D6D75">
        <w:t xml:space="preserve">Table </w:t>
      </w:r>
      <w:fldSimple w:instr=" STYLEREF 1 \s ">
        <w:r w:rsidR="00BA2E8E">
          <w:rPr>
            <w:noProof/>
          </w:rPr>
          <w:t>3</w:t>
        </w:r>
      </w:fldSimple>
      <w:r w:rsidRPr="007D6D75">
        <w:noBreakHyphen/>
      </w:r>
      <w:fldSimple w:instr=" SEQ Table \* ARABIC \s 1 ">
        <w:r w:rsidR="00BA2E8E">
          <w:rPr>
            <w:noProof/>
          </w:rPr>
          <w:t>22</w:t>
        </w:r>
      </w:fldSimple>
      <w:r w:rsidRPr="007D6D75">
        <w:tab/>
        <w:t>Averaging gearing ratio—Comparator set of firms</w:t>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7D6D75" w:rsidRPr="00E94496" w:rsidTr="00A75782">
        <w:trPr>
          <w:cnfStyle w:val="100000000000" w:firstRow="1" w:lastRow="0" w:firstColumn="0" w:lastColumn="0" w:oddVBand="0" w:evenVBand="0" w:oddHBand="0" w:evenHBand="0" w:firstRowFirstColumn="0" w:firstRowLastColumn="0" w:lastRowFirstColumn="0" w:lastRowLastColumn="0"/>
          <w:trHeight w:val="255"/>
        </w:trPr>
        <w:tc>
          <w:tcPr>
            <w:tcW w:w="1812" w:type="dxa"/>
            <w:noWrap/>
          </w:tcPr>
          <w:p w:rsidR="007D6D75" w:rsidRPr="007D6D75" w:rsidRDefault="007D6D75" w:rsidP="007D6D75">
            <w:r w:rsidRPr="007D6D75">
              <w:t>Year</w:t>
            </w:r>
          </w:p>
        </w:tc>
        <w:tc>
          <w:tcPr>
            <w:tcW w:w="1812" w:type="dxa"/>
            <w:noWrap/>
          </w:tcPr>
          <w:p w:rsidR="007D6D75" w:rsidRPr="007D6D75" w:rsidRDefault="007D6D75" w:rsidP="007D6D75">
            <w:r w:rsidRPr="007D6D75">
              <w:t xml:space="preserve">2009 WACC review </w:t>
            </w:r>
          </w:p>
          <w:p w:rsidR="007D6D75" w:rsidRPr="007D6D75" w:rsidRDefault="007D6D75" w:rsidP="007D6D75">
            <w:r w:rsidRPr="007D6D75">
              <w:t>2002–2007</w:t>
            </w:r>
            <w:r w:rsidRPr="007D6D75">
              <w:rPr>
                <w:rStyle w:val="AERsuperscript"/>
              </w:rPr>
              <w:t>a</w:t>
            </w:r>
            <w:r w:rsidRPr="007D6D75">
              <w:t xml:space="preserve"> </w:t>
            </w:r>
          </w:p>
        </w:tc>
        <w:tc>
          <w:tcPr>
            <w:tcW w:w="1813" w:type="dxa"/>
            <w:noWrap/>
          </w:tcPr>
          <w:p w:rsidR="007D6D75" w:rsidRPr="007D6D75" w:rsidRDefault="007D6D75" w:rsidP="007D6D75">
            <w:r w:rsidRPr="007D6D75">
              <w:t>Bloomberg    (market value)</w:t>
            </w:r>
          </w:p>
          <w:p w:rsidR="007D6D75" w:rsidRPr="007D6D75" w:rsidRDefault="007D6D75" w:rsidP="007D6D75">
            <w:r w:rsidRPr="007D6D75">
              <w:t>2002–2012            (full sample)</w:t>
            </w:r>
            <w:r w:rsidRPr="007D6D75">
              <w:rPr>
                <w:rStyle w:val="AERsuperscript"/>
              </w:rPr>
              <w:t>b</w:t>
            </w:r>
          </w:p>
        </w:tc>
        <w:tc>
          <w:tcPr>
            <w:tcW w:w="1812" w:type="dxa"/>
          </w:tcPr>
          <w:p w:rsidR="007D6D75" w:rsidRPr="007D6D75" w:rsidRDefault="007D6D75" w:rsidP="007D6D75">
            <w:r w:rsidRPr="007D6D75">
              <w:t>Bloomberg    (market value)</w:t>
            </w:r>
          </w:p>
          <w:p w:rsidR="007D6D75" w:rsidRPr="007D6D75" w:rsidRDefault="007D6D75" w:rsidP="007D6D75">
            <w:r w:rsidRPr="007D6D75">
              <w:t>2002–2012     (refined sample)</w:t>
            </w:r>
            <w:r w:rsidRPr="007D6D75">
              <w:rPr>
                <w:rStyle w:val="AERsuperscript"/>
              </w:rPr>
              <w:t>c</w:t>
            </w:r>
          </w:p>
        </w:tc>
        <w:tc>
          <w:tcPr>
            <w:tcW w:w="1813" w:type="dxa"/>
          </w:tcPr>
          <w:p w:rsidR="007D6D75" w:rsidRPr="007D6D75" w:rsidRDefault="007D6D75" w:rsidP="007D6D75">
            <w:r w:rsidRPr="007D6D75">
              <w:t>Standard and Poor's (book value)</w:t>
            </w:r>
          </w:p>
          <w:p w:rsidR="007D6D75" w:rsidRPr="007D6D75" w:rsidRDefault="007D6D75" w:rsidP="007D6D75">
            <w:r w:rsidRPr="007D6D75">
              <w:t>2008–2012</w:t>
            </w:r>
            <w:r w:rsidRPr="007D6D75">
              <w:rPr>
                <w:rStyle w:val="AERsuperscript"/>
              </w:rPr>
              <w:t>d</w:t>
            </w:r>
          </w:p>
        </w:tc>
      </w:tr>
      <w:tr w:rsidR="007D6D75" w:rsidRPr="00E94496" w:rsidTr="00A75782">
        <w:trPr>
          <w:trHeight w:val="255"/>
        </w:trPr>
        <w:tc>
          <w:tcPr>
            <w:tcW w:w="1812" w:type="dxa"/>
            <w:noWrap/>
          </w:tcPr>
          <w:p w:rsidR="007D6D75" w:rsidRPr="007D6D75" w:rsidRDefault="007D6D75" w:rsidP="007D6D75">
            <w:r w:rsidRPr="007D6D75">
              <w:t>2002</w:t>
            </w:r>
          </w:p>
        </w:tc>
        <w:tc>
          <w:tcPr>
            <w:tcW w:w="1812" w:type="dxa"/>
            <w:noWrap/>
          </w:tcPr>
          <w:p w:rsidR="007D6D75" w:rsidRPr="007D6D75" w:rsidRDefault="007D6D75" w:rsidP="007D6D75">
            <w:r w:rsidRPr="007D6D75">
              <w:t>65.1</w:t>
            </w:r>
          </w:p>
        </w:tc>
        <w:tc>
          <w:tcPr>
            <w:tcW w:w="1813" w:type="dxa"/>
            <w:noWrap/>
          </w:tcPr>
          <w:p w:rsidR="007D6D75" w:rsidRPr="007D6D75" w:rsidRDefault="007D6D75" w:rsidP="007D6D75">
            <w:r w:rsidRPr="007D6D75">
              <w:t>54.5</w:t>
            </w:r>
          </w:p>
        </w:tc>
        <w:tc>
          <w:tcPr>
            <w:tcW w:w="1812" w:type="dxa"/>
          </w:tcPr>
          <w:p w:rsidR="007D6D75" w:rsidRPr="007D6D75" w:rsidRDefault="007D6D75" w:rsidP="007D6D75">
            <w:r w:rsidRPr="007D6D75">
              <w:t>65.8</w:t>
            </w:r>
          </w:p>
        </w:tc>
        <w:tc>
          <w:tcPr>
            <w:tcW w:w="1813" w:type="dxa"/>
          </w:tcPr>
          <w:p w:rsidR="007D6D75" w:rsidRPr="007D6D75" w:rsidRDefault="007D6D75" w:rsidP="007D6D75">
            <w:r w:rsidRPr="007D6D75">
              <w:t>N/A</w:t>
            </w:r>
          </w:p>
        </w:tc>
      </w:tr>
      <w:tr w:rsidR="007D6D75" w:rsidRPr="00E94496" w:rsidTr="00A75782">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D6D75" w:rsidRPr="007D6D75" w:rsidRDefault="007D6D75" w:rsidP="007D6D75">
            <w:r w:rsidRPr="007D6D75">
              <w:t>2003</w:t>
            </w:r>
          </w:p>
        </w:tc>
        <w:tc>
          <w:tcPr>
            <w:tcW w:w="1812" w:type="dxa"/>
            <w:noWrap/>
          </w:tcPr>
          <w:p w:rsidR="007D6D75" w:rsidRPr="007D6D75" w:rsidRDefault="007D6D75" w:rsidP="007D6D75">
            <w:r w:rsidRPr="007D6D75">
              <w:t>64.8</w:t>
            </w:r>
          </w:p>
        </w:tc>
        <w:tc>
          <w:tcPr>
            <w:tcW w:w="1813" w:type="dxa"/>
            <w:noWrap/>
          </w:tcPr>
          <w:p w:rsidR="007D6D75" w:rsidRPr="007D6D75" w:rsidRDefault="007D6D75" w:rsidP="007D6D75">
            <w:r w:rsidRPr="007D6D75">
              <w:t>51.8</w:t>
            </w:r>
          </w:p>
        </w:tc>
        <w:tc>
          <w:tcPr>
            <w:tcW w:w="1812" w:type="dxa"/>
          </w:tcPr>
          <w:p w:rsidR="007D6D75" w:rsidRPr="007D6D75" w:rsidRDefault="007D6D75" w:rsidP="007D6D75">
            <w:r w:rsidRPr="007D6D75">
              <w:t>60.5</w:t>
            </w:r>
          </w:p>
        </w:tc>
        <w:tc>
          <w:tcPr>
            <w:tcW w:w="1813" w:type="dxa"/>
          </w:tcPr>
          <w:p w:rsidR="007D6D75" w:rsidRPr="007D6D75" w:rsidRDefault="007D6D75" w:rsidP="007D6D75">
            <w:r w:rsidRPr="007D6D75">
              <w:t>N/A</w:t>
            </w:r>
          </w:p>
        </w:tc>
      </w:tr>
      <w:tr w:rsidR="007D6D75" w:rsidRPr="00E94496" w:rsidTr="00A75782">
        <w:trPr>
          <w:trHeight w:val="255"/>
        </w:trPr>
        <w:tc>
          <w:tcPr>
            <w:tcW w:w="1812" w:type="dxa"/>
            <w:noWrap/>
          </w:tcPr>
          <w:p w:rsidR="007D6D75" w:rsidRPr="007D6D75" w:rsidRDefault="007D6D75" w:rsidP="007D6D75">
            <w:r w:rsidRPr="007D6D75">
              <w:t>2004</w:t>
            </w:r>
          </w:p>
        </w:tc>
        <w:tc>
          <w:tcPr>
            <w:tcW w:w="1812" w:type="dxa"/>
            <w:noWrap/>
          </w:tcPr>
          <w:p w:rsidR="007D6D75" w:rsidRPr="007D6D75" w:rsidRDefault="007D6D75" w:rsidP="007D6D75">
            <w:r w:rsidRPr="007D6D75">
              <w:t>61.7</w:t>
            </w:r>
          </w:p>
        </w:tc>
        <w:tc>
          <w:tcPr>
            <w:tcW w:w="1813" w:type="dxa"/>
            <w:noWrap/>
          </w:tcPr>
          <w:p w:rsidR="007D6D75" w:rsidRPr="007D6D75" w:rsidRDefault="007D6D75" w:rsidP="007D6D75">
            <w:r w:rsidRPr="007D6D75">
              <w:t>51.2</w:t>
            </w:r>
          </w:p>
        </w:tc>
        <w:tc>
          <w:tcPr>
            <w:tcW w:w="1812" w:type="dxa"/>
          </w:tcPr>
          <w:p w:rsidR="007D6D75" w:rsidRPr="007D6D75" w:rsidRDefault="007D6D75" w:rsidP="007D6D75">
            <w:r w:rsidRPr="007D6D75">
              <w:t>55.1</w:t>
            </w:r>
          </w:p>
        </w:tc>
        <w:tc>
          <w:tcPr>
            <w:tcW w:w="1813" w:type="dxa"/>
          </w:tcPr>
          <w:p w:rsidR="007D6D75" w:rsidRPr="007D6D75" w:rsidRDefault="007D6D75" w:rsidP="007D6D75">
            <w:r w:rsidRPr="007D6D75">
              <w:t>N/A</w:t>
            </w:r>
          </w:p>
        </w:tc>
      </w:tr>
      <w:tr w:rsidR="007D6D75" w:rsidRPr="00E94496" w:rsidTr="00A75782">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D6D75" w:rsidRPr="007D6D75" w:rsidRDefault="007D6D75" w:rsidP="007D6D75">
            <w:r w:rsidRPr="007D6D75">
              <w:t>2005</w:t>
            </w:r>
          </w:p>
        </w:tc>
        <w:tc>
          <w:tcPr>
            <w:tcW w:w="1812" w:type="dxa"/>
            <w:noWrap/>
          </w:tcPr>
          <w:p w:rsidR="007D6D75" w:rsidRPr="007D6D75" w:rsidRDefault="007D6D75" w:rsidP="007D6D75">
            <w:r w:rsidRPr="007D6D75">
              <w:t>64.6</w:t>
            </w:r>
          </w:p>
        </w:tc>
        <w:tc>
          <w:tcPr>
            <w:tcW w:w="1813" w:type="dxa"/>
            <w:noWrap/>
          </w:tcPr>
          <w:p w:rsidR="007D6D75" w:rsidRPr="007D6D75" w:rsidRDefault="007D6D75" w:rsidP="007D6D75">
            <w:r w:rsidRPr="007D6D75">
              <w:t>51.2</w:t>
            </w:r>
          </w:p>
        </w:tc>
        <w:tc>
          <w:tcPr>
            <w:tcW w:w="1812" w:type="dxa"/>
          </w:tcPr>
          <w:p w:rsidR="007D6D75" w:rsidRPr="007D6D75" w:rsidRDefault="007D6D75" w:rsidP="007D6D75">
            <w:r w:rsidRPr="007D6D75">
              <w:t>62.6</w:t>
            </w:r>
          </w:p>
        </w:tc>
        <w:tc>
          <w:tcPr>
            <w:tcW w:w="1813" w:type="dxa"/>
          </w:tcPr>
          <w:p w:rsidR="007D6D75" w:rsidRPr="007D6D75" w:rsidRDefault="007D6D75" w:rsidP="007D6D75">
            <w:r w:rsidRPr="007D6D75">
              <w:t>N/A</w:t>
            </w:r>
          </w:p>
        </w:tc>
      </w:tr>
      <w:tr w:rsidR="007D6D75" w:rsidRPr="00E94496" w:rsidTr="00A75782">
        <w:trPr>
          <w:trHeight w:val="255"/>
        </w:trPr>
        <w:tc>
          <w:tcPr>
            <w:tcW w:w="1812" w:type="dxa"/>
            <w:noWrap/>
          </w:tcPr>
          <w:p w:rsidR="007D6D75" w:rsidRPr="007D6D75" w:rsidRDefault="007D6D75" w:rsidP="007D6D75">
            <w:r w:rsidRPr="007D6D75">
              <w:t>2006</w:t>
            </w:r>
          </w:p>
        </w:tc>
        <w:tc>
          <w:tcPr>
            <w:tcW w:w="1812" w:type="dxa"/>
            <w:noWrap/>
          </w:tcPr>
          <w:p w:rsidR="007D6D75" w:rsidRPr="007D6D75" w:rsidRDefault="007D6D75" w:rsidP="007D6D75">
            <w:r w:rsidRPr="007D6D75">
              <w:t>63.0</w:t>
            </w:r>
          </w:p>
        </w:tc>
        <w:tc>
          <w:tcPr>
            <w:tcW w:w="1813" w:type="dxa"/>
            <w:noWrap/>
          </w:tcPr>
          <w:p w:rsidR="007D6D75" w:rsidRPr="007D6D75" w:rsidRDefault="007D6D75" w:rsidP="007D6D75">
            <w:r w:rsidRPr="007D6D75">
              <w:t>56.6</w:t>
            </w:r>
          </w:p>
        </w:tc>
        <w:tc>
          <w:tcPr>
            <w:tcW w:w="1812" w:type="dxa"/>
          </w:tcPr>
          <w:p w:rsidR="007D6D75" w:rsidRPr="007D6D75" w:rsidRDefault="007D6D75" w:rsidP="007D6D75">
            <w:r w:rsidRPr="007D6D75">
              <w:t>61.9</w:t>
            </w:r>
          </w:p>
        </w:tc>
        <w:tc>
          <w:tcPr>
            <w:tcW w:w="1813" w:type="dxa"/>
          </w:tcPr>
          <w:p w:rsidR="007D6D75" w:rsidRPr="007D6D75" w:rsidRDefault="007D6D75" w:rsidP="007D6D75">
            <w:r w:rsidRPr="007D6D75">
              <w:t>N/A</w:t>
            </w:r>
          </w:p>
        </w:tc>
      </w:tr>
      <w:tr w:rsidR="007D6D75" w:rsidRPr="00E94496" w:rsidTr="00A75782">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D6D75" w:rsidRPr="007D6D75" w:rsidRDefault="007D6D75" w:rsidP="007D6D75">
            <w:r w:rsidRPr="007D6D75">
              <w:t>2007</w:t>
            </w:r>
          </w:p>
        </w:tc>
        <w:tc>
          <w:tcPr>
            <w:tcW w:w="1812" w:type="dxa"/>
            <w:noWrap/>
          </w:tcPr>
          <w:p w:rsidR="007D6D75" w:rsidRPr="007D6D75" w:rsidRDefault="007D6D75" w:rsidP="007D6D75">
            <w:r w:rsidRPr="007D6D75">
              <w:t>60.5</w:t>
            </w:r>
          </w:p>
        </w:tc>
        <w:tc>
          <w:tcPr>
            <w:tcW w:w="1813" w:type="dxa"/>
            <w:noWrap/>
          </w:tcPr>
          <w:p w:rsidR="007D6D75" w:rsidRPr="007D6D75" w:rsidRDefault="007D6D75" w:rsidP="007D6D75">
            <w:r w:rsidRPr="007D6D75">
              <w:t>57.6</w:t>
            </w:r>
          </w:p>
        </w:tc>
        <w:tc>
          <w:tcPr>
            <w:tcW w:w="1812" w:type="dxa"/>
          </w:tcPr>
          <w:p w:rsidR="007D6D75" w:rsidRPr="007D6D75" w:rsidRDefault="007D6D75" w:rsidP="007D6D75">
            <w:r w:rsidRPr="007D6D75">
              <w:t>57.6</w:t>
            </w:r>
          </w:p>
        </w:tc>
        <w:tc>
          <w:tcPr>
            <w:tcW w:w="1813" w:type="dxa"/>
          </w:tcPr>
          <w:p w:rsidR="007D6D75" w:rsidRPr="007D6D75" w:rsidRDefault="007D6D75" w:rsidP="007D6D75">
            <w:r w:rsidRPr="007D6D75">
              <w:t>N/A</w:t>
            </w:r>
          </w:p>
        </w:tc>
      </w:tr>
      <w:tr w:rsidR="007D6D75" w:rsidRPr="00E94496" w:rsidTr="00A75782">
        <w:trPr>
          <w:trHeight w:val="255"/>
        </w:trPr>
        <w:tc>
          <w:tcPr>
            <w:tcW w:w="1812" w:type="dxa"/>
            <w:noWrap/>
          </w:tcPr>
          <w:p w:rsidR="007D6D75" w:rsidRPr="007D6D75" w:rsidRDefault="007D6D75" w:rsidP="007D6D75">
            <w:r w:rsidRPr="007D6D75">
              <w:t>2008</w:t>
            </w:r>
          </w:p>
        </w:tc>
        <w:tc>
          <w:tcPr>
            <w:tcW w:w="1812" w:type="dxa"/>
            <w:noWrap/>
          </w:tcPr>
          <w:p w:rsidR="007D6D75" w:rsidRPr="007D6D75" w:rsidRDefault="007D6D75" w:rsidP="007D6D75">
            <w:r w:rsidRPr="007D6D75">
              <w:t>N/A</w:t>
            </w:r>
          </w:p>
        </w:tc>
        <w:tc>
          <w:tcPr>
            <w:tcW w:w="1813" w:type="dxa"/>
            <w:noWrap/>
          </w:tcPr>
          <w:p w:rsidR="007D6D75" w:rsidRPr="007D6D75" w:rsidRDefault="007D6D75" w:rsidP="007D6D75">
            <w:r w:rsidRPr="007D6D75">
              <w:t>68.3</w:t>
            </w:r>
          </w:p>
        </w:tc>
        <w:tc>
          <w:tcPr>
            <w:tcW w:w="1812" w:type="dxa"/>
          </w:tcPr>
          <w:p w:rsidR="007D6D75" w:rsidRPr="007D6D75" w:rsidRDefault="007D6D75" w:rsidP="007D6D75">
            <w:r w:rsidRPr="007D6D75">
              <w:t>68.3</w:t>
            </w:r>
          </w:p>
        </w:tc>
        <w:tc>
          <w:tcPr>
            <w:tcW w:w="1813" w:type="dxa"/>
          </w:tcPr>
          <w:p w:rsidR="007D6D75" w:rsidRPr="007D6D75" w:rsidRDefault="007D6D75" w:rsidP="007D6D75">
            <w:r w:rsidRPr="007D6D75">
              <w:t>70</w:t>
            </w:r>
          </w:p>
        </w:tc>
      </w:tr>
      <w:tr w:rsidR="007D6D75" w:rsidRPr="00E94496" w:rsidTr="00A75782">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D6D75" w:rsidRPr="007D6D75" w:rsidRDefault="007D6D75" w:rsidP="007D6D75">
            <w:r w:rsidRPr="007D6D75">
              <w:t>2009</w:t>
            </w:r>
          </w:p>
        </w:tc>
        <w:tc>
          <w:tcPr>
            <w:tcW w:w="1812" w:type="dxa"/>
            <w:noWrap/>
          </w:tcPr>
          <w:p w:rsidR="007D6D75" w:rsidRPr="007D6D75" w:rsidRDefault="007D6D75" w:rsidP="007D6D75">
            <w:r w:rsidRPr="007D6D75">
              <w:t>N/A</w:t>
            </w:r>
          </w:p>
        </w:tc>
        <w:tc>
          <w:tcPr>
            <w:tcW w:w="1813" w:type="dxa"/>
            <w:noWrap/>
          </w:tcPr>
          <w:p w:rsidR="007D6D75" w:rsidRPr="007D6D75" w:rsidRDefault="007D6D75" w:rsidP="007D6D75">
            <w:r w:rsidRPr="007D6D75">
              <w:t>68.8</w:t>
            </w:r>
          </w:p>
        </w:tc>
        <w:tc>
          <w:tcPr>
            <w:tcW w:w="1812" w:type="dxa"/>
          </w:tcPr>
          <w:p w:rsidR="007D6D75" w:rsidRPr="007D6D75" w:rsidRDefault="007D6D75" w:rsidP="007D6D75">
            <w:r w:rsidRPr="007D6D75">
              <w:t>68.8</w:t>
            </w:r>
          </w:p>
        </w:tc>
        <w:tc>
          <w:tcPr>
            <w:tcW w:w="1813" w:type="dxa"/>
          </w:tcPr>
          <w:p w:rsidR="007D6D75" w:rsidRPr="007D6D75" w:rsidRDefault="007D6D75" w:rsidP="007D6D75">
            <w:r w:rsidRPr="007D6D75">
              <w:t>69</w:t>
            </w:r>
          </w:p>
        </w:tc>
      </w:tr>
      <w:tr w:rsidR="007D6D75" w:rsidRPr="00E94496" w:rsidTr="00A75782">
        <w:trPr>
          <w:trHeight w:val="255"/>
        </w:trPr>
        <w:tc>
          <w:tcPr>
            <w:tcW w:w="1812" w:type="dxa"/>
            <w:noWrap/>
          </w:tcPr>
          <w:p w:rsidR="007D6D75" w:rsidRPr="007D6D75" w:rsidRDefault="007D6D75" w:rsidP="007D6D75">
            <w:r w:rsidRPr="007D6D75">
              <w:t>2010</w:t>
            </w:r>
          </w:p>
        </w:tc>
        <w:tc>
          <w:tcPr>
            <w:tcW w:w="1812" w:type="dxa"/>
            <w:noWrap/>
          </w:tcPr>
          <w:p w:rsidR="007D6D75" w:rsidRPr="007D6D75" w:rsidRDefault="007D6D75" w:rsidP="007D6D75">
            <w:r w:rsidRPr="007D6D75">
              <w:t>N/A</w:t>
            </w:r>
          </w:p>
        </w:tc>
        <w:tc>
          <w:tcPr>
            <w:tcW w:w="1813" w:type="dxa"/>
            <w:noWrap/>
          </w:tcPr>
          <w:p w:rsidR="007D6D75" w:rsidRPr="007D6D75" w:rsidRDefault="007D6D75" w:rsidP="007D6D75">
            <w:r w:rsidRPr="007D6D75">
              <w:t>65.5</w:t>
            </w:r>
          </w:p>
        </w:tc>
        <w:tc>
          <w:tcPr>
            <w:tcW w:w="1812" w:type="dxa"/>
          </w:tcPr>
          <w:p w:rsidR="007D6D75" w:rsidRPr="007D6D75" w:rsidRDefault="007D6D75" w:rsidP="007D6D75">
            <w:r w:rsidRPr="007D6D75">
              <w:t>65.5</w:t>
            </w:r>
          </w:p>
        </w:tc>
        <w:tc>
          <w:tcPr>
            <w:tcW w:w="1813" w:type="dxa"/>
          </w:tcPr>
          <w:p w:rsidR="007D6D75" w:rsidRPr="007D6D75" w:rsidRDefault="007D6D75" w:rsidP="007D6D75">
            <w:r w:rsidRPr="007D6D75">
              <w:t>66</w:t>
            </w:r>
          </w:p>
        </w:tc>
      </w:tr>
      <w:tr w:rsidR="007D6D75" w:rsidRPr="00E94496" w:rsidTr="00A75782">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D6D75" w:rsidRPr="007D6D75" w:rsidRDefault="007D6D75" w:rsidP="007D6D75">
            <w:r w:rsidRPr="007D6D75">
              <w:t>2011</w:t>
            </w:r>
          </w:p>
        </w:tc>
        <w:tc>
          <w:tcPr>
            <w:tcW w:w="1812" w:type="dxa"/>
            <w:noWrap/>
          </w:tcPr>
          <w:p w:rsidR="007D6D75" w:rsidRPr="007D6D75" w:rsidRDefault="007D6D75" w:rsidP="007D6D75">
            <w:r w:rsidRPr="007D6D75">
              <w:t>N/A</w:t>
            </w:r>
          </w:p>
        </w:tc>
        <w:tc>
          <w:tcPr>
            <w:tcW w:w="1813" w:type="dxa"/>
            <w:noWrap/>
          </w:tcPr>
          <w:p w:rsidR="007D6D75" w:rsidRPr="007D6D75" w:rsidRDefault="007D6D75" w:rsidP="007D6D75">
            <w:r w:rsidRPr="007D6D75">
              <w:t>63.2</w:t>
            </w:r>
          </w:p>
        </w:tc>
        <w:tc>
          <w:tcPr>
            <w:tcW w:w="1812" w:type="dxa"/>
          </w:tcPr>
          <w:p w:rsidR="007D6D75" w:rsidRPr="007D6D75" w:rsidRDefault="007D6D75" w:rsidP="007D6D75">
            <w:r w:rsidRPr="007D6D75">
              <w:t>63.2</w:t>
            </w:r>
          </w:p>
        </w:tc>
        <w:tc>
          <w:tcPr>
            <w:tcW w:w="1813" w:type="dxa"/>
          </w:tcPr>
          <w:p w:rsidR="007D6D75" w:rsidRPr="007D6D75" w:rsidRDefault="007D6D75" w:rsidP="007D6D75">
            <w:r w:rsidRPr="007D6D75">
              <w:t>62</w:t>
            </w:r>
          </w:p>
        </w:tc>
      </w:tr>
      <w:tr w:rsidR="007D6D75" w:rsidRPr="00E94496" w:rsidTr="00A75782">
        <w:trPr>
          <w:trHeight w:val="255"/>
        </w:trPr>
        <w:tc>
          <w:tcPr>
            <w:tcW w:w="1812" w:type="dxa"/>
            <w:noWrap/>
          </w:tcPr>
          <w:p w:rsidR="007D6D75" w:rsidRPr="007D6D75" w:rsidRDefault="007D6D75" w:rsidP="007D6D75">
            <w:r w:rsidRPr="007D6D75">
              <w:t>2012</w:t>
            </w:r>
          </w:p>
        </w:tc>
        <w:tc>
          <w:tcPr>
            <w:tcW w:w="1812" w:type="dxa"/>
            <w:noWrap/>
          </w:tcPr>
          <w:p w:rsidR="007D6D75" w:rsidRPr="007D6D75" w:rsidRDefault="007D6D75" w:rsidP="007D6D75">
            <w:r w:rsidRPr="007D6D75">
              <w:t>N/A</w:t>
            </w:r>
          </w:p>
        </w:tc>
        <w:tc>
          <w:tcPr>
            <w:tcW w:w="1813" w:type="dxa"/>
            <w:noWrap/>
          </w:tcPr>
          <w:p w:rsidR="007D6D75" w:rsidRPr="007D6D75" w:rsidRDefault="007D6D75" w:rsidP="007D6D75">
            <w:r w:rsidRPr="007D6D75">
              <w:t>60.6</w:t>
            </w:r>
          </w:p>
        </w:tc>
        <w:tc>
          <w:tcPr>
            <w:tcW w:w="1812" w:type="dxa"/>
          </w:tcPr>
          <w:p w:rsidR="007D6D75" w:rsidRPr="007D6D75" w:rsidRDefault="007D6D75" w:rsidP="007D6D75">
            <w:r w:rsidRPr="007D6D75">
              <w:t>60.6</w:t>
            </w:r>
          </w:p>
        </w:tc>
        <w:tc>
          <w:tcPr>
            <w:tcW w:w="1813" w:type="dxa"/>
          </w:tcPr>
          <w:p w:rsidR="007D6D75" w:rsidRPr="007D6D75" w:rsidRDefault="007D6D75" w:rsidP="007D6D75">
            <w:r w:rsidRPr="007D6D75">
              <w:t>65</w:t>
            </w:r>
          </w:p>
        </w:tc>
      </w:tr>
      <w:tr w:rsidR="007D6D75" w:rsidRPr="00E94496" w:rsidTr="00A75782">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7D6D75" w:rsidRPr="007D6D75" w:rsidRDefault="007D6D75" w:rsidP="007D6D75">
            <w:r w:rsidRPr="007D6D75">
              <w:t>Average</w:t>
            </w:r>
          </w:p>
        </w:tc>
        <w:tc>
          <w:tcPr>
            <w:tcW w:w="1812" w:type="dxa"/>
            <w:noWrap/>
          </w:tcPr>
          <w:p w:rsidR="007D6D75" w:rsidRPr="007D6D75" w:rsidRDefault="007D6D75" w:rsidP="007D6D75">
            <w:r w:rsidRPr="007D6D75">
              <w:t>63.3</w:t>
            </w:r>
          </w:p>
        </w:tc>
        <w:tc>
          <w:tcPr>
            <w:tcW w:w="1813" w:type="dxa"/>
            <w:noWrap/>
          </w:tcPr>
          <w:p w:rsidR="007D6D75" w:rsidRPr="007D6D75" w:rsidRDefault="007D6D75" w:rsidP="007D6D75">
            <w:r w:rsidRPr="007D6D75">
              <w:t>59.0</w:t>
            </w:r>
          </w:p>
        </w:tc>
        <w:tc>
          <w:tcPr>
            <w:tcW w:w="1812" w:type="dxa"/>
          </w:tcPr>
          <w:p w:rsidR="007D6D75" w:rsidRPr="007D6D75" w:rsidRDefault="007D6D75" w:rsidP="007D6D75">
            <w:r w:rsidRPr="007D6D75">
              <w:t>63.1</w:t>
            </w:r>
          </w:p>
        </w:tc>
        <w:tc>
          <w:tcPr>
            <w:tcW w:w="1813" w:type="dxa"/>
          </w:tcPr>
          <w:p w:rsidR="007D6D75" w:rsidRPr="007D6D75" w:rsidRDefault="007D6D75" w:rsidP="007D6D75">
            <w:r w:rsidRPr="007D6D75">
              <w:t>66</w:t>
            </w:r>
          </w:p>
        </w:tc>
      </w:tr>
    </w:tbl>
    <w:p w:rsidR="007D6D75" w:rsidRPr="007D6D75" w:rsidRDefault="007D6D75" w:rsidP="007D6D75">
      <w:pPr>
        <w:pStyle w:val="AERtablesource"/>
      </w:pPr>
      <w:r w:rsidRPr="007D6D75">
        <w:t xml:space="preserve">Source: </w:t>
      </w:r>
      <w:r w:rsidRPr="007D6D75">
        <w:tab/>
        <w:t>AER analysis.</w:t>
      </w:r>
    </w:p>
    <w:p w:rsidR="007D6D75" w:rsidRPr="007D6D75" w:rsidRDefault="007D6D75" w:rsidP="007D6D75">
      <w:pPr>
        <w:pStyle w:val="AERtablesource"/>
      </w:pPr>
      <w:r w:rsidRPr="007D6D75">
        <w:t xml:space="preserve">Notes: </w:t>
      </w:r>
      <w:r w:rsidRPr="007D6D75">
        <w:tab/>
        <w:t xml:space="preserve">(a) AER, </w:t>
      </w:r>
      <w:r w:rsidRPr="007D6D75">
        <w:rPr>
          <w:rStyle w:val="AERtextitalic"/>
        </w:rPr>
        <w:t>Final decision: Electricity transmission and distribution network service providers: Review of the weighted average cost of capital (WACC) parameters</w:t>
      </w:r>
      <w:r w:rsidRPr="007D6D75">
        <w:t>, 1 May 2009, p. 124.</w:t>
      </w:r>
    </w:p>
    <w:p w:rsidR="007D6D75" w:rsidRPr="007D6D75" w:rsidRDefault="007D6D75" w:rsidP="007D6D75">
      <w:pPr>
        <w:pStyle w:val="AERtablesource"/>
      </w:pPr>
      <w:r w:rsidRPr="007D6D75">
        <w:tab/>
        <w:t>(b) Analysis including full sample of businesses.</w:t>
      </w:r>
    </w:p>
    <w:p w:rsidR="007D6D75" w:rsidRPr="007D6D75" w:rsidRDefault="007D6D75" w:rsidP="007D6D75">
      <w:pPr>
        <w:pStyle w:val="AERtablesource"/>
      </w:pPr>
      <w:r w:rsidRPr="007D6D75">
        <w:tab/>
        <w:t>(c) AGL, Alinta and GasNet excluded from the analysis.</w:t>
      </w:r>
    </w:p>
    <w:p w:rsidR="007D6D75" w:rsidRPr="007D6D75" w:rsidRDefault="007D6D75" w:rsidP="007D6D75">
      <w:pPr>
        <w:pStyle w:val="AERtablesource"/>
      </w:pPr>
      <w:r w:rsidRPr="007D6D75">
        <w:tab/>
        <w:t xml:space="preserve">(d) ERA, </w:t>
      </w:r>
      <w:r w:rsidRPr="007D6D75">
        <w:rPr>
          <w:rStyle w:val="AERtextitalic"/>
        </w:rPr>
        <w:t>Explanatory statement for the draft rate of return guidelines</w:t>
      </w:r>
      <w:r w:rsidRPr="007D6D75">
        <w:t>, 6 August 2013, p. 49.</w:t>
      </w:r>
    </w:p>
    <w:p w:rsidR="007D6D75" w:rsidRPr="007D6D75" w:rsidRDefault="007D6D75" w:rsidP="007D6D75">
      <w:pPr>
        <w:numPr>
          <w:ilvl w:val="0"/>
          <w:numId w:val="24"/>
        </w:numPr>
      </w:pPr>
      <w:r w:rsidRPr="007D6D75">
        <w:t>The benchmark gearing ratio is used:</w:t>
      </w:r>
    </w:p>
    <w:p w:rsidR="007D6D75" w:rsidRPr="007D6D75" w:rsidRDefault="007D6D75" w:rsidP="007D6D75">
      <w:pPr>
        <w:pStyle w:val="AERbulletlistfirststyle"/>
      </w:pPr>
      <w:r w:rsidRPr="007D6D75">
        <w:t>to weight the expected required return on debt and equity to derive a WACC</w:t>
      </w:r>
    </w:p>
    <w:p w:rsidR="007D6D75" w:rsidRPr="007D6D75" w:rsidRDefault="007D6D75" w:rsidP="007D6D75">
      <w:pPr>
        <w:pStyle w:val="AERbulletlistfirststyle"/>
      </w:pPr>
      <w:r w:rsidRPr="007D6D75">
        <w:t>to re-lever the asset betas for the purposes of comparing the levels of systematic risk across businesses, and</w:t>
      </w:r>
    </w:p>
    <w:p w:rsidR="007D6D75" w:rsidRPr="007D6D75" w:rsidRDefault="007D6D75" w:rsidP="00117328">
      <w:pPr>
        <w:pStyle w:val="AERbulletlistfirststyle"/>
      </w:pPr>
      <w:r w:rsidRPr="007D6D75">
        <w:t>as a factor in estimating the benchmark credit rating.</w:t>
      </w:r>
      <w:r w:rsidRPr="007D6D75">
        <w:rPr>
          <w:rStyle w:val="FootnoteReference"/>
        </w:rPr>
        <w:footnoteReference w:id="579"/>
      </w:r>
    </w:p>
    <w:p w:rsidR="008D02F0" w:rsidRDefault="008D02F0" w:rsidP="000D32D3">
      <w:pPr>
        <w:pStyle w:val="Heading3"/>
        <w:ind w:left="578" w:hanging="578"/>
      </w:pPr>
      <w:bookmarkStart w:id="162" w:name="_Ref451348720"/>
      <w:bookmarkStart w:id="163" w:name="_Toc451678628"/>
      <w:r>
        <w:t>Expected inflation rate</w:t>
      </w:r>
      <w:bookmarkEnd w:id="162"/>
      <w:bookmarkEnd w:id="163"/>
    </w:p>
    <w:p w:rsidR="00961F79" w:rsidRDefault="00961F79" w:rsidP="00961F79">
      <w:r>
        <w:t xml:space="preserve">Our estimate of expected inflation is set out in </w:t>
      </w:r>
      <w:r>
        <w:fldChar w:fldCharType="begin"/>
      </w:r>
      <w:r>
        <w:instrText xml:space="preserve"> REF  _Ref450910179 \* Lower \h </w:instrText>
      </w:r>
      <w:r>
        <w:fldChar w:fldCharType="separate"/>
      </w:r>
      <w:r w:rsidR="00BA2E8E">
        <w:t xml:space="preserve">table </w:t>
      </w:r>
      <w:r w:rsidR="00BA2E8E">
        <w:rPr>
          <w:noProof/>
        </w:rPr>
        <w:t>3</w:t>
      </w:r>
      <w:r w:rsidR="00BA2E8E">
        <w:noBreakHyphen/>
      </w:r>
      <w:r w:rsidR="00BA2E8E">
        <w:rPr>
          <w:noProof/>
        </w:rPr>
        <w:t>23</w:t>
      </w:r>
      <w:r>
        <w:fldChar w:fldCharType="end"/>
      </w:r>
      <w:r>
        <w:t xml:space="preserve">. </w:t>
      </w:r>
      <w:r w:rsidRPr="00C66100">
        <w:t xml:space="preserve">We base our approach on an average of the RBA's short term inflation forecasts and the mid-point of the </w:t>
      </w:r>
      <w:r>
        <w:t>RBA’s inflation targeting band.</w:t>
      </w:r>
    </w:p>
    <w:p w:rsidR="00961F79" w:rsidRDefault="00961F79" w:rsidP="00961F79">
      <w:r w:rsidRPr="00C66100">
        <w:t>This</w:t>
      </w:r>
      <w:r>
        <w:t xml:space="preserve"> method is consistent with what w</w:t>
      </w:r>
      <w:r w:rsidRPr="00C66100">
        <w:t>e have previously adopted</w:t>
      </w:r>
      <w:r>
        <w:t xml:space="preserve"> and applied since 2008, as well as</w:t>
      </w:r>
      <w:r w:rsidRPr="00E04B8A">
        <w:t xml:space="preserve"> </w:t>
      </w:r>
      <w:r>
        <w:t>CitiPower's</w:t>
      </w:r>
      <w:r w:rsidRPr="00E04B8A">
        <w:t xml:space="preserve"> </w:t>
      </w:r>
      <w:r w:rsidR="00785B45">
        <w:t xml:space="preserve">initial and revised </w:t>
      </w:r>
      <w:r w:rsidR="00785B45" w:rsidRPr="00E04B8A">
        <w:t>regulatory proposal</w:t>
      </w:r>
      <w:r w:rsidR="00785B45">
        <w:t>s</w:t>
      </w:r>
      <w:r w:rsidR="00785B45" w:rsidRPr="00E04B8A">
        <w:t xml:space="preserve"> </w:t>
      </w:r>
      <w:r w:rsidRPr="00E04B8A">
        <w:t>and our preliminary de</w:t>
      </w:r>
      <w:r>
        <w:t>cision (the current method).</w:t>
      </w:r>
      <w:r w:rsidRPr="00DA79C8">
        <w:rPr>
          <w:rStyle w:val="FootnoteReference"/>
        </w:rPr>
        <w:footnoteReference w:id="580"/>
      </w:r>
      <w:r>
        <w:t xml:space="preserve"> We consider the current method to be a reasonable estimation method for the following reasons:</w:t>
      </w:r>
    </w:p>
    <w:p w:rsidR="00961F79" w:rsidRPr="007614B1" w:rsidRDefault="00961F79" w:rsidP="00961F79">
      <w:pPr>
        <w:pStyle w:val="AERbulletlistfirststyle"/>
      </w:pPr>
      <w:r>
        <w:t xml:space="preserve">RBA </w:t>
      </w:r>
      <w:r w:rsidRPr="007614B1">
        <w:t xml:space="preserve">research </w:t>
      </w:r>
      <w:r>
        <w:t>indicates that its one</w:t>
      </w:r>
      <w:r w:rsidRPr="007614B1">
        <w:t xml:space="preserve"> year inflation forecasts have substantial explanatory power.</w:t>
      </w:r>
      <w:r w:rsidRPr="007614B1">
        <w:rPr>
          <w:rStyle w:val="FootnoteReference"/>
        </w:rPr>
        <w:footnoteReference w:id="581"/>
      </w:r>
    </w:p>
    <w:p w:rsidR="00961F79" w:rsidRDefault="00961F79" w:rsidP="00961F79">
      <w:pPr>
        <w:pStyle w:val="AERbulletlistfirststyle"/>
      </w:pPr>
      <w:r w:rsidRPr="00D62DC1">
        <w:t>To the extent that the historical success of RBA monetary policy informs m</w:t>
      </w:r>
      <w:r>
        <w:t xml:space="preserve">arket </w:t>
      </w:r>
      <w:r w:rsidRPr="00D62DC1">
        <w:t xml:space="preserve">consensus inflation expectations, </w:t>
      </w:r>
      <w:r>
        <w:t xml:space="preserve">the mid-point of the RBA's inflation targeting band </w:t>
      </w:r>
      <w:r w:rsidRPr="00D62DC1">
        <w:t xml:space="preserve">would </w:t>
      </w:r>
      <w:r>
        <w:t>reflect</w:t>
      </w:r>
      <w:r w:rsidRPr="00D62DC1">
        <w:t xml:space="preserve"> longer term inflation expectations.</w:t>
      </w:r>
      <w:r>
        <w:t xml:space="preserve"> We note that s</w:t>
      </w:r>
      <w:r w:rsidRPr="00883AE6">
        <w:t xml:space="preserve">ince inflation </w:t>
      </w:r>
      <w:r w:rsidRPr="004B3EE3">
        <w:t>rate targeting in 1993, the average annuali</w:t>
      </w:r>
      <w:r>
        <w:t>sed inflation rate has been approximately 2.6 per cent, which is close to the 2.5 per cent</w:t>
      </w:r>
      <w:r w:rsidRPr="004B3EE3">
        <w:t xml:space="preserve"> midpoint of the target band.</w:t>
      </w:r>
    </w:p>
    <w:p w:rsidR="00961F79" w:rsidRDefault="00961F79" w:rsidP="00961F79">
      <w:pPr>
        <w:pStyle w:val="AERbulletlistfirststyle"/>
      </w:pPr>
      <w:r>
        <w:t>Evidence indicates</w:t>
      </w:r>
      <w:r w:rsidRPr="007614B1">
        <w:t xml:space="preserve"> that the RBA's control of official interest rates and commentary has an impact on outturn inflation and inflation expectations.</w:t>
      </w:r>
      <w:r w:rsidRPr="007614B1">
        <w:rPr>
          <w:rStyle w:val="FootnoteReference"/>
        </w:rPr>
        <w:footnoteReference w:id="582"/>
      </w:r>
    </w:p>
    <w:p w:rsidR="00961F79" w:rsidRDefault="00961F79" w:rsidP="00961F79">
      <w:pPr>
        <w:pStyle w:val="AERbulletlistfirststyle"/>
      </w:pPr>
      <w:r w:rsidRPr="00B6405A">
        <w:t>This</w:t>
      </w:r>
      <w:r>
        <w:t xml:space="preserve"> method</w:t>
      </w:r>
      <w:r w:rsidRPr="00B6405A">
        <w:t xml:space="preserve"> is simple, transparent, easily replicated and unlikely to be subject to estimation error.</w:t>
      </w:r>
    </w:p>
    <w:p w:rsidR="00961F79" w:rsidRDefault="00961F79" w:rsidP="00961F79">
      <w:r>
        <w:t xml:space="preserve">In the preliminary decision, we noted our expectation that </w:t>
      </w:r>
      <w:r w:rsidRPr="00AF5BA1">
        <w:t xml:space="preserve">the RBA </w:t>
      </w:r>
      <w:r>
        <w:t xml:space="preserve">would </w:t>
      </w:r>
      <w:r w:rsidRPr="00AF5BA1">
        <w:t xml:space="preserve">publish a more recent inflation forecast before our </w:t>
      </w:r>
      <w:r>
        <w:t>final</w:t>
      </w:r>
      <w:r w:rsidRPr="00AF5BA1">
        <w:t xml:space="preserve"> decision, and </w:t>
      </w:r>
      <w:r>
        <w:t xml:space="preserve">that </w:t>
      </w:r>
      <w:r w:rsidRPr="00AF5BA1">
        <w:t>we will update the value of the expected inflation rate accordingly in the</w:t>
      </w:r>
      <w:r>
        <w:t xml:space="preserve"> final decision.</w:t>
      </w:r>
      <w:r>
        <w:rPr>
          <w:rStyle w:val="FootnoteReference"/>
        </w:rPr>
        <w:footnoteReference w:id="583"/>
      </w:r>
      <w:r>
        <w:t xml:space="preserve"> Consistent with our preliminary decision, our final decision reflects </w:t>
      </w:r>
      <w:r w:rsidR="00D0247E">
        <w:t>updated</w:t>
      </w:r>
      <w:r>
        <w:t xml:space="preserve"> RBA forecasts from May 2016.</w:t>
      </w:r>
      <w:r>
        <w:rPr>
          <w:rStyle w:val="FootnoteReference"/>
        </w:rPr>
        <w:footnoteReference w:id="584"/>
      </w:r>
      <w:r>
        <w:t xml:space="preserve"> </w:t>
      </w:r>
    </w:p>
    <w:p w:rsidR="00961F79" w:rsidRDefault="00961F79" w:rsidP="00961F79">
      <w:pPr>
        <w:pStyle w:val="Caption"/>
      </w:pPr>
      <w:bookmarkStart w:id="164" w:name="_Ref450910179"/>
      <w:r>
        <w:t xml:space="preserve">Table </w:t>
      </w:r>
      <w:r w:rsidRPr="00961F79">
        <w:fldChar w:fldCharType="begin"/>
      </w:r>
      <w:r>
        <w:instrText xml:space="preserve"> STYLEREF 1 \s </w:instrText>
      </w:r>
      <w:r w:rsidRPr="00961F79">
        <w:fldChar w:fldCharType="separate"/>
      </w:r>
      <w:r w:rsidR="00BA2E8E">
        <w:rPr>
          <w:noProof/>
        </w:rPr>
        <w:t>3</w:t>
      </w:r>
      <w:r w:rsidRPr="00961F79">
        <w:fldChar w:fldCharType="end"/>
      </w:r>
      <w:r>
        <w:noBreakHyphen/>
      </w:r>
      <w:r w:rsidRPr="00961F79">
        <w:fldChar w:fldCharType="begin"/>
      </w:r>
      <w:r>
        <w:instrText xml:space="preserve"> SEQ Table \* ARABIC \s 1 </w:instrText>
      </w:r>
      <w:r w:rsidRPr="00961F79">
        <w:fldChar w:fldCharType="separate"/>
      </w:r>
      <w:r w:rsidR="00BA2E8E">
        <w:rPr>
          <w:noProof/>
        </w:rPr>
        <w:t>23</w:t>
      </w:r>
      <w:r w:rsidRPr="00961F79">
        <w:fldChar w:fldCharType="end"/>
      </w:r>
      <w:bookmarkEnd w:id="164"/>
      <w:r>
        <w:tab/>
      </w:r>
      <w:r w:rsidRPr="00C66100">
        <w:t xml:space="preserve">AER </w:t>
      </w:r>
      <w:r>
        <w:t>estimate of expected inflation</w:t>
      </w:r>
      <w:r w:rsidRPr="00C66100">
        <w:t xml:space="preserve"> (per cent)</w:t>
      </w:r>
    </w:p>
    <w:tbl>
      <w:tblPr>
        <w:tblStyle w:val="AERtable-numbers"/>
        <w:tblW w:w="5000" w:type="pct"/>
        <w:tblLook w:val="04A0" w:firstRow="1" w:lastRow="0" w:firstColumn="1" w:lastColumn="0" w:noHBand="0" w:noVBand="1"/>
      </w:tblPr>
      <w:tblGrid>
        <w:gridCol w:w="2518"/>
        <w:gridCol w:w="1135"/>
        <w:gridCol w:w="1276"/>
        <w:gridCol w:w="1700"/>
        <w:gridCol w:w="2064"/>
      </w:tblGrid>
      <w:tr w:rsidR="00961F79" w:rsidRPr="00616FA2" w:rsidTr="009D3A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961F79" w:rsidRPr="00961F79" w:rsidRDefault="00961F79" w:rsidP="00961F79">
            <w:r>
              <w:t>Expected</w:t>
            </w:r>
            <w:r w:rsidRPr="00961F79">
              <w:t xml:space="preserve"> inflation</w:t>
            </w:r>
          </w:p>
        </w:tc>
        <w:tc>
          <w:tcPr>
            <w:tcW w:w="652" w:type="pct"/>
          </w:tcPr>
          <w:p w:rsidR="00961F79" w:rsidRPr="00961F79" w:rsidRDefault="00961F79" w:rsidP="00961F79">
            <w:pPr>
              <w:cnfStyle w:val="100000000000" w:firstRow="1" w:lastRow="0" w:firstColumn="0" w:lastColumn="0" w:oddVBand="0" w:evenVBand="0" w:oddHBand="0" w:evenHBand="0" w:firstRowFirstColumn="0" w:firstRowLastColumn="0" w:lastRowFirstColumn="0" w:lastRowLastColumn="0"/>
            </w:pPr>
            <w:r>
              <w:t>2016</w:t>
            </w:r>
          </w:p>
        </w:tc>
        <w:tc>
          <w:tcPr>
            <w:tcW w:w="734" w:type="pct"/>
          </w:tcPr>
          <w:p w:rsidR="00961F79" w:rsidRPr="00961F79" w:rsidRDefault="00961F79" w:rsidP="00961F79">
            <w:pPr>
              <w:cnfStyle w:val="100000000000" w:firstRow="1" w:lastRow="0" w:firstColumn="0" w:lastColumn="0" w:oddVBand="0" w:evenVBand="0" w:oddHBand="0" w:evenHBand="0" w:firstRowFirstColumn="0" w:firstRowLastColumn="0" w:lastRowFirstColumn="0" w:lastRowLastColumn="0"/>
            </w:pPr>
            <w:r>
              <w:t>2017</w:t>
            </w:r>
          </w:p>
        </w:tc>
        <w:tc>
          <w:tcPr>
            <w:tcW w:w="978" w:type="pct"/>
          </w:tcPr>
          <w:p w:rsidR="00961F79" w:rsidRPr="00961F79" w:rsidRDefault="00961F79" w:rsidP="00961F79">
            <w:pPr>
              <w:cnfStyle w:val="100000000000" w:firstRow="1" w:lastRow="0" w:firstColumn="0" w:lastColumn="0" w:oddVBand="0" w:evenVBand="0" w:oddHBand="0" w:evenHBand="0" w:firstRowFirstColumn="0" w:firstRowLastColumn="0" w:lastRowFirstColumn="0" w:lastRowLastColumn="0"/>
            </w:pPr>
            <w:r>
              <w:t>2018</w:t>
            </w:r>
            <w:r w:rsidRPr="00961F79">
              <w:t xml:space="preserve"> to 2025</w:t>
            </w:r>
          </w:p>
        </w:tc>
        <w:tc>
          <w:tcPr>
            <w:tcW w:w="1187" w:type="pct"/>
          </w:tcPr>
          <w:p w:rsidR="00961F79" w:rsidRPr="00961F79" w:rsidRDefault="00961F79" w:rsidP="00961F79">
            <w:pPr>
              <w:cnfStyle w:val="100000000000" w:firstRow="1" w:lastRow="0" w:firstColumn="0" w:lastColumn="0" w:oddVBand="0" w:evenVBand="0" w:oddHBand="0" w:evenHBand="0" w:firstRowFirstColumn="0" w:firstRowLastColumn="0" w:lastRowFirstColumn="0" w:lastRowLastColumn="0"/>
            </w:pPr>
            <w:r w:rsidRPr="00616FA2">
              <w:t xml:space="preserve">Geometric </w:t>
            </w:r>
            <w:r w:rsidRPr="00961F79">
              <w:t>average</w:t>
            </w:r>
          </w:p>
        </w:tc>
      </w:tr>
      <w:tr w:rsidR="00961F79" w:rsidRPr="00616FA2" w:rsidTr="009D3AFA">
        <w:tc>
          <w:tcPr>
            <w:cnfStyle w:val="001000000000" w:firstRow="0" w:lastRow="0" w:firstColumn="1" w:lastColumn="0" w:oddVBand="0" w:evenVBand="0" w:oddHBand="0" w:evenHBand="0" w:firstRowFirstColumn="0" w:firstRowLastColumn="0" w:lastRowFirstColumn="0" w:lastRowLastColumn="0"/>
            <w:tcW w:w="1448" w:type="pct"/>
          </w:tcPr>
          <w:p w:rsidR="00961F79" w:rsidRPr="00961F79" w:rsidRDefault="00961F79" w:rsidP="00961F79">
            <w:r w:rsidRPr="00AF5BA1">
              <w:t xml:space="preserve">AER </w:t>
            </w:r>
            <w:r w:rsidRPr="00961F79">
              <w:t>preliminary decision</w:t>
            </w:r>
          </w:p>
        </w:tc>
        <w:tc>
          <w:tcPr>
            <w:tcW w:w="652" w:type="pct"/>
          </w:tcPr>
          <w:p w:rsidR="00961F79" w:rsidRPr="00961F79" w:rsidRDefault="00961F79" w:rsidP="00961F79">
            <w:pPr>
              <w:cnfStyle w:val="000000000000" w:firstRow="0" w:lastRow="0" w:firstColumn="0" w:lastColumn="0" w:oddVBand="0" w:evenVBand="0" w:oddHBand="0" w:evenHBand="0" w:firstRowFirstColumn="0" w:firstRowLastColumn="0" w:lastRowFirstColumn="0" w:lastRowLastColumn="0"/>
            </w:pPr>
            <w:r>
              <w:t>2.</w:t>
            </w:r>
            <w:r w:rsidRPr="00961F79">
              <w:t>5</w:t>
            </w:r>
            <w:r w:rsidRPr="00961F79">
              <w:rPr>
                <w:rStyle w:val="FootnoteReference"/>
              </w:rPr>
              <w:t xml:space="preserve"> a</w:t>
            </w:r>
          </w:p>
        </w:tc>
        <w:tc>
          <w:tcPr>
            <w:tcW w:w="734" w:type="pct"/>
          </w:tcPr>
          <w:p w:rsidR="00961F79" w:rsidRPr="00961F79" w:rsidRDefault="00961F79" w:rsidP="00961F79">
            <w:pPr>
              <w:cnfStyle w:val="000000000000" w:firstRow="0" w:lastRow="0" w:firstColumn="0" w:lastColumn="0" w:oddVBand="0" w:evenVBand="0" w:oddHBand="0" w:evenHBand="0" w:firstRowFirstColumn="0" w:firstRowLastColumn="0" w:lastRowFirstColumn="0" w:lastRowLastColumn="0"/>
            </w:pPr>
            <w:r>
              <w:t>2.</w:t>
            </w:r>
            <w:r w:rsidRPr="00961F79">
              <w:t>5</w:t>
            </w:r>
            <w:r w:rsidRPr="00961F79">
              <w:rPr>
                <w:rStyle w:val="FootnoteReference"/>
              </w:rPr>
              <w:t xml:space="preserve"> a</w:t>
            </w:r>
          </w:p>
        </w:tc>
        <w:tc>
          <w:tcPr>
            <w:tcW w:w="978" w:type="pct"/>
          </w:tcPr>
          <w:p w:rsidR="00961F79" w:rsidRPr="00961F79" w:rsidRDefault="00961F79" w:rsidP="00961F79">
            <w:pPr>
              <w:cnfStyle w:val="000000000000" w:firstRow="0" w:lastRow="0" w:firstColumn="0" w:lastColumn="0" w:oddVBand="0" w:evenVBand="0" w:oddHBand="0" w:evenHBand="0" w:firstRowFirstColumn="0" w:firstRowLastColumn="0" w:lastRowFirstColumn="0" w:lastRowLastColumn="0"/>
            </w:pPr>
            <w:r w:rsidRPr="00AF5BA1">
              <w:t>2.5</w:t>
            </w:r>
          </w:p>
        </w:tc>
        <w:tc>
          <w:tcPr>
            <w:tcW w:w="1187" w:type="pct"/>
          </w:tcPr>
          <w:p w:rsidR="00961F79" w:rsidRPr="00961F79" w:rsidRDefault="00961F79" w:rsidP="00961F79">
            <w:pPr>
              <w:cnfStyle w:val="000000000000" w:firstRow="0" w:lastRow="0" w:firstColumn="0" w:lastColumn="0" w:oddVBand="0" w:evenVBand="0" w:oddHBand="0" w:evenHBand="0" w:firstRowFirstColumn="0" w:firstRowLastColumn="0" w:lastRowFirstColumn="0" w:lastRowLastColumn="0"/>
            </w:pPr>
            <w:r w:rsidRPr="00AF5BA1">
              <w:t>2.5</w:t>
            </w:r>
            <w:r w:rsidRPr="00961F79">
              <w:t>0</w:t>
            </w:r>
          </w:p>
        </w:tc>
      </w:tr>
      <w:tr w:rsidR="00961F79" w:rsidRPr="00616FA2" w:rsidTr="009D3A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pct"/>
          </w:tcPr>
          <w:p w:rsidR="00961F79" w:rsidRPr="00961F79" w:rsidRDefault="00961F79" w:rsidP="00961F79">
            <w:r>
              <w:t xml:space="preserve">AER </w:t>
            </w:r>
            <w:r w:rsidRPr="00961F79">
              <w:t>final decision update</w:t>
            </w:r>
          </w:p>
        </w:tc>
        <w:tc>
          <w:tcPr>
            <w:tcW w:w="652" w:type="pct"/>
          </w:tcPr>
          <w:p w:rsidR="00961F79" w:rsidRPr="00961F79" w:rsidRDefault="00961F79" w:rsidP="00961F79">
            <w:pPr>
              <w:cnfStyle w:val="000000010000" w:firstRow="0" w:lastRow="0" w:firstColumn="0" w:lastColumn="0" w:oddVBand="0" w:evenVBand="0" w:oddHBand="0" w:evenHBand="1" w:firstRowFirstColumn="0" w:firstRowLastColumn="0" w:lastRowFirstColumn="0" w:lastRowLastColumn="0"/>
            </w:pPr>
            <w:r>
              <w:t>1</w:t>
            </w:r>
            <w:r w:rsidRPr="00961F79">
              <w:t xml:space="preserve">.5 </w:t>
            </w:r>
            <w:r w:rsidRPr="00961F79">
              <w:rPr>
                <w:rStyle w:val="FootnoteReference"/>
              </w:rPr>
              <w:t>b</w:t>
            </w:r>
          </w:p>
        </w:tc>
        <w:tc>
          <w:tcPr>
            <w:tcW w:w="734" w:type="pct"/>
          </w:tcPr>
          <w:p w:rsidR="00961F79" w:rsidRPr="00961F79" w:rsidRDefault="00961F79" w:rsidP="00961F79">
            <w:pPr>
              <w:cnfStyle w:val="000000010000" w:firstRow="0" w:lastRow="0" w:firstColumn="0" w:lastColumn="0" w:oddVBand="0" w:evenVBand="0" w:oddHBand="0" w:evenHBand="1" w:firstRowFirstColumn="0" w:firstRowLastColumn="0" w:lastRowFirstColumn="0" w:lastRowLastColumn="0"/>
            </w:pPr>
            <w:r>
              <w:t>2.</w:t>
            </w:r>
            <w:r w:rsidRPr="00961F79">
              <w:t xml:space="preserve">0 </w:t>
            </w:r>
            <w:r w:rsidRPr="00961F79">
              <w:rPr>
                <w:rStyle w:val="FootnoteReference"/>
              </w:rPr>
              <w:t>b</w:t>
            </w:r>
          </w:p>
        </w:tc>
        <w:tc>
          <w:tcPr>
            <w:tcW w:w="978" w:type="pct"/>
          </w:tcPr>
          <w:p w:rsidR="00961F79" w:rsidRPr="00961F79" w:rsidRDefault="00961F79" w:rsidP="00961F79">
            <w:pPr>
              <w:cnfStyle w:val="000000010000" w:firstRow="0" w:lastRow="0" w:firstColumn="0" w:lastColumn="0" w:oddVBand="0" w:evenVBand="0" w:oddHBand="0" w:evenHBand="1" w:firstRowFirstColumn="0" w:firstRowLastColumn="0" w:lastRowFirstColumn="0" w:lastRowLastColumn="0"/>
            </w:pPr>
            <w:r>
              <w:t>2.5</w:t>
            </w:r>
          </w:p>
        </w:tc>
        <w:tc>
          <w:tcPr>
            <w:tcW w:w="1187" w:type="pct"/>
          </w:tcPr>
          <w:p w:rsidR="00961F79" w:rsidRPr="00961F79" w:rsidRDefault="00961F79" w:rsidP="00961F79">
            <w:pPr>
              <w:cnfStyle w:val="000000010000" w:firstRow="0" w:lastRow="0" w:firstColumn="0" w:lastColumn="0" w:oddVBand="0" w:evenVBand="0" w:oddHBand="0" w:evenHBand="1" w:firstRowFirstColumn="0" w:firstRowLastColumn="0" w:lastRowFirstColumn="0" w:lastRowLastColumn="0"/>
            </w:pPr>
            <w:r>
              <w:t>2.</w:t>
            </w:r>
            <w:r w:rsidRPr="00961F79">
              <w:t>32</w:t>
            </w:r>
          </w:p>
        </w:tc>
      </w:tr>
    </w:tbl>
    <w:p w:rsidR="00961F79" w:rsidRDefault="00961F79" w:rsidP="00961F79">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August 2015, p. 67;</w:t>
      </w:r>
      <w:r w:rsidRPr="001372F5">
        <w:t xml:space="preserve"> </w:t>
      </w:r>
      <w:r w:rsidRPr="00A00BC9">
        <w:t xml:space="preserve">RBA, </w:t>
      </w:r>
      <w:r w:rsidRPr="00A00BC9">
        <w:rPr>
          <w:rStyle w:val="AERtextitalic"/>
        </w:rPr>
        <w:t>Statement on Monetary Policy</w:t>
      </w:r>
      <w:r>
        <w:t>, May 2016, p. 61</w:t>
      </w:r>
      <w:r w:rsidRPr="001372F5">
        <w:t>.</w:t>
      </w:r>
    </w:p>
    <w:p w:rsidR="00961F79" w:rsidRDefault="00961F79" w:rsidP="00961F79">
      <w:pPr>
        <w:pStyle w:val="AERtablesource"/>
      </w:pPr>
      <w:r w:rsidRPr="008234EE">
        <w:t>(</w:t>
      </w:r>
      <w:r>
        <w:t>a</w:t>
      </w:r>
      <w:r w:rsidRPr="008234EE">
        <w:t xml:space="preserve">) </w:t>
      </w:r>
      <w:r>
        <w:tab/>
        <w:t>In August 2015, the RBA published a range</w:t>
      </w:r>
      <w:r w:rsidRPr="008234EE">
        <w:t xml:space="preserve"> of </w:t>
      </w:r>
      <w:r>
        <w:t>2–3 per cent for i</w:t>
      </w:r>
      <w:r w:rsidRPr="008234EE">
        <w:t xml:space="preserve">ts </w:t>
      </w:r>
      <w:r>
        <w:t>December</w:t>
      </w:r>
      <w:r w:rsidRPr="00AF5BA1">
        <w:t xml:space="preserve"> 2016 and </w:t>
      </w:r>
      <w:r>
        <w:t>December</w:t>
      </w:r>
      <w:r w:rsidRPr="00AF5BA1">
        <w:t xml:space="preserve"> 2017 </w:t>
      </w:r>
      <w:r>
        <w:t>CPI inflation forecasts respectively</w:t>
      </w:r>
      <w:r w:rsidRPr="008234EE">
        <w:t xml:space="preserve">. </w:t>
      </w:r>
      <w:r w:rsidRPr="00AF5BA1">
        <w:t>Where the RBA published ranges, we select the mid-points</w:t>
      </w:r>
      <w:r>
        <w:t>.</w:t>
      </w:r>
    </w:p>
    <w:p w:rsidR="00961F79" w:rsidRDefault="00961F79" w:rsidP="00961F79">
      <w:pPr>
        <w:pStyle w:val="AERtablesource"/>
      </w:pPr>
      <w:r w:rsidRPr="008234EE">
        <w:t>(</w:t>
      </w:r>
      <w:r>
        <w:t>b</w:t>
      </w:r>
      <w:r w:rsidRPr="008234EE">
        <w:t xml:space="preserve">) </w:t>
      </w:r>
      <w:r>
        <w:tab/>
        <w:t>In May 2016</w:t>
      </w:r>
      <w:r w:rsidRPr="00AF5BA1">
        <w:t xml:space="preserve">, the RBA published a range of </w:t>
      </w:r>
      <w:r>
        <w:t xml:space="preserve">1–2 </w:t>
      </w:r>
      <w:r w:rsidRPr="00AF5BA1">
        <w:t xml:space="preserve">per cent and a range of </w:t>
      </w:r>
      <w:r>
        <w:t xml:space="preserve">1.5–2.5 </w:t>
      </w:r>
      <w:r w:rsidRPr="00AF5BA1">
        <w:t xml:space="preserve">per cent for its </w:t>
      </w:r>
      <w:r>
        <w:t>December</w:t>
      </w:r>
      <w:r w:rsidRPr="00AF5BA1">
        <w:t xml:space="preserve"> 2016 and </w:t>
      </w:r>
      <w:r>
        <w:t>December</w:t>
      </w:r>
      <w:r w:rsidRPr="00AF5BA1">
        <w:t xml:space="preserve"> 2017 CPI inflation forecasts respectively. </w:t>
      </w:r>
      <w:r>
        <w:t>We select</w:t>
      </w:r>
      <w:r w:rsidRPr="008234EE">
        <w:t xml:space="preserve"> the mid-poin</w:t>
      </w:r>
      <w:r>
        <w:t>t from this range.</w:t>
      </w:r>
    </w:p>
    <w:p w:rsidR="00961F79" w:rsidRDefault="00961F79" w:rsidP="00961F79">
      <w:r>
        <w:t>CitiPower proposed the current method</w:t>
      </w:r>
      <w:r w:rsidRPr="00E04B8A">
        <w:t xml:space="preserve"> </w:t>
      </w:r>
      <w:r>
        <w:t>in its initial regulatory proposal. CitiPower also submitted that, '</w:t>
      </w:r>
      <w:r w:rsidRPr="006628D6">
        <w:t>expectations concerning inflation appear to be</w:t>
      </w:r>
      <w:r>
        <w:t xml:space="preserve"> </w:t>
      </w:r>
      <w:r w:rsidRPr="006628D6">
        <w:t>volatile and it may be that the best method for estimating inflation may evolve during the period that our</w:t>
      </w:r>
      <w:r>
        <w:t xml:space="preserve"> </w:t>
      </w:r>
      <w:r w:rsidRPr="006628D6">
        <w:t>revenue proposal is being considered</w:t>
      </w:r>
      <w:r>
        <w:t>'.</w:t>
      </w:r>
      <w:r>
        <w:rPr>
          <w:rStyle w:val="FootnoteReference"/>
        </w:rPr>
        <w:footnoteReference w:id="585"/>
      </w:r>
      <w:r>
        <w:t xml:space="preserve"> The initial regulatory proposal did not explain this further or indicate how 'the best method' might evolve.</w:t>
      </w:r>
    </w:p>
    <w:p w:rsidR="00961F79" w:rsidRDefault="00961F79" w:rsidP="00961F79">
      <w:r>
        <w:t>CitiPower accepted the current method in its revised regulatory proposal.</w:t>
      </w:r>
      <w:r>
        <w:rPr>
          <w:rStyle w:val="FootnoteReference"/>
        </w:rPr>
        <w:footnoteReference w:id="586"/>
      </w:r>
      <w:r>
        <w:t xml:space="preserve"> However, it also expressed the view that CEG's estimation approach would be 'superior' and that 1.94 per cent would be the 'best estimate'.</w:t>
      </w:r>
      <w:r>
        <w:rPr>
          <w:rStyle w:val="FootnoteReference"/>
        </w:rPr>
        <w:footnoteReference w:id="587"/>
      </w:r>
      <w:r>
        <w:t xml:space="preserve"> CitiPower submitted a CEG report that provided estimates of expected inflation for five and 10 years</w:t>
      </w:r>
      <w:r w:rsidRPr="007C3A80">
        <w:t xml:space="preserve"> </w:t>
      </w:r>
      <w:r>
        <w:t>using a combination of observed inflation and its application of the breakeven approach, and deriving a 60/40 weighted average of these five and 10 year estimates.</w:t>
      </w:r>
      <w:r>
        <w:rPr>
          <w:rStyle w:val="FootnoteReference"/>
        </w:rPr>
        <w:footnoteReference w:id="588"/>
      </w:r>
      <w:r>
        <w:t xml:space="preserve"> </w:t>
      </w:r>
    </w:p>
    <w:p w:rsidR="00961F79" w:rsidRDefault="00961F79" w:rsidP="00961F79">
      <w:r>
        <w:t>Consistent with CitiPower's initial and revised proposals, as well as our preliminary decision, we apply the current method. This is because we consider that the only relevant inflation expectation is one that matches the term of our allowed rate of return (that is, 10 years). We do not consider CEG's application of the breakeven approach appropriately adjusts for bias. Further, we do not consider that a breakeven approach using indexed CGSs would necessarily produce better estimates of expected inflation than the current method (or another estimation method, such a one based on inflation swaps).</w:t>
      </w:r>
      <w:r>
        <w:rPr>
          <w:rStyle w:val="FootnoteReference"/>
        </w:rPr>
        <w:footnoteReference w:id="589"/>
      </w:r>
    </w:p>
    <w:p w:rsidR="00961F79" w:rsidRPr="00961F79" w:rsidRDefault="00961F79" w:rsidP="00961F79">
      <w:r>
        <w:t>It is also worth noting that</w:t>
      </w:r>
      <w:r w:rsidRPr="00961F79">
        <w:t xml:space="preserve"> </w:t>
      </w:r>
      <w:r w:rsidR="009577C6">
        <w:t>e</w:t>
      </w:r>
      <w:r w:rsidR="009577C6" w:rsidRPr="00B84F03">
        <w:t xml:space="preserve">ven if we considered an alternative approach could be preferable </w:t>
      </w:r>
      <w:r w:rsidRPr="00961F79">
        <w:t>(which we do not), the method for estimating expected inflation should apply to all service providers as inflation expectations are not business-specific. As such, if we consider switching approaches in the future, this should be done in broad consultation with all stakeholders. Moreover, the method for estimating expected inflation is defined in the post-tax revenue model (PTRM) so changing this should be done in accordance with distribution consultation procedures.</w:t>
      </w:r>
      <w:r w:rsidRPr="00961F79">
        <w:rPr>
          <w:rStyle w:val="FootnoteReference"/>
        </w:rPr>
        <w:t xml:space="preserve"> </w:t>
      </w:r>
      <w:r w:rsidRPr="00961F79">
        <w:rPr>
          <w:rStyle w:val="FootnoteReference"/>
        </w:rPr>
        <w:footnoteReference w:id="590"/>
      </w:r>
    </w:p>
    <w:p w:rsidR="00961F79" w:rsidRDefault="00961F79" w:rsidP="00961F79">
      <w:pPr>
        <w:pStyle w:val="HeadingBoldBlue"/>
      </w:pPr>
      <w:bookmarkStart w:id="165" w:name="_Toc450909483"/>
      <w:r>
        <w:t>Response to CEG's approach</w:t>
      </w:r>
      <w:bookmarkEnd w:id="165"/>
    </w:p>
    <w:p w:rsidR="00961F79" w:rsidRDefault="00961F79" w:rsidP="00961F79">
      <w:r>
        <w:t>While CitiPower accepted the current method, it also expressed the view that CEG's estimation approach would be 'superior' and that 1.94 per cent would be the 'best estimate'.</w:t>
      </w:r>
      <w:r>
        <w:rPr>
          <w:rStyle w:val="FootnoteReference"/>
        </w:rPr>
        <w:footnoteReference w:id="591"/>
      </w:r>
      <w:r>
        <w:t xml:space="preserve"> We do not consider that CEG's approach produces better estimates of expected inflation than the current method. CEG's approach entails:</w:t>
      </w:r>
      <w:r>
        <w:rPr>
          <w:rStyle w:val="FootnoteReference"/>
        </w:rPr>
        <w:footnoteReference w:id="592"/>
      </w:r>
    </w:p>
    <w:p w:rsidR="00961F79" w:rsidRDefault="00961F79" w:rsidP="00961F79">
      <w:pPr>
        <w:pStyle w:val="AERbulletlistfirststyle"/>
      </w:pPr>
      <w:r>
        <w:t>On the basis that CEG thinks that, for the return on debt, we should use a five year inflation expectation matching the regulatory control period:</w:t>
      </w:r>
    </w:p>
    <w:p w:rsidR="00961F79" w:rsidRDefault="00961F79" w:rsidP="00961F79">
      <w:pPr>
        <w:pStyle w:val="AERbulletlistsecondstyle"/>
      </w:pPr>
      <w:r>
        <w:t>Adopting a 60/40 weighted average estimate of five</w:t>
      </w:r>
      <w:r w:rsidRPr="00537367">
        <w:t xml:space="preserve"> and 10 year inflation</w:t>
      </w:r>
      <w:r>
        <w:t xml:space="preserve"> expectations, rather than a 10 year inflation expectation.</w:t>
      </w:r>
    </w:p>
    <w:p w:rsidR="00961F79" w:rsidRDefault="00961F79" w:rsidP="00961F79">
      <w:pPr>
        <w:pStyle w:val="AERbulletlistsecondstyle"/>
      </w:pPr>
      <w:r>
        <w:t>Where available, using observed inflation in its estimate of a five year inflation expectation.</w:t>
      </w:r>
    </w:p>
    <w:p w:rsidR="00961F79" w:rsidRDefault="00961F79" w:rsidP="00961F79">
      <w:pPr>
        <w:pStyle w:val="AERbulletlistfirststyle"/>
      </w:pPr>
      <w:r>
        <w:t xml:space="preserve">Estimating expected inflation using its application of the breakeven approach, rather than using the current method based on RBA forecasts. </w:t>
      </w:r>
    </w:p>
    <w:p w:rsidR="00961F79" w:rsidRPr="00961F79" w:rsidRDefault="00961F79" w:rsidP="00961F79">
      <w:r>
        <w:t>We do not agree with</w:t>
      </w:r>
      <w:r w:rsidRPr="00961F79">
        <w:t xml:space="preserve"> CEG's opinion that the relevant estimate of expected inflation for the return on debt is the regulatory control period. </w:t>
      </w:r>
      <w:r w:rsidRPr="00961F79">
        <w:rPr>
          <w:rStyle w:val="AERbody"/>
        </w:rPr>
        <w:t>Rather, we find that t</w:t>
      </w:r>
      <w:r w:rsidRPr="00961F79">
        <w:t>he relevant estimate of expected inflation is for a 10 year horizon.</w:t>
      </w:r>
    </w:p>
    <w:p w:rsidR="00961F79" w:rsidRPr="00961F79" w:rsidRDefault="00961F79" w:rsidP="00961F79">
      <w:r>
        <w:t>We are not satisfied that using the breakeven approach would improve</w:t>
      </w:r>
      <w:r w:rsidRPr="00961F79">
        <w:t xml:space="preserve"> the quality of our estimates of expected inflation. We consider there are limitations to the breakeven approach that CitiPower has not discussed.</w:t>
      </w:r>
    </w:p>
    <w:p w:rsidR="00961F79" w:rsidRPr="00961F79" w:rsidRDefault="00961F79" w:rsidP="00961F79">
      <w:r>
        <w:t>We elaborate on these positons in the following sections.</w:t>
      </w:r>
    </w:p>
    <w:p w:rsidR="00961F79" w:rsidRDefault="00961F79" w:rsidP="00961F79">
      <w:pPr>
        <w:pStyle w:val="HeadingBoldItalic"/>
      </w:pPr>
      <w:r>
        <w:t>An expectation matching the regulatory control period</w:t>
      </w:r>
    </w:p>
    <w:p w:rsidR="00961F79" w:rsidRDefault="00961F79" w:rsidP="00961F79">
      <w:r>
        <w:t>We do not agree with CEG's opinion that the relevant estimate of expected inflation for the return on debt is the regulatory control period. As such, we do not accept with CEG's suggestion to adopt an estimate that is 60/40 weighted average of five</w:t>
      </w:r>
      <w:r w:rsidRPr="00537367">
        <w:t xml:space="preserve"> and 10 year </w:t>
      </w:r>
      <w:r>
        <w:t xml:space="preserve">expected </w:t>
      </w:r>
      <w:r w:rsidRPr="00537367">
        <w:t>inflation</w:t>
      </w:r>
      <w:r>
        <w:t>, using observed inflation where available to calculate the five year expectation.</w:t>
      </w:r>
      <w:r>
        <w:rPr>
          <w:rStyle w:val="FootnoteReference"/>
        </w:rPr>
        <w:footnoteReference w:id="593"/>
      </w:r>
    </w:p>
    <w:p w:rsidR="00961F79" w:rsidRDefault="00961F79" w:rsidP="00961F79">
      <w:r>
        <w:t>It is both internally consistent and necessary to use a 10 year inflation expectation to convert a nominal return on debt with a 10 year term to a real return on debt with a 10 year term.</w:t>
      </w:r>
      <w:r w:rsidRPr="00054852">
        <w:t xml:space="preserve"> </w:t>
      </w:r>
      <w:r>
        <w:t>Debt contracts are based on prices investors are willing to pay. These prices reflect investor expectations of the risk free rate, debt risk premium and inflation over their investment horizon at the time they raise this debt. Service providers, including CitiPower agree that this horizon (or term) for the return on debt is 10 years.</w:t>
      </w:r>
      <w:r>
        <w:rPr>
          <w:rStyle w:val="FootnoteReference"/>
        </w:rPr>
        <w:footnoteReference w:id="594"/>
      </w:r>
      <w:r>
        <w:t xml:space="preserve"> Therefore, while debt contracts may fix the nominal cost of debt, this cost incorporates investor expectations of inflation over the next 10 years.</w:t>
      </w:r>
    </w:p>
    <w:p w:rsidR="00961F79" w:rsidRPr="00C94E22" w:rsidRDefault="00961F79" w:rsidP="00961F79">
      <w:r>
        <w:t>Our position is consistent with what CEG has supported in the past</w:t>
      </w:r>
      <w:r w:rsidRPr="007639D1">
        <w:t xml:space="preserve"> </w:t>
      </w:r>
      <w:r>
        <w:t>and it is not clear to us why it has since changed its position. In 2008, CEG submitted that the correct measure of expected inflation for converting nominal returns into real returns is</w:t>
      </w:r>
      <w:r w:rsidRPr="00062636">
        <w:t xml:space="preserve"> expected inflation over the life of the 10 year nominal CGS bond from which the inflation estimate is being removed.</w:t>
      </w:r>
      <w:r w:rsidRPr="00062636">
        <w:rPr>
          <w:rStyle w:val="FootnoteReference"/>
        </w:rPr>
        <w:footnoteReference w:id="595"/>
      </w:r>
      <w:r w:rsidRPr="00062636">
        <w:t xml:space="preserve"> While we no longer explicitly use 10 year nominal CGS bonds to estimate return on debt, our estimate of a 10 year forward looking return on debt implicitly reflect</w:t>
      </w:r>
      <w:r>
        <w:t xml:space="preserve">s </w:t>
      </w:r>
      <w:r w:rsidRPr="00062636">
        <w:t>a 10 year forward</w:t>
      </w:r>
      <w:r>
        <w:t xml:space="preserve"> looking nominal risk free rate. We can express this </w:t>
      </w:r>
      <w:r w:rsidRPr="00C94E22">
        <w:t>algebraically as:</w:t>
      </w:r>
    </w:p>
    <w:p w:rsidR="00961F79" w:rsidRPr="00961F79" w:rsidRDefault="00961F79" w:rsidP="00961F79">
      <m:oMathPara>
        <m:oMath>
          <m:r>
            <w:rPr>
              <w:rFonts w:ascii="Cambria Math" w:hAnsi="Cambria Math"/>
            </w:rPr>
            <m:t>Expected</m:t>
          </m:r>
          <m:d>
            <m:dPr>
              <m:begChr m:val="["/>
              <m:endChr m:val="]"/>
              <m:ctrlPr>
                <w:rPr>
                  <w:rFonts w:ascii="Cambria Math" w:hAnsi="Cambria Math"/>
                </w:rPr>
              </m:ctrlPr>
            </m:dPr>
            <m:e>
              <m:r>
                <w:rPr>
                  <w:rFonts w:ascii="Cambria Math" w:hAnsi="Cambria Math"/>
                </w:rPr>
                <m:t>RoD</m:t>
              </m:r>
              <m:r>
                <m:rPr>
                  <m:sty m:val="p"/>
                </m:rPr>
                <w:rPr>
                  <w:rFonts w:ascii="Cambria Math" w:hAnsi="Cambria Math"/>
                </w:rPr>
                <m:t xml:space="preserve"> </m:t>
              </m:r>
              <m:r>
                <w:rPr>
                  <w:rStyle w:val="AERsubscript"/>
                  <w:rFonts w:ascii="Cambria Math" w:hAnsi="Cambria Math"/>
                </w:rPr>
                <m:t>nominal,10 years</m:t>
              </m:r>
            </m:e>
          </m:d>
          <m:r>
            <m:rPr>
              <m:sty m:val="p"/>
            </m:rPr>
            <w:rPr>
              <w:rFonts w:ascii="Cambria Math" w:hAnsi="Cambria Math"/>
            </w:rPr>
            <m:t>=</m:t>
          </m:r>
          <m:r>
            <w:rPr>
              <w:rFonts w:ascii="Cambria Math" w:hAnsi="Cambria Math"/>
            </w:rPr>
            <m:t>Expected</m:t>
          </m:r>
          <m:r>
            <m:rPr>
              <m:sty m:val="p"/>
            </m:rPr>
            <w:rPr>
              <w:rFonts w:ascii="Cambria Math" w:hAnsi="Cambria Math"/>
            </w:rPr>
            <m:t xml:space="preserve"> [</m:t>
          </m:r>
          <m:r>
            <w:rPr>
              <w:rFonts w:ascii="Cambria Math" w:hAnsi="Cambria Math"/>
            </w:rPr>
            <m:t>rf</m:t>
          </m:r>
          <m:r>
            <m:rPr>
              <m:sty m:val="p"/>
            </m:rPr>
            <w:rPr>
              <w:rFonts w:ascii="Cambria Math" w:hAnsi="Cambria Math"/>
            </w:rPr>
            <m:t>]</m:t>
          </m:r>
          <m:r>
            <w:rPr>
              <w:rStyle w:val="AERsubscript"/>
              <w:rFonts w:ascii="Cambria Math" w:hAnsi="Cambria Math"/>
            </w:rPr>
            <m:t xml:space="preserve"> nominal, 10 years</m:t>
          </m:r>
          <m:r>
            <m:rPr>
              <m:sty m:val="p"/>
            </m:rPr>
            <w:rPr>
              <w:rFonts w:ascii="Cambria Math" w:hAnsi="Cambria Math"/>
            </w:rPr>
            <m:t>+</m:t>
          </m:r>
          <m:r>
            <w:rPr>
              <w:rFonts w:ascii="Cambria Math" w:hAnsi="Cambria Math"/>
            </w:rPr>
            <m:t>Expected</m:t>
          </m:r>
          <m:r>
            <m:rPr>
              <m:sty m:val="p"/>
            </m:rPr>
            <w:rPr>
              <w:rFonts w:ascii="Cambria Math" w:hAnsi="Cambria Math"/>
            </w:rPr>
            <m:t>[</m:t>
          </m:r>
          <m:r>
            <w:rPr>
              <w:rFonts w:ascii="Cambria Math" w:hAnsi="Cambria Math"/>
            </w:rPr>
            <m:t>DRP</m:t>
          </m:r>
          <m:r>
            <m:rPr>
              <m:sty m:val="p"/>
            </m:rPr>
            <w:rPr>
              <w:rFonts w:ascii="Cambria Math" w:hAnsi="Cambria Math"/>
            </w:rPr>
            <m:t xml:space="preserve"> </m:t>
          </m:r>
          <m:r>
            <w:rPr>
              <w:rStyle w:val="AERsubscript"/>
              <w:rFonts w:ascii="Cambria Math" w:hAnsi="Cambria Math"/>
            </w:rPr>
            <m:t>10 years</m:t>
          </m:r>
          <m:r>
            <m:rPr>
              <m:sty m:val="p"/>
            </m:rPr>
            <w:rPr>
              <w:rFonts w:ascii="Cambria Math" w:hAnsi="Cambria Math"/>
            </w:rPr>
            <m:t>]</m:t>
          </m:r>
        </m:oMath>
      </m:oMathPara>
    </w:p>
    <w:p w:rsidR="00961F79" w:rsidRDefault="00961F79" w:rsidP="00961F79">
      <w:pPr>
        <w:pStyle w:val="AERtablesource"/>
      </w:pPr>
      <w:r>
        <w:t>Where:</w:t>
      </w:r>
      <w:r>
        <w:tab/>
        <w:t>RoD = Return on debt</w:t>
      </w:r>
    </w:p>
    <w:p w:rsidR="00961F79" w:rsidRDefault="00961F79" w:rsidP="00961F79">
      <w:pPr>
        <w:pStyle w:val="AERtablesource"/>
      </w:pPr>
      <w:r>
        <w:tab/>
        <w:t xml:space="preserve"> rf = risk free rate</w:t>
      </w:r>
    </w:p>
    <w:p w:rsidR="00961F79" w:rsidRDefault="00961F79" w:rsidP="00961F79">
      <w:pPr>
        <w:pStyle w:val="AERtablesource"/>
      </w:pPr>
      <w:r>
        <w:tab/>
        <w:t xml:space="preserve"> DRP = debt risk premium</w:t>
      </w:r>
    </w:p>
    <w:p w:rsidR="00961F79" w:rsidRPr="00961F79" w:rsidRDefault="00961F79" w:rsidP="00961F79">
      <w:r>
        <w:t>Our position is also consistent with what NERA</w:t>
      </w:r>
      <w:r w:rsidRPr="00961F79">
        <w:t xml:space="preserve"> has advised service providers in the past when it submitted:</w:t>
      </w:r>
      <w:r w:rsidRPr="00961F79">
        <w:rPr>
          <w:rStyle w:val="FootnoteReference"/>
        </w:rPr>
        <w:footnoteReference w:id="596"/>
      </w:r>
    </w:p>
    <w:p w:rsidR="00961F79" w:rsidRDefault="00961F79" w:rsidP="00961F79">
      <w:pPr>
        <w:pStyle w:val="AERquote"/>
      </w:pPr>
      <w:r w:rsidRPr="00822045">
        <w:t xml:space="preserve">inflation rate forecast horizon should match the term of the nominal government bond rate </w:t>
      </w:r>
      <w:r>
        <w:t>[that is,10 years]</w:t>
      </w:r>
      <w:r w:rsidRPr="00822045">
        <w:rPr>
          <w:rStyle w:val="FootnoteReference"/>
        </w:rPr>
        <w:t xml:space="preserve"> </w:t>
      </w:r>
      <w:r w:rsidRPr="00822045">
        <w:t>used in the calculation of the weighted average cost of capital (WACC). This practice is consistent with the fundamental principle established by the Fisher equation which in effect states that the nominal bond rate encapsulates the market’s expectations of the inflation that is expected to prevail over the life of the security in question.</w:t>
      </w:r>
    </w:p>
    <w:p w:rsidR="00961F79" w:rsidRDefault="00961F79" w:rsidP="00961F79">
      <w:pPr>
        <w:pStyle w:val="HeadingBoldItalic"/>
      </w:pPr>
      <w:r>
        <w:t>The breakeven approach</w:t>
      </w:r>
    </w:p>
    <w:p w:rsidR="00961F79" w:rsidRPr="00961F79" w:rsidRDefault="00961F79" w:rsidP="00961F79">
      <w:r>
        <w:t xml:space="preserve">Our final decision is to apply the current </w:t>
      </w:r>
      <w:r w:rsidRPr="00961F79">
        <w:t>method rather than to use CEG's breakeven estimates. Even though we recognise there may be benefits to using a breakeven approach, we also recognise:</w:t>
      </w:r>
    </w:p>
    <w:p w:rsidR="00961F79" w:rsidRDefault="00961F79" w:rsidP="00961F79">
      <w:pPr>
        <w:pStyle w:val="AERbulletlistfirststyle"/>
      </w:pPr>
      <w:r>
        <w:t>There are strengths and limitations to both the current method and breakeven approaches.</w:t>
      </w:r>
      <w:r w:rsidRPr="00A476C5">
        <w:t xml:space="preserve"> </w:t>
      </w:r>
      <w:r>
        <w:t>Given the information currently before us, we are not satisfied that changing our approach would improve our estimates of expected inflation.</w:t>
      </w:r>
    </w:p>
    <w:p w:rsidR="00961F79" w:rsidRPr="005F5142" w:rsidRDefault="00961F79" w:rsidP="00961F79">
      <w:pPr>
        <w:pStyle w:val="AERbulletlistfirststyle"/>
      </w:pPr>
      <w:r w:rsidRPr="005F5142">
        <w:t xml:space="preserve">There are clear limitations to </w:t>
      </w:r>
      <w:r>
        <w:t>using</w:t>
      </w:r>
      <w:r w:rsidRPr="005F5142">
        <w:t xml:space="preserve"> breakeven approach</w:t>
      </w:r>
      <w:r>
        <w:t>es</w:t>
      </w:r>
      <w:r w:rsidRPr="005F5142">
        <w:t xml:space="preserve"> that result in biase</w:t>
      </w:r>
      <w:r>
        <w:t>d estimates of expected inflation</w:t>
      </w:r>
      <w:r w:rsidRPr="005F5142">
        <w:t xml:space="preserve"> unless particular adjustments are made to these estimates. </w:t>
      </w:r>
      <w:r>
        <w:t>CitiPower</w:t>
      </w:r>
      <w:r w:rsidRPr="005F5142">
        <w:t xml:space="preserve"> has not put any material before us to discuss these limitations or propose how </w:t>
      </w:r>
      <w:r>
        <w:t>to adjust for them</w:t>
      </w:r>
      <w:r w:rsidRPr="005F5142">
        <w:t xml:space="preserve">. </w:t>
      </w:r>
    </w:p>
    <w:p w:rsidR="00961F79" w:rsidRDefault="00961F79" w:rsidP="00961F79">
      <w:pPr>
        <w:pStyle w:val="AERbulletlistfirststyle"/>
      </w:pPr>
      <w:r>
        <w:t>Market imperfections can undermine the ability of breakeven approaches to estimate the market's inflation expectations. CEG recognises this in its recent advice.</w:t>
      </w:r>
      <w:r>
        <w:rPr>
          <w:rStyle w:val="FootnoteReference"/>
        </w:rPr>
        <w:footnoteReference w:id="597"/>
      </w:r>
      <w:r>
        <w:t xml:space="preserve"> It has also recognised this in the past when advising that it was generally reasonable to use RBA forecasts.</w:t>
      </w:r>
      <w:r>
        <w:rPr>
          <w:rStyle w:val="FootnoteReference"/>
        </w:rPr>
        <w:footnoteReference w:id="598"/>
      </w:r>
      <w:r>
        <w:t xml:space="preserve"> CEG also advised that its estimate of expected inflation using the breakeven approach (at that time) was, 'at odds with credible forecasts by the RBA and all other macro-economic experts'.</w:t>
      </w:r>
      <w:r>
        <w:rPr>
          <w:rStyle w:val="FootnoteReference"/>
        </w:rPr>
        <w:footnoteReference w:id="599"/>
      </w:r>
      <w:r>
        <w:t xml:space="preserve"> While CEG has indicated that this is not a material concern in the current market, we find its analysis unconvincing for reasons discussed below.</w:t>
      </w:r>
    </w:p>
    <w:p w:rsidR="00961F79" w:rsidRDefault="00961F79" w:rsidP="00961F79">
      <w:pPr>
        <w:pStyle w:val="HeadingItalic"/>
      </w:pPr>
      <w:r>
        <w:t xml:space="preserve">Changing approaches may not improve estimates </w:t>
      </w:r>
    </w:p>
    <w:p w:rsidR="00961F79" w:rsidRPr="00961F79" w:rsidRDefault="00961F79" w:rsidP="00961F79">
      <w:r w:rsidRPr="00C554DC">
        <w:t>We</w:t>
      </w:r>
      <w:r w:rsidRPr="00961F79">
        <w:t xml:space="preserve"> do not consider that reverting to a breakeven approach is likely to improve our estimates of expected inflation. We recognise that both the current method and breakeven approaches have benefits and limitations, as summarised in </w:t>
      </w:r>
      <w:r w:rsidRPr="00961F79">
        <w:fldChar w:fldCharType="begin"/>
      </w:r>
      <w:r w:rsidRPr="00961F79">
        <w:instrText xml:space="preserve"> REF  _Ref450910228 \* Lower \h </w:instrText>
      </w:r>
      <w:r w:rsidRPr="00961F79">
        <w:fldChar w:fldCharType="separate"/>
      </w:r>
      <w:r w:rsidR="00BA2E8E">
        <w:t xml:space="preserve">table </w:t>
      </w:r>
      <w:r w:rsidR="00BA2E8E">
        <w:rPr>
          <w:noProof/>
        </w:rPr>
        <w:t>3</w:t>
      </w:r>
      <w:r w:rsidR="00BA2E8E">
        <w:noBreakHyphen/>
      </w:r>
      <w:r w:rsidR="00BA2E8E">
        <w:rPr>
          <w:noProof/>
        </w:rPr>
        <w:t>24</w:t>
      </w:r>
      <w:r w:rsidRPr="00961F79">
        <w:fldChar w:fldCharType="end"/>
      </w:r>
      <w:r w:rsidRPr="00961F79">
        <w:t>.</w:t>
      </w:r>
    </w:p>
    <w:p w:rsidR="00961F79" w:rsidRDefault="00961F79" w:rsidP="00961F79">
      <w:pPr>
        <w:pStyle w:val="Caption"/>
      </w:pPr>
      <w:bookmarkStart w:id="166" w:name="_Ref450910228"/>
      <w:r>
        <w:t xml:space="preserve">Table </w:t>
      </w:r>
      <w:r w:rsidRPr="00961F79">
        <w:fldChar w:fldCharType="begin"/>
      </w:r>
      <w:r>
        <w:instrText xml:space="preserve"> STYLEREF 1 \s </w:instrText>
      </w:r>
      <w:r w:rsidRPr="00961F79">
        <w:fldChar w:fldCharType="separate"/>
      </w:r>
      <w:r w:rsidR="00BA2E8E">
        <w:rPr>
          <w:noProof/>
        </w:rPr>
        <w:t>3</w:t>
      </w:r>
      <w:r w:rsidRPr="00961F79">
        <w:fldChar w:fldCharType="end"/>
      </w:r>
      <w:r>
        <w:noBreakHyphen/>
      </w:r>
      <w:r w:rsidRPr="00961F79">
        <w:fldChar w:fldCharType="begin"/>
      </w:r>
      <w:r>
        <w:instrText xml:space="preserve"> SEQ Table \* ARABIC \s 1 </w:instrText>
      </w:r>
      <w:r w:rsidRPr="00961F79">
        <w:fldChar w:fldCharType="separate"/>
      </w:r>
      <w:r w:rsidR="00BA2E8E">
        <w:rPr>
          <w:noProof/>
        </w:rPr>
        <w:t>24</w:t>
      </w:r>
      <w:r w:rsidRPr="00961F79">
        <w:fldChar w:fldCharType="end"/>
      </w:r>
      <w:bookmarkEnd w:id="166"/>
      <w:r>
        <w:t>:</w:t>
      </w:r>
      <w:r>
        <w:tab/>
        <w:t xml:space="preserve">Comparison of the current method and breakeven approach </w:t>
      </w:r>
    </w:p>
    <w:tbl>
      <w:tblPr>
        <w:tblStyle w:val="AERtable-text0"/>
        <w:tblW w:w="0" w:type="auto"/>
        <w:tblLook w:val="04A0" w:firstRow="1" w:lastRow="0" w:firstColumn="1" w:lastColumn="0" w:noHBand="0" w:noVBand="1"/>
      </w:tblPr>
      <w:tblGrid>
        <w:gridCol w:w="1809"/>
        <w:gridCol w:w="3261"/>
        <w:gridCol w:w="3623"/>
      </w:tblGrid>
      <w:tr w:rsidR="00961F79" w:rsidTr="009D3AFA">
        <w:trPr>
          <w:cnfStyle w:val="100000000000" w:firstRow="1" w:lastRow="0" w:firstColumn="0" w:lastColumn="0" w:oddVBand="0" w:evenVBand="0" w:oddHBand="0" w:evenHBand="0" w:firstRowFirstColumn="0" w:firstRowLastColumn="0" w:lastRowFirstColumn="0" w:lastRowLastColumn="0"/>
        </w:trPr>
        <w:tc>
          <w:tcPr>
            <w:tcW w:w="1809" w:type="dxa"/>
          </w:tcPr>
          <w:p w:rsidR="00961F79" w:rsidRPr="00961F79" w:rsidRDefault="00961F79" w:rsidP="00961F79">
            <w:r>
              <w:t>Approach</w:t>
            </w:r>
          </w:p>
        </w:tc>
        <w:tc>
          <w:tcPr>
            <w:tcW w:w="3261" w:type="dxa"/>
          </w:tcPr>
          <w:p w:rsidR="00961F79" w:rsidRPr="00961F79" w:rsidRDefault="00961F79" w:rsidP="00961F79">
            <w:r>
              <w:t>Benefits</w:t>
            </w:r>
          </w:p>
        </w:tc>
        <w:tc>
          <w:tcPr>
            <w:tcW w:w="3623" w:type="dxa"/>
          </w:tcPr>
          <w:p w:rsidR="00961F79" w:rsidRPr="00961F79" w:rsidRDefault="00961F79" w:rsidP="00961F79">
            <w:r>
              <w:t>Limitations</w:t>
            </w:r>
          </w:p>
        </w:tc>
      </w:tr>
      <w:tr w:rsidR="00961F79" w:rsidTr="009D3AFA">
        <w:tc>
          <w:tcPr>
            <w:tcW w:w="1809" w:type="dxa"/>
          </w:tcPr>
          <w:p w:rsidR="00961F79" w:rsidRPr="00961F79" w:rsidRDefault="00961F79" w:rsidP="00961F79">
            <w:r>
              <w:t xml:space="preserve">The </w:t>
            </w:r>
            <w:r w:rsidRPr="00961F79">
              <w:t>current method :</w:t>
            </w:r>
          </w:p>
          <w:p w:rsidR="00961F79" w:rsidRPr="00961F79" w:rsidRDefault="00961F79" w:rsidP="00961F79">
            <w:r>
              <w:t xml:space="preserve">A </w:t>
            </w:r>
            <w:r w:rsidRPr="00961F79">
              <w:t>geometric average of the RBA forecast and mid-point.</w:t>
            </w:r>
          </w:p>
        </w:tc>
        <w:tc>
          <w:tcPr>
            <w:tcW w:w="3261" w:type="dxa"/>
          </w:tcPr>
          <w:p w:rsidR="00961F79" w:rsidRPr="00961F79" w:rsidRDefault="00961F79" w:rsidP="00961F79">
            <w:r>
              <w:t>This is</w:t>
            </w:r>
            <w:r w:rsidRPr="00961F79">
              <w:t xml:space="preserve"> simple, transparent and easily replicated. Since the current method is not subject to estimation bias or error it may improve regulatory certainty and reduce the scope for gaming.</w:t>
            </w:r>
          </w:p>
          <w:p w:rsidR="00961F79" w:rsidRPr="00961F79" w:rsidRDefault="00961F79" w:rsidP="00961F79">
            <w:r>
              <w:t>This</w:t>
            </w:r>
            <w:r w:rsidRPr="00961F79">
              <w:t xml:space="preserve"> relies on RBA 2 year forecasts – RBA’s research suggests that its 1 year forecasts of inflation have substantial explanatory power and in the past RBA forecasts have been marginally more accurate than private sector forecasts.</w:t>
            </w:r>
            <w:r w:rsidRPr="00961F79">
              <w:rPr>
                <w:rStyle w:val="FootnoteReference"/>
              </w:rPr>
              <w:footnoteReference w:id="600"/>
            </w:r>
            <w:r w:rsidRPr="00961F79">
              <w:t xml:space="preserve"> </w:t>
            </w:r>
          </w:p>
          <w:p w:rsidR="00961F79" w:rsidRPr="00961F79" w:rsidRDefault="00961F79" w:rsidP="00961F79">
            <w:r w:rsidRPr="00883AE6">
              <w:t xml:space="preserve">Since inflation </w:t>
            </w:r>
            <w:r w:rsidRPr="00961F79">
              <w:t>rate targeting in 1993, the average annualised inflation rate has been approximately 2.6%, which is close to the 2.5% midpoint of the target band. To the extent that the historical success of RBA monetary policy informs market-consensus expectations of inflation, the current approach may be a reasonable estimate of longer term inflation expectations. There is evidence to suggest that the RBA's control of official interest rates and commentary has an impact on outturn inflation and inflation expectations.</w:t>
            </w:r>
            <w:r w:rsidRPr="00961F79">
              <w:rPr>
                <w:rStyle w:val="FootnoteReference"/>
              </w:rPr>
              <w:footnoteReference w:id="601"/>
            </w:r>
          </w:p>
        </w:tc>
        <w:tc>
          <w:tcPr>
            <w:tcW w:w="3623" w:type="dxa"/>
          </w:tcPr>
          <w:p w:rsidR="00961F79" w:rsidRPr="00961F79" w:rsidRDefault="00961F79" w:rsidP="00961F79">
            <w:r>
              <w:t>If</w:t>
            </w:r>
            <w:r w:rsidRPr="00961F79">
              <w:t xml:space="preserve"> monetary policy loses or is perceived to have lost its effectiveness in influencing economic activity, inflation expectations may deviate systematically from the mid-point of the inflation target range. In which case, estimates under this approach may be too high or too low relative to the market inflation expectations. </w:t>
            </w:r>
          </w:p>
          <w:p w:rsidR="00961F79" w:rsidRPr="00961F79" w:rsidRDefault="00961F79" w:rsidP="00961F79">
            <w:r>
              <w:t>Th</w:t>
            </w:r>
            <w:r w:rsidRPr="00961F79">
              <w:t>e current approach is more likely than market-based estimates to be inconsistent with the term structure of inflation observed in the market because it is not based on the market-implied forward inflation curve. This raises the risk that estimates of the real risk free rate may depart from the ‘true’ real risk free rate in the market.</w:t>
            </w:r>
          </w:p>
        </w:tc>
      </w:tr>
      <w:tr w:rsidR="00961F79" w:rsidTr="009D3AFA">
        <w:trPr>
          <w:cnfStyle w:val="000000010000" w:firstRow="0" w:lastRow="0" w:firstColumn="0" w:lastColumn="0" w:oddVBand="0" w:evenVBand="0" w:oddHBand="0" w:evenHBand="1" w:firstRowFirstColumn="0" w:firstRowLastColumn="0" w:lastRowFirstColumn="0" w:lastRowLastColumn="0"/>
        </w:trPr>
        <w:tc>
          <w:tcPr>
            <w:tcW w:w="1809" w:type="dxa"/>
          </w:tcPr>
          <w:p w:rsidR="00961F79" w:rsidRPr="00961F79" w:rsidRDefault="00961F79" w:rsidP="00961F79">
            <w:r>
              <w:t xml:space="preserve">The </w:t>
            </w:r>
            <w:r w:rsidRPr="00961F79">
              <w:t>breakeven approach:</w:t>
            </w:r>
          </w:p>
          <w:p w:rsidR="00961F79" w:rsidRPr="00961F79" w:rsidRDefault="00961F79" w:rsidP="00961F79">
            <w:r>
              <w:t xml:space="preserve">The breakeven inflation rate implied by comparing CPI-indexed </w:t>
            </w:r>
            <w:r w:rsidRPr="00961F79">
              <w:t>CGS and nominal CGS.</w:t>
            </w:r>
          </w:p>
        </w:tc>
        <w:tc>
          <w:tcPr>
            <w:tcW w:w="3261" w:type="dxa"/>
          </w:tcPr>
          <w:p w:rsidR="00961F79" w:rsidRPr="00961F79" w:rsidRDefault="00961F79" w:rsidP="00961F79">
            <w:r>
              <w:t>These e</w:t>
            </w:r>
            <w:r w:rsidRPr="00961F79">
              <w:t xml:space="preserve">stimates include market-consensus expectations of inflation that is based on an aggregation of most up-to-date, relevant and available information. </w:t>
            </w:r>
          </w:p>
          <w:p w:rsidR="00961F79" w:rsidRDefault="00961F79" w:rsidP="00961F79"/>
        </w:tc>
        <w:tc>
          <w:tcPr>
            <w:tcW w:w="3623" w:type="dxa"/>
          </w:tcPr>
          <w:p w:rsidR="00961F79" w:rsidRPr="00961F79" w:rsidRDefault="00961F79" w:rsidP="00961F79">
            <w:r>
              <w:t xml:space="preserve">We moved away from using this approach in the past as it was recognised that bias existed in </w:t>
            </w:r>
            <w:r w:rsidRPr="00961F79">
              <w:t xml:space="preserve">indexed CGS yields. </w:t>
            </w:r>
          </w:p>
          <w:p w:rsidR="00961F79" w:rsidRPr="00961F79" w:rsidRDefault="00961F79" w:rsidP="00961F79">
            <w:r>
              <w:t>The breakeven approach</w:t>
            </w:r>
            <w:r w:rsidRPr="00961F79">
              <w:t xml:space="preserve"> can be a misleading proxy for expected inflation unless various biases are identified and removed. Potential sources of bias include the effect of bond convexity; inflation risk premia, liquidity premia, and inflation indexation lag on nominal and/or indexed bond yields. </w:t>
            </w:r>
          </w:p>
        </w:tc>
      </w:tr>
    </w:tbl>
    <w:p w:rsidR="00961F79" w:rsidRDefault="00961F79" w:rsidP="00961F79">
      <w:pPr>
        <w:pStyle w:val="HeadingItalic"/>
      </w:pPr>
      <w:r>
        <w:t xml:space="preserve">Other limitations and potential biases to the breakeven approach </w:t>
      </w:r>
    </w:p>
    <w:p w:rsidR="00961F79" w:rsidRPr="00961F79" w:rsidRDefault="00961F79" w:rsidP="00961F79">
      <w:r>
        <w:t>T</w:t>
      </w:r>
      <w:r w:rsidRPr="00961F79">
        <w:t>here is no straightforward way of employing a breakeven approach. Rather, breakeven estimates require adjustment to account for several different types of bias.</w:t>
      </w:r>
      <w:r w:rsidRPr="00961F79">
        <w:rPr>
          <w:rStyle w:val="FootnoteReference"/>
        </w:rPr>
        <w:footnoteReference w:id="602"/>
      </w:r>
      <w:r w:rsidRPr="00961F79">
        <w:t xml:space="preserve"> </w:t>
      </w:r>
      <w:r w:rsidRPr="00961F79">
        <w:fldChar w:fldCharType="begin"/>
      </w:r>
      <w:r w:rsidRPr="00961F79">
        <w:instrText xml:space="preserve"> REF _Ref450910249 \h </w:instrText>
      </w:r>
      <w:r w:rsidRPr="00961F79">
        <w:fldChar w:fldCharType="separate"/>
      </w:r>
      <w:r w:rsidR="00BA2E8E">
        <w:t xml:space="preserve">Table </w:t>
      </w:r>
      <w:r w:rsidR="00BA2E8E">
        <w:rPr>
          <w:noProof/>
        </w:rPr>
        <w:t>3</w:t>
      </w:r>
      <w:r w:rsidR="00BA2E8E">
        <w:noBreakHyphen/>
      </w:r>
      <w:r w:rsidR="00BA2E8E">
        <w:rPr>
          <w:noProof/>
        </w:rPr>
        <w:t>25</w:t>
      </w:r>
      <w:r w:rsidRPr="00961F79">
        <w:fldChar w:fldCharType="end"/>
      </w:r>
      <w:r w:rsidRPr="00961F79">
        <w:t xml:space="preserve"> highlights some of these potential biases based on preliminary research.</w:t>
      </w:r>
    </w:p>
    <w:p w:rsidR="00961F79" w:rsidRDefault="00961F79" w:rsidP="00961F79">
      <w:pPr>
        <w:pStyle w:val="Caption"/>
      </w:pPr>
      <w:bookmarkStart w:id="167" w:name="_Ref450910249"/>
      <w:r>
        <w:t xml:space="preserve">Table </w:t>
      </w:r>
      <w:r w:rsidRPr="00961F79">
        <w:fldChar w:fldCharType="begin"/>
      </w:r>
      <w:r>
        <w:instrText xml:space="preserve"> STYLEREF 1 \s </w:instrText>
      </w:r>
      <w:r w:rsidRPr="00961F79">
        <w:fldChar w:fldCharType="separate"/>
      </w:r>
      <w:r w:rsidR="00BA2E8E">
        <w:rPr>
          <w:noProof/>
        </w:rPr>
        <w:t>3</w:t>
      </w:r>
      <w:r w:rsidRPr="00961F79">
        <w:fldChar w:fldCharType="end"/>
      </w:r>
      <w:r>
        <w:noBreakHyphen/>
      </w:r>
      <w:r w:rsidRPr="00961F79">
        <w:fldChar w:fldCharType="begin"/>
      </w:r>
      <w:r>
        <w:instrText xml:space="preserve"> SEQ Table \* ARABIC \s 1 </w:instrText>
      </w:r>
      <w:r w:rsidRPr="00961F79">
        <w:fldChar w:fldCharType="separate"/>
      </w:r>
      <w:r w:rsidR="00BA2E8E">
        <w:rPr>
          <w:noProof/>
        </w:rPr>
        <w:t>25</w:t>
      </w:r>
      <w:r w:rsidRPr="00961F79">
        <w:fldChar w:fldCharType="end"/>
      </w:r>
      <w:bookmarkEnd w:id="167"/>
      <w:r>
        <w:t>: Potential biases under the breakeven approach</w:t>
      </w:r>
    </w:p>
    <w:tbl>
      <w:tblPr>
        <w:tblStyle w:val="AERtable-text0"/>
        <w:tblW w:w="0" w:type="auto"/>
        <w:tblLook w:val="04A0" w:firstRow="1" w:lastRow="0" w:firstColumn="1" w:lastColumn="0" w:noHBand="0" w:noVBand="1"/>
      </w:tblPr>
      <w:tblGrid>
        <w:gridCol w:w="1171"/>
        <w:gridCol w:w="1631"/>
        <w:gridCol w:w="3685"/>
        <w:gridCol w:w="2206"/>
      </w:tblGrid>
      <w:tr w:rsidR="00961F79" w:rsidTr="009D3AFA">
        <w:trPr>
          <w:cnfStyle w:val="100000000000" w:firstRow="1" w:lastRow="0" w:firstColumn="0" w:lastColumn="0" w:oddVBand="0" w:evenVBand="0" w:oddHBand="0" w:evenHBand="0" w:firstRowFirstColumn="0" w:firstRowLastColumn="0" w:lastRowFirstColumn="0" w:lastRowLastColumn="0"/>
        </w:trPr>
        <w:tc>
          <w:tcPr>
            <w:tcW w:w="1171" w:type="dxa"/>
          </w:tcPr>
          <w:p w:rsidR="00961F79" w:rsidRPr="00961F79" w:rsidRDefault="00961F79" w:rsidP="00961F79">
            <w:r>
              <w:t>Potential bias</w:t>
            </w:r>
          </w:p>
        </w:tc>
        <w:tc>
          <w:tcPr>
            <w:tcW w:w="1631" w:type="dxa"/>
          </w:tcPr>
          <w:p w:rsidR="00961F79" w:rsidRPr="00961F79" w:rsidRDefault="00961F79" w:rsidP="00961F79">
            <w:r>
              <w:t>Effect on estimates</w:t>
            </w:r>
          </w:p>
        </w:tc>
        <w:tc>
          <w:tcPr>
            <w:tcW w:w="3685" w:type="dxa"/>
          </w:tcPr>
          <w:p w:rsidR="00961F79" w:rsidRPr="00961F79" w:rsidRDefault="00961F79" w:rsidP="00961F79">
            <w:r>
              <w:t>Explanation</w:t>
            </w:r>
          </w:p>
        </w:tc>
        <w:tc>
          <w:tcPr>
            <w:tcW w:w="2206" w:type="dxa"/>
          </w:tcPr>
          <w:p w:rsidR="00961F79" w:rsidRPr="00961F79" w:rsidRDefault="00961F79" w:rsidP="00961F79">
            <w:r>
              <w:t>Adjustment needed?</w:t>
            </w:r>
          </w:p>
        </w:tc>
      </w:tr>
      <w:tr w:rsidR="00961F79" w:rsidTr="009D3AFA">
        <w:tc>
          <w:tcPr>
            <w:tcW w:w="1171" w:type="dxa"/>
          </w:tcPr>
          <w:p w:rsidR="00961F79" w:rsidRPr="00961F79" w:rsidRDefault="00961F79" w:rsidP="00961F79">
            <w:r w:rsidRPr="00D273FA">
              <w:t>Convexity</w:t>
            </w:r>
          </w:p>
        </w:tc>
        <w:tc>
          <w:tcPr>
            <w:tcW w:w="1631" w:type="dxa"/>
          </w:tcPr>
          <w:p w:rsidR="00961F79" w:rsidRPr="00961F79" w:rsidRDefault="00961F79" w:rsidP="00961F79">
            <w:r>
              <w:t>Underestimate</w:t>
            </w:r>
          </w:p>
        </w:tc>
        <w:tc>
          <w:tcPr>
            <w:tcW w:w="3685" w:type="dxa"/>
          </w:tcPr>
          <w:p w:rsidR="00961F79" w:rsidRPr="00961F79" w:rsidRDefault="00961F79" w:rsidP="00961F79">
            <w:r>
              <w:t xml:space="preserve">Differences in convexity and convexity bias between indexed and nominal bonds mean that the implied breakeven inflation rate may differ from inflation expectations. </w:t>
            </w:r>
          </w:p>
          <w:p w:rsidR="00961F79" w:rsidRPr="00961F79" w:rsidRDefault="00961F79" w:rsidP="00961F79">
            <w:r>
              <w:t>Convexity bias results in a downward bias of bond yields</w:t>
            </w:r>
            <w:r w:rsidRPr="00961F79">
              <w:t xml:space="preserve"> and nominal bond yields are generally more downwardly biased than indexed bond yields. This is because convexity bias is sensitive to yield volatility and nominal bond yields are generally more volatile than indexed bond yields. As a result, the differences in bond convexity bias could bias long-term breakeven inflation rates below inflation expectations.</w:t>
            </w:r>
            <w:r w:rsidRPr="00961F79">
              <w:rPr>
                <w:rStyle w:val="FootnoteReference"/>
              </w:rPr>
              <w:t xml:space="preserve"> </w:t>
            </w:r>
            <w:r w:rsidRPr="00961F79">
              <w:rPr>
                <w:rStyle w:val="FootnoteReference"/>
              </w:rPr>
              <w:footnoteReference w:id="603"/>
            </w:r>
            <w:r w:rsidRPr="00961F79">
              <w:t xml:space="preserve"> </w:t>
            </w:r>
          </w:p>
        </w:tc>
        <w:tc>
          <w:tcPr>
            <w:tcW w:w="2206" w:type="dxa"/>
          </w:tcPr>
          <w:p w:rsidR="00961F79" w:rsidRPr="00961F79" w:rsidRDefault="00961F79" w:rsidP="00961F79">
            <w:r>
              <w:t>Yes</w:t>
            </w:r>
          </w:p>
        </w:tc>
      </w:tr>
      <w:tr w:rsidR="00961F79" w:rsidTr="009D3AFA">
        <w:trPr>
          <w:cnfStyle w:val="000000010000" w:firstRow="0" w:lastRow="0" w:firstColumn="0" w:lastColumn="0" w:oddVBand="0" w:evenVBand="0" w:oddHBand="0" w:evenHBand="1" w:firstRowFirstColumn="0" w:firstRowLastColumn="0" w:lastRowFirstColumn="0" w:lastRowLastColumn="0"/>
        </w:trPr>
        <w:tc>
          <w:tcPr>
            <w:tcW w:w="1171" w:type="dxa"/>
          </w:tcPr>
          <w:p w:rsidR="00961F79" w:rsidRPr="00961F79" w:rsidRDefault="00961F79" w:rsidP="00961F79">
            <w:r w:rsidRPr="00D273FA">
              <w:t>Inflation risk premium</w:t>
            </w:r>
          </w:p>
        </w:tc>
        <w:tc>
          <w:tcPr>
            <w:tcW w:w="1631" w:type="dxa"/>
          </w:tcPr>
          <w:p w:rsidR="00961F79" w:rsidRPr="00961F79" w:rsidRDefault="00961F79" w:rsidP="00961F79">
            <w:r>
              <w:t>Generally an o</w:t>
            </w:r>
            <w:r w:rsidRPr="00961F79">
              <w:t>verestimate.</w:t>
            </w:r>
          </w:p>
          <w:p w:rsidR="00961F79" w:rsidRPr="00961F79" w:rsidRDefault="00961F79" w:rsidP="00961F79">
            <w:r>
              <w:t>Potential u</w:t>
            </w:r>
            <w:r w:rsidRPr="00961F79">
              <w:t>nderestimate if there are concerns about deflation or very low inflation.</w:t>
            </w:r>
            <w:r w:rsidRPr="00961F79">
              <w:rPr>
                <w:rStyle w:val="FootnoteReference"/>
              </w:rPr>
              <w:footnoteReference w:id="604"/>
            </w:r>
          </w:p>
        </w:tc>
        <w:tc>
          <w:tcPr>
            <w:tcW w:w="3685" w:type="dxa"/>
          </w:tcPr>
          <w:p w:rsidR="00961F79" w:rsidRPr="00961F79" w:rsidRDefault="00961F79" w:rsidP="00961F79">
            <w:r w:rsidRPr="00D273FA">
              <w:t xml:space="preserve">Nominal bondholders will demand compensation for </w:t>
            </w:r>
            <w:r w:rsidRPr="00961F79">
              <w:t xml:space="preserve">inﬂation risk as the actual inflation rate may not match the expected inflation rate. The implied breakeven inflation rate is likely to exceed the expected inflation rate if there is an inflation risk premium in nominal bond yields. </w:t>
            </w:r>
          </w:p>
          <w:p w:rsidR="00961F79" w:rsidRPr="00961F79" w:rsidRDefault="00961F79" w:rsidP="00961F79">
            <w:r w:rsidRPr="00D273FA">
              <w:t xml:space="preserve">However, if there are concerns about </w:t>
            </w:r>
            <w:r w:rsidRPr="00961F79">
              <w:t>deflation, the inflation risk premium may become negative and the breakeven inflation rate may underestimate expected inflation.</w:t>
            </w:r>
          </w:p>
        </w:tc>
        <w:tc>
          <w:tcPr>
            <w:tcW w:w="2206" w:type="dxa"/>
          </w:tcPr>
          <w:p w:rsidR="00961F79" w:rsidRPr="00961F79" w:rsidRDefault="00961F79" w:rsidP="00961F79">
            <w:r>
              <w:t xml:space="preserve">Yes, if our goal is to </w:t>
            </w:r>
            <w:r w:rsidRPr="00961F79">
              <w:t>only estimate expected inflation.</w:t>
            </w:r>
          </w:p>
          <w:p w:rsidR="00961F79" w:rsidRPr="00961F79" w:rsidRDefault="00961F79" w:rsidP="00961F79">
            <w:r>
              <w:t xml:space="preserve">No, if our goal is to convert a nominal rate of return with an inflation risk premium into a real rate of return for a business with no inflation risk. </w:t>
            </w:r>
          </w:p>
        </w:tc>
      </w:tr>
      <w:tr w:rsidR="00961F79" w:rsidTr="009D3AFA">
        <w:tc>
          <w:tcPr>
            <w:tcW w:w="1171" w:type="dxa"/>
          </w:tcPr>
          <w:p w:rsidR="00961F79" w:rsidRPr="00961F79" w:rsidRDefault="00961F79" w:rsidP="00961F79">
            <w:r w:rsidRPr="00D273FA">
              <w:t>Liquidity premium</w:t>
            </w:r>
          </w:p>
        </w:tc>
        <w:tc>
          <w:tcPr>
            <w:tcW w:w="1631" w:type="dxa"/>
          </w:tcPr>
          <w:p w:rsidR="00961F79" w:rsidRPr="00961F79" w:rsidRDefault="00961F79" w:rsidP="00961F79">
            <w:r>
              <w:t>Underestimate</w:t>
            </w:r>
          </w:p>
        </w:tc>
        <w:tc>
          <w:tcPr>
            <w:tcW w:w="3685" w:type="dxa"/>
          </w:tcPr>
          <w:p w:rsidR="00961F79" w:rsidRPr="00961F79" w:rsidRDefault="00961F79" w:rsidP="00961F79">
            <w:r>
              <w:t>T</w:t>
            </w:r>
            <w:r w:rsidRPr="00961F79">
              <w:t xml:space="preserve">he indexed bond market is likely to be less liquid than the nominal bond market and as a result the breakeven inflation rate is likely to include a liquidity premium. </w:t>
            </w:r>
          </w:p>
          <w:p w:rsidR="00961F79" w:rsidRPr="00961F79" w:rsidRDefault="00961F79" w:rsidP="00961F79">
            <w:r w:rsidRPr="00DE0FCA">
              <w:t>The differential liquidity premium between nominal and indexed bonds may also be time-varying. This premium is likely to be greater during periods of uncertainty when there is a ‘flight’ to more liquid nominal bond markets.</w:t>
            </w:r>
            <w:r w:rsidRPr="00961F79">
              <w:rPr>
                <w:rStyle w:val="FootnoteReference"/>
              </w:rPr>
              <w:footnoteReference w:id="605"/>
            </w:r>
            <w:r w:rsidRPr="00961F79">
              <w:t xml:space="preserve"> This would result in a narrow spread between nominal and indexed bond yields caused by greater uncertainty rather than a fall in expected inflation. If we accept CEG's forecasts of weak economic activity and an 'inflation trap', any resulting financial market uncertainty may give rise to a large liquidity premium in the breakeven inflation rate.</w:t>
            </w:r>
          </w:p>
        </w:tc>
        <w:tc>
          <w:tcPr>
            <w:tcW w:w="2206" w:type="dxa"/>
          </w:tcPr>
          <w:p w:rsidR="00961F79" w:rsidRPr="00961F79" w:rsidRDefault="00961F79" w:rsidP="00961F79">
            <w:r>
              <w:t>Yes</w:t>
            </w:r>
          </w:p>
        </w:tc>
      </w:tr>
      <w:tr w:rsidR="00961F79" w:rsidTr="009D3AFA">
        <w:trPr>
          <w:cnfStyle w:val="000000010000" w:firstRow="0" w:lastRow="0" w:firstColumn="0" w:lastColumn="0" w:oddVBand="0" w:evenVBand="0" w:oddHBand="0" w:evenHBand="1" w:firstRowFirstColumn="0" w:firstRowLastColumn="0" w:lastRowFirstColumn="0" w:lastRowLastColumn="0"/>
        </w:trPr>
        <w:tc>
          <w:tcPr>
            <w:tcW w:w="1171" w:type="dxa"/>
          </w:tcPr>
          <w:p w:rsidR="00961F79" w:rsidRPr="00961F79" w:rsidRDefault="00961F79" w:rsidP="00961F79">
            <w:r w:rsidRPr="00D273FA">
              <w:t>Inflation indexation lag</w:t>
            </w:r>
          </w:p>
        </w:tc>
        <w:tc>
          <w:tcPr>
            <w:tcW w:w="1631" w:type="dxa"/>
          </w:tcPr>
          <w:p w:rsidR="00961F79" w:rsidRPr="00961F79" w:rsidRDefault="00961F79" w:rsidP="00961F79">
            <w:r>
              <w:t>U</w:t>
            </w:r>
            <w:r w:rsidRPr="00961F79">
              <w:t>nderestimate or overestimate – potentially small if inflation is stable and the indexation lag is small.</w:t>
            </w:r>
          </w:p>
        </w:tc>
        <w:tc>
          <w:tcPr>
            <w:tcW w:w="3685" w:type="dxa"/>
          </w:tcPr>
          <w:p w:rsidR="00961F79" w:rsidRPr="00961F79" w:rsidRDefault="00961F79" w:rsidP="00961F79">
            <w:r>
              <w:t>I</w:t>
            </w:r>
            <w:r w:rsidRPr="00961F79">
              <w:t>ndexed CGS yields reflect some historical inflation as there are lags between movements in the price index and adjustments of indexed bond cash flows.</w:t>
            </w:r>
            <w:r w:rsidRPr="00961F79">
              <w:rPr>
                <w:rStyle w:val="FootnoteReference"/>
              </w:rPr>
              <w:footnoteReference w:id="606"/>
            </w:r>
            <w:r w:rsidRPr="00961F79">
              <w:t xml:space="preserve"> The indexation lag on indexed CGS is considerable - between 4.5 and 5.5 months.</w:t>
            </w:r>
          </w:p>
          <w:p w:rsidR="00961F79" w:rsidRPr="00961F79" w:rsidRDefault="00961F79" w:rsidP="00961F79">
            <w:r>
              <w:t>As a result of indexation lag, i</w:t>
            </w:r>
            <w:r w:rsidRPr="00961F79">
              <w:t xml:space="preserve">f historical inflation is high (low) relative to the inflation rate expected by the market then, all else equal, the real yield to maturity on the indexed bond may be higher (lower) than its ‘true’ real yield and the breakeven approach may underestimate (overestimate) the expected inflation rate. </w:t>
            </w:r>
          </w:p>
          <w:p w:rsidR="00961F79" w:rsidRPr="00961F79" w:rsidRDefault="00961F79" w:rsidP="00961F79">
            <w:r w:rsidRPr="00D273FA">
              <w:t>A</w:t>
            </w:r>
            <w:r w:rsidRPr="00961F79">
              <w:t>lso, due to indexation lag, the real return on indexed bonds may be exposed to some inflation risk and may include an inflation risk premium.</w:t>
            </w:r>
            <w:r w:rsidRPr="00961F79">
              <w:rPr>
                <w:rStyle w:val="FootnoteReference"/>
              </w:rPr>
              <w:footnoteReference w:id="607"/>
            </w:r>
          </w:p>
        </w:tc>
        <w:tc>
          <w:tcPr>
            <w:tcW w:w="2206" w:type="dxa"/>
          </w:tcPr>
          <w:p w:rsidR="00961F79" w:rsidRPr="00961F79" w:rsidRDefault="00961F79" w:rsidP="00961F79">
            <w:r>
              <w:t>Potentially not if immaterial.</w:t>
            </w:r>
            <w:r w:rsidRPr="00961F79">
              <w:t xml:space="preserve"> </w:t>
            </w:r>
          </w:p>
        </w:tc>
      </w:tr>
    </w:tbl>
    <w:p w:rsidR="00961F79" w:rsidRPr="00961F79" w:rsidRDefault="00961F79" w:rsidP="00961F79">
      <w:r>
        <w:t xml:space="preserve">It is worth noting that the potentially material biases in </w:t>
      </w:r>
      <w:r w:rsidRPr="00961F79">
        <w:fldChar w:fldCharType="begin"/>
      </w:r>
      <w:r w:rsidRPr="00961F79">
        <w:instrText xml:space="preserve"> REF  _Ref450910249 \* Lower \h </w:instrText>
      </w:r>
      <w:r w:rsidRPr="00961F79">
        <w:fldChar w:fldCharType="separate"/>
      </w:r>
      <w:r w:rsidR="00BA2E8E">
        <w:t xml:space="preserve">table </w:t>
      </w:r>
      <w:r w:rsidR="00BA2E8E">
        <w:rPr>
          <w:noProof/>
        </w:rPr>
        <w:t>3</w:t>
      </w:r>
      <w:r w:rsidR="00BA2E8E">
        <w:noBreakHyphen/>
      </w:r>
      <w:r w:rsidR="00BA2E8E">
        <w:rPr>
          <w:noProof/>
        </w:rPr>
        <w:t>25</w:t>
      </w:r>
      <w:r w:rsidRPr="00961F79">
        <w:fldChar w:fldCharType="end"/>
      </w:r>
      <w:r w:rsidRPr="00961F79">
        <w:t xml:space="preserve"> have yet to be raised or discussed. This provides further support for broad consultation with all stakeholders prior to changing approaches as this would illicit stakeholder input to the various benefits and limitations to a change in approach. For instance, there is a range of limitations to the breakeven approach that CEG did not raise in its report and stakeholders may be yet to consider.</w:t>
      </w:r>
      <w:r w:rsidRPr="00961F79">
        <w:rPr>
          <w:rStyle w:val="FootnoteReference"/>
        </w:rPr>
        <w:footnoteReference w:id="608"/>
      </w:r>
      <w:r w:rsidRPr="00961F79">
        <w:t xml:space="preserve"> Where possible, it would be prudent to adjust for any identifiable material biases if such a review lead us to adopt a breakeven approach (or another method, such as one based on interest rate swaps).</w:t>
      </w:r>
    </w:p>
    <w:p w:rsidR="00961F79" w:rsidRPr="005F5142" w:rsidRDefault="00961F79" w:rsidP="00961F79">
      <w:pPr>
        <w:pStyle w:val="HeadingItalic"/>
      </w:pPr>
      <w:r w:rsidRPr="005F5142">
        <w:t>Limitations under market imperfections</w:t>
      </w:r>
    </w:p>
    <w:p w:rsidR="00961F79" w:rsidRPr="005F5142" w:rsidRDefault="00961F79" w:rsidP="00961F79">
      <w:pPr>
        <w:rPr>
          <w:rStyle w:val="AERbody"/>
        </w:rPr>
      </w:pPr>
      <w:r w:rsidRPr="005F5142">
        <w:t>Market imperfections can undermine the ability of the breakeven approach to estimate the market's inflation expectations. For this reason, our use of the breakeven approach pre-2008 had been criticised by various stakeholders.</w:t>
      </w:r>
      <w:r w:rsidRPr="005F5142">
        <w:rPr>
          <w:rStyle w:val="FootnoteReference"/>
        </w:rPr>
        <w:footnoteReference w:id="609"/>
      </w:r>
      <w:r w:rsidRPr="005F5142">
        <w:t xml:space="preserve"> Also, CEG recently recognised this in advising</w:t>
      </w:r>
      <w:r w:rsidRPr="005F5142">
        <w:rPr>
          <w:rStyle w:val="AERbody"/>
        </w:rPr>
        <w:t>:</w:t>
      </w:r>
      <w:r w:rsidRPr="005F5142">
        <w:rPr>
          <w:rStyle w:val="FootnoteReference"/>
        </w:rPr>
        <w:footnoteReference w:id="610"/>
      </w:r>
    </w:p>
    <w:p w:rsidR="00961F79" w:rsidRPr="00961F79" w:rsidRDefault="00961F79" w:rsidP="00961F79">
      <w:pPr>
        <w:pStyle w:val="AERquote"/>
        <w:rPr>
          <w:rStyle w:val="AERbody"/>
          <w:color w:val="000000"/>
          <w:sz w:val="20"/>
        </w:rPr>
      </w:pPr>
      <w:r w:rsidRPr="00961F79">
        <w:rPr>
          <w:rStyle w:val="AERbody"/>
          <w:color w:val="000000"/>
          <w:sz w:val="20"/>
        </w:rPr>
        <w:t>in the period from 2006 to late 2008 the indexed CGS market was much smaller than today. RBA analysis suggested that the limited supply, in combination with heightened demand by foreigners due to regulatory changes, were combining to push up indexed CGS prices and push down real yields; with the effect that breakeven inflation estimates were overstated.</w:t>
      </w:r>
    </w:p>
    <w:p w:rsidR="00961F79" w:rsidRPr="005F5142" w:rsidRDefault="00961F79" w:rsidP="00961F79">
      <w:r w:rsidRPr="005F5142">
        <w:t>CEG suggests that its criticism of the breakeven approach in 2007 does not apply to the current market. However, we do not consider it has provided convincing evidence of this. We agree with CEG's observation that there has been an increase in the size of the indexed CGS market (there are currently seven types of indexed CGS on issue).</w:t>
      </w:r>
      <w:r w:rsidRPr="005F5142">
        <w:rPr>
          <w:rStyle w:val="FootnoteReference"/>
        </w:rPr>
        <w:footnoteReference w:id="611"/>
      </w:r>
      <w:r w:rsidRPr="005F5142">
        <w:t xml:space="preserve"> However, we do not consider th</w:t>
      </w:r>
      <w:r>
        <w:t>is</w:t>
      </w:r>
      <w:r w:rsidRPr="005F5142">
        <w:t xml:space="preserve"> means that market disto</w:t>
      </w:r>
      <w:r>
        <w:t>rtions are no longer a concern.</w:t>
      </w:r>
    </w:p>
    <w:p w:rsidR="00961F79" w:rsidRPr="005F5142" w:rsidRDefault="00961F79" w:rsidP="00961F79">
      <w:r w:rsidRPr="005F5142">
        <w:t>For instance, despite having improved since 2007, the size and liquidity of the indexed CGS market is still limited.</w:t>
      </w:r>
      <w:r w:rsidRPr="005F5142">
        <w:rPr>
          <w:rStyle w:val="FootnoteReference"/>
        </w:rPr>
        <w:footnoteReference w:id="612"/>
      </w:r>
      <w:r w:rsidRPr="005F5142">
        <w:t xml:space="preserve"> Further, increased</w:t>
      </w:r>
      <w:r>
        <w:t xml:space="preserve"> </w:t>
      </w:r>
      <w:r w:rsidRPr="007D3879">
        <w:rPr>
          <w:rStyle w:val="AERtextitalic"/>
        </w:rPr>
        <w:t>absolute</w:t>
      </w:r>
      <w:r w:rsidRPr="005F5142">
        <w:t xml:space="preserve"> liquidity in the indexed CGS market does not necessarily imply that th</w:t>
      </w:r>
      <w:r>
        <w:t>is</w:t>
      </w:r>
      <w:r w:rsidRPr="005F5142">
        <w:t xml:space="preserve"> market has become more liquid</w:t>
      </w:r>
      <w:r w:rsidRPr="005F5142">
        <w:rPr>
          <w:rStyle w:val="AERtextitalic"/>
        </w:rPr>
        <w:t xml:space="preserve"> relative</w:t>
      </w:r>
      <w:r w:rsidRPr="005F5142">
        <w:t xml:space="preserve"> to </w:t>
      </w:r>
      <w:r>
        <w:t xml:space="preserve">the </w:t>
      </w:r>
      <w:r w:rsidRPr="005F5142">
        <w:t>nominal CGS</w:t>
      </w:r>
      <w:r>
        <w:t xml:space="preserve"> market</w:t>
      </w:r>
      <w:r w:rsidRPr="005F5142">
        <w:t xml:space="preserve">. </w:t>
      </w:r>
      <w:r>
        <w:t xml:space="preserve">This is important because </w:t>
      </w:r>
      <w:r w:rsidRPr="005F5142">
        <w:t xml:space="preserve">relative liquidity </w:t>
      </w:r>
      <w:r>
        <w:t xml:space="preserve">between these two markets determines </w:t>
      </w:r>
      <w:r w:rsidRPr="005F5142">
        <w:t>the liquidity bias in implied breakeven rates. Trading volume of indexed CGS expressed share of total indexed and nominal CGS can be used as a measure of the relative liquidity.</w:t>
      </w:r>
      <w:r w:rsidRPr="005F5142">
        <w:rPr>
          <w:rStyle w:val="FootnoteReference"/>
        </w:rPr>
        <w:footnoteReference w:id="613"/>
      </w:r>
      <w:r w:rsidRPr="005F5142">
        <w:t xml:space="preserve"> According to this metric, there has only been a minor improvement to relative liquidity of the indexed CGS since early 2008.</w:t>
      </w:r>
      <w:r w:rsidRPr="005F5142">
        <w:rPr>
          <w:rStyle w:val="FootnoteReference"/>
        </w:rPr>
        <w:footnoteReference w:id="614"/>
      </w:r>
      <w:r w:rsidRPr="005F5142">
        <w:t xml:space="preserve"> </w:t>
      </w:r>
      <w:r>
        <w:t>Liquidity</w:t>
      </w:r>
      <w:r w:rsidRPr="005F5142">
        <w:t xml:space="preserve"> bias can be material and difficult to </w:t>
      </w:r>
      <w:r>
        <w:t>identify and remove from the breakeven rate</w:t>
      </w:r>
      <w:r w:rsidRPr="005F5142">
        <w:t>―particularly as evidence indicates that it can vary considerably over time.</w:t>
      </w:r>
      <w:r w:rsidRPr="005F5142">
        <w:rPr>
          <w:rStyle w:val="FootnoteReference"/>
        </w:rPr>
        <w:footnoteReference w:id="615"/>
      </w:r>
      <w:r w:rsidRPr="005F5142">
        <w:t xml:space="preserve"> </w:t>
      </w:r>
    </w:p>
    <w:p w:rsidR="00961F79" w:rsidRPr="00961F79" w:rsidRDefault="00961F79" w:rsidP="00961F79">
      <w:r w:rsidRPr="005F5142">
        <w:t xml:space="preserve">Further, </w:t>
      </w:r>
      <w:r>
        <w:t>while</w:t>
      </w:r>
      <w:r w:rsidRPr="005F5142">
        <w:t xml:space="preserve"> CEG suggest</w:t>
      </w:r>
      <w:r>
        <w:t>s</w:t>
      </w:r>
      <w:r w:rsidRPr="005F5142">
        <w:t xml:space="preserve"> the current approach is producing unusual results</w:t>
      </w:r>
      <w:r>
        <w:t xml:space="preserve">, it </w:t>
      </w:r>
      <w:r w:rsidRPr="005F5142">
        <w:t>is not clear that</w:t>
      </w:r>
      <w:r>
        <w:t xml:space="preserve"> this is the case</w:t>
      </w:r>
      <w:r w:rsidRPr="005F5142">
        <w:t>. Another market-based method for estimating expected inflation entails using inflation swaps. CEG's application of this method showed that a 10 year inflation expectation of approximately 2.6 per cent, which was higher than what the current approach produced at that time (2.5 per cent). While CEG advised that hedging costs cause an upward bias in inflation estimates from swaps, it is worth noting that the breakeven approach is not free from bias either.</w:t>
      </w:r>
      <w:r w:rsidRPr="005F5142">
        <w:rPr>
          <w:rStyle w:val="FootnoteReference"/>
        </w:rPr>
        <w:footnoteReference w:id="616"/>
      </w:r>
      <w:r w:rsidRPr="005F5142">
        <w:t xml:space="preserve"> Inflation swaps also have some advantages over the breakeven approach. For instance, </w:t>
      </w:r>
      <w:r>
        <w:t xml:space="preserve">the Treasury, the RBA and several academic researchers observe that, as estimates of expected inflation, inflation swap rates are </w:t>
      </w:r>
      <w:r w:rsidRPr="005F5142">
        <w:t>less affected by</w:t>
      </w:r>
      <w:r>
        <w:t xml:space="preserve"> </w:t>
      </w:r>
      <w:r w:rsidRPr="005F5142">
        <w:t>liquidity premia</w:t>
      </w:r>
      <w:r>
        <w:t xml:space="preserve"> than</w:t>
      </w:r>
      <w:r w:rsidRPr="007D5816">
        <w:t xml:space="preserve"> </w:t>
      </w:r>
      <w:r>
        <w:t>the bond breakeven inflation rate</w:t>
      </w:r>
      <w:r w:rsidRPr="005F5142">
        <w:t>.</w:t>
      </w:r>
      <w:r w:rsidRPr="005F5142">
        <w:rPr>
          <w:rStyle w:val="FootnoteReference"/>
        </w:rPr>
        <w:footnoteReference w:id="617"/>
      </w:r>
    </w:p>
    <w:p w:rsidR="00DB0499" w:rsidRPr="00BA0AFD" w:rsidRDefault="00DB0499" w:rsidP="00DB0499">
      <w:pPr>
        <w:pStyle w:val="Heading7"/>
      </w:pPr>
      <w:bookmarkStart w:id="168" w:name="_Ref448871343"/>
      <w:bookmarkStart w:id="169" w:name="_Toc451678629"/>
      <w:r>
        <w:t>Our foundation model approach</w:t>
      </w:r>
      <w:bookmarkEnd w:id="168"/>
      <w:bookmarkEnd w:id="169"/>
    </w:p>
    <w:p w:rsidR="00DB0499" w:rsidRDefault="00DB0499" w:rsidP="00DB0499">
      <w:r>
        <w:t>We determined the allowed return on equity by applying our foundation model approach. The foundation model approach was developed after extensive consultation during the formation of our Rate of Return Guideline in December 2013.</w:t>
      </w:r>
    </w:p>
    <w:p w:rsidR="00DB0499" w:rsidRDefault="00DB0499" w:rsidP="00DB0499">
      <w:r>
        <w:t>Service providers submitted that our approach prevents us from having appropriate regard to relevant material.</w:t>
      </w:r>
      <w:r>
        <w:rPr>
          <w:rStyle w:val="FootnoteReference"/>
        </w:rPr>
        <w:footnoteReference w:id="618"/>
      </w:r>
      <w:r>
        <w:t xml:space="preserve"> We disagree, and provide the following for clarification:</w:t>
      </w:r>
    </w:p>
    <w:p w:rsidR="00DB0499" w:rsidRDefault="00DB0499" w:rsidP="00DB0499">
      <w:pPr>
        <w:pStyle w:val="AERbulletlistfirststyle"/>
      </w:pPr>
      <w:r>
        <w:t>The foundation model approach identifies one model as the foundation model, but this is just a starting point and does not prevent other models, or combinations of multiple models, from being adopted. As set out in the Guideline:</w:t>
      </w:r>
      <w:r>
        <w:rPr>
          <w:rStyle w:val="FootnoteReference"/>
        </w:rPr>
        <w:footnoteReference w:id="619"/>
      </w:r>
    </w:p>
    <w:p w:rsidR="00DB0499" w:rsidRPr="0081065F" w:rsidRDefault="00DB0499" w:rsidP="00DB0499">
      <w:pPr>
        <w:pStyle w:val="AERquote"/>
      </w:pPr>
      <w:r w:rsidRPr="0081065F">
        <w:t xml:space="preserve">The use of regulatory judgement may also result in a final estimate of the return on equity that is outside the foundation model range. This recognises that, ultimately, our rate of return must meet the allowed rate of return objective. In these circumstances, we may reconsider the foundation model input parameter estimates, or more fundamentally, we may also reconsider the foundation model itself. </w:t>
      </w:r>
    </w:p>
    <w:p w:rsidR="00DB0499" w:rsidRDefault="00DB0499" w:rsidP="00DB0499">
      <w:pPr>
        <w:pStyle w:val="AERbulletlistfirststyle"/>
      </w:pPr>
      <w:r>
        <w:t>The foundation model approach has six steps, but this does not mean that material considered in earlier steps are given more weight than material considered in later steps.</w:t>
      </w:r>
    </w:p>
    <w:p w:rsidR="00DB0499" w:rsidRDefault="00DB0499" w:rsidP="00DB0499">
      <w:pPr>
        <w:pStyle w:val="AERbulletlistfirststyle"/>
      </w:pPr>
      <w:r>
        <w:t>Identifying material as being valuable in the estimation of one parameter (eg. market risk premium) does not prevent us from considering the value of that parameter for the estimation of other parameters (eg. overall return on equity). However, in using certain material to inform the estimation of multiple parameters, it is important to consider that the weight being afforded to the material reflects the relative merits of the material and is not in effect being 'double-counted'.</w:t>
      </w:r>
    </w:p>
    <w:p w:rsidR="00DB0499" w:rsidRDefault="00DB0499" w:rsidP="00DB0499">
      <w:pPr>
        <w:pStyle w:val="AERbulletlistfirststyle"/>
      </w:pPr>
      <w:r>
        <w:t>We do not consider that having regard to relevant material requires running all the equity models put before us. Rather, the need to run these models depends on how valuable we consider they are in estimating a return on equity commensurate with the efficient financing costs given the systematic risk associated with CitiPower's regulated services.</w:t>
      </w:r>
    </w:p>
    <w:p w:rsidR="00DB0499" w:rsidRPr="003D1061" w:rsidRDefault="00DB0499" w:rsidP="00DB0499">
      <w:pPr>
        <w:numPr>
          <w:ilvl w:val="0"/>
          <w:numId w:val="24"/>
        </w:numPr>
      </w:pPr>
      <w:r>
        <w:t>Our approach was endorsed by the Tribunal, which stated recently:</w:t>
      </w:r>
    </w:p>
    <w:p w:rsidR="00DB0499" w:rsidRPr="003D1061" w:rsidRDefault="00DB0499" w:rsidP="00DB0499">
      <w:pPr>
        <w:pStyle w:val="AERquote"/>
      </w:pPr>
      <w:r w:rsidRPr="003D1061">
        <w:t xml:space="preserve">649 The AER has appropriately extracted from the 2012 Rule Amendments the following propositions summarising how </w:t>
      </w:r>
      <w:r>
        <w:t>[the AEMC]</w:t>
      </w:r>
      <w:r w:rsidRPr="003D1061">
        <w:t xml:space="preserve"> intended the 2012 Rule Amendments, in particular r 6.5.2 of the NER and r 87(2) of the NGR, to operate: </w:t>
      </w:r>
    </w:p>
    <w:p w:rsidR="00DB0499" w:rsidRPr="003D1061" w:rsidRDefault="00DB0499" w:rsidP="00DB0499">
      <w:pPr>
        <w:pStyle w:val="AERquote"/>
      </w:pPr>
      <w:r w:rsidRPr="003D1061">
        <w:t xml:space="preserve">(a) the RoR Objective has primacy in any estimation of the rate of return on equity (pp 18, 36 and 38-39); </w:t>
      </w:r>
    </w:p>
    <w:p w:rsidR="00DB0499" w:rsidRPr="003D1061" w:rsidRDefault="00DB0499" w:rsidP="00DB0499">
      <w:pPr>
        <w:pStyle w:val="AERquote"/>
      </w:pPr>
      <w:r w:rsidRPr="003D1061">
        <w:t xml:space="preserve">(b) the AER’s obligation to “have regard to” the material referred to in NER 6.5.2(e) when determining the allowed rate of return is subject to its obligation under NER 6.5.2(b) to determine the allowed rate of return such that it achieves the RoR Objective (and equally under NGR r 87(3) and 87(2)) (pp 36-37); </w:t>
      </w:r>
    </w:p>
    <w:p w:rsidR="00DB0499" w:rsidRPr="003D1061" w:rsidRDefault="00DB0499" w:rsidP="00DB0499">
      <w:pPr>
        <w:pStyle w:val="AERquote"/>
      </w:pPr>
      <w:r w:rsidRPr="003D1061">
        <w:t xml:space="preserve">(c) the AER must actively turn its mind to the factors listed, but it is up to the regulator to determine whether and, if so, how the factors should influence its decision (if at all) (pp 36-37); </w:t>
      </w:r>
    </w:p>
    <w:p w:rsidR="00DB0499" w:rsidRPr="003D1061" w:rsidRDefault="00DB0499" w:rsidP="00DB0499">
      <w:pPr>
        <w:pStyle w:val="AERquote"/>
      </w:pPr>
      <w:r w:rsidRPr="003D1061">
        <w:t xml:space="preserve">(d) it is important that the AER be given flexibility to adopt an approach to determining the rate of return that is appropriate to market conditions (p 44); </w:t>
      </w:r>
    </w:p>
    <w:p w:rsidR="00DB0499" w:rsidRPr="003D1061" w:rsidRDefault="00DB0499" w:rsidP="00DB0499">
      <w:pPr>
        <w:pStyle w:val="AERquote"/>
      </w:pPr>
      <w:r w:rsidRPr="003D1061">
        <w:t xml:space="preserve">(e) it is important for the AER to be transparent in its approach to determining the rate of return in order to maintain the confidence of service providers, investors and consumers in the process (pp 23 and 24); </w:t>
      </w:r>
    </w:p>
    <w:p w:rsidR="00DB0499" w:rsidRPr="003D1061" w:rsidRDefault="00DB0499" w:rsidP="00DB0499">
      <w:pPr>
        <w:pStyle w:val="AERquote"/>
      </w:pPr>
      <w:r w:rsidRPr="003D1061">
        <w:t xml:space="preserve">(f) it is important that all stakeholders (including consumers) have the opportunity to contribute to the development of the RoR 2013 Guideline and its evolution through periodic review every three years (pp 45-46); </w:t>
      </w:r>
    </w:p>
    <w:p w:rsidR="00DB0499" w:rsidRPr="003D1061" w:rsidRDefault="00DB0499" w:rsidP="00DB0499">
      <w:pPr>
        <w:pStyle w:val="AERquote"/>
      </w:pPr>
      <w:r w:rsidRPr="003D1061">
        <w:t>(g) the RoR 2013 Guideline should include details as to the financial models that the AER would take into account in making a determination, and why it has chosen those models over other models (p 70);</w:t>
      </w:r>
    </w:p>
    <w:p w:rsidR="00DB0499" w:rsidRPr="003D1061" w:rsidRDefault="00DB0499" w:rsidP="00DB0499">
      <w:pPr>
        <w:pStyle w:val="AERquote"/>
      </w:pPr>
      <w:r w:rsidRPr="003D1061">
        <w:t xml:space="preserve">(h) the RoR 2013 Guideline should provide a service provider with a reasonably predictable, transparent guide as to how the AER will assess the various estimation methods, financial models, market data and other evidence in meeting the overall RoR objective. The Guideline should allow a service provider to make a reasonably good estimate of the rate of return that would be determined by the AER if the Guidelines were applied (p 71); and </w:t>
      </w:r>
    </w:p>
    <w:p w:rsidR="00DB0499" w:rsidRDefault="00DB0499" w:rsidP="00DB0499">
      <w:pPr>
        <w:pStyle w:val="AERquote"/>
      </w:pPr>
      <w:r w:rsidRPr="003D1061">
        <w:t>(i) while the RoR 2013 Guideline are not determinative, these should “provide a meaningful signal as to the regulator’s intended methodologies for estimating return on equity” and be capable of being given “some weight” to narrow the debate about preferred methodologies and models. They should be used as a starting point in making a regulatory determination (p 71).</w:t>
      </w:r>
    </w:p>
    <w:p w:rsidR="00DB0499" w:rsidRPr="002629C5" w:rsidRDefault="00DB0499" w:rsidP="00DB0499">
      <w:r>
        <w:t>Ultimately, as the Tribunal has emphasised, we must exercise our regulatory judgement about the weight that should be attached to different models, data, methods and other evidence that may be available to us when making our decision.</w:t>
      </w:r>
      <w:r>
        <w:rPr>
          <w:rStyle w:val="FootnoteReference"/>
        </w:rPr>
        <w:footnoteReference w:id="620"/>
      </w:r>
      <w:r>
        <w:t xml:space="preserve"> We recognise that there are potential weaknesses in the different models and estimation methods.  Nevertheless, we are charged with deciding from the available evidence, a return on equity that we consider contributes to the rate of return objective. The </w:t>
      </w:r>
      <w:r w:rsidR="001355DE">
        <w:t>Australian</w:t>
      </w:r>
      <w:r>
        <w:t xml:space="preserve"> Competition Tribunal has described the way in which the AER should carry out this task as follows:</w:t>
      </w:r>
      <w:r>
        <w:rPr>
          <w:rStyle w:val="FootnoteReference"/>
        </w:rPr>
        <w:footnoteReference w:id="621"/>
      </w:r>
    </w:p>
    <w:p w:rsidR="00DB0499" w:rsidRPr="002629C5" w:rsidRDefault="00DB0499" w:rsidP="00DB0499">
      <w:pPr>
        <w:pStyle w:val="AERquote"/>
      </w:pPr>
      <w:r>
        <w:t>713 …</w:t>
      </w:r>
      <w:r w:rsidRPr="002629C5">
        <w:t xml:space="preserve">The Tribunal takes the obligation on the AER so expressed as requiring it to give consideration to the range of sources of evidence and analysis to estimate the rate of return. It need not give particular weight to any one source of evidence, and indeed it might treat particular evidence as having little or no weight in the circumstances. It is for the AER to make that assessment. It may also have regard to other factors. </w:t>
      </w:r>
      <w:r>
        <w:t>….</w:t>
      </w:r>
      <w:r w:rsidRPr="002629C5">
        <w:t xml:space="preserve"> </w:t>
      </w:r>
    </w:p>
    <w:p w:rsidR="00DB0499" w:rsidRPr="002629C5" w:rsidRDefault="00DB0499" w:rsidP="00DB0499">
      <w:pPr>
        <w:pStyle w:val="AERquote"/>
      </w:pPr>
      <w:r w:rsidRPr="002629C5">
        <w:t xml:space="preserve">714 The AER accepted that it did not itself “run” other models than the SL CAPM. It had presented to it the outcome of other models, through various expert reports provided to it. It considered, but did not adopt, those outcomes. It is said by the Network Applicants that the AER’s approach was based upon an incorrect step – both non-compliant with the Rules and in fact – that the SL CAPM was a superior model and so an appropriate “foundation model” for the purposes of the RoR 2013 Guideline. </w:t>
      </w:r>
    </w:p>
    <w:p w:rsidR="00DB0499" w:rsidRPr="002629C5" w:rsidRDefault="00DB0499" w:rsidP="00DB0499">
      <w:pPr>
        <w:pStyle w:val="AERquote"/>
      </w:pPr>
      <w:r w:rsidRPr="002629C5">
        <w:t xml:space="preserve">715 The relevant textual features, in the view of the Tribunal, are the breadth and generality of the words “relevant estimation methods, financial models, market data and other evidence”. They do not suggest a prescriptive obligation to consider particular methods, models or data. If that were intended, one would expect it to be more prescribed. Rather, it is left to the AER to decide what is “relevant” and a dispute about relevance is not itself a basis for asserting error of the character now asserted. In fact, the AER did have regard – in the sense of considering – the material put forward by the Network Applicants. The same reasoning suggests that the obligation to “have regard to” certain material is to consider it and to give it such weight as the AER decides. Again, if a more sophisticated obligation were intended, it is likely it would have been differently expressed. </w:t>
      </w:r>
      <w:r>
        <w:t>…</w:t>
      </w:r>
    </w:p>
    <w:p w:rsidR="00DB0499" w:rsidRPr="00C241EE" w:rsidRDefault="00DB0499" w:rsidP="00DB0499">
      <w:r>
        <w:t>This means that when we consider conflicting evidence, we must come to a conclusion that we consider fits the regulatory requirements.  This has been recently emphasised again by the Tribunal:</w:t>
      </w:r>
      <w:r>
        <w:rPr>
          <w:rStyle w:val="FootnoteReference"/>
        </w:rPr>
        <w:footnoteReference w:id="622"/>
      </w:r>
    </w:p>
    <w:p w:rsidR="00DB0499" w:rsidRDefault="00DB0499" w:rsidP="00DB0499">
      <w:pPr>
        <w:pStyle w:val="AERquote"/>
      </w:pPr>
      <w:r w:rsidRPr="00C241EE">
        <w:t xml:space="preserve">802 </w:t>
      </w:r>
      <w:r>
        <w:t>…</w:t>
      </w:r>
      <w:r w:rsidRPr="00C241EE">
        <w:t xml:space="preserve"> The mere existence of competing views or of reasons why a particular piece of information might point in one or other direction will not of itself mean that the Tribunal should or will reach a view different from that of the AER. That is particularly so where there are competing expert opinions. In the universe of the NEL and the NGL (as in other areas of decision making) it is a feature of the qualitative decision making process that competing materials, including competing expert opinions, may be available to the AER. It must make its decisions under, and in accordance with, the legislative and regulatory instruments </w:t>
      </w:r>
      <w:r>
        <w:t>having regard to that material. …</w:t>
      </w:r>
    </w:p>
    <w:p w:rsidR="001B6CF5" w:rsidRPr="00BA0AFD" w:rsidRDefault="001B6CF5" w:rsidP="001B6CF5">
      <w:pPr>
        <w:pStyle w:val="Heading7"/>
      </w:pPr>
      <w:bookmarkStart w:id="170" w:name="_Ref451675743"/>
      <w:bookmarkStart w:id="171" w:name="_Ref451675824"/>
      <w:bookmarkStart w:id="172" w:name="_Toc451678630"/>
      <w:bookmarkStart w:id="173" w:name="_Ref451414893"/>
      <w:bookmarkStart w:id="174" w:name="_Ref451414916"/>
      <w:bookmarkStart w:id="175" w:name="_Ref451415098"/>
      <w:bookmarkStart w:id="176" w:name="_Ref451415590"/>
      <w:bookmarkStart w:id="177" w:name="_Ref451415625"/>
      <w:bookmarkStart w:id="178" w:name="_Ref451415763"/>
      <w:bookmarkStart w:id="179" w:name="_Ref451415800"/>
      <w:bookmarkStart w:id="180" w:name="_Ref451415926"/>
      <w:bookmarkStart w:id="181" w:name="_Ref451416598"/>
      <w:bookmarkStart w:id="182" w:name="_Ref451416623"/>
      <w:bookmarkStart w:id="183" w:name="_Ref451416644"/>
      <w:r>
        <w:t>Equity models</w:t>
      </w:r>
      <w:bookmarkEnd w:id="170"/>
      <w:bookmarkEnd w:id="171"/>
      <w:bookmarkEnd w:id="172"/>
    </w:p>
    <w:p w:rsidR="001B6CF5" w:rsidRPr="001562D4" w:rsidRDefault="001B6CF5" w:rsidP="001B6CF5">
      <w:pPr>
        <w:numPr>
          <w:ilvl w:val="0"/>
          <w:numId w:val="24"/>
        </w:numPr>
      </w:pPr>
      <w:r>
        <w:t xml:space="preserve">As part of </w:t>
      </w:r>
      <w:r w:rsidRPr="001562D4">
        <w:t>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w:t>
      </w:r>
      <w:r>
        <w:t>may</w:t>
      </w:r>
      <w:r w:rsidRPr="001562D4">
        <w:t xml:space="preserve"> be used to estimate the </w:t>
      </w:r>
      <w:r>
        <w:t>return on equity,</w:t>
      </w:r>
      <w:r w:rsidRPr="001562D4">
        <w:t xml:space="preserve"> or to i</w:t>
      </w:r>
      <w:r>
        <w:t xml:space="preserve">nform </w:t>
      </w:r>
      <w:r w:rsidRPr="001562D4">
        <w:t>the implementation of our foundation model approach:</w:t>
      </w:r>
    </w:p>
    <w:p w:rsidR="001B6CF5" w:rsidRPr="001562D4" w:rsidRDefault="001B6CF5" w:rsidP="001B6CF5">
      <w:pPr>
        <w:pStyle w:val="ListNumber"/>
        <w:numPr>
          <w:ilvl w:val="1"/>
          <w:numId w:val="24"/>
        </w:numPr>
      </w:pPr>
      <w:r w:rsidRPr="001562D4">
        <w:t>The Sharp</w:t>
      </w:r>
      <w:r>
        <w:t>e–</w:t>
      </w:r>
      <w:r w:rsidRPr="001562D4">
        <w:t>Lintn</w:t>
      </w:r>
      <w:r>
        <w:t>er Capital Asset Pricing Model (Sharpe-Lintner CAPM)</w:t>
      </w:r>
    </w:p>
    <w:p w:rsidR="001B6CF5" w:rsidRPr="001562D4" w:rsidRDefault="001B6CF5" w:rsidP="001B6CF5">
      <w:pPr>
        <w:pStyle w:val="ListNumber"/>
        <w:numPr>
          <w:ilvl w:val="1"/>
          <w:numId w:val="24"/>
        </w:numPr>
      </w:pPr>
      <w:r w:rsidRPr="001562D4">
        <w:t>The Black Capital Asset Pricing model (Black CAPM)</w:t>
      </w:r>
    </w:p>
    <w:p w:rsidR="001B6CF5" w:rsidRPr="001562D4" w:rsidRDefault="001B6CF5" w:rsidP="001B6CF5">
      <w:pPr>
        <w:pStyle w:val="ListNumber"/>
        <w:numPr>
          <w:ilvl w:val="1"/>
          <w:numId w:val="24"/>
        </w:numPr>
      </w:pPr>
      <w:r w:rsidRPr="001562D4">
        <w:t xml:space="preserve">The </w:t>
      </w:r>
      <w:r>
        <w:t>Fama French Three Factor Model</w:t>
      </w:r>
    </w:p>
    <w:p w:rsidR="001B6CF5" w:rsidRPr="001562D4" w:rsidRDefault="001B6CF5" w:rsidP="001B6CF5">
      <w:pPr>
        <w:pStyle w:val="ListNumber"/>
        <w:numPr>
          <w:ilvl w:val="1"/>
          <w:numId w:val="24"/>
        </w:numPr>
      </w:pPr>
      <w:r>
        <w:t>The Dividend Growth Model</w:t>
      </w:r>
    </w:p>
    <w:p w:rsidR="001B6CF5" w:rsidRDefault="001B6CF5" w:rsidP="001B6CF5">
      <w:pPr>
        <w:numPr>
          <w:ilvl w:val="0"/>
          <w:numId w:val="24"/>
        </w:numPr>
      </w:pPr>
      <w:r>
        <w:t>We have</w:t>
      </w:r>
      <w:r w:rsidRPr="00577884">
        <w:t xml:space="preserve"> considered all mo</w:t>
      </w:r>
      <w:r>
        <w:t>dels that have been proposed.</w:t>
      </w:r>
      <w:r w:rsidRPr="00BA3AB3">
        <w:t xml:space="preserve"> </w:t>
      </w:r>
      <w:r w:rsidRPr="00577884">
        <w:t>In this sense, all of the models are relevant.</w:t>
      </w:r>
      <w:r>
        <w:t xml:space="preserve"> </w:t>
      </w:r>
      <w:r w:rsidRPr="00577884">
        <w:t xml:space="preserve"> </w:t>
      </w:r>
      <w:r w:rsidRPr="006C4D93">
        <w:t>In addition to these models, we have considered information submitted in relation to non-s</w:t>
      </w:r>
      <w:r>
        <w:t xml:space="preserve">tandard versions of the Sharpe-Lintner CAPM </w:t>
      </w:r>
      <w:r w:rsidRPr="008A35BC">
        <w:t>—</w:t>
      </w:r>
      <w:r>
        <w:t xml:space="preserve"> </w:t>
      </w:r>
      <w:r w:rsidRPr="006C4D93">
        <w:t>th</w:t>
      </w:r>
      <w:r>
        <w:t>e Wright and historical specifications</w:t>
      </w:r>
      <w:r w:rsidRPr="006C4D93">
        <w:t>.</w:t>
      </w:r>
    </w:p>
    <w:p w:rsidR="001B6CF5" w:rsidRPr="001562D4" w:rsidRDefault="001B6CF5" w:rsidP="001B6CF5">
      <w:pPr>
        <w:numPr>
          <w:ilvl w:val="0"/>
          <w:numId w:val="24"/>
        </w:numPr>
      </w:pPr>
      <w:r>
        <w:t>Service providers</w:t>
      </w:r>
      <w:r w:rsidRPr="001562D4">
        <w:t xml:space="preserve"> </w:t>
      </w:r>
      <w:r>
        <w:t>proposed using</w:t>
      </w:r>
      <w:r w:rsidRPr="001562D4">
        <w:t xml:space="preserve"> empirical estimates from the </w:t>
      </w:r>
      <w:r>
        <w:t>Black CAPM, Fama-French model, and dividend growth model. They proposed to use the estimates from these models to inform</w:t>
      </w:r>
      <w:r w:rsidRPr="001562D4">
        <w:t xml:space="preserve"> the </w:t>
      </w:r>
      <w:r>
        <w:t>overall return on equity through either:</w:t>
      </w:r>
      <w:r w:rsidRPr="001562D4">
        <w:rPr>
          <w:rStyle w:val="FootnoteReference"/>
        </w:rPr>
        <w:footnoteReference w:id="623"/>
      </w:r>
      <w:r>
        <w:t xml:space="preserve"> </w:t>
      </w:r>
    </w:p>
    <w:p w:rsidR="001B6CF5" w:rsidRPr="006C4D93" w:rsidRDefault="001B6CF5" w:rsidP="001B6CF5">
      <w:pPr>
        <w:pStyle w:val="AERbulletlistfirststyle"/>
      </w:pPr>
      <w:r>
        <w:t>e</w:t>
      </w:r>
      <w:r w:rsidRPr="006C4D93">
        <w:t>stimat</w:t>
      </w:r>
      <w:r>
        <w:t>ing</w:t>
      </w:r>
      <w:r w:rsidRPr="006C4D93">
        <w:t xml:space="preserve"> their proposed retu</w:t>
      </w:r>
      <w:r>
        <w:t>rn on equity as part of a multi-</w:t>
      </w:r>
      <w:r w:rsidRPr="006C4D93">
        <w:t>model approach, or to inform input parameters into the S</w:t>
      </w:r>
      <w:r>
        <w:t>harpe-</w:t>
      </w:r>
      <w:r w:rsidRPr="006C4D93">
        <w:t>L</w:t>
      </w:r>
      <w:r>
        <w:t>intner CAPM, and/or</w:t>
      </w:r>
    </w:p>
    <w:p w:rsidR="001B6CF5" w:rsidRPr="006C4D93" w:rsidRDefault="001B6CF5" w:rsidP="001B6CF5">
      <w:pPr>
        <w:pStyle w:val="AERbulletlistfirststyle"/>
      </w:pPr>
      <w:r>
        <w:t xml:space="preserve">providing </w:t>
      </w:r>
      <w:r w:rsidRPr="006C4D93">
        <w:t xml:space="preserve">evidentiary support that their estimate of the return on equity is reasonable and will </w:t>
      </w:r>
      <w:r>
        <w:t xml:space="preserve">contribute to the achievement of </w:t>
      </w:r>
      <w:r w:rsidRPr="006C4D93">
        <w:t>the allowed rate of return objective.</w:t>
      </w:r>
    </w:p>
    <w:p w:rsidR="001B6CF5" w:rsidRDefault="001B6CF5" w:rsidP="001B6CF5">
      <w:pPr>
        <w:numPr>
          <w:ilvl w:val="0"/>
          <w:numId w:val="24"/>
        </w:numPr>
      </w:pPr>
      <w:r w:rsidRPr="00577884">
        <w:t xml:space="preserve">While </w:t>
      </w:r>
      <w:r>
        <w:t>we have</w:t>
      </w:r>
      <w:r w:rsidRPr="00577884">
        <w:t xml:space="preserve"> considered all proposed models, </w:t>
      </w:r>
      <w:r>
        <w:t>we are</w:t>
      </w:r>
      <w:r w:rsidRPr="00577884">
        <w:t xml:space="preserve"> not </w:t>
      </w:r>
      <w:r>
        <w:t>persuaded</w:t>
      </w:r>
      <w:r w:rsidRPr="00577884">
        <w:t xml:space="preserve"> that they are all of equal value. </w:t>
      </w:r>
      <w:r>
        <w:t>This appendix sets out our assessment of the relative merits of the models for estimating the return on equity, either directly through a foundation model or multi-model approach, or through informing other parameters of the return on equity.</w:t>
      </w:r>
    </w:p>
    <w:p w:rsidR="001B6CF5" w:rsidRDefault="001B6CF5" w:rsidP="001B6CF5">
      <w:pPr>
        <w:pStyle w:val="Heading8"/>
      </w:pPr>
      <w:bookmarkStart w:id="184" w:name="_Toc443923187"/>
      <w:bookmarkStart w:id="185" w:name="_Ref445849366"/>
      <w:bookmarkStart w:id="186" w:name="_Ref451675692"/>
      <w:bookmarkStart w:id="187" w:name="_Toc451678631"/>
      <w:r>
        <w:t>Sharpe-Lintner CAPM</w:t>
      </w:r>
      <w:bookmarkEnd w:id="184"/>
      <w:bookmarkEnd w:id="185"/>
      <w:bookmarkEnd w:id="186"/>
      <w:bookmarkEnd w:id="187"/>
    </w:p>
    <w:p w:rsidR="001B6CF5" w:rsidRPr="001562D4" w:rsidRDefault="001B6CF5" w:rsidP="001B6CF5">
      <w:pPr>
        <w:numPr>
          <w:ilvl w:val="0"/>
          <w:numId w:val="24"/>
        </w:numPr>
      </w:pPr>
      <w:r w:rsidRPr="001562D4">
        <w:t xml:space="preserve">The </w:t>
      </w:r>
      <w:r>
        <w:t>Sharpe-Lintner 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624"/>
      </w:r>
    </w:p>
    <w:p w:rsidR="001B6CF5" w:rsidRDefault="001B6CF5" w:rsidP="001B6CF5">
      <w:pPr>
        <w:numPr>
          <w:ilvl w:val="0"/>
          <w:numId w:val="24"/>
        </w:numPr>
      </w:pPr>
      <w:r>
        <w:t xml:space="preserve">We consider the Sharpe-Lintner </w:t>
      </w:r>
      <w:r w:rsidRPr="001562D4">
        <w:t>CAPM will, as the foundation model</w:t>
      </w:r>
      <w:r>
        <w:t xml:space="preserve"> in our foundation model approach</w:t>
      </w:r>
      <w:r w:rsidRPr="0056187B">
        <w:t xml:space="preserve"> </w:t>
      </w:r>
      <w:r>
        <w:t xml:space="preserve">and </w:t>
      </w:r>
      <w:r w:rsidRPr="001562D4">
        <w:t xml:space="preserve">with reasonably selected input parameters, result in a </w:t>
      </w:r>
      <w:r>
        <w:t>return on equity</w:t>
      </w:r>
      <w:r w:rsidRPr="001562D4">
        <w:t xml:space="preserve"> commensurate with the benchmark ent</w:t>
      </w:r>
      <w:r>
        <w:t>ity's efficient financing costs</w:t>
      </w:r>
      <w:r w:rsidRPr="001562D4">
        <w:t xml:space="preserve">. We consider </w:t>
      </w:r>
      <w:r>
        <w:t xml:space="preserve">our </w:t>
      </w:r>
      <w:r w:rsidRPr="001562D4">
        <w:t>cross checks</w:t>
      </w:r>
      <w:r>
        <w:rPr>
          <w:rStyle w:val="FootnoteReference"/>
        </w:rPr>
        <w:footnoteReference w:id="625"/>
      </w:r>
      <w:r w:rsidRPr="001562D4">
        <w:t xml:space="preserve"> on the </w:t>
      </w:r>
      <w:r>
        <w:t>return on equity provide supporting evidence that the</w:t>
      </w:r>
      <w:r w:rsidRPr="001562D4">
        <w:t xml:space="preserve"> </w:t>
      </w:r>
      <w:r>
        <w:t>return on equity derived using the Sharpe-Lintner 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objective.</w:t>
      </w:r>
    </w:p>
    <w:p w:rsidR="001B6CF5" w:rsidRPr="001562D4" w:rsidRDefault="001B6CF5" w:rsidP="001B6CF5">
      <w:pPr>
        <w:numPr>
          <w:ilvl w:val="0"/>
          <w:numId w:val="24"/>
        </w:numPr>
      </w:pPr>
      <w:r w:rsidRPr="001562D4">
        <w:t>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626"/>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proposals </w:t>
      </w:r>
      <w:r>
        <w:t>from</w:t>
      </w:r>
      <w:r w:rsidRPr="001562D4">
        <w:t xml:space="preserve"> </w:t>
      </w:r>
      <w:r>
        <w:t>service providers'</w:t>
      </w:r>
      <w:r w:rsidRPr="001562D4">
        <w:t xml:space="preserve"> and submissions on these proposals</w:t>
      </w:r>
      <w:r>
        <w:t>.</w:t>
      </w:r>
      <w:r>
        <w:rPr>
          <w:rStyle w:val="FootnoteReference"/>
        </w:rPr>
        <w:footnoteReference w:id="627"/>
      </w:r>
    </w:p>
    <w:p w:rsidR="001B6CF5" w:rsidRPr="001562D4" w:rsidRDefault="001B6CF5" w:rsidP="001B6CF5">
      <w:pPr>
        <w:numPr>
          <w:ilvl w:val="0"/>
          <w:numId w:val="24"/>
        </w:numPr>
      </w:pPr>
      <w:r>
        <w:t xml:space="preserve">The Sharpe-Lintner </w:t>
      </w:r>
      <w:r w:rsidRPr="001562D4">
        <w:t>CAPM is the dominant model used to estimate firms' cost of capital by providers of capital to firms (</w:t>
      </w:r>
      <w:r>
        <w:t>that is,</w:t>
      </w:r>
      <w:r w:rsidRPr="001562D4">
        <w:t xml:space="preserve"> investors).</w:t>
      </w:r>
      <w:r>
        <w:rPr>
          <w:rStyle w:val="FootnoteReference"/>
        </w:rPr>
        <w:footnoteReference w:id="628"/>
      </w:r>
      <w:r>
        <w:t xml:space="preserve"> We consider the model:</w:t>
      </w:r>
    </w:p>
    <w:p w:rsidR="001B6CF5" w:rsidRPr="006C4D93" w:rsidRDefault="001B6CF5" w:rsidP="001B6CF5">
      <w:pPr>
        <w:pStyle w:val="AERbulletlistfirststyle"/>
      </w:pPr>
      <w:r w:rsidRPr="001562D4">
        <w:t>is reflective of economic and finance pri</w:t>
      </w:r>
      <w:r w:rsidRPr="006C4D93">
        <w:t>nciples and market information</w:t>
      </w:r>
    </w:p>
    <w:p w:rsidR="001B6CF5" w:rsidRPr="006C4D93" w:rsidRDefault="001B6CF5" w:rsidP="001B6CF5">
      <w:pPr>
        <w:pStyle w:val="AERbulletlistfirststyle"/>
      </w:pPr>
      <w:r w:rsidRPr="001562D4">
        <w:t xml:space="preserve">is fit for purpose as it was developed for </w:t>
      </w:r>
      <w:r w:rsidRPr="006C4D93">
        <w:t>estimating the cost of capital</w:t>
      </w:r>
    </w:p>
    <w:p w:rsidR="001B6CF5" w:rsidRPr="006C4D93" w:rsidRDefault="001B6CF5" w:rsidP="001B6CF5">
      <w:pPr>
        <w:pStyle w:val="AERbulletlistfirststyle"/>
      </w:pPr>
      <w:r w:rsidRPr="001562D4">
        <w:t>can be implemented in accordance with good pr</w:t>
      </w:r>
      <w:r w:rsidRPr="006C4D93">
        <w:t>actice</w:t>
      </w:r>
    </w:p>
    <w:p w:rsidR="001B6CF5" w:rsidRPr="006C4D93" w:rsidRDefault="001B6CF5" w:rsidP="001B6CF5">
      <w:pPr>
        <w:pStyle w:val="AERbulletlistfirststyle"/>
      </w:pPr>
      <w:r w:rsidRPr="001562D4">
        <w:t>is not unduly sensitive to errors in</w:t>
      </w:r>
      <w:r w:rsidRPr="006C4D93">
        <w:t xml:space="preserve"> inputs or arbitrary filtering</w:t>
      </w:r>
    </w:p>
    <w:p w:rsidR="001B6CF5" w:rsidRPr="006C4D93" w:rsidRDefault="001B6CF5" w:rsidP="001B6CF5">
      <w:pPr>
        <w:pStyle w:val="AERbulletlistfirststyle"/>
      </w:pPr>
      <w:r w:rsidRPr="001562D4">
        <w:t xml:space="preserve">uses input data that is credible and verifiable, comparable and </w:t>
      </w:r>
      <w:r w:rsidRPr="006C4D93">
        <w:t>timely and clearly sourced</w:t>
      </w:r>
    </w:p>
    <w:p w:rsidR="001B6CF5" w:rsidRPr="006C4D93" w:rsidRDefault="001B6CF5" w:rsidP="001B6CF5">
      <w:pPr>
        <w:pStyle w:val="AERbulletlistfirststyle"/>
      </w:pPr>
      <w:r w:rsidRPr="001562D4">
        <w:t>is sufficiently flexible to allow for changing market conditions and new information to be reflected in regul</w:t>
      </w:r>
      <w:r w:rsidRPr="006C4D93">
        <w:t>atory outcomes, as appropriate.</w:t>
      </w:r>
    </w:p>
    <w:p w:rsidR="001B6CF5" w:rsidRPr="006C4D93" w:rsidRDefault="001B6CF5" w:rsidP="001B6CF5">
      <w:r w:rsidRPr="001562D4">
        <w:t xml:space="preserve">While a range of challenges to the </w:t>
      </w:r>
      <w:r>
        <w:t>Sharpe-Lintner CAPM</w:t>
      </w:r>
      <w:r w:rsidRPr="001562D4">
        <w:t xml:space="preserve"> have been raised over many years, the model remains the dominant asset pricing model used for capital budgeting.</w:t>
      </w:r>
      <w:r>
        <w:rPr>
          <w:rStyle w:val="FootnoteReference"/>
        </w:rPr>
        <w:footnoteReference w:id="629"/>
      </w:r>
      <w:r w:rsidRPr="001562D4">
        <w:t xml:space="preserve"> </w:t>
      </w:r>
      <w:r>
        <w:t>T</w:t>
      </w:r>
      <w:r w:rsidRPr="006C4D93">
        <w:t xml:space="preserve">he </w:t>
      </w:r>
      <w:r>
        <w:t>model—</w:t>
      </w:r>
      <w:r w:rsidRPr="006C4D93">
        <w:t xml:space="preserve">estimated as the sum of the risk free rate and the product of the equity beta and </w:t>
      </w:r>
      <w:r>
        <w:t>market risk premium—</w:t>
      </w:r>
      <w:r w:rsidRPr="006C4D93">
        <w:t xml:space="preserve">is relatively simple to implement. </w:t>
      </w:r>
      <w:r>
        <w:t>We consider these i</w:t>
      </w:r>
      <w:r w:rsidRPr="006C4D93">
        <w:t xml:space="preserve">nput parameter estimates </w:t>
      </w:r>
      <w:r>
        <w:t>are based on ro</w:t>
      </w:r>
      <w:r w:rsidRPr="006C4D93">
        <w:t>bust, transparent and replicable analysis.</w:t>
      </w:r>
      <w:r>
        <w:t xml:space="preserve"> </w:t>
      </w:r>
      <w:r w:rsidRPr="00C61D42">
        <w:t>We consider its use in this context will lead to a predictable estimate of the return on equity, and this will be valuable in ensuring regulated service providers can efficiently raise equity.</w:t>
      </w:r>
    </w:p>
    <w:p w:rsidR="001B6CF5" w:rsidRPr="001562D4" w:rsidRDefault="001B6CF5" w:rsidP="001B6CF5">
      <w:pPr>
        <w:numPr>
          <w:ilvl w:val="0"/>
          <w:numId w:val="24"/>
        </w:numPr>
      </w:pPr>
      <w:r w:rsidRPr="001562D4">
        <w:t>In relation to the S</w:t>
      </w:r>
      <w:r>
        <w:t>harpe-</w:t>
      </w:r>
      <w:r w:rsidRPr="001562D4">
        <w:t>L</w:t>
      </w:r>
      <w:r>
        <w:t xml:space="preserve">intner </w:t>
      </w:r>
      <w:r w:rsidRPr="001562D4">
        <w:t>CAPM, McKenzie and Partington found the following:</w:t>
      </w:r>
      <w:r>
        <w:rPr>
          <w:rStyle w:val="FootnoteReference"/>
        </w:rPr>
        <w:footnoteReference w:id="630"/>
      </w:r>
    </w:p>
    <w:p w:rsidR="001B6CF5" w:rsidRPr="006C4D93" w:rsidRDefault="001B6CF5" w:rsidP="001B6CF5">
      <w:pPr>
        <w:pStyle w:val="AERbulletlistfirststyle"/>
      </w:pPr>
      <w:r>
        <w:t>A</w:t>
      </w:r>
      <w:r w:rsidRPr="006C4D93">
        <w:t>s the foundation model it, 'provides a starting point, which is firmly based in a mature and well accepted theoretical and empirical literature'.</w:t>
      </w:r>
    </w:p>
    <w:p w:rsidR="001B6CF5" w:rsidRPr="006C4D93" w:rsidRDefault="001B6CF5" w:rsidP="001B6CF5">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1B6CF5" w:rsidRPr="006C4D93" w:rsidRDefault="001B6CF5" w:rsidP="001B6CF5">
      <w:pPr>
        <w:pStyle w:val="AERbulletlistfirststyle"/>
      </w:pPr>
      <w:r>
        <w:t>Its '</w:t>
      </w:r>
      <w:r w:rsidRPr="006C4D93">
        <w:t>place as the foundation model is justifiable in terms of its simple theoretical underpinnings and relative ease of application'.</w:t>
      </w:r>
    </w:p>
    <w:p w:rsidR="001B6CF5" w:rsidRPr="006C4D93" w:rsidRDefault="001B6CF5" w:rsidP="001B6CF5">
      <w:pPr>
        <w:pStyle w:val="AERbulletlistfirststyle"/>
      </w:pPr>
      <w:r>
        <w:t>T</w:t>
      </w:r>
      <w:r w:rsidRPr="006C4D93">
        <w:t>he majority of international regulators primari</w:t>
      </w:r>
      <w:r>
        <w:t xml:space="preserve">ly base their decision on the Sharpe-Lintner </w:t>
      </w:r>
      <w:r w:rsidRPr="006C4D93">
        <w:t>CAPM framework.</w:t>
      </w:r>
    </w:p>
    <w:p w:rsidR="001B6CF5" w:rsidRPr="001562D4" w:rsidRDefault="001B6CF5" w:rsidP="001B6CF5">
      <w:pPr>
        <w:numPr>
          <w:ilvl w:val="0"/>
          <w:numId w:val="24"/>
        </w:numPr>
      </w:pPr>
      <w:r>
        <w:t xml:space="preserve">Further, </w:t>
      </w:r>
      <w:r w:rsidRPr="001562D4">
        <w:t xml:space="preserve">McKenzie and Partington </w:t>
      </w:r>
      <w:r>
        <w:t>have expressed that</w:t>
      </w:r>
      <w:r w:rsidRPr="001562D4">
        <w:t xml:space="preserve"> the foundat</w:t>
      </w:r>
      <w:r>
        <w:t xml:space="preserve">ion model approach, using the Sharpe-Lintner </w:t>
      </w:r>
      <w:r w:rsidRPr="001562D4">
        <w:t>CAPM as the foundation model, would be expected to:</w:t>
      </w:r>
      <w:r w:rsidRPr="001562D4">
        <w:rPr>
          <w:rStyle w:val="FootnoteReference"/>
        </w:rPr>
        <w:footnoteReference w:id="631"/>
      </w:r>
    </w:p>
    <w:p w:rsidR="001B6CF5" w:rsidRPr="006C4D93" w:rsidRDefault="001B6CF5" w:rsidP="001B6CF5">
      <w:pPr>
        <w:pStyle w:val="AERbulletlistfirststyle"/>
      </w:pPr>
      <w:r w:rsidRPr="001562D4">
        <w:t xml:space="preserve">lead to a reasonable estimate of the </w:t>
      </w:r>
      <w:r w:rsidRPr="006C4D93">
        <w:t>return on equity</w:t>
      </w:r>
    </w:p>
    <w:p w:rsidR="001B6CF5" w:rsidRPr="006C4D93" w:rsidRDefault="001B6CF5" w:rsidP="001B6CF5">
      <w:pPr>
        <w:pStyle w:val="AERbulletlistfirststyle"/>
      </w:pPr>
      <w:r w:rsidRPr="001562D4">
        <w:t xml:space="preserve">lead to a </w:t>
      </w:r>
      <w:r w:rsidRPr="006C4D93">
        <w:t>rate of return that meets the allowed rate of return objective</w:t>
      </w:r>
    </w:p>
    <w:p w:rsidR="001B6CF5" w:rsidRPr="006C4D93" w:rsidRDefault="001B6CF5" w:rsidP="001B6CF5">
      <w:pPr>
        <w:pStyle w:val="AERbulletlistfirststyle"/>
      </w:pPr>
      <w:r w:rsidRPr="001562D4">
        <w:t>not lead to a downward biased estimate of the cost of equity fo</w:t>
      </w:r>
      <w:r w:rsidRPr="006C4D93">
        <w:t>r a benchmark efficient entity.</w:t>
      </w:r>
    </w:p>
    <w:p w:rsidR="001B6CF5" w:rsidRDefault="001B6CF5" w:rsidP="001B6CF5">
      <w:pPr>
        <w:pStyle w:val="AERbulletlistfirststyle"/>
        <w:numPr>
          <w:ilvl w:val="0"/>
          <w:numId w:val="24"/>
        </w:numPr>
      </w:pPr>
      <w:r>
        <w:t>In relation to the Sharpe-Lintner CAPM, Partington and Satchell noted:</w:t>
      </w:r>
      <w:r>
        <w:rPr>
          <w:rStyle w:val="FootnoteReference"/>
        </w:rPr>
        <w:footnoteReference w:id="632"/>
      </w:r>
      <w:r>
        <w:t xml:space="preserve"> </w:t>
      </w:r>
    </w:p>
    <w:p w:rsidR="001B6CF5" w:rsidRDefault="001B6CF5" w:rsidP="001B6CF5">
      <w:pPr>
        <w:pStyle w:val="AERbulletlistfirststyle"/>
      </w:pPr>
      <w:r>
        <w:t>The model is 'ubiquitous in relation to the estimation of the cost of equity' and 'the same cannot be said for the alternative models proposed by the regulated businesses.</w:t>
      </w:r>
      <w:r>
        <w:rPr>
          <w:rStyle w:val="FootnoteReference"/>
        </w:rPr>
        <w:footnoteReference w:id="633"/>
      </w:r>
    </w:p>
    <w:p w:rsidR="001B6CF5" w:rsidRDefault="001B6CF5" w:rsidP="001B6CF5">
      <w:pPr>
        <w:pStyle w:val="AERbulletlistfirststyle"/>
      </w:pPr>
      <w:r>
        <w:t xml:space="preserve">It is 'widely used and understood'. </w:t>
      </w:r>
    </w:p>
    <w:p w:rsidR="001B6CF5" w:rsidRDefault="001B6CF5" w:rsidP="001B6CF5">
      <w:pPr>
        <w:pStyle w:val="AERbulletlistfirststyle"/>
      </w:pPr>
      <w:r>
        <w:t xml:space="preserve">The model has passed the test of time and 'has had several decades of widespread practical use in estimating the cost of capital'. </w:t>
      </w:r>
    </w:p>
    <w:p w:rsidR="001B6CF5" w:rsidRDefault="001B6CF5" w:rsidP="001B6CF5">
      <w:pPr>
        <w:numPr>
          <w:ilvl w:val="0"/>
          <w:numId w:val="24"/>
        </w:numPr>
      </w:pPr>
      <w:r w:rsidRPr="001562D4">
        <w:t>Handley</w:t>
      </w:r>
      <w:r>
        <w:t xml:space="preserve"> </w:t>
      </w:r>
      <w:r w:rsidRPr="001562D4">
        <w:t xml:space="preserve">indicated </w:t>
      </w:r>
      <w:r>
        <w:t xml:space="preserve">that our use of the Sharpe-Lintner </w:t>
      </w:r>
      <w:r w:rsidRPr="001562D4">
        <w:t>CAPM as foundation model</w:t>
      </w:r>
      <w:r>
        <w:t xml:space="preserve"> was</w:t>
      </w:r>
      <w:r w:rsidRPr="001562D4">
        <w:t xml:space="preserve"> entirely appropriate and reasonable.</w:t>
      </w:r>
      <w:r>
        <w:rPr>
          <w:rStyle w:val="FootnoteReference"/>
        </w:rPr>
        <w:footnoteReference w:id="634"/>
      </w:r>
      <w:r>
        <w:t xml:space="preserve"> He noted:</w:t>
      </w:r>
      <w:r w:rsidRPr="00B310A9">
        <w:rPr>
          <w:rStyle w:val="FootnoteReference"/>
        </w:rPr>
        <w:t xml:space="preserve"> </w:t>
      </w:r>
      <w:r>
        <w:rPr>
          <w:rStyle w:val="FootnoteReference"/>
        </w:rPr>
        <w:footnoteReference w:id="635"/>
      </w:r>
    </w:p>
    <w:p w:rsidR="001B6CF5" w:rsidRDefault="001B6CF5" w:rsidP="001B6CF5">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1B6CF5" w:rsidRDefault="001B6CF5" w:rsidP="001B6CF5">
      <w:pPr>
        <w:numPr>
          <w:ilvl w:val="0"/>
          <w:numId w:val="24"/>
        </w:numPr>
      </w:pPr>
      <w:r w:rsidRPr="001562D4">
        <w:t>A s</w:t>
      </w:r>
      <w:r>
        <w:t xml:space="preserve">ubstantial </w:t>
      </w:r>
      <w:r w:rsidRPr="001562D4">
        <w:t xml:space="preserve">amount of the material </w:t>
      </w:r>
      <w:r w:rsidR="007A3345" w:rsidRPr="001562D4">
        <w:t xml:space="preserve">submitted to us </w:t>
      </w:r>
      <w:r w:rsidR="007A3345">
        <w:t>after publishing</w:t>
      </w:r>
      <w:r w:rsidR="007A3345" w:rsidRPr="001562D4">
        <w:t xml:space="preserve"> the Guideline </w:t>
      </w:r>
      <w:r w:rsidRPr="001562D4">
        <w:t xml:space="preserve">commented on </w:t>
      </w:r>
      <w:r>
        <w:t xml:space="preserve">our conclusions and choice of Sharpe-Lintner </w:t>
      </w:r>
      <w:r w:rsidRPr="001562D4">
        <w:t xml:space="preserve">CAPM as the foundation model. </w:t>
      </w:r>
      <w:r>
        <w:t xml:space="preserve">The majority of </w:t>
      </w:r>
      <w:r w:rsidRPr="001562D4">
        <w:t xml:space="preserve">stakeholders </w:t>
      </w:r>
      <w:r>
        <w:t xml:space="preserve">other than service providers </w:t>
      </w:r>
      <w:r w:rsidRPr="001562D4">
        <w:t>su</w:t>
      </w:r>
      <w:r>
        <w:t xml:space="preserve">pported the use of </w:t>
      </w:r>
      <w:r w:rsidRPr="001562D4">
        <w:t xml:space="preserve">the </w:t>
      </w:r>
      <w:r>
        <w:t>model</w:t>
      </w:r>
      <w:r w:rsidRPr="001562D4">
        <w:t xml:space="preserve"> as the </w:t>
      </w:r>
      <w:r>
        <w:t>foundation model.</w:t>
      </w:r>
      <w:r>
        <w:rPr>
          <w:rStyle w:val="FootnoteReference"/>
        </w:rPr>
        <w:footnoteReference w:id="636"/>
      </w:r>
      <w:r>
        <w:t xml:space="preserve"> These submissions are detailed in section </w:t>
      </w:r>
      <w:r>
        <w:fldChar w:fldCharType="begin"/>
      </w:r>
      <w:r>
        <w:instrText xml:space="preserve"> REF _Ref449004907 \r \h </w:instrText>
      </w:r>
      <w:r>
        <w:fldChar w:fldCharType="separate"/>
      </w:r>
      <w:r w:rsidR="00BA2E8E">
        <w:t>B.1.1</w:t>
      </w:r>
      <w:r>
        <w:fldChar w:fldCharType="end"/>
      </w:r>
      <w:r>
        <w:t>.</w:t>
      </w:r>
    </w:p>
    <w:p w:rsidR="001B6CF5" w:rsidRDefault="001B6CF5" w:rsidP="001B6CF5">
      <w:r>
        <w:t>Generally,</w:t>
      </w:r>
      <w:r w:rsidRPr="001562D4">
        <w:t xml:space="preserve"> </w:t>
      </w:r>
      <w:r>
        <w:t xml:space="preserve">service providers </w:t>
      </w:r>
      <w:r w:rsidRPr="001562D4">
        <w:t>submitted that the allowed return on equity for a bench</w:t>
      </w:r>
      <w:r>
        <w:t>mark efficient entity from the foundation m</w:t>
      </w:r>
      <w:r w:rsidRPr="001562D4">
        <w:t>odel approach (usin</w:t>
      </w:r>
      <w:r>
        <w:t>g the Sharpe-Lintner CAPM as the foundation</w:t>
      </w:r>
      <w:r w:rsidRPr="001562D4">
        <w:t xml:space="preserve"> model) is likely to be downward biased. </w:t>
      </w:r>
      <w:r>
        <w:t>In their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637"/>
      </w:r>
      <w:r>
        <w:t xml:space="preserve"> Service providers also resubmitted these positions in their submissions on other service providers' regulatory proposals.</w:t>
      </w:r>
      <w:r>
        <w:rPr>
          <w:rStyle w:val="FootnoteReference"/>
        </w:rPr>
        <w:footnoteReference w:id="638"/>
      </w:r>
      <w:r w:rsidRPr="001562D4">
        <w:t xml:space="preserve"> </w:t>
      </w:r>
    </w:p>
    <w:p w:rsidR="001B6CF5" w:rsidRDefault="001B6CF5" w:rsidP="001B6CF5">
      <w:r>
        <w:t>Service providers</w:t>
      </w:r>
      <w:r w:rsidRPr="001562D4">
        <w:t xml:space="preserve"> appear to have submitted </w:t>
      </w:r>
      <w:r>
        <w:t xml:space="preserve">that </w:t>
      </w:r>
      <w:r w:rsidRPr="001562D4">
        <w:t xml:space="preserve">the downward bias is </w:t>
      </w:r>
      <w:r>
        <w:t xml:space="preserve">(in part) </w:t>
      </w:r>
      <w:r w:rsidRPr="001562D4">
        <w:t xml:space="preserve">due to improper consideration </w:t>
      </w:r>
      <w:r>
        <w:t>of the Black CAPM, Fama-French model, and dividend growth model. Service providers appear to have submitted that these other models should be used to either directly estimate the return on equity</w:t>
      </w:r>
      <w:r w:rsidRPr="006C4D93">
        <w:rPr>
          <w:rStyle w:val="FootnoteReference"/>
        </w:rPr>
        <w:footnoteReference w:id="639"/>
      </w:r>
      <w:r>
        <w:t xml:space="preserve"> or used to inform appropriate parameter values to use in applying the Sharpe-Lintner CAPM.</w:t>
      </w:r>
      <w:r w:rsidRPr="00895AD3">
        <w:rPr>
          <w:rStyle w:val="FootnoteReference"/>
        </w:rPr>
        <w:t xml:space="preserve"> </w:t>
      </w:r>
      <w:r w:rsidRPr="006C4D93">
        <w:rPr>
          <w:rStyle w:val="FootnoteReference"/>
        </w:rPr>
        <w:footnoteReference w:id="640"/>
      </w:r>
      <w:r>
        <w:t xml:space="preserve"> </w:t>
      </w:r>
      <w:r w:rsidRPr="001562D4">
        <w:t xml:space="preserve">A number of </w:t>
      </w:r>
      <w:r>
        <w:t>service providers</w:t>
      </w:r>
      <w:r w:rsidRPr="001562D4">
        <w:t xml:space="preserve"> appear to have submitted, directly or implicitly, that </w:t>
      </w:r>
      <w:r>
        <w:t xml:space="preserve">the parameters we select for the Sharpe-Lintner </w:t>
      </w:r>
      <w:r w:rsidRPr="001562D4">
        <w:t xml:space="preserve">CAPM </w:t>
      </w:r>
      <w:r>
        <w:t>under the</w:t>
      </w:r>
      <w:r w:rsidRPr="001562D4">
        <w:t xml:space="preserve"> foundation model approach </w:t>
      </w:r>
      <w:r>
        <w:t>are</w:t>
      </w:r>
      <w:r w:rsidRPr="001562D4">
        <w:t xml:space="preserve"> </w:t>
      </w:r>
      <w:r>
        <w:t>in</w:t>
      </w:r>
      <w:r w:rsidRPr="001562D4">
        <w:t>sufficient to over</w:t>
      </w:r>
      <w:r>
        <w:t xml:space="preserve">come the downward bias in the Sharpe-Lintner </w:t>
      </w:r>
      <w:r w:rsidRPr="001562D4">
        <w:t>CAPM.</w:t>
      </w:r>
      <w:r w:rsidRPr="001562D4">
        <w:rPr>
          <w:rStyle w:val="FootnoteReference"/>
        </w:rPr>
        <w:footnoteReference w:id="641"/>
      </w:r>
      <w:r>
        <w:t xml:space="preserve"> </w:t>
      </w:r>
    </w:p>
    <w:p w:rsidR="001B6CF5" w:rsidRDefault="001B6CF5" w:rsidP="001B6CF5">
      <w:r w:rsidRPr="001562D4">
        <w:t xml:space="preserve">The key information </w:t>
      </w:r>
      <w:r>
        <w:t>that service providers</w:t>
      </w:r>
      <w:r w:rsidRPr="001562D4">
        <w:t xml:space="preserve"> </w:t>
      </w:r>
      <w:r>
        <w:t>used to support</w:t>
      </w:r>
      <w:r w:rsidRPr="001562D4">
        <w:t xml:space="preserve"> these propositions </w:t>
      </w:r>
      <w:r w:rsidRPr="00787D60">
        <w:t>include</w:t>
      </w:r>
      <w:r>
        <w:t>d:</w:t>
      </w:r>
    </w:p>
    <w:p w:rsidR="001B6CF5" w:rsidRPr="0040135A" w:rsidRDefault="001B6CF5" w:rsidP="001B6CF5">
      <w:pPr>
        <w:pStyle w:val="AERbulletlistfirststyle"/>
      </w:pPr>
      <w:r w:rsidRPr="00787D60">
        <w:t>Studies of ex post performance of the S</w:t>
      </w:r>
      <w:r>
        <w:t>harpe-</w:t>
      </w:r>
      <w:r w:rsidRPr="00787D60">
        <w:t>L</w:t>
      </w:r>
      <w:r>
        <w:t xml:space="preserve">intner </w:t>
      </w:r>
      <w:r w:rsidRPr="00787D60">
        <w:t>CAPM</w:t>
      </w:r>
      <w:r>
        <w:t>.</w:t>
      </w:r>
      <w:r>
        <w:rPr>
          <w:rStyle w:val="FootnoteReference"/>
        </w:rPr>
        <w:footnoteReference w:id="642"/>
      </w:r>
      <w:r>
        <w:t xml:space="preserve"> </w:t>
      </w:r>
      <w:r w:rsidRPr="0040135A">
        <w:t>Frontier and NERA submitted that empirical test</w:t>
      </w:r>
      <w:r>
        <w:t>s reject the model</w:t>
      </w:r>
      <w:r w:rsidRPr="0040135A">
        <w:t xml:space="preserve"> and </w:t>
      </w:r>
      <w:r>
        <w:t xml:space="preserve">that </w:t>
      </w:r>
      <w:r w:rsidRPr="0040135A">
        <w:t>it performs poorly relative to the other models.</w:t>
      </w:r>
      <w:r>
        <w:rPr>
          <w:rStyle w:val="FootnoteReference"/>
        </w:rPr>
        <w:footnoteReference w:id="643"/>
      </w:r>
      <w:r w:rsidRPr="0040135A">
        <w:t xml:space="preserve"> </w:t>
      </w:r>
    </w:p>
    <w:p w:rsidR="001B6CF5" w:rsidRDefault="001B6CF5" w:rsidP="001B6CF5">
      <w:pPr>
        <w:pStyle w:val="AERbulletlistfirststyle"/>
      </w:pPr>
      <w:r w:rsidRPr="00787D60">
        <w:t xml:space="preserve">Other direct estimates of the </w:t>
      </w:r>
      <w:r w:rsidRPr="006C4D93">
        <w:t>return on equity fr</w:t>
      </w:r>
      <w:r>
        <w:t>om the Black CAPM, Fama-French model, and dividend growth model</w:t>
      </w:r>
      <w:r w:rsidRPr="006C4D93">
        <w:t>.</w:t>
      </w:r>
      <w:r>
        <w:rPr>
          <w:rStyle w:val="FootnoteReference"/>
        </w:rPr>
        <w:footnoteReference w:id="644"/>
      </w:r>
      <w:r>
        <w:t xml:space="preserve"> Service providers submitted:</w:t>
      </w:r>
    </w:p>
    <w:p w:rsidR="001B6CF5" w:rsidRDefault="001B6CF5" w:rsidP="001B6CF5">
      <w:pPr>
        <w:pStyle w:val="AERbulletlistsecondstyle"/>
      </w:pPr>
      <w:r>
        <w:t>the Black CAPM as evidence that the Sharpe-Lintner CAPM displays low beta bias</w:t>
      </w:r>
    </w:p>
    <w:p w:rsidR="001B6CF5" w:rsidRDefault="001B6CF5" w:rsidP="001B6CF5">
      <w:pPr>
        <w:pStyle w:val="AERbulletlistsecondstyle"/>
      </w:pPr>
      <w:r>
        <w:t>the Fama-French model as evidence that the Sharpe-Lintner CAPM displays book-to-market bias</w:t>
      </w:r>
    </w:p>
    <w:p w:rsidR="001B6CF5" w:rsidRPr="006C4D93" w:rsidRDefault="001B6CF5" w:rsidP="001B6CF5">
      <w:pPr>
        <w:pStyle w:val="AERbulletlistsecondstyle"/>
      </w:pPr>
      <w:r>
        <w:t>the dividend growth model as evidence that the Sharpe-Lintner CAPM, as applied by the AER, is not reflective of prevailing market conditions.</w:t>
      </w:r>
    </w:p>
    <w:p w:rsidR="001B6CF5" w:rsidRDefault="001B6CF5" w:rsidP="001B6CF5">
      <w:pPr>
        <w:numPr>
          <w:ilvl w:val="0"/>
          <w:numId w:val="24"/>
        </w:numPr>
      </w:pPr>
      <w:r>
        <w:t xml:space="preserve">These submissions from service providers are detailed further in sections </w:t>
      </w:r>
      <w:r>
        <w:fldChar w:fldCharType="begin"/>
      </w:r>
      <w:r>
        <w:instrText xml:space="preserve"> REF _Ref449004981 \r \h </w:instrText>
      </w:r>
      <w:r>
        <w:fldChar w:fldCharType="separate"/>
      </w:r>
      <w:r w:rsidR="00BA2E8E">
        <w:t>B.1.3</w:t>
      </w:r>
      <w:r>
        <w:fldChar w:fldCharType="end"/>
      </w:r>
      <w:r>
        <w:t xml:space="preserve"> and </w:t>
      </w:r>
      <w:r>
        <w:fldChar w:fldCharType="begin"/>
      </w:r>
      <w:r>
        <w:instrText xml:space="preserve"> REF _Ref449004969 \r \h </w:instrText>
      </w:r>
      <w:r>
        <w:fldChar w:fldCharType="separate"/>
      </w:r>
      <w:r w:rsidR="00BA2E8E">
        <w:t>B.1.2</w:t>
      </w:r>
      <w:r>
        <w:fldChar w:fldCharType="end"/>
      </w:r>
      <w:r>
        <w:t xml:space="preserve"> below.</w:t>
      </w:r>
    </w:p>
    <w:p w:rsidR="001B6CF5" w:rsidRDefault="001B6CF5" w:rsidP="001B6CF5">
      <w:pPr>
        <w:numPr>
          <w:ilvl w:val="0"/>
          <w:numId w:val="24"/>
        </w:numPr>
      </w:pPr>
      <w:r>
        <w:t>The</w:t>
      </w:r>
      <w:r w:rsidRPr="00787D60">
        <w:t xml:space="preserve"> key submissions on these points</w:t>
      </w:r>
      <w:r>
        <w:t xml:space="preserve"> were considered in our preliminary decision for CitiPower, and this material remains relevant.</w:t>
      </w:r>
      <w:r w:rsidRPr="00787D60">
        <w:t xml:space="preserve"> </w:t>
      </w:r>
      <w:r>
        <w:t>We have reviewed the new material</w:t>
      </w:r>
      <w:r w:rsidRPr="00C61D42">
        <w:t xml:space="preserve"> before us</w:t>
      </w:r>
      <w:r>
        <w:t xml:space="preserve">. </w:t>
      </w:r>
      <w:r w:rsidRPr="00C61D42">
        <w:t>While we recognise all models have strengths an</w:t>
      </w:r>
      <w:r>
        <w:t xml:space="preserve">d weaknesses, we consider the Sharpe-Lintner </w:t>
      </w:r>
      <w:r w:rsidRPr="00C61D42">
        <w:t>CAPM to be the superior model before us for the purpose of estimati</w:t>
      </w:r>
      <w:r>
        <w:t xml:space="preserve">ng the allowed return on equity. </w:t>
      </w:r>
      <w:r w:rsidRPr="00787D60">
        <w:t xml:space="preserve">We do not consider that </w:t>
      </w:r>
      <w:r>
        <w:t>service providers' submissions</w:t>
      </w:r>
      <w:r w:rsidRPr="00787D60">
        <w:t xml:space="preserve"> support any further adjustment to our S</w:t>
      </w:r>
      <w:r>
        <w:t xml:space="preserve">harpe-Lintner </w:t>
      </w:r>
      <w:r w:rsidRPr="00787D60">
        <w:t>CAPM input parameters</w:t>
      </w:r>
      <w:r>
        <w:t>. We are satisfied that we have had significant regard to prevailing market conditions in estimating the return on equity for a benchmark efficient entity.</w:t>
      </w:r>
      <w:r>
        <w:rPr>
          <w:rStyle w:val="FootnoteReference"/>
        </w:rPr>
        <w:footnoteReference w:id="645"/>
      </w:r>
      <w:r>
        <w:t xml:space="preserve">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t xml:space="preserve">CitiPower </w:t>
      </w:r>
      <w:r w:rsidRPr="00787D60">
        <w:t>for its efficient equity financing costs</w:t>
      </w:r>
      <w:r>
        <w:t>.</w:t>
      </w:r>
    </w:p>
    <w:p w:rsidR="001B6CF5" w:rsidRPr="00663DB7" w:rsidRDefault="001B6CF5" w:rsidP="001B6CF5">
      <w:pPr>
        <w:pStyle w:val="ListParagraph"/>
        <w:numPr>
          <w:ilvl w:val="0"/>
          <w:numId w:val="24"/>
        </w:numPr>
      </w:pPr>
      <w:r>
        <w:t>Services providers submitted that t</w:t>
      </w:r>
      <w:r w:rsidRPr="00663DB7">
        <w:t xml:space="preserve">he AER has </w:t>
      </w:r>
      <w:r>
        <w:t>"</w:t>
      </w:r>
      <w:r w:rsidRPr="00663DB7">
        <w:t>erred in finding that the SL-CAPM is the clearly superior model</w:t>
      </w:r>
      <w:r>
        <w:t>",</w:t>
      </w:r>
      <w:r>
        <w:rPr>
          <w:rStyle w:val="FootnoteReference"/>
        </w:rPr>
        <w:footnoteReference w:id="646"/>
      </w:r>
      <w:r w:rsidRPr="00663DB7">
        <w:t xml:space="preserve"> </w:t>
      </w:r>
      <w:r>
        <w:t>submitting that</w:t>
      </w:r>
      <w:r w:rsidRPr="00663DB7">
        <w:t xml:space="preserve"> no evidence</w:t>
      </w:r>
      <w:r>
        <w:t xml:space="preserve"> (such as expert reports)</w:t>
      </w:r>
      <w:r w:rsidRPr="00663DB7">
        <w:t xml:space="preserve"> is cited in support of this statemen</w:t>
      </w:r>
      <w:r>
        <w:t>t</w:t>
      </w:r>
      <w:r w:rsidRPr="00663DB7">
        <w:t xml:space="preserve">. </w:t>
      </w:r>
      <w:r>
        <w:t>We note that the Tribunal recently found no error in our approach to estimating the return on equity, including the use of the Sharpe-Lintner CAPM in our foundation model approach.</w:t>
      </w:r>
      <w:r>
        <w:rPr>
          <w:rStyle w:val="FootnoteReference"/>
        </w:rPr>
        <w:footnoteReference w:id="647"/>
      </w:r>
    </w:p>
    <w:p w:rsidR="001B6CF5" w:rsidRPr="00B4711B" w:rsidRDefault="001B6CF5" w:rsidP="001B6CF5">
      <w:pPr>
        <w:pStyle w:val="Heading9"/>
      </w:pPr>
      <w:bookmarkStart w:id="188" w:name="_Ref449004907"/>
      <w:bookmarkStart w:id="189" w:name="_Toc451678632"/>
      <w:r>
        <w:t>Submissions supporting the use of the Sharpe-Lintner CAPM as the foundation model</w:t>
      </w:r>
      <w:bookmarkEnd w:id="188"/>
      <w:bookmarkEnd w:id="189"/>
    </w:p>
    <w:p w:rsidR="001B6CF5" w:rsidRPr="001562D4" w:rsidRDefault="001B6CF5" w:rsidP="001B6CF5">
      <w:pPr>
        <w:numPr>
          <w:ilvl w:val="0"/>
          <w:numId w:val="24"/>
        </w:numPr>
      </w:pPr>
      <w:r>
        <w:t xml:space="preserve">The majority of </w:t>
      </w:r>
      <w:r w:rsidRPr="001562D4">
        <w:t>stakeholders</w:t>
      </w:r>
      <w:r>
        <w:t xml:space="preserve"> (other than service providers)</w:t>
      </w:r>
      <w:r w:rsidRPr="001562D4">
        <w:t xml:space="preserve"> su</w:t>
      </w:r>
      <w:r>
        <w:t xml:space="preserve">pported using the Sharpe-Lintner </w:t>
      </w:r>
      <w:r w:rsidRPr="001562D4">
        <w:t xml:space="preserve">CAPM as the </w:t>
      </w:r>
      <w:r>
        <w:t>foundation model.</w:t>
      </w:r>
      <w:r>
        <w:rPr>
          <w:rStyle w:val="FootnoteReference"/>
        </w:rPr>
        <w:footnoteReference w:id="648"/>
      </w:r>
      <w:r>
        <w:t xml:space="preserve"> However, </w:t>
      </w:r>
      <w:r w:rsidRPr="001562D4">
        <w:t xml:space="preserve">a number </w:t>
      </w:r>
      <w:r>
        <w:t xml:space="preserve">of them </w:t>
      </w:r>
      <w:r w:rsidRPr="001562D4">
        <w:t>submitted we sh</w:t>
      </w:r>
      <w:r>
        <w:t xml:space="preserve">ould consider lowering our </w:t>
      </w:r>
      <w:r w:rsidRPr="001562D4">
        <w:t xml:space="preserve">input parameters </w:t>
      </w:r>
      <w:r>
        <w:t>used in the model relative to those published with the Guideline</w:t>
      </w:r>
      <w:r w:rsidRPr="001562D4">
        <w:t>.</w:t>
      </w:r>
      <w:r w:rsidRPr="001562D4">
        <w:rPr>
          <w:rStyle w:val="FootnoteReference"/>
        </w:rPr>
        <w:footnoteReference w:id="649"/>
      </w:r>
      <w:r w:rsidRPr="001562D4">
        <w:t xml:space="preserve"> </w:t>
      </w:r>
      <w:r>
        <w:fldChar w:fldCharType="begin"/>
      </w:r>
      <w:r>
        <w:instrText xml:space="preserve"> REF _Ref433137654 \h </w:instrText>
      </w:r>
      <w:r>
        <w:fldChar w:fldCharType="separate"/>
      </w:r>
      <w:r w:rsidR="00BA2E8E">
        <w:t xml:space="preserve">Table </w:t>
      </w:r>
      <w:r w:rsidR="00BA2E8E">
        <w:rPr>
          <w:noProof/>
        </w:rPr>
        <w:t>3</w:t>
      </w:r>
      <w:r w:rsidR="00BA2E8E">
        <w:noBreakHyphen/>
      </w:r>
      <w:r w:rsidR="00BA2E8E">
        <w:rPr>
          <w:noProof/>
        </w:rPr>
        <w:t>26</w:t>
      </w:r>
      <w:r>
        <w:fldChar w:fldCharType="end"/>
      </w:r>
      <w:r>
        <w:t xml:space="preserve"> summarises a</w:t>
      </w:r>
      <w:r w:rsidRPr="001562D4">
        <w:t xml:space="preserve"> number of these submissions</w:t>
      </w:r>
      <w:r>
        <w:t>.</w:t>
      </w:r>
      <w:r w:rsidRPr="001562D4">
        <w:t xml:space="preserve"> </w:t>
      </w:r>
    </w:p>
    <w:p w:rsidR="001B6CF5" w:rsidRPr="001562D4" w:rsidRDefault="001B6CF5" w:rsidP="001B6CF5">
      <w:pPr>
        <w:pStyle w:val="Caption"/>
      </w:pPr>
      <w:bookmarkStart w:id="190" w:name="_Ref433137654"/>
      <w:r>
        <w:t xml:space="preserve">Table </w:t>
      </w:r>
      <w:r w:rsidRPr="00421894">
        <w:fldChar w:fldCharType="begin"/>
      </w:r>
      <w:r>
        <w:instrText xml:space="preserve"> STYLEREF 1 \s </w:instrText>
      </w:r>
      <w:r w:rsidRPr="00421894">
        <w:fldChar w:fldCharType="separate"/>
      </w:r>
      <w:r w:rsidR="00BA2E8E">
        <w:rPr>
          <w:noProof/>
        </w:rPr>
        <w:t>3</w:t>
      </w:r>
      <w:r w:rsidRPr="00421894">
        <w:fldChar w:fldCharType="end"/>
      </w:r>
      <w:r>
        <w:noBreakHyphen/>
      </w:r>
      <w:r w:rsidRPr="00421894">
        <w:fldChar w:fldCharType="begin"/>
      </w:r>
      <w:r>
        <w:instrText xml:space="preserve"> SEQ Table \* ARABIC \s 1 </w:instrText>
      </w:r>
      <w:r w:rsidRPr="00421894">
        <w:fldChar w:fldCharType="separate"/>
      </w:r>
      <w:r w:rsidR="00BA2E8E">
        <w:rPr>
          <w:noProof/>
        </w:rPr>
        <w:t>26</w:t>
      </w:r>
      <w:r w:rsidRPr="00421894">
        <w:fldChar w:fldCharType="end"/>
      </w:r>
      <w:bookmarkEnd w:id="190"/>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8"/>
      </w:tblGrid>
      <w:tr w:rsidR="001B6CF5" w:rsidRPr="001848E2" w:rsidTr="001B6CF5">
        <w:trPr>
          <w:cnfStyle w:val="100000000000" w:firstRow="1" w:lastRow="0" w:firstColumn="0" w:lastColumn="0" w:oddVBand="0" w:evenVBand="0" w:oddHBand="0" w:evenHBand="0" w:firstRowFirstColumn="0" w:firstRowLastColumn="0" w:lastRowFirstColumn="0" w:lastRowLastColumn="0"/>
          <w:tblHeader/>
        </w:trPr>
        <w:tc>
          <w:tcPr>
            <w:tcW w:w="1605" w:type="dxa"/>
          </w:tcPr>
          <w:p w:rsidR="001B6CF5" w:rsidRPr="001B6CF5" w:rsidRDefault="001B6CF5" w:rsidP="00EB795B">
            <w:r w:rsidRPr="001562D4">
              <w:t>Stakeholder</w:t>
            </w:r>
          </w:p>
        </w:tc>
        <w:tc>
          <w:tcPr>
            <w:tcW w:w="7088" w:type="dxa"/>
          </w:tcPr>
          <w:p w:rsidR="001B6CF5" w:rsidRPr="001B6CF5" w:rsidRDefault="001B6CF5" w:rsidP="00EB795B">
            <w:r w:rsidRPr="001562D4">
              <w:t>Submission</w:t>
            </w:r>
          </w:p>
        </w:tc>
      </w:tr>
      <w:tr w:rsidR="001B6CF5" w:rsidRPr="001848E2" w:rsidTr="001B6CF5">
        <w:tc>
          <w:tcPr>
            <w:tcW w:w="1605" w:type="dxa"/>
          </w:tcPr>
          <w:p w:rsidR="001B6CF5" w:rsidRPr="001B6CF5" w:rsidRDefault="001B6CF5" w:rsidP="00EB795B">
            <w:r w:rsidRPr="001562D4">
              <w:t>AGL</w:t>
            </w:r>
          </w:p>
        </w:tc>
        <w:tc>
          <w:tcPr>
            <w:tcW w:w="7088" w:type="dxa"/>
          </w:tcPr>
          <w:p w:rsidR="001B6CF5" w:rsidRPr="001B6CF5" w:rsidRDefault="001B6CF5" w:rsidP="00EB795B">
            <w:r w:rsidRPr="00B54D67">
              <w:t>AGL</w:t>
            </w:r>
            <w:r w:rsidRPr="001B6CF5">
              <w:t xml:space="preserve"> fully supported </w:t>
            </w:r>
            <w:r w:rsidR="00F93F63">
              <w:t>our</w:t>
            </w:r>
            <w:r w:rsidRPr="001B6CF5">
              <w:t xml:space="preserve"> use of </w:t>
            </w:r>
            <w:r w:rsidR="00F93F63">
              <w:t>the</w:t>
            </w:r>
            <w:r w:rsidRPr="001B6CF5">
              <w:t xml:space="preserve"> Guideline for determining a rate of return which balances the interests of the distributions networks and energy consumers. </w:t>
            </w:r>
            <w:r w:rsidRPr="00FD233E">
              <w:t xml:space="preserve">AGL submitted that the equity beta provided by the </w:t>
            </w:r>
            <w:r w:rsidR="00F93F63">
              <w:t>G</w:t>
            </w:r>
            <w:r w:rsidRPr="00FD233E">
              <w:t>uideline can be considered generous given the regulated framework ensures revenue recovery by distribution networks.</w:t>
            </w:r>
            <w:r w:rsidRPr="001B6CF5">
              <w:rPr>
                <w:rStyle w:val="FootnoteReference"/>
              </w:rPr>
              <w:footnoteReference w:id="650"/>
            </w:r>
          </w:p>
        </w:tc>
      </w:tr>
      <w:tr w:rsidR="001B6CF5" w:rsidRPr="001848E2" w:rsidTr="001B6CF5">
        <w:trPr>
          <w:cnfStyle w:val="000000010000" w:firstRow="0" w:lastRow="0" w:firstColumn="0" w:lastColumn="0" w:oddVBand="0" w:evenVBand="0" w:oddHBand="0" w:evenHBand="1" w:firstRowFirstColumn="0" w:firstRowLastColumn="0" w:lastRowFirstColumn="0" w:lastRowLastColumn="0"/>
        </w:trPr>
        <w:tc>
          <w:tcPr>
            <w:tcW w:w="1605" w:type="dxa"/>
          </w:tcPr>
          <w:p w:rsidR="001B6CF5" w:rsidRPr="001B6CF5" w:rsidRDefault="001B6CF5" w:rsidP="00EB795B">
            <w:r>
              <w:t xml:space="preserve">Alternative </w:t>
            </w:r>
            <w:r w:rsidRPr="001B6CF5">
              <w:t>Technologies Association (ATA)</w:t>
            </w:r>
          </w:p>
        </w:tc>
        <w:tc>
          <w:tcPr>
            <w:tcW w:w="7088" w:type="dxa"/>
          </w:tcPr>
          <w:p w:rsidR="001B6CF5" w:rsidRPr="001B6CF5" w:rsidDel="00433B42" w:rsidRDefault="001B6CF5" w:rsidP="00EB795B">
            <w:r w:rsidRPr="00D5494F">
              <w:t>ATA expect</w:t>
            </w:r>
            <w:r w:rsidRPr="001B6CF5">
              <w:t xml:space="preserve">ed </w:t>
            </w:r>
            <w:r w:rsidR="00F93F63">
              <w:t>our</w:t>
            </w:r>
            <w:r w:rsidRPr="001B6CF5">
              <w:t xml:space="preserve"> determinations to be consistent with </w:t>
            </w:r>
            <w:r w:rsidR="00F93F63">
              <w:t>our</w:t>
            </w:r>
            <w:r w:rsidRPr="001B6CF5">
              <w:t xml:space="preserve"> recent decisions and provide for a lower </w:t>
            </w:r>
            <w:r w:rsidR="00F93F63">
              <w:t>rate of return</w:t>
            </w:r>
            <w:r w:rsidRPr="001B6CF5">
              <w:t>.</w:t>
            </w:r>
            <w:r w:rsidRPr="001B6CF5">
              <w:rPr>
                <w:rStyle w:val="FootnoteReference"/>
              </w:rPr>
              <w:footnoteReference w:id="651"/>
            </w:r>
          </w:p>
        </w:tc>
      </w:tr>
      <w:tr w:rsidR="001B6CF5" w:rsidRPr="001848E2" w:rsidTr="001B6CF5">
        <w:tc>
          <w:tcPr>
            <w:tcW w:w="1605" w:type="dxa"/>
          </w:tcPr>
          <w:p w:rsidR="001B6CF5" w:rsidRPr="001B6CF5" w:rsidRDefault="001B6CF5" w:rsidP="00EB795B">
            <w:r>
              <w:t>Business South Australia</w:t>
            </w:r>
          </w:p>
        </w:tc>
        <w:tc>
          <w:tcPr>
            <w:tcW w:w="7088" w:type="dxa"/>
          </w:tcPr>
          <w:p w:rsidR="001B6CF5" w:rsidRPr="001B6CF5" w:rsidRDefault="001B6CF5" w:rsidP="00EB795B">
            <w:r>
              <w:t>Business SA support</w:t>
            </w:r>
            <w:r w:rsidRPr="001B6CF5">
              <w:t xml:space="preserve">ed </w:t>
            </w:r>
            <w:r w:rsidR="00F93F63">
              <w:t>our</w:t>
            </w:r>
            <w:r w:rsidRPr="001B6CF5">
              <w:t xml:space="preserve"> decision not to depart from its rate of return guideline.</w:t>
            </w:r>
            <w:r w:rsidRPr="001B6CF5">
              <w:rPr>
                <w:rStyle w:val="FootnoteReference"/>
              </w:rPr>
              <w:footnoteReference w:id="652"/>
            </w:r>
          </w:p>
        </w:tc>
      </w:tr>
      <w:tr w:rsidR="001B6CF5" w:rsidRPr="001848E2" w:rsidTr="001B6CF5">
        <w:trPr>
          <w:cnfStyle w:val="000000010000" w:firstRow="0" w:lastRow="0" w:firstColumn="0" w:lastColumn="0" w:oddVBand="0" w:evenVBand="0" w:oddHBand="0" w:evenHBand="1" w:firstRowFirstColumn="0" w:firstRowLastColumn="0" w:lastRowFirstColumn="0" w:lastRowLastColumn="0"/>
        </w:trPr>
        <w:tc>
          <w:tcPr>
            <w:tcW w:w="1605" w:type="dxa"/>
          </w:tcPr>
          <w:p w:rsidR="001B6CF5" w:rsidRPr="001B6CF5" w:rsidRDefault="001B6CF5" w:rsidP="00EB795B">
            <w:r>
              <w:t>The Consumer Utilities Advocacy Centre (CUAC)</w:t>
            </w:r>
          </w:p>
        </w:tc>
        <w:tc>
          <w:tcPr>
            <w:tcW w:w="7088" w:type="dxa"/>
          </w:tcPr>
          <w:p w:rsidR="001B6CF5" w:rsidRPr="001B6CF5" w:rsidRDefault="001B6CF5" w:rsidP="00EB795B">
            <w:r>
              <w:t>The Consumer Utilities Advocacy Centre submit</w:t>
            </w:r>
            <w:r w:rsidRPr="001B6CF5">
              <w:t xml:space="preserve">ted that the </w:t>
            </w:r>
            <w:r w:rsidR="005B08F8">
              <w:t>weighted average cost of capital</w:t>
            </w:r>
            <w:r w:rsidRPr="001B6CF5">
              <w:t xml:space="preserve"> proposals from distributors are excessive, and encourages </w:t>
            </w:r>
            <w:r w:rsidR="00F93F63">
              <w:t>us</w:t>
            </w:r>
            <w:r w:rsidRPr="001B6CF5">
              <w:t xml:space="preserve"> to instead apply the methodology of </w:t>
            </w:r>
            <w:r w:rsidR="00F93F63">
              <w:t>the</w:t>
            </w:r>
            <w:r w:rsidRPr="001B6CF5">
              <w:t xml:space="preserve"> Guideline in estimating a fair rate of return.</w:t>
            </w:r>
            <w:r w:rsidRPr="001B6CF5">
              <w:rPr>
                <w:rStyle w:val="FootnoteReference"/>
              </w:rPr>
              <w:footnoteReference w:id="653"/>
            </w:r>
          </w:p>
        </w:tc>
      </w:tr>
      <w:tr w:rsidR="001B6CF5" w:rsidRPr="001848E2" w:rsidTr="001B6CF5">
        <w:tc>
          <w:tcPr>
            <w:tcW w:w="1605" w:type="dxa"/>
          </w:tcPr>
          <w:p w:rsidR="001B6CF5" w:rsidRPr="001B6CF5" w:rsidRDefault="001B6CF5" w:rsidP="00EB795B">
            <w:r>
              <w:t>Consumer Challenge Panel (</w:t>
            </w:r>
            <w:r w:rsidRPr="001B6CF5">
              <w:t>CCP)</w:t>
            </w:r>
          </w:p>
        </w:tc>
        <w:tc>
          <w:tcPr>
            <w:tcW w:w="7088" w:type="dxa"/>
          </w:tcPr>
          <w:p w:rsidR="001B6CF5" w:rsidRPr="001B6CF5" w:rsidRDefault="00F93F63" w:rsidP="00EB795B">
            <w:r>
              <w:t>The CCP wa</w:t>
            </w:r>
            <w:r w:rsidR="001B6CF5">
              <w:t xml:space="preserve">s unconvinced by arguments from the service providers' various consultants' reports urging </w:t>
            </w:r>
            <w:r>
              <w:t>us to use models other than the Sharpe</w:t>
            </w:r>
            <w:r w:rsidR="001B6CF5">
              <w:t>-</w:t>
            </w:r>
            <w:r>
              <w:t xml:space="preserve">Lintner </w:t>
            </w:r>
            <w:r w:rsidR="001B6CF5">
              <w:t xml:space="preserve">CAPM for calculating the </w:t>
            </w:r>
            <w:r w:rsidR="005B08F8">
              <w:t>rate of return</w:t>
            </w:r>
            <w:r w:rsidR="001B6CF5" w:rsidRPr="001B6CF5">
              <w:t>. The CCP considered that these alternative models are currently not being utilized by academics nor valuation practitioners.</w:t>
            </w:r>
            <w:r w:rsidR="001B6CF5" w:rsidRPr="001B6CF5">
              <w:rPr>
                <w:rStyle w:val="FootnoteReference"/>
              </w:rPr>
              <w:footnoteReference w:id="654"/>
            </w:r>
            <w:r w:rsidR="001B6CF5" w:rsidRPr="001B6CF5">
              <w:t xml:space="preserve"> </w:t>
            </w:r>
          </w:p>
        </w:tc>
      </w:tr>
      <w:tr w:rsidR="001B6CF5" w:rsidRPr="001848E2" w:rsidTr="001B6CF5">
        <w:trPr>
          <w:cnfStyle w:val="000000010000" w:firstRow="0" w:lastRow="0" w:firstColumn="0" w:lastColumn="0" w:oddVBand="0" w:evenVBand="0" w:oddHBand="0" w:evenHBand="1" w:firstRowFirstColumn="0" w:firstRowLastColumn="0" w:lastRowFirstColumn="0" w:lastRowLastColumn="0"/>
        </w:trPr>
        <w:tc>
          <w:tcPr>
            <w:tcW w:w="1605" w:type="dxa"/>
          </w:tcPr>
          <w:p w:rsidR="001B6CF5" w:rsidRPr="001B6CF5" w:rsidRDefault="001B6CF5" w:rsidP="00EB795B">
            <w:r w:rsidRPr="00202838">
              <w:t>Energy Consumers Coalition of SA (ECCSA)</w:t>
            </w:r>
          </w:p>
        </w:tc>
        <w:tc>
          <w:tcPr>
            <w:tcW w:w="7088" w:type="dxa"/>
          </w:tcPr>
          <w:p w:rsidR="001B6CF5" w:rsidRPr="001B6CF5" w:rsidRDefault="001B6CF5" w:rsidP="00EB795B">
            <w:r>
              <w:t>The Energy Consumers Coalition of SA</w:t>
            </w:r>
            <w:r w:rsidRPr="001B6CF5">
              <w:t xml:space="preserve"> (ECCSA) rejected </w:t>
            </w:r>
            <w:r w:rsidR="00F93F63">
              <w:t>SA Power Networks'</w:t>
            </w:r>
            <w:r w:rsidRPr="001B6CF5">
              <w:t xml:space="preserve"> assertion that its risk profile has changed and that </w:t>
            </w:r>
            <w:r w:rsidR="00F93F63">
              <w:t>our</w:t>
            </w:r>
            <w:r w:rsidRPr="001B6CF5">
              <w:t xml:space="preserve"> approach to return on equity developed during the Better Regulation program does not reflect this change in risk. The ECCSA notes that the Better Regulation program was finalised within the past 2 years and considers it to be contemporary.</w:t>
            </w:r>
            <w:r w:rsidRPr="001B6CF5">
              <w:rPr>
                <w:rStyle w:val="FootnoteReference"/>
              </w:rPr>
              <w:footnoteReference w:id="655"/>
            </w:r>
          </w:p>
          <w:p w:rsidR="001B6CF5" w:rsidRPr="001B6CF5" w:rsidRDefault="001B6CF5" w:rsidP="00EB795B">
            <w:r>
              <w:t xml:space="preserve">The </w:t>
            </w:r>
            <w:r w:rsidRPr="001B6CF5">
              <w:t>ECCSA is concerned with AGN's equity modelling framework, which the ECCSA consider to be arbitrary and includes weighting for models that have not met the tests of transparency, repeatability and validity in the Australian context.</w:t>
            </w:r>
          </w:p>
          <w:p w:rsidR="001B6CF5" w:rsidRPr="001B6CF5" w:rsidRDefault="001B6CF5" w:rsidP="00EB795B">
            <w:r w:rsidRPr="00D57CEF">
              <w:t xml:space="preserve">The </w:t>
            </w:r>
            <w:r w:rsidRPr="001B6CF5">
              <w:t>ECCSA rejected the suggestion that a lower cost of equity (as would be derived under the Guideline) would result in an inability of AGN to invest in the network in the future as it could not recover its costs. If AGN applies prudent capital management principles, there is no reason to believe that it would not recover its costs, although it may not achieve the same above normal profits as it currently enjoys.</w:t>
            </w:r>
            <w:r w:rsidRPr="001B6CF5">
              <w:rPr>
                <w:rStyle w:val="FootnoteReference"/>
              </w:rPr>
              <w:footnoteReference w:id="656"/>
            </w:r>
          </w:p>
        </w:tc>
      </w:tr>
      <w:tr w:rsidR="001B6CF5" w:rsidRPr="001848E2" w:rsidTr="001B6CF5">
        <w:tc>
          <w:tcPr>
            <w:tcW w:w="1605" w:type="dxa"/>
          </w:tcPr>
          <w:p w:rsidR="001B6CF5" w:rsidRPr="001B6CF5" w:rsidRDefault="001B6CF5" w:rsidP="00EB795B">
            <w:r>
              <w:t>The</w:t>
            </w:r>
            <w:r w:rsidRPr="001B6CF5">
              <w:t xml:space="preserve"> Energy Retailers Association of Australia (ERAA)</w:t>
            </w:r>
          </w:p>
        </w:tc>
        <w:tc>
          <w:tcPr>
            <w:tcW w:w="7088" w:type="dxa"/>
          </w:tcPr>
          <w:p w:rsidR="001B6CF5" w:rsidRPr="001B6CF5" w:rsidRDefault="001B6CF5" w:rsidP="00EB795B">
            <w:r>
              <w:t>ERAA support</w:t>
            </w:r>
            <w:r w:rsidRPr="001B6CF5">
              <w:t xml:space="preserve">ed </w:t>
            </w:r>
            <w:r w:rsidR="00F93F63">
              <w:t>our</w:t>
            </w:r>
            <w:r w:rsidRPr="001B6CF5">
              <w:t xml:space="preserve"> proposed methodology and determination in relation to the </w:t>
            </w:r>
            <w:r w:rsidR="00F93F63">
              <w:t>rate of return</w:t>
            </w:r>
            <w:r w:rsidRPr="001B6CF5">
              <w:t xml:space="preserve">. It believed </w:t>
            </w:r>
            <w:r w:rsidR="00F93F63">
              <w:t>our</w:t>
            </w:r>
            <w:r w:rsidRPr="001B6CF5">
              <w:t xml:space="preserve"> preliminary decision on the </w:t>
            </w:r>
            <w:r w:rsidR="00F93F63">
              <w:t>rate of return</w:t>
            </w:r>
            <w:r w:rsidRPr="001B6CF5">
              <w:t xml:space="preserve"> better reflects the financing costs of SA Power Networks with respect to the level and exposure to risk that applies to an Australian regulated energy network service provider and should be preferred over SA Power Networks’ estimate.</w:t>
            </w:r>
            <w:r w:rsidRPr="001B6CF5">
              <w:rPr>
                <w:rStyle w:val="FootnoteReference"/>
              </w:rPr>
              <w:footnoteReference w:id="657"/>
            </w:r>
          </w:p>
        </w:tc>
      </w:tr>
      <w:tr w:rsidR="001B6CF5" w:rsidRPr="001848E2" w:rsidTr="001B6CF5">
        <w:trPr>
          <w:cnfStyle w:val="000000010000" w:firstRow="0" w:lastRow="0" w:firstColumn="0" w:lastColumn="0" w:oddVBand="0" w:evenVBand="0" w:oddHBand="0" w:evenHBand="1" w:firstRowFirstColumn="0" w:firstRowLastColumn="0" w:lastRowFirstColumn="0" w:lastRowLastColumn="0"/>
        </w:trPr>
        <w:tc>
          <w:tcPr>
            <w:tcW w:w="1605" w:type="dxa"/>
          </w:tcPr>
          <w:p w:rsidR="001B6CF5" w:rsidRPr="001B6CF5" w:rsidRDefault="001B6CF5" w:rsidP="00EB795B">
            <w:r w:rsidRPr="001562D4">
              <w:t xml:space="preserve">The Energy </w:t>
            </w:r>
            <w:r w:rsidRPr="001B6CF5">
              <w:t>Users Association of Australia (EUAA)</w:t>
            </w:r>
          </w:p>
        </w:tc>
        <w:tc>
          <w:tcPr>
            <w:tcW w:w="7088" w:type="dxa"/>
          </w:tcPr>
          <w:p w:rsidR="001B6CF5" w:rsidRPr="001B6CF5" w:rsidRDefault="001B6CF5" w:rsidP="00EB795B">
            <w:r>
              <w:t xml:space="preserve">The Energy Users Association of Australia (EUAA) </w:t>
            </w:r>
            <w:r w:rsidRPr="001B6CF5">
              <w:t xml:space="preserve">considered that the service providers were over compensated by the AER for post GFC financial market conditions that did not eventuate. The EUAA proposed a market risk premium of 5.00 per cent and an equity beta of 0.4, resulting in a </w:t>
            </w:r>
            <w:r w:rsidR="00F93F63">
              <w:t>rate of return</w:t>
            </w:r>
            <w:r w:rsidRPr="001B6CF5">
              <w:t xml:space="preserve"> of 5.07 per cent.</w:t>
            </w:r>
            <w:r w:rsidRPr="001B6CF5">
              <w:rPr>
                <w:rStyle w:val="FootnoteReference"/>
              </w:rPr>
              <w:footnoteReference w:id="658"/>
            </w:r>
          </w:p>
        </w:tc>
      </w:tr>
      <w:tr w:rsidR="001B6CF5" w:rsidRPr="001848E2" w:rsidTr="001B6CF5">
        <w:tc>
          <w:tcPr>
            <w:tcW w:w="1605" w:type="dxa"/>
          </w:tcPr>
          <w:p w:rsidR="001B6CF5" w:rsidRPr="001B6CF5" w:rsidRDefault="001B6CF5" w:rsidP="00EB795B">
            <w:r w:rsidRPr="001562D4">
              <w:t>Origin Energy</w:t>
            </w:r>
          </w:p>
        </w:tc>
        <w:tc>
          <w:tcPr>
            <w:tcW w:w="7088" w:type="dxa"/>
          </w:tcPr>
          <w:p w:rsidR="001B6CF5" w:rsidRPr="001B6CF5" w:rsidRDefault="001B6CF5" w:rsidP="00EB795B">
            <w:r w:rsidRPr="00C61D42">
              <w:t>Origin Energy submitted that the AER has no reason to expect that departing from relying pri</w:t>
            </w:r>
            <w:r w:rsidR="00F93F63">
              <w:t xml:space="preserve">ncipally on the output of the Sharpe-Lintner </w:t>
            </w:r>
            <w:r w:rsidRPr="00C61D42">
              <w:t>CAPM would better contribute to the achievement of the allowed rate of return objective.</w:t>
            </w:r>
            <w:r w:rsidRPr="001B6CF5">
              <w:rPr>
                <w:rStyle w:val="FootnoteReference"/>
              </w:rPr>
              <w:footnoteReference w:id="659"/>
            </w:r>
          </w:p>
          <w:p w:rsidR="001B6CF5" w:rsidRPr="001B6CF5" w:rsidRDefault="001B6CF5" w:rsidP="00EB795B">
            <w:r>
              <w:t>Origin Energy maintain</w:t>
            </w:r>
            <w:r w:rsidRPr="001B6CF5">
              <w:t xml:space="preserve">ed its view that </w:t>
            </w:r>
            <w:r w:rsidR="00F93F63">
              <w:t>we</w:t>
            </w:r>
            <w:r w:rsidRPr="001B6CF5">
              <w:t xml:space="preserve"> ha</w:t>
            </w:r>
            <w:r w:rsidR="00F93F63">
              <w:t>ve</w:t>
            </w:r>
            <w:r w:rsidRPr="001B6CF5">
              <w:t xml:space="preserve"> adopted a balanced and pragmatic approach that provides certain and predictable outcomes for investors and provides a balance between the views of consumer groups and the network businesses.</w:t>
            </w:r>
            <w:r w:rsidRPr="001B6CF5">
              <w:rPr>
                <w:rStyle w:val="FootnoteReference"/>
              </w:rPr>
              <w:footnoteReference w:id="660"/>
            </w:r>
          </w:p>
          <w:p w:rsidR="001B6CF5" w:rsidRPr="001B6CF5" w:rsidRDefault="001B6CF5" w:rsidP="00EB795B">
            <w:r>
              <w:t>Origin Energy submit</w:t>
            </w:r>
            <w:r w:rsidRPr="001B6CF5">
              <w:t>ted that the Guideline provides transparency and predictability of outcomes in rate of return issues and a balance between the views of distributors and consumers, and considers that departures from the Guideline should only be approved where there is strong evidence to support the departure.</w:t>
            </w:r>
            <w:r w:rsidRPr="001B6CF5">
              <w:rPr>
                <w:rStyle w:val="FootnoteReference"/>
              </w:rPr>
              <w:footnoteReference w:id="661"/>
            </w:r>
          </w:p>
        </w:tc>
      </w:tr>
      <w:tr w:rsidR="001B6CF5" w:rsidRPr="001848E2" w:rsidTr="001B6CF5">
        <w:trPr>
          <w:cnfStyle w:val="000000010000" w:firstRow="0" w:lastRow="0" w:firstColumn="0" w:lastColumn="0" w:oddVBand="0" w:evenVBand="0" w:oddHBand="0" w:evenHBand="1" w:firstRowFirstColumn="0" w:firstRowLastColumn="0" w:lastRowFirstColumn="0" w:lastRowLastColumn="0"/>
        </w:trPr>
        <w:tc>
          <w:tcPr>
            <w:tcW w:w="1605" w:type="dxa"/>
          </w:tcPr>
          <w:p w:rsidR="001B6CF5" w:rsidRPr="001B6CF5" w:rsidRDefault="001B6CF5" w:rsidP="00EB795B">
            <w:r w:rsidRPr="00DD3B92">
              <w:t>Q</w:t>
            </w:r>
            <w:r w:rsidRPr="001B6CF5">
              <w:t xml:space="preserve">ueensland Council of Social Service (QCOSS) </w:t>
            </w:r>
          </w:p>
        </w:tc>
        <w:tc>
          <w:tcPr>
            <w:tcW w:w="7088" w:type="dxa"/>
          </w:tcPr>
          <w:p w:rsidR="001B6CF5" w:rsidRPr="001B6CF5" w:rsidRDefault="001B6CF5" w:rsidP="00EB795B">
            <w:r>
              <w:t>The Queensland Council of Social Service consider</w:t>
            </w:r>
            <w:r w:rsidRPr="001B6CF5">
              <w:t xml:space="preserve">ed the </w:t>
            </w:r>
            <w:r w:rsidR="00F93F63">
              <w:t>rate of return</w:t>
            </w:r>
            <w:r w:rsidRPr="001B6CF5">
              <w:t xml:space="preserve"> parameters in t</w:t>
            </w:r>
            <w:r w:rsidR="00F93F63">
              <w:t>he preliminary d</w:t>
            </w:r>
            <w:r w:rsidRPr="001B6CF5">
              <w:t>ecision are too conservative and are not consistent with both the low prevailing cost of capital and the low risk of distribution activities.</w:t>
            </w:r>
            <w:r w:rsidRPr="001B6CF5">
              <w:rPr>
                <w:rStyle w:val="FootnoteReference"/>
              </w:rPr>
              <w:footnoteReference w:id="662"/>
            </w:r>
          </w:p>
          <w:p w:rsidR="001B6CF5" w:rsidRPr="001B6CF5" w:rsidRDefault="001B6CF5" w:rsidP="00EB795B">
            <w:r>
              <w:t>The Queensland Council of Social Service submit</w:t>
            </w:r>
            <w:r w:rsidRPr="001B6CF5">
              <w:t>ted that empirical studies, as well as the reports from McKenzie and Partington and Frontier suggest an appropriate equity beta to be around 0.5.</w:t>
            </w:r>
            <w:r w:rsidRPr="001B6CF5">
              <w:rPr>
                <w:rStyle w:val="FootnoteReference"/>
              </w:rPr>
              <w:footnoteReference w:id="663"/>
            </w:r>
          </w:p>
        </w:tc>
      </w:tr>
      <w:tr w:rsidR="001B6CF5" w:rsidRPr="001848E2" w:rsidTr="001B6CF5">
        <w:tc>
          <w:tcPr>
            <w:tcW w:w="1605" w:type="dxa"/>
          </w:tcPr>
          <w:p w:rsidR="001B6CF5" w:rsidRPr="001B6CF5" w:rsidRDefault="001B6CF5" w:rsidP="00EB795B">
            <w:r>
              <w:t>Victorian Energy Consumer and User Alliance</w:t>
            </w:r>
            <w:r w:rsidRPr="001B6CF5">
              <w:t xml:space="preserve"> (VECUSA)</w:t>
            </w:r>
          </w:p>
        </w:tc>
        <w:tc>
          <w:tcPr>
            <w:tcW w:w="7088" w:type="dxa"/>
          </w:tcPr>
          <w:p w:rsidR="001B6CF5" w:rsidRPr="001B6CF5" w:rsidRDefault="001B6CF5" w:rsidP="00EB795B">
            <w:r>
              <w:t>The Victorian Energy Consumer and User Alliance consider</w:t>
            </w:r>
            <w:r w:rsidRPr="001B6CF5">
              <w:t xml:space="preserve">ed the Victorian service providers' proposed </w:t>
            </w:r>
            <w:r w:rsidR="00F93F63">
              <w:t>rate of return</w:t>
            </w:r>
            <w:r w:rsidRPr="001B6CF5">
              <w:t xml:space="preserve"> allowances of 7.18-7.38 per cent to be excessive and based on major unjustified departures from the Guideline.</w:t>
            </w:r>
            <w:r w:rsidRPr="001B6CF5">
              <w:rPr>
                <w:rStyle w:val="FootnoteReference"/>
              </w:rPr>
              <w:footnoteReference w:id="664"/>
            </w:r>
          </w:p>
          <w:p w:rsidR="001B6CF5" w:rsidRPr="001B6CF5" w:rsidRDefault="001B6CF5" w:rsidP="00EB795B">
            <w:r>
              <w:t>The Victorian Energy Consumer and User Alliance consider</w:t>
            </w:r>
            <w:r w:rsidRPr="001B6CF5">
              <w:t xml:space="preserve">ed that </w:t>
            </w:r>
            <w:r w:rsidR="00F93F63">
              <w:t>our</w:t>
            </w:r>
            <w:r w:rsidRPr="001B6CF5">
              <w:t xml:space="preserve"> approach to estimating return on equity is more appropriate than the distributors' proposed approaches that adopt weighted averages of different return on equity models. These proposed departures have not been subjected to any rigorous analysis or stakeholder consultation.</w:t>
            </w:r>
            <w:r w:rsidRPr="001B6CF5">
              <w:rPr>
                <w:rStyle w:val="FootnoteReference"/>
              </w:rPr>
              <w:footnoteReference w:id="665"/>
            </w:r>
          </w:p>
          <w:p w:rsidR="001B6CF5" w:rsidRPr="001B6CF5" w:rsidRDefault="001B6CF5" w:rsidP="00EB795B">
            <w:r>
              <w:t>The Victorian Energy Consumers and Users Alliance not</w:t>
            </w:r>
            <w:r w:rsidRPr="001B6CF5">
              <w:t>ed Professor Henry's report</w:t>
            </w:r>
            <w:r w:rsidRPr="001B6CF5">
              <w:rPr>
                <w:rStyle w:val="FootnoteReference"/>
              </w:rPr>
              <w:footnoteReference w:id="666"/>
            </w:r>
            <w:r w:rsidRPr="001B6CF5">
              <w:t xml:space="preserve"> suggests an equity beta at the low end of the Guideline range (i.e. 0.4) more accurately reflects the empirical data available.</w:t>
            </w:r>
            <w:r w:rsidRPr="001B6CF5">
              <w:rPr>
                <w:rStyle w:val="FootnoteReference"/>
              </w:rPr>
              <w:footnoteReference w:id="667"/>
            </w:r>
          </w:p>
          <w:p w:rsidR="001B6CF5" w:rsidRPr="001B6CF5" w:rsidRDefault="001B6CF5" w:rsidP="00EB795B">
            <w:r>
              <w:t xml:space="preserve">The Victorian </w:t>
            </w:r>
            <w:r w:rsidRPr="001B6CF5">
              <w:t xml:space="preserve">Energy Consumer and User Alliance (VECUA) agreed with other submissions </w:t>
            </w:r>
            <w:r w:rsidR="00F93F63">
              <w:t xml:space="preserve">we </w:t>
            </w:r>
            <w:r w:rsidRPr="001B6CF5">
              <w:t>received over the past year that regard</w:t>
            </w:r>
            <w:r w:rsidR="00F93F63">
              <w:t>ing</w:t>
            </w:r>
            <w:r w:rsidRPr="001B6CF5">
              <w:t xml:space="preserve"> the regulatory framework for Australia’s monopoly networks as providing an extremely low business risk environment. The VECUA submit</w:t>
            </w:r>
            <w:r w:rsidR="00F93F63">
              <w:t>s that the market risk premium</w:t>
            </w:r>
            <w:r w:rsidRPr="001B6CF5">
              <w:t xml:space="preserve"> should be set at the bottom of the </w:t>
            </w:r>
            <w:r w:rsidR="00F93F63">
              <w:t>G</w:t>
            </w:r>
            <w:r w:rsidRPr="001B6CF5">
              <w:t>uideline range (i.e. 5.0%).</w:t>
            </w:r>
            <w:r w:rsidRPr="001B6CF5">
              <w:rPr>
                <w:rStyle w:val="FootnoteReference"/>
              </w:rPr>
              <w:footnoteReference w:id="668"/>
            </w:r>
          </w:p>
        </w:tc>
      </w:tr>
    </w:tbl>
    <w:p w:rsidR="001B6CF5" w:rsidRPr="001562D4" w:rsidRDefault="001B6CF5" w:rsidP="001B6CF5">
      <w:pPr>
        <w:pStyle w:val="AERtablesource"/>
      </w:pPr>
      <w:r>
        <w:t xml:space="preserve">Source: </w:t>
      </w:r>
      <w:r>
        <w:tab/>
        <w:t>AER analysis of submissions.</w:t>
      </w:r>
    </w:p>
    <w:p w:rsidR="001B6CF5" w:rsidRDefault="001B6CF5" w:rsidP="001B6CF5">
      <w:pPr>
        <w:numPr>
          <w:ilvl w:val="0"/>
          <w:numId w:val="24"/>
        </w:numPr>
      </w:pPr>
      <w:r>
        <w:t xml:space="preserve">We consider the submissions in </w:t>
      </w:r>
      <w:r>
        <w:fldChar w:fldCharType="begin"/>
      </w:r>
      <w:r>
        <w:instrText xml:space="preserve"> REF _Ref433137654 \h </w:instrText>
      </w:r>
      <w:r>
        <w:fldChar w:fldCharType="separate"/>
      </w:r>
      <w:r w:rsidR="00BA2E8E">
        <w:t xml:space="preserve">Table </w:t>
      </w:r>
      <w:r w:rsidR="00BA2E8E">
        <w:rPr>
          <w:noProof/>
        </w:rPr>
        <w:t>3</w:t>
      </w:r>
      <w:r w:rsidR="00BA2E8E">
        <w:noBreakHyphen/>
      </w:r>
      <w:r w:rsidR="00BA2E8E">
        <w:rPr>
          <w:noProof/>
        </w:rPr>
        <w:t>26</w:t>
      </w:r>
      <w:r>
        <w:fldChar w:fldCharType="end"/>
      </w:r>
      <w:r>
        <w:t xml:space="preserve"> generally support our use of the Sharpe-Lintner CAPM as the foundation model in our foundation model approach. However, we do not agree with submissions to lower the input parameters from those published in the Guideline. Our reasons for this position are set out in section</w:t>
      </w:r>
      <w:r w:rsidR="00262F70">
        <w:t xml:space="preserve"> </w:t>
      </w:r>
      <w:r w:rsidR="00262F70">
        <w:fldChar w:fldCharType="begin"/>
      </w:r>
      <w:r w:rsidR="00262F70">
        <w:instrText xml:space="preserve"> REF _Ref430958591 \r \h </w:instrText>
      </w:r>
      <w:r w:rsidR="00262F70">
        <w:fldChar w:fldCharType="separate"/>
      </w:r>
      <w:r w:rsidR="00BA2E8E">
        <w:t>3.4.1</w:t>
      </w:r>
      <w:r w:rsidR="00262F70">
        <w:fldChar w:fldCharType="end"/>
      </w:r>
      <w:r>
        <w:t>.</w:t>
      </w:r>
    </w:p>
    <w:p w:rsidR="001B6CF5" w:rsidRPr="00B4711B" w:rsidRDefault="001B6CF5" w:rsidP="001B6CF5">
      <w:pPr>
        <w:pStyle w:val="Heading9"/>
      </w:pPr>
      <w:bookmarkStart w:id="191" w:name="_Ref449004969"/>
      <w:bookmarkStart w:id="192" w:name="_Toc451678633"/>
      <w:r>
        <w:t>Empirical tests of the Sharpe-Lintner CAPM</w:t>
      </w:r>
      <w:bookmarkEnd w:id="191"/>
      <w:bookmarkEnd w:id="192"/>
    </w:p>
    <w:p w:rsidR="001B6CF5" w:rsidRDefault="001B6CF5" w:rsidP="001B6CF5">
      <w:pPr>
        <w:numPr>
          <w:ilvl w:val="0"/>
          <w:numId w:val="24"/>
        </w:numPr>
      </w:pPr>
      <w:r>
        <w:t>Service providers submitted that empirical tests indicate that the Sharpe-Lintner CAPM performs poorly compared to the Fama-French model and Black CAPM.</w:t>
      </w:r>
      <w:r>
        <w:rPr>
          <w:rStyle w:val="FootnoteReference"/>
        </w:rPr>
        <w:footnoteReference w:id="669"/>
      </w:r>
    </w:p>
    <w:p w:rsidR="001B6CF5" w:rsidRDefault="001B6CF5" w:rsidP="001B6CF5">
      <w:pPr>
        <w:numPr>
          <w:ilvl w:val="0"/>
          <w:numId w:val="24"/>
        </w:numPr>
      </w:pPr>
      <w:r>
        <w:t>At this time, we conclude that</w:t>
      </w:r>
      <w:r w:rsidRPr="001562D4">
        <w:t xml:space="preserve"> </w:t>
      </w:r>
      <w:r>
        <w:t>the evidence i</w:t>
      </w:r>
      <w:r w:rsidRPr="001562D4">
        <w:t>s unclear given the empirical limitation of the tests</w:t>
      </w:r>
      <w:r>
        <w:t>. Given the available evidence and the limitations of this evidence, we consider that there is no strong basis to conclude that the Black CAPM and/or Fama-French model provide materially better estimates of expected return on equity. N</w:t>
      </w:r>
      <w:r w:rsidRPr="001562D4">
        <w:t>otwithstanding potential limitatio</w:t>
      </w:r>
      <w:r>
        <w:t>ns with the empirical tests, we consider</w:t>
      </w:r>
      <w:r w:rsidRPr="001562D4">
        <w:t xml:space="preserve"> that our implementa</w:t>
      </w:r>
      <w:r>
        <w:t>tion of the Sharpe-Lintner CAPM in our foundation model approach recognises any potential</w:t>
      </w:r>
      <w:r w:rsidRPr="001562D4">
        <w:t xml:space="preserve"> em</w:t>
      </w:r>
      <w:r>
        <w:t>pirical limitations.</w:t>
      </w:r>
    </w:p>
    <w:p w:rsidR="001B6CF5" w:rsidRPr="001562D4" w:rsidRDefault="001B6CF5" w:rsidP="001B6CF5">
      <w:pPr>
        <w:numPr>
          <w:ilvl w:val="0"/>
          <w:numId w:val="24"/>
        </w:numPr>
      </w:pPr>
      <w:r>
        <w:t xml:space="preserve">On the empirical performance of the Sharpe-Lintner </w:t>
      </w:r>
      <w:r w:rsidRPr="001562D4">
        <w:t>CAPM, McKenzie and Partington found the following:</w:t>
      </w:r>
      <w:r>
        <w:rPr>
          <w:rStyle w:val="FootnoteReference"/>
        </w:rPr>
        <w:footnoteReference w:id="670"/>
      </w:r>
    </w:p>
    <w:p w:rsidR="001B6CF5" w:rsidRPr="006C4D93" w:rsidRDefault="001B6CF5" w:rsidP="001B6CF5">
      <w:pPr>
        <w:pStyle w:val="AERbulletlistfirststyle"/>
      </w:pPr>
      <w:r w:rsidRPr="001562D4">
        <w:t>The fact some work appears to show other models better explain the cross section of realised average returns does not invalidate the use of the model for several reasons</w:t>
      </w:r>
      <w:r w:rsidRPr="006C4D93">
        <w:t>. For instance, the cross section of returns is only one dimension of interest.</w:t>
      </w:r>
      <w:r w:rsidRPr="006C4D93">
        <w:rPr>
          <w:rStyle w:val="FootnoteReference"/>
        </w:rPr>
        <w:footnoteReference w:id="671"/>
      </w:r>
    </w:p>
    <w:p w:rsidR="001B6CF5" w:rsidRPr="006C4D93" w:rsidRDefault="001B6CF5" w:rsidP="001B6CF5">
      <w:pPr>
        <w:pStyle w:val="AERbulletlistfirststyle"/>
      </w:pPr>
      <w:r>
        <w:t>T</w:t>
      </w:r>
      <w:r w:rsidR="00A3548E">
        <w:t xml:space="preserve">he evidence against the Sharpe-Lintner </w:t>
      </w:r>
      <w:r w:rsidRPr="006C4D93">
        <w:t>CAPM may not be as robust as once thought when more appropriate statistical tests are used.</w:t>
      </w:r>
    </w:p>
    <w:p w:rsidR="001B6CF5" w:rsidRDefault="001B6CF5" w:rsidP="001B6CF5">
      <w:pPr>
        <w:pStyle w:val="AERbulletlistfirststyle"/>
      </w:pPr>
      <w:r>
        <w:t>T</w:t>
      </w:r>
      <w:r w:rsidRPr="006C4D93">
        <w:t>he empirical evidence against the model does not invalidate its use for estimating the cost of capital for projects when making capital budgeting decisions.</w:t>
      </w:r>
    </w:p>
    <w:p w:rsidR="001B6CF5" w:rsidRDefault="001B6CF5" w:rsidP="001B6CF5">
      <w:pPr>
        <w:numPr>
          <w:ilvl w:val="0"/>
          <w:numId w:val="24"/>
        </w:numPr>
      </w:pPr>
      <w:r>
        <w:t xml:space="preserve">Partington and Satchell made the following observations for testing empirical performances of asset pricing models: </w:t>
      </w:r>
    </w:p>
    <w:p w:rsidR="001B6CF5" w:rsidRDefault="001B6CF5" w:rsidP="001B6CF5">
      <w:pPr>
        <w:pStyle w:val="AERbulletlistfirststyle"/>
      </w:pPr>
      <w:r>
        <w:t>Testing of an asset pricing model involves how well it describes ex-ante expected returns when security prices are in equilibrium. Empirical work attempts to examine how well the asset pricing model explains ex-post realised returns which 'may not be a particularly good test'.</w:t>
      </w:r>
      <w:r>
        <w:rPr>
          <w:rStyle w:val="FootnoteReference"/>
        </w:rPr>
        <w:footnoteReference w:id="672"/>
      </w:r>
      <w:r>
        <w:t xml:space="preserve"> </w:t>
      </w:r>
    </w:p>
    <w:p w:rsidR="001B6CF5" w:rsidRDefault="001B6CF5" w:rsidP="001B6CF5">
      <w:pPr>
        <w:pStyle w:val="AERbulletlistfirststyle"/>
      </w:pPr>
      <w:r>
        <w:t>T</w:t>
      </w:r>
      <w:r w:rsidRPr="008361D8">
        <w:t>he results are dependent on the method</w:t>
      </w:r>
      <w:r>
        <w:t xml:space="preserve"> used to conduct the test (for example the characteristics used in sorting stocks into portfolios when testing model performance), </w:t>
      </w:r>
      <w:r w:rsidRPr="00D1186E">
        <w:t xml:space="preserve">was also noted by </w:t>
      </w:r>
      <w:r>
        <w:t>Kan, Robotti and Shanken.</w:t>
      </w:r>
      <w:r>
        <w:rPr>
          <w:rStyle w:val="FootnoteReference"/>
        </w:rPr>
        <w:t xml:space="preserve"> </w:t>
      </w:r>
      <w:r>
        <w:rPr>
          <w:rStyle w:val="FootnoteReference"/>
        </w:rPr>
        <w:footnoteReference w:id="673"/>
      </w:r>
      <w:r w:rsidRPr="008361D8">
        <w:t xml:space="preserve"> </w:t>
      </w:r>
    </w:p>
    <w:p w:rsidR="001B6CF5" w:rsidRDefault="001B6CF5" w:rsidP="001B6CF5">
      <w:pPr>
        <w:pStyle w:val="AERbulletlistfirststyle"/>
      </w:pPr>
      <w:r>
        <w:t>Fischer Black has previously suggested that testing of model performance using ex-post realised returns 'might be telling…more about the shocks to the expected returns (volatility) rather than the equilibrium expected returns'.</w:t>
      </w:r>
      <w:r>
        <w:rPr>
          <w:rStyle w:val="FootnoteReference"/>
        </w:rPr>
        <w:footnoteReference w:id="674"/>
      </w:r>
    </w:p>
    <w:p w:rsidR="001B6CF5" w:rsidRDefault="001B6CF5" w:rsidP="001B6CF5">
      <w:pPr>
        <w:pStyle w:val="AERbulletlistfirststyle"/>
      </w:pPr>
      <w:r w:rsidRPr="00C61D42">
        <w:t>NERA referred to the work of Kan, Robotti</w:t>
      </w:r>
      <w:r>
        <w:t xml:space="preserve"> and Shanken </w:t>
      </w:r>
      <w:r w:rsidRPr="00C61D42">
        <w:t xml:space="preserve">for the superior performance of the </w:t>
      </w:r>
      <w:r>
        <w:t>Fama-French model</w:t>
      </w:r>
      <w:r w:rsidRPr="00C61D42">
        <w:t xml:space="preserve"> compared to the </w:t>
      </w:r>
      <w:r>
        <w:t xml:space="preserve">Sharpe-Lintner </w:t>
      </w:r>
      <w:r w:rsidRPr="00C61D42">
        <w:t>CAPM.</w:t>
      </w:r>
      <w:r w:rsidRPr="00D1186E">
        <w:rPr>
          <w:rStyle w:val="FootnoteReference"/>
        </w:rPr>
        <w:footnoteReference w:id="675"/>
      </w:r>
      <w:r w:rsidRPr="00C61D42">
        <w:t xml:space="preserve"> </w:t>
      </w:r>
      <w:r>
        <w:t>Partington and Satchell stated that they "</w:t>
      </w:r>
      <w:r w:rsidRPr="00C61D42">
        <w:t>are not persuaded at this time as there is no conclusive evidence of the superior performance of the FFM–as Kan, Robotti</w:t>
      </w:r>
      <w:r>
        <w:t xml:space="preserve"> and Shanken </w:t>
      </w:r>
      <w:r w:rsidRPr="00C61D42">
        <w:t>also found the conditional CAPM and ICAPM to be the best performing models if the portf</w:t>
      </w:r>
      <w:r>
        <w:t>olios are formed by ranking sto</w:t>
      </w:r>
      <w:r w:rsidRPr="00C61D42">
        <w:t>cks on size and CAPM beta instead of by book-to-market and size</w:t>
      </w:r>
      <w:r>
        <w:t>"</w:t>
      </w:r>
      <w:r w:rsidRPr="00C61D42">
        <w:t>.</w:t>
      </w:r>
      <w:r w:rsidRPr="00C61D42">
        <w:rPr>
          <w:rStyle w:val="FootnoteReference"/>
        </w:rPr>
        <w:footnoteReference w:id="676"/>
      </w:r>
      <w:r w:rsidRPr="00C61D42">
        <w:t xml:space="preserve">  </w:t>
      </w:r>
      <w:r w:rsidRPr="00D1186E">
        <w:t xml:space="preserve">Partington and Satchell noted </w:t>
      </w:r>
      <w:r>
        <w:t>that Lewellen, Nagel and Shanken have</w:t>
      </w:r>
      <w:r w:rsidRPr="00D1186E">
        <w:t xml:space="preserve"> cautioned that </w:t>
      </w:r>
      <w:r>
        <w:t>'none of the models provides much improvement over the simple or consumption CAPM when performance is measured by the GLS</w:t>
      </w:r>
      <w:r>
        <w:rPr>
          <w:rStyle w:val="FootnoteReference"/>
        </w:rPr>
        <w:footnoteReference w:id="677"/>
      </w:r>
      <w:r>
        <w:t xml:space="preserve"> R2 or q'.</w:t>
      </w:r>
      <w:r>
        <w:rPr>
          <w:rStyle w:val="FootnoteReference"/>
        </w:rPr>
        <w:footnoteReference w:id="678"/>
      </w:r>
      <w:r>
        <w:t xml:space="preserve"> </w:t>
      </w:r>
    </w:p>
    <w:p w:rsidR="001B6CF5" w:rsidRDefault="001B6CF5" w:rsidP="001B6CF5">
      <w:r>
        <w:t xml:space="preserve">In response to our preliminary decision, HoustonKemp submitted that </w:t>
      </w:r>
      <w:r w:rsidRPr="006B3D58">
        <w:t>Kan, Robotti and Shanken do not say that</w:t>
      </w:r>
      <w:r>
        <w:t xml:space="preserve"> </w:t>
      </w:r>
      <w:r w:rsidRPr="006B3D58">
        <w:t>when po</w:t>
      </w:r>
      <w:r>
        <w:t xml:space="preserve">rtfolios are formed by size and beta </w:t>
      </w:r>
      <w:r w:rsidRPr="006B3D58">
        <w:t>that the CAPM can be shown to be superior to the Fama-French</w:t>
      </w:r>
      <w:r>
        <w:t xml:space="preserve"> </w:t>
      </w:r>
      <w:r w:rsidRPr="006B3D58">
        <w:t>three-factor model</w:t>
      </w:r>
      <w:r>
        <w:t>.</w:t>
      </w:r>
      <w:r>
        <w:rPr>
          <w:rStyle w:val="FootnoteReference"/>
        </w:rPr>
        <w:footnoteReference w:id="679"/>
      </w:r>
      <w:r>
        <w:t xml:space="preserve"> In response, Partington and Satchell state that:</w:t>
      </w:r>
      <w:r>
        <w:rPr>
          <w:rStyle w:val="FootnoteReference"/>
        </w:rPr>
        <w:footnoteReference w:id="680"/>
      </w:r>
    </w:p>
    <w:p w:rsidR="001B6CF5" w:rsidRDefault="001B6CF5" w:rsidP="001B6CF5">
      <w:pPr>
        <w:pStyle w:val="AERquote"/>
      </w:pPr>
      <w:r w:rsidRPr="00290597">
        <w:t>We stand by our observations that in Kan, Robotti and Shanken (2013) the results of the asset pricing tests in general, and tests of the FF3 model in particular, depend upon the characteristics used in sorting stocks into portfolios</w:t>
      </w:r>
      <w:r>
        <w:t>…</w:t>
      </w:r>
      <w:r w:rsidRPr="00823F8D">
        <w:t xml:space="preserve">in </w:t>
      </w:r>
      <w:r w:rsidRPr="00290597">
        <w:t xml:space="preserve">Kan, Robotti and Shanken (2013) using </w:t>
      </w:r>
      <w:r w:rsidRPr="00823F8D">
        <w:t xml:space="preserve">tests based on size and book to market sorts for portfolios </w:t>
      </w:r>
      <w:r>
        <w:t xml:space="preserve">the </w:t>
      </w:r>
      <w:r w:rsidRPr="00823F8D">
        <w:t xml:space="preserve">FF3 model ranks second to the ICAPM, but when portfolios are sorted on size and beta </w:t>
      </w:r>
      <w:r>
        <w:t>the</w:t>
      </w:r>
      <w:r w:rsidRPr="00823F8D">
        <w:t xml:space="preserve"> performance </w:t>
      </w:r>
      <w:r>
        <w:t xml:space="preserve">of FF3 </w:t>
      </w:r>
      <w:r w:rsidRPr="00823F8D">
        <w:t>degrades</w:t>
      </w:r>
    </w:p>
    <w:p w:rsidR="001B6CF5" w:rsidRDefault="001B6CF5" w:rsidP="001B6CF5">
      <w:pPr>
        <w:numPr>
          <w:ilvl w:val="0"/>
          <w:numId w:val="24"/>
        </w:numPr>
      </w:pPr>
      <w:r>
        <w:t>Several service providers resubmitted an empirical test of the Sharpe-Lintner CAPM and the Black CAPM by NERA that was considered in the JGN final decision.</w:t>
      </w:r>
      <w:r>
        <w:rPr>
          <w:rStyle w:val="FootnoteReference"/>
        </w:rPr>
        <w:footnoteReference w:id="681"/>
      </w:r>
      <w:r>
        <w:t xml:space="preserve"> We continue to observe that the results in NERA's report appear counterintuitive. For instance, NERA's in-sample tests indicated there was a negative relation between returns and beta</w:t>
      </w:r>
      <w:r w:rsidRPr="0021745C">
        <w:t>—</w:t>
      </w:r>
      <w:r>
        <w:t>which is not consistent with the theory underpinning the Sharpe-Lintner CAPM or the Black CAPM.</w:t>
      </w:r>
      <w:r>
        <w:rPr>
          <w:rStyle w:val="FootnoteReference"/>
        </w:rPr>
        <w:footnoteReference w:id="682"/>
      </w:r>
      <w:r>
        <w:t xml:space="preserve"> NERA also provided an estimate of the zero-beta premium of 10.75 per cent.</w:t>
      </w:r>
      <w:r>
        <w:rPr>
          <w:rStyle w:val="FootnoteReference"/>
        </w:rPr>
        <w:footnoteReference w:id="683"/>
      </w:r>
      <w:r>
        <w:t xml:space="preserve"> It has been acknowledged that it is implausible for the zero beta premium to be equal to or greater than the market risk premium</w:t>
      </w:r>
      <w:r w:rsidRPr="001562D4">
        <w:t>.</w:t>
      </w:r>
      <w:r w:rsidRPr="001562D4">
        <w:rPr>
          <w:rStyle w:val="FootnoteReference"/>
        </w:rPr>
        <w:footnoteReference w:id="684"/>
      </w:r>
      <w:r>
        <w:t xml:space="preserve"> Further, having reviewed this report in relation to its results on the Black CAPM, Partington advised:</w:t>
      </w:r>
      <w:r>
        <w:rPr>
          <w:rStyle w:val="FootnoteReference"/>
        </w:rPr>
        <w:footnoteReference w:id="685"/>
      </w:r>
      <w:r>
        <w:t xml:space="preserve"> </w:t>
      </w:r>
    </w:p>
    <w:p w:rsidR="001B6CF5" w:rsidRPr="00AB3FED" w:rsidRDefault="001B6CF5" w:rsidP="001B6CF5">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1B6CF5" w:rsidRPr="001562D4" w:rsidRDefault="001B6CF5" w:rsidP="001B6CF5">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(2015) and SFG (2015) restrict the choice by fitting a regression model to the data in order to obtain a single estimate. </w:t>
      </w:r>
    </w:p>
    <w:p w:rsidR="001B6CF5" w:rsidRDefault="001B6CF5" w:rsidP="001B6CF5">
      <w:pPr>
        <w:numPr>
          <w:ilvl w:val="0"/>
          <w:numId w:val="24"/>
        </w:numPr>
      </w:pPr>
      <w:r>
        <w:t xml:space="preserve">McKenzie and Partington considered that </w:t>
      </w:r>
      <w:r w:rsidRPr="001562D4">
        <w:t>the empirical results</w:t>
      </w:r>
      <w:r>
        <w:t xml:space="preserve"> for the Black CAPM and Sharpe-Lintner CAPM we</w:t>
      </w:r>
      <w:r w:rsidRPr="001562D4">
        <w:t>re not directly comparable</w:t>
      </w:r>
      <w:r>
        <w:t>.</w:t>
      </w:r>
      <w:r w:rsidRPr="001562D4">
        <w:rPr>
          <w:rStyle w:val="FootnoteReference"/>
        </w:rPr>
        <w:footnoteReference w:id="686"/>
      </w:r>
    </w:p>
    <w:p w:rsidR="001B6CF5" w:rsidRDefault="001B6CF5" w:rsidP="001B6CF5">
      <w:pPr>
        <w:numPr>
          <w:ilvl w:val="0"/>
          <w:numId w:val="24"/>
        </w:numPr>
      </w:pPr>
      <w:r>
        <w:t>Further, there are a number of possible explanations (for example, economic conditions) that do not imply a bias in beta. These explanations were noted by Partington and Satchell as well as Handley.</w:t>
      </w:r>
      <w:r>
        <w:rPr>
          <w:rStyle w:val="FootnoteReference"/>
        </w:rPr>
        <w:footnoteReference w:id="687"/>
      </w:r>
      <w:r>
        <w:t xml:space="preserve"> For example, Mujisson, Fishwick and Satchell (2014) found that beta for a given portfolio remains relatively constant despite changes in the interest rate and market movements. More discussion of these potential explanations is in sections </w:t>
      </w:r>
      <w:r>
        <w:fldChar w:fldCharType="begin"/>
      </w:r>
      <w:r>
        <w:instrText xml:space="preserve"> REF _Ref449010288 \r \h </w:instrText>
      </w:r>
      <w:r>
        <w:fldChar w:fldCharType="separate"/>
      </w:r>
      <w:r w:rsidR="00BA2E8E">
        <w:t>B.2.2</w:t>
      </w:r>
      <w:r>
        <w:fldChar w:fldCharType="end"/>
      </w:r>
      <w:r>
        <w:t xml:space="preserve"> and </w:t>
      </w:r>
      <w:r>
        <w:fldChar w:fldCharType="begin"/>
      </w:r>
      <w:r>
        <w:instrText xml:space="preserve"> REF _Ref449010281 \r \h </w:instrText>
      </w:r>
      <w:r>
        <w:fldChar w:fldCharType="separate"/>
      </w:r>
      <w:r w:rsidR="00BA2E8E">
        <w:t>B.3.2</w:t>
      </w:r>
      <w:r>
        <w:fldChar w:fldCharType="end"/>
      </w:r>
      <w:r>
        <w:t>.</w:t>
      </w:r>
    </w:p>
    <w:p w:rsidR="001B6CF5" w:rsidRDefault="001B6CF5" w:rsidP="001B6CF5">
      <w:r>
        <w:t>In response to t</w:t>
      </w:r>
      <w:r w:rsidRPr="00C674E4">
        <w:t xml:space="preserve">he AER’s </w:t>
      </w:r>
      <w:r>
        <w:t>statement</w:t>
      </w:r>
      <w:r w:rsidRPr="00C674E4">
        <w:t xml:space="preserve"> that results </w:t>
      </w:r>
      <w:r>
        <w:t>from</w:t>
      </w:r>
      <w:r w:rsidRPr="00C674E4">
        <w:t xml:space="preserve"> </w:t>
      </w:r>
      <w:r>
        <w:t>NERA's</w:t>
      </w:r>
      <w:r w:rsidRPr="00C674E4">
        <w:t xml:space="preserve"> February 2015</w:t>
      </w:r>
      <w:r>
        <w:t xml:space="preserve"> </w:t>
      </w:r>
      <w:r w:rsidRPr="00C674E4">
        <w:t>report are counterintuitive</w:t>
      </w:r>
      <w:r>
        <w:t>, HoustonKemp</w:t>
      </w:r>
      <w:r w:rsidRPr="00C674E4">
        <w:t xml:space="preserve"> </w:t>
      </w:r>
      <w:r>
        <w:t>submitted that t</w:t>
      </w:r>
      <w:r w:rsidRPr="00C674E4">
        <w:t>he results are not unusual and that many others have produced very similar results</w:t>
      </w:r>
      <w:r>
        <w:t>.</w:t>
      </w:r>
      <w:r>
        <w:rPr>
          <w:rStyle w:val="FootnoteReference"/>
        </w:rPr>
        <w:footnoteReference w:id="688"/>
      </w:r>
      <w:r w:rsidRPr="00C674E4">
        <w:t xml:space="preserve">  </w:t>
      </w:r>
      <w:r w:rsidRPr="00864180">
        <w:t>HoustonKemp noted that over the period 1979 through 2014 there has been a negative rather than a positive relation in Australia between average returns and estimates of their betas.</w:t>
      </w:r>
      <w:r w:rsidRPr="00864180">
        <w:rPr>
          <w:rStyle w:val="FootnoteReference"/>
        </w:rPr>
        <w:footnoteReference w:id="689"/>
      </w:r>
      <w:r>
        <w:t xml:space="preserve"> HoustonKemp submitted that </w:t>
      </w:r>
      <w:r w:rsidRPr="00284228">
        <w:t>Kan, Robotti and Shanken</w:t>
      </w:r>
      <w:r>
        <w:t xml:space="preserve"> </w:t>
      </w:r>
      <w:r w:rsidRPr="00284228">
        <w:t>show that the GLS R2 associated with the CAPM exceeds zero because of a significant negative relation between the mean returns and betas</w:t>
      </w:r>
      <w:r>
        <w:t>.</w:t>
      </w:r>
      <w:r>
        <w:rPr>
          <w:rStyle w:val="FootnoteReference"/>
        </w:rPr>
        <w:footnoteReference w:id="690"/>
      </w:r>
    </w:p>
    <w:p w:rsidR="001B6CF5" w:rsidRDefault="001B6CF5" w:rsidP="001B6CF5">
      <w:r>
        <w:t>Partington and Satchell also note that '</w:t>
      </w:r>
      <w:r w:rsidRPr="000A45F8">
        <w:t xml:space="preserve"> a relatively flat or inverted relation between beta and realised returns is quite common in empirical work</w:t>
      </w:r>
      <w:r>
        <w:t>'.</w:t>
      </w:r>
      <w:r>
        <w:rPr>
          <w:rStyle w:val="FootnoteReference"/>
        </w:rPr>
        <w:footnoteReference w:id="691"/>
      </w:r>
      <w:r>
        <w:t xml:space="preserve"> However, they also note that it is not clear that this is evidence that other models are better at estimating expected return on equity, stating: </w:t>
      </w:r>
      <w:r>
        <w:rPr>
          <w:rStyle w:val="FootnoteReference"/>
        </w:rPr>
        <w:footnoteReference w:id="692"/>
      </w:r>
    </w:p>
    <w:p w:rsidR="001B6CF5" w:rsidRDefault="001B6CF5" w:rsidP="001B6CF5">
      <w:pPr>
        <w:pStyle w:val="AERquote"/>
      </w:pPr>
      <w:r w:rsidRPr="000A45F8">
        <w:t>What this shows is that low beta shares have had realised returns that outperformed and high beta shares have had realised returns that underperformed relative to the CAPM equilibrium expected return benchmark. This may or may not be because the CAPM is a poor model of equilibrium returns and some examples of varying explanations are given in Handley (2014). Harvey, Liu and Zhu (2015) report more than 300 variables have been found significant in explaining the cross section of realised returns. Possibly one or several of these variables might explain the divergence of realised returns from the CAPM. The question is do any of these variables determine equilibrium expected returns and that is a question that is unresolved.</w:t>
      </w:r>
    </w:p>
    <w:p w:rsidR="001B6CF5" w:rsidRDefault="001B6CF5" w:rsidP="001B6CF5">
      <w:pPr>
        <w:numPr>
          <w:ilvl w:val="0"/>
          <w:numId w:val="24"/>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w:t>
      </w:r>
      <w:r>
        <w:t xml:space="preserve">that </w:t>
      </w:r>
      <w:r w:rsidR="00A86842">
        <w:t xml:space="preserve">our application of the Sharpe-Lintner </w:t>
      </w:r>
      <w:r w:rsidRPr="001562D4">
        <w:t>CAPM will undercompensate the benchmark efficient entity for it</w:t>
      </w:r>
      <w:r>
        <w:t>s</w:t>
      </w:r>
      <w:r w:rsidRPr="001562D4">
        <w:t xml:space="preserve"> efficient cost of equity. The benchmark firm is not average risk and its risk is not expected to change given its </w:t>
      </w:r>
      <w:r>
        <w:t xml:space="preserve">regulated </w:t>
      </w:r>
      <w:r w:rsidRPr="001562D4">
        <w:t xml:space="preserve">monopoly nature.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Partington also observed Henry's result in advising that a Vasicek adjustment was not valid. He advised:</w:t>
      </w:r>
      <w:r>
        <w:rPr>
          <w:rStyle w:val="FootnoteReference"/>
        </w:rPr>
        <w:footnoteReference w:id="693"/>
      </w:r>
    </w:p>
    <w:p w:rsidR="001B6CF5" w:rsidRPr="00BD52D8" w:rsidRDefault="001B6CF5" w:rsidP="001B6CF5">
      <w:pPr>
        <w:pStyle w:val="AERquote"/>
      </w:pPr>
      <w:r w:rsidRPr="00BD52D8">
        <w:t>we note the work of Henry (2008), who finds no evidence that would support the use of the Vasicek model for Australian data.  The results of the Henry (2008) study:</w:t>
      </w:r>
    </w:p>
    <w:p w:rsidR="001B6CF5" w:rsidRPr="00BD52D8" w:rsidRDefault="001B6CF5" w:rsidP="001B6CF5">
      <w:pPr>
        <w:pStyle w:val="AERquoteindent2"/>
      </w:pPr>
      <w:r w:rsidRPr="00BD52D8">
        <w:t>“… suggest that there is little convincing evidence of regression to unity in this data. Therefore, it is difficult to justify the application of the Blume or Vasicek adjustments.” (p. 12)</w:t>
      </w:r>
    </w:p>
    <w:p w:rsidR="001B6CF5" w:rsidRDefault="001B6CF5" w:rsidP="001B6CF5">
      <w:r>
        <w:t>Houst</w:t>
      </w:r>
      <w:r w:rsidR="00A86842">
        <w:t>on</w:t>
      </w:r>
      <w:r>
        <w:t>Kemp responded that a</w:t>
      </w:r>
      <w:r w:rsidRPr="00ED2704">
        <w:t>n absence of mean reversion in betas will not guarantee that the use</w:t>
      </w:r>
      <w:r>
        <w:t xml:space="preserve"> </w:t>
      </w:r>
      <w:r w:rsidRPr="00ED2704">
        <w:t>of the S</w:t>
      </w:r>
      <w:r w:rsidR="00A86842">
        <w:t>harpe-</w:t>
      </w:r>
      <w:r w:rsidRPr="00ED2704">
        <w:t>L</w:t>
      </w:r>
      <w:r w:rsidR="00A86842">
        <w:t>intner</w:t>
      </w:r>
      <w:r w:rsidRPr="00ED2704">
        <w:t xml:space="preserve"> CAPM will generate estimates of the cost of equity capital for a benchmark efficient entity that are</w:t>
      </w:r>
      <w:r>
        <w:t xml:space="preserve"> </w:t>
      </w:r>
      <w:r w:rsidRPr="00ED2704">
        <w:t>not downwardly biased.</w:t>
      </w:r>
      <w:r>
        <w:rPr>
          <w:rStyle w:val="FootnoteReference"/>
        </w:rPr>
        <w:footnoteReference w:id="694"/>
      </w:r>
      <w:r>
        <w:t xml:space="preserve"> In response, Partington and Satchell clarified their statements on mean reversion in beta. They noted that the absence of mean reversion indicates that measurement error in empirical tests is unlikely to be a source of low beta bias.</w:t>
      </w:r>
      <w:r>
        <w:rPr>
          <w:rStyle w:val="FootnoteReference"/>
        </w:rPr>
        <w:footnoteReference w:id="695"/>
      </w:r>
    </w:p>
    <w:p w:rsidR="001B6CF5" w:rsidRPr="00B4711B" w:rsidRDefault="001B6CF5" w:rsidP="001B6CF5">
      <w:pPr>
        <w:pStyle w:val="Heading9"/>
      </w:pPr>
      <w:bookmarkStart w:id="193" w:name="_Ref449004981"/>
      <w:bookmarkStart w:id="194" w:name="_Toc451678634"/>
      <w:r>
        <w:t>Evidence from estimates of other models</w:t>
      </w:r>
      <w:bookmarkEnd w:id="193"/>
      <w:bookmarkEnd w:id="194"/>
    </w:p>
    <w:p w:rsidR="001B6CF5" w:rsidRDefault="001B6CF5" w:rsidP="001B6CF5">
      <w:r>
        <w:t>Service providers</w:t>
      </w:r>
      <w:r w:rsidRPr="001562D4">
        <w:t xml:space="preserve"> </w:t>
      </w:r>
      <w:r>
        <w:t>submitted:</w:t>
      </w:r>
    </w:p>
    <w:p w:rsidR="001B6CF5" w:rsidRDefault="001B6CF5" w:rsidP="001B6CF5">
      <w:pPr>
        <w:pStyle w:val="AERbulletlistfirststyle"/>
      </w:pPr>
      <w:r>
        <w:t xml:space="preserve">the Black CAPM as evidence that the Sharpe-Lintner CAPM displays low beta bias (that is, </w:t>
      </w:r>
      <w:r w:rsidRPr="001562D4">
        <w:t>downward biased for stoc</w:t>
      </w:r>
      <w:r>
        <w:t>ks with a beta of less than one)</w:t>
      </w:r>
    </w:p>
    <w:p w:rsidR="001B6CF5" w:rsidRDefault="001B6CF5" w:rsidP="001B6CF5">
      <w:pPr>
        <w:pStyle w:val="AERbulletlistfirststyle"/>
      </w:pPr>
      <w:r>
        <w:t>the Fama-French model as evidence that the Sharpe-Lintner CAPM displays book-to-market bias</w:t>
      </w:r>
    </w:p>
    <w:p w:rsidR="001B6CF5" w:rsidRPr="006C4D93" w:rsidRDefault="001B6CF5" w:rsidP="001B6CF5">
      <w:pPr>
        <w:pStyle w:val="AERbulletlistfirststyle"/>
      </w:pPr>
      <w:r>
        <w:t>the dividend growth model as evidence that the Sharpe-Lintner CAPM, as applied by the AER, is not reflective of prevailing market conditions.</w:t>
      </w:r>
    </w:p>
    <w:p w:rsidR="001B6CF5" w:rsidRDefault="001B6CF5" w:rsidP="001B6CF5">
      <w:pPr>
        <w:numPr>
          <w:ilvl w:val="0"/>
          <w:numId w:val="24"/>
        </w:numPr>
      </w:pPr>
      <w:r>
        <w:t>We note that the usefulness of the evidence provided from the Black CAPM, Fama-French model, and dividend growth model about possible bias in the Sharpe-Lintner CAPM is predominately in conjunction with empirical tests of these asset pricing models. That is, where multiple models are considered capable of providing appropriate estimates, tests of the relative performance of the models may be needed to determine if one model outperforms another. For example, empirical tests may be needed to determine if estimates from the Black CAPM (on their own) suggest downwards bias in the Sharpe-Lintner CAPM, or if they suggest upwards bias in the Black CAPM.</w:t>
      </w:r>
    </w:p>
    <w:p w:rsidR="001B6CF5" w:rsidRDefault="001B6CF5" w:rsidP="001B6CF5">
      <w:pPr>
        <w:numPr>
          <w:ilvl w:val="0"/>
          <w:numId w:val="24"/>
        </w:numPr>
      </w:pPr>
      <w:r>
        <w:t xml:space="preserve">Our assessment of the empirical tests of the asset pricing models is set out in section </w:t>
      </w:r>
      <w:r>
        <w:fldChar w:fldCharType="begin"/>
      </w:r>
      <w:r>
        <w:instrText xml:space="preserve"> REF _Ref449004969 \r \h </w:instrText>
      </w:r>
      <w:r>
        <w:fldChar w:fldCharType="separate"/>
      </w:r>
      <w:r w:rsidR="00BA2E8E">
        <w:t>B.1.2</w:t>
      </w:r>
      <w:r>
        <w:fldChar w:fldCharType="end"/>
      </w:r>
      <w:r>
        <w:t xml:space="preserve">. Notwithstanding this assessment, we consider that there are significant limitations to the Black CAPM, Fama-French model, and dividend growth models. Given these limitations, we do not consider that these models provide compelling evidence that the Sharpe-Lintner CAPM, when used as our foundation model in our foundation model </w:t>
      </w:r>
      <w:r w:rsidR="001355DE">
        <w:t>approach</w:t>
      </w:r>
      <w:r>
        <w:t xml:space="preserve">, is downwardly biased. Our assessment of the Black CAPM, Fama-French model, and dividend growth model are contained in sections </w:t>
      </w:r>
      <w:r>
        <w:fldChar w:fldCharType="begin"/>
      </w:r>
      <w:r>
        <w:instrText xml:space="preserve"> REF _Ref449007419 \r \h </w:instrText>
      </w:r>
      <w:r>
        <w:fldChar w:fldCharType="separate"/>
      </w:r>
      <w:r w:rsidR="00BA2E8E">
        <w:t>B.2</w:t>
      </w:r>
      <w:r>
        <w:fldChar w:fldCharType="end"/>
      </w:r>
      <w:r>
        <w:t xml:space="preserve">, </w:t>
      </w:r>
      <w:r>
        <w:fldChar w:fldCharType="begin"/>
      </w:r>
      <w:r>
        <w:instrText xml:space="preserve"> REF _Ref449007420 \r \h </w:instrText>
      </w:r>
      <w:r>
        <w:fldChar w:fldCharType="separate"/>
      </w:r>
      <w:r w:rsidR="00BA2E8E">
        <w:t>B.3</w:t>
      </w:r>
      <w:r>
        <w:fldChar w:fldCharType="end"/>
      </w:r>
      <w:r>
        <w:t xml:space="preserve">, and </w:t>
      </w:r>
      <w:r>
        <w:fldChar w:fldCharType="begin"/>
      </w:r>
      <w:r>
        <w:instrText xml:space="preserve"> REF _Ref449007421 \r \h </w:instrText>
      </w:r>
      <w:r>
        <w:fldChar w:fldCharType="separate"/>
      </w:r>
      <w:r w:rsidR="00BA2E8E">
        <w:t>B.4</w:t>
      </w:r>
      <w:r>
        <w:fldChar w:fldCharType="end"/>
      </w:r>
      <w:r>
        <w:t xml:space="preserve"> respectively.</w:t>
      </w:r>
    </w:p>
    <w:p w:rsidR="001B6CF5" w:rsidRDefault="001B6CF5" w:rsidP="001B6CF5">
      <w:pPr>
        <w:pStyle w:val="Heading8"/>
      </w:pPr>
      <w:bookmarkStart w:id="195" w:name="_Ref449007419"/>
      <w:bookmarkStart w:id="196" w:name="_Toc451678635"/>
      <w:r>
        <w:t>Black CAPM</w:t>
      </w:r>
      <w:bookmarkEnd w:id="195"/>
      <w:bookmarkEnd w:id="196"/>
    </w:p>
    <w:p w:rsidR="001B6CF5" w:rsidRPr="001562D4" w:rsidRDefault="001B6CF5" w:rsidP="001B6CF5">
      <w:r w:rsidRPr="001562D4">
        <w:t>Fischer Black developed a version of the CAPM with restricted borrowing</w:t>
      </w:r>
      <w:r>
        <w:t xml:space="preserve"> (the Black CAPM)</w:t>
      </w:r>
      <w:r w:rsidRPr="001562D4">
        <w:t>.</w:t>
      </w:r>
      <w:r w:rsidRPr="001562D4">
        <w:rPr>
          <w:rStyle w:val="FootnoteReference"/>
        </w:rPr>
        <w:footnoteReference w:id="696"/>
      </w:r>
      <w:r w:rsidRPr="001562D4">
        <w:t xml:space="preserve"> Black's model relaxes one of th</w:t>
      </w:r>
      <w:r>
        <w:t xml:space="preserve">e key assumptions of the Sharpe-Lintner 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 xml:space="preserve">Sharpe-Lintner </w:t>
      </w:r>
      <w:r w:rsidRPr="001562D4">
        <w:t>CAPM assumption of unlimited borrowing and lending at the risk free rate, in its place he assumes investors can en</w:t>
      </w:r>
      <w:r>
        <w:t>gage in unlimited short selling.</w:t>
      </w:r>
      <w:r w:rsidRPr="001562D4">
        <w:rPr>
          <w:rStyle w:val="FootnoteReference"/>
        </w:rPr>
        <w:footnoteReference w:id="697"/>
      </w:r>
      <w:r w:rsidRPr="001562D4">
        <w:t xml:space="preserve"> </w:t>
      </w:r>
      <w:r>
        <w:t>Unlimited short selling does not hold in practice either</w:t>
      </w:r>
      <w:r w:rsidRPr="001562D4">
        <w:t>.</w:t>
      </w:r>
      <w:r>
        <w:rPr>
          <w:rStyle w:val="FootnoteReference"/>
        </w:rPr>
        <w:footnoteReference w:id="698"/>
      </w:r>
    </w:p>
    <w:p w:rsidR="001B6CF5" w:rsidRDefault="001B6CF5" w:rsidP="001B6CF5">
      <w:r w:rsidRPr="001562D4">
        <w:t xml:space="preserve">In the place of the risk free asset in the </w:t>
      </w:r>
      <w:r>
        <w:t xml:space="preserve">Sharpe-Lintner </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 xml:space="preserve">eta (as </w:t>
      </w:r>
      <w:r>
        <w:t xml:space="preserve">it is </w:t>
      </w:r>
      <w:r w:rsidRPr="001562D4">
        <w:t>in the S</w:t>
      </w:r>
      <w:r>
        <w:t>harpe-</w:t>
      </w:r>
      <w:r w:rsidRPr="001562D4">
        <w:t>L</w:t>
      </w:r>
      <w:r>
        <w:t xml:space="preserve">intner </w:t>
      </w:r>
      <w:r w:rsidRPr="001562D4">
        <w:t>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699"/>
      </w:r>
      <w:r>
        <w:t xml:space="preserve"> </w:t>
      </w:r>
      <w:r w:rsidRPr="001562D4" w:rsidDel="00BF79E1">
        <w:t xml:space="preserve">Relative to the </w:t>
      </w:r>
      <w:r w:rsidDel="00BF79E1">
        <w:t>S</w:t>
      </w:r>
      <w:r>
        <w:t>harpe-</w:t>
      </w:r>
      <w:r w:rsidDel="00BF79E1">
        <w:t>L</w:t>
      </w:r>
      <w:r>
        <w:t xml:space="preserve">intner </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1B6CF5" w:rsidRDefault="001B6CF5" w:rsidP="001B6CF5">
      <w:pPr>
        <w:numPr>
          <w:ilvl w:val="0"/>
          <w:numId w:val="24"/>
        </w:numPr>
      </w:pPr>
      <w:r>
        <w:t>We have reviewed the material submitted to us</w:t>
      </w:r>
      <w:r>
        <w:rPr>
          <w:rStyle w:val="FootnoteReference"/>
        </w:rPr>
        <w:footnoteReference w:id="700"/>
      </w:r>
      <w:r>
        <w:t xml:space="preserve"> on the Black CAPM and w</w:t>
      </w:r>
      <w:r w:rsidRPr="001562D4">
        <w:t>e do not consider</w:t>
      </w:r>
      <w:r>
        <w:t xml:space="preserve"> that estimating the Black CAPM</w:t>
      </w:r>
      <w:r w:rsidRPr="001562D4">
        <w:t xml:space="preserve"> will result in a </w:t>
      </w:r>
      <w:r>
        <w:t>return on equity</w:t>
      </w:r>
      <w:r w:rsidRPr="001562D4">
        <w:t xml:space="preserve"> </w:t>
      </w:r>
      <w:r>
        <w:t>commensurate with the efficient financing costs given the risk of CitiPower's regulated services</w:t>
      </w:r>
      <w:r w:rsidRPr="001562D4">
        <w:t xml:space="preserve">. </w:t>
      </w:r>
      <w:r>
        <w:t xml:space="preserve">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01"/>
      </w:r>
      <w:r w:rsidRPr="002E1BC3">
        <w:rPr>
          <w:rStyle w:val="FootnoteReference"/>
        </w:rPr>
        <w:t xml:space="preserve"> </w:t>
      </w:r>
    </w:p>
    <w:p w:rsidR="001B6CF5" w:rsidRPr="001562D4" w:rsidDel="00BF79E1" w:rsidRDefault="001B6CF5" w:rsidP="001B6CF5">
      <w:r>
        <w:t>Therefore, our approach is to:</w:t>
      </w:r>
    </w:p>
    <w:p w:rsidR="001B6CF5" w:rsidRPr="006C4D93" w:rsidRDefault="001B6CF5" w:rsidP="001B6CF5">
      <w:pPr>
        <w:pStyle w:val="AERbulletlistfirststyle"/>
      </w:pPr>
      <w:r>
        <w:t>use the</w:t>
      </w:r>
      <w:r w:rsidRPr="006C4D93">
        <w:t xml:space="preserve"> theory behind the Black CAPM to inform the equity beta estimate in the S</w:t>
      </w:r>
      <w:r>
        <w:t>harpe-</w:t>
      </w:r>
      <w:r w:rsidRPr="006C4D93">
        <w:t>L</w:t>
      </w:r>
      <w:r>
        <w:t xml:space="preserve">intner </w:t>
      </w:r>
      <w:r w:rsidRPr="006C4D93">
        <w:t>CAPM.</w:t>
      </w:r>
    </w:p>
    <w:p w:rsidR="001B6CF5" w:rsidRPr="006C4D93" w:rsidRDefault="001B6CF5" w:rsidP="001B6CF5">
      <w:pPr>
        <w:pStyle w:val="AERbulletlistfirststyle"/>
      </w:pPr>
      <w:r>
        <w:t>not use the</w:t>
      </w:r>
      <w:r w:rsidRPr="006C4D93">
        <w:t xml:space="preserve"> Black CAPM to empirically estimate the return on equity for the benchmark efficient entity.</w:t>
      </w:r>
    </w:p>
    <w:p w:rsidR="001B6CF5" w:rsidRPr="001562D4" w:rsidRDefault="001B6CF5" w:rsidP="001B6CF5">
      <w:r>
        <w:t>Our use of the</w:t>
      </w:r>
      <w:r w:rsidRPr="006C4D93">
        <w:t xml:space="preserve"> Black CAPM </w:t>
      </w:r>
      <w:r>
        <w:t>is due to the following reasons:</w:t>
      </w:r>
    </w:p>
    <w:p w:rsidR="001B6CF5" w:rsidRDefault="001B6CF5" w:rsidP="001B6CF5">
      <w:pPr>
        <w:pStyle w:val="AERbulletlistfirststyle"/>
      </w:pPr>
      <w:r>
        <w:t>T</w:t>
      </w:r>
      <w:r w:rsidRPr="006C4D93">
        <w:t>he empirical implementation of the B</w:t>
      </w:r>
      <w:r>
        <w:t xml:space="preserve">lack CAPM is unreliable because, </w:t>
      </w:r>
      <w:r w:rsidRPr="001562D4">
        <w:t xml:space="preserve">in contrast to the risk-free rate, the </w:t>
      </w:r>
      <w:r>
        <w:t xml:space="preserve">expected </w:t>
      </w:r>
      <w:r w:rsidRPr="001562D4">
        <w:t xml:space="preserve">return on the </w:t>
      </w:r>
      <w:r>
        <w:t>zero beta asset is unobservable and there is no apparent consensus on methods for estimating this return. The lack of consensus on methodological choices is likely to increase the sensitivity of the model to such choices, reducing the reliability of the model and increasing the potential for bias.</w:t>
      </w:r>
    </w:p>
    <w:p w:rsidR="001B6CF5" w:rsidRPr="006C4D93" w:rsidRDefault="001B6CF5" w:rsidP="001B6CF5">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702"/>
      </w:r>
      <w:r w:rsidRPr="006C4D93">
        <w:t xml:space="preserve"> In particular, regulators rarely have recourse to the Black CAPM.</w:t>
      </w:r>
      <w:r w:rsidRPr="006C4D93">
        <w:rPr>
          <w:rStyle w:val="FootnoteReference"/>
        </w:rPr>
        <w:footnoteReference w:id="703"/>
      </w:r>
      <w:r>
        <w:t xml:space="preserve"> This view was supported by Handley.</w:t>
      </w:r>
      <w:r w:rsidRPr="006C4D93">
        <w:rPr>
          <w:rStyle w:val="FootnoteReference"/>
        </w:rPr>
        <w:footnoteReference w:id="704"/>
      </w:r>
    </w:p>
    <w:p w:rsidR="001B6CF5" w:rsidRPr="00916E71" w:rsidRDefault="001B6CF5" w:rsidP="001B6CF5">
      <w:pPr>
        <w:pStyle w:val="AERbulletlistfirststyle"/>
      </w:pPr>
      <w:r>
        <w:t>Implementation of the Black CAPM typically results in estimates of the</w:t>
      </w:r>
      <w:r w:rsidRPr="00916E71">
        <w:t xml:space="preserve"> zero beta return </w:t>
      </w:r>
      <w:r>
        <w:t>being less</w:t>
      </w:r>
      <w:r w:rsidRPr="00916E71">
        <w:t xml:space="preserve"> </w:t>
      </w:r>
      <w:r>
        <w:t>reflective of prevailing market co</w:t>
      </w:r>
      <w:r w:rsidR="00A86842">
        <w:t>n</w:t>
      </w:r>
      <w:r>
        <w:t>ditions than risk free rate estimates.</w:t>
      </w:r>
      <w:r>
        <w:rPr>
          <w:rStyle w:val="FootnoteReference"/>
        </w:rPr>
        <w:footnoteReference w:id="705"/>
      </w:r>
      <w:r w:rsidRPr="00916E71">
        <w:t xml:space="preserve"> </w:t>
      </w:r>
    </w:p>
    <w:p w:rsidR="001B6CF5" w:rsidRPr="006C4D93" w:rsidRDefault="001B6CF5" w:rsidP="001B6CF5">
      <w:pPr>
        <w:pStyle w:val="AERbulletlistfirststyle"/>
      </w:pPr>
      <w:r>
        <w:t>U</w:t>
      </w:r>
      <w:r w:rsidRPr="006C4D93">
        <w:t>sing a conservative estimate of beta in the S</w:t>
      </w:r>
      <w:r>
        <w:t>harpe-</w:t>
      </w:r>
      <w:r w:rsidRPr="006C4D93">
        <w:t>L</w:t>
      </w:r>
      <w:r>
        <w:t xml:space="preserve">intner </w:t>
      </w:r>
      <w:r w:rsidRPr="006C4D93">
        <w:t xml:space="preserve">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706"/>
      </w:r>
    </w:p>
    <w:p w:rsidR="001B6CF5" w:rsidRDefault="001B6CF5" w:rsidP="001B6CF5">
      <w:r>
        <w:t xml:space="preserve">We elaborate on our reasons for these positions in sections </w:t>
      </w:r>
      <w:r>
        <w:fldChar w:fldCharType="begin"/>
      </w:r>
      <w:r>
        <w:instrText xml:space="preserve"> REF _Ref448924784 \r \h </w:instrText>
      </w:r>
      <w:r>
        <w:fldChar w:fldCharType="separate"/>
      </w:r>
      <w:r w:rsidR="00BA2E8E">
        <w:t>B.2.1</w:t>
      </w:r>
      <w:r>
        <w:fldChar w:fldCharType="end"/>
      </w:r>
      <w:r>
        <w:t xml:space="preserve"> to </w:t>
      </w:r>
      <w:r>
        <w:fldChar w:fldCharType="begin"/>
      </w:r>
      <w:r>
        <w:instrText xml:space="preserve"> REF _Ref448924785 \r \h </w:instrText>
      </w:r>
      <w:r>
        <w:fldChar w:fldCharType="separate"/>
      </w:r>
      <w:r w:rsidR="00BA2E8E">
        <w:t>B.2.3</w:t>
      </w:r>
      <w:r>
        <w:fldChar w:fldCharType="end"/>
      </w:r>
      <w:r>
        <w:t xml:space="preserve"> below.</w:t>
      </w:r>
    </w:p>
    <w:p w:rsidR="001B6CF5" w:rsidRPr="001562D4" w:rsidRDefault="00A86842" w:rsidP="001B6CF5">
      <w:r>
        <w:t>Service providers</w:t>
      </w:r>
      <w:r w:rsidR="001B6CF5">
        <w:t xml:space="preserve"> proposed</w:t>
      </w:r>
      <w:r w:rsidR="001B6CF5" w:rsidRPr="001562D4">
        <w:t xml:space="preserve"> that empirical estimates from the Black CAPM should be used for e</w:t>
      </w:r>
      <w:r w:rsidR="001B6CF5">
        <w:t>stimating the return on equity</w:t>
      </w:r>
      <w:r w:rsidR="001B6CF5" w:rsidRPr="001562D4">
        <w:t>.</w:t>
      </w:r>
      <w:r w:rsidR="001B6CF5" w:rsidRPr="001562D4">
        <w:rPr>
          <w:rStyle w:val="FootnoteReference"/>
        </w:rPr>
        <w:footnoteReference w:id="707"/>
      </w:r>
      <w:r w:rsidR="001B6CF5">
        <w:t xml:space="preserve"> </w:t>
      </w:r>
      <w:r w:rsidR="001B6CF5" w:rsidRPr="001562D4">
        <w:t xml:space="preserve">In support of </w:t>
      </w:r>
      <w:r w:rsidR="001B6CF5">
        <w:t>using</w:t>
      </w:r>
      <w:r w:rsidR="001B6CF5" w:rsidRPr="001562D4">
        <w:t xml:space="preserve"> empirical </w:t>
      </w:r>
      <w:r w:rsidR="001B6CF5">
        <w:t>return on equity</w:t>
      </w:r>
      <w:r w:rsidR="001B6CF5" w:rsidRPr="001562D4">
        <w:t xml:space="preserve"> estimates from the Black CAPM,</w:t>
      </w:r>
      <w:r w:rsidR="001B6CF5">
        <w:t xml:space="preserve"> </w:t>
      </w:r>
      <w:r>
        <w:t xml:space="preserve">service providers </w:t>
      </w:r>
      <w:r w:rsidR="001B6CF5">
        <w:t xml:space="preserve">submitted that: </w:t>
      </w:r>
    </w:p>
    <w:p w:rsidR="001B6CF5" w:rsidRDefault="001B6CF5" w:rsidP="001B6CF5">
      <w:pPr>
        <w:pStyle w:val="AERbulletlistfirststyle"/>
      </w:pPr>
      <w:r>
        <w:t xml:space="preserve">Empirical evidence indicates that the 'SL-CAPM will lead to downwardly biased </w:t>
      </w:r>
      <w:r w:rsidR="00A86842">
        <w:t>estimates</w:t>
      </w:r>
      <w:r>
        <w:t xml:space="preserve"> of the return on equity for low-beta stocks.</w:t>
      </w:r>
      <w:r>
        <w:rPr>
          <w:rStyle w:val="FootnoteReference"/>
        </w:rPr>
        <w:footnoteReference w:id="708"/>
      </w:r>
    </w:p>
    <w:p w:rsidR="001B6CF5" w:rsidRDefault="001B6CF5" w:rsidP="001B6CF5">
      <w:pPr>
        <w:pStyle w:val="AERbulletlistfirststyle"/>
      </w:pPr>
      <w:r>
        <w:t>The AER cannot reject the use of the Black CAPM based on concerns with reliability without testing SFG's zero-beta premium or 'seeking a reliable estimate' of the premium</w:t>
      </w:r>
      <w:r>
        <w:rPr>
          <w:rStyle w:val="FootnoteReference"/>
        </w:rPr>
        <w:footnoteReference w:id="709"/>
      </w:r>
    </w:p>
    <w:p w:rsidR="001B6CF5" w:rsidRDefault="001B6CF5" w:rsidP="001B6CF5">
      <w:pPr>
        <w:pStyle w:val="AERbulletlistfirststyle"/>
      </w:pPr>
      <w:r>
        <w:t>The AER's return on equity estimate is below those from other relevant return on equity models.</w:t>
      </w:r>
      <w:r>
        <w:rPr>
          <w:rStyle w:val="FootnoteReference"/>
        </w:rPr>
        <w:footnoteReference w:id="710"/>
      </w:r>
    </w:p>
    <w:p w:rsidR="001B6CF5" w:rsidRPr="006C4D93" w:rsidRDefault="001B6CF5" w:rsidP="001B6CF5">
      <w:pPr>
        <w:pStyle w:val="AERbulletlistfirststyle"/>
      </w:pPr>
      <w:r>
        <w:t>Consultant reports show that the Black CAPM is used in rate of return regulation cases.</w:t>
      </w:r>
      <w:r>
        <w:rPr>
          <w:rStyle w:val="FootnoteReference"/>
        </w:rPr>
        <w:footnoteReference w:id="711"/>
      </w:r>
      <w:r>
        <w:t xml:space="preserve"> </w:t>
      </w:r>
    </w:p>
    <w:p w:rsidR="001B6CF5" w:rsidRDefault="001B6CF5" w:rsidP="001B6CF5">
      <w:pPr>
        <w:numPr>
          <w:ilvl w:val="0"/>
          <w:numId w:val="24"/>
        </w:numPr>
      </w:pPr>
      <w:r>
        <w:t>Having considered these submissions, we do not find them compelling and we remain satisfied with our position in the Guideline and preliminary decision. We consider that</w:t>
      </w:r>
      <w:r w:rsidRPr="001562D4">
        <w:t xml:space="preserve"> the Black CAPM </w:t>
      </w:r>
      <w:r>
        <w:t xml:space="preserve">is </w:t>
      </w:r>
      <w:r w:rsidRPr="001562D4">
        <w:t>to</w:t>
      </w:r>
      <w:r>
        <w:t>o sensitive to</w:t>
      </w:r>
      <w:r w:rsidRPr="001562D4">
        <w:t xml:space="preserve"> implementation choices</w:t>
      </w:r>
      <w:r>
        <w:t xml:space="preserve"> for which there is no general consensus. This may also explain </w:t>
      </w:r>
      <w:r w:rsidRPr="001562D4">
        <w:t>its lack of use</w:t>
      </w:r>
      <w:r>
        <w:t xml:space="preserve">. </w:t>
      </w:r>
      <w:r w:rsidRPr="001562D4">
        <w:t xml:space="preserve">We do not consider </w:t>
      </w:r>
      <w:r>
        <w:t xml:space="preserve">that Black CAPM </w:t>
      </w:r>
      <w:r w:rsidRPr="001562D4">
        <w:t xml:space="preserve">estimates </w:t>
      </w:r>
      <w:r>
        <w:t>would</w:t>
      </w:r>
      <w:r w:rsidRPr="001562D4">
        <w:t xml:space="preserve"> </w:t>
      </w:r>
      <w:r>
        <w:t xml:space="preserve">contribute to a return on equity commensurate with efficient financing costs given CitiPower's risk in providing regulated services. We elaborate on our response to these submissions in sections </w:t>
      </w:r>
      <w:r>
        <w:fldChar w:fldCharType="begin"/>
      </w:r>
      <w:r>
        <w:instrText xml:space="preserve"> REF _Ref448924784 \r \h </w:instrText>
      </w:r>
      <w:r>
        <w:fldChar w:fldCharType="separate"/>
      </w:r>
      <w:r w:rsidR="00BA2E8E">
        <w:t>B.2.1</w:t>
      </w:r>
      <w:r>
        <w:fldChar w:fldCharType="end"/>
      </w:r>
      <w:r>
        <w:t xml:space="preserve"> to </w:t>
      </w:r>
      <w:r>
        <w:fldChar w:fldCharType="begin"/>
      </w:r>
      <w:r>
        <w:instrText xml:space="preserve"> REF _Ref448924785 \r \h </w:instrText>
      </w:r>
      <w:r>
        <w:fldChar w:fldCharType="separate"/>
      </w:r>
      <w:r w:rsidR="00BA2E8E">
        <w:t>B.2.3</w:t>
      </w:r>
      <w:r>
        <w:fldChar w:fldCharType="end"/>
      </w:r>
      <w:r>
        <w:t xml:space="preserve"> below.</w:t>
      </w:r>
    </w:p>
    <w:p w:rsidR="001B6CF5" w:rsidRPr="00B4711B" w:rsidRDefault="001B6CF5" w:rsidP="001B6CF5">
      <w:pPr>
        <w:pStyle w:val="Heading9"/>
      </w:pPr>
      <w:bookmarkStart w:id="197" w:name="_Ref448924784"/>
      <w:bookmarkStart w:id="198" w:name="_Toc451678636"/>
      <w:r>
        <w:t>Empirical reliability of the Black CAPM</w:t>
      </w:r>
      <w:bookmarkEnd w:id="197"/>
      <w:bookmarkEnd w:id="198"/>
    </w:p>
    <w:p w:rsidR="001B6CF5" w:rsidRDefault="001B6CF5" w:rsidP="001B6CF5">
      <w:r>
        <w:t>We consider that there appears no consensus on the methodological choices required to construct a zero-beta portfolio.</w:t>
      </w:r>
    </w:p>
    <w:p w:rsidR="001B6CF5" w:rsidRPr="007B60D8" w:rsidRDefault="001B6CF5" w:rsidP="001B6CF5">
      <w:pPr>
        <w:pStyle w:val="AERbulletlistfirststyle"/>
        <w:numPr>
          <w:ilvl w:val="0"/>
          <w:numId w:val="24"/>
        </w:numPr>
      </w:pPr>
      <w:r w:rsidRPr="001562D4">
        <w:t xml:space="preserve">McKenzie and Partington </w:t>
      </w:r>
      <w:r>
        <w:t>indicated that</w:t>
      </w:r>
      <w:r w:rsidRPr="001562D4">
        <w:t xml:space="preserve"> the Black CAPM</w:t>
      </w:r>
      <w:r w:rsidRPr="00DD27F8">
        <w:t xml:space="preserve"> </w:t>
      </w:r>
      <w:r w:rsidRPr="006C4D93">
        <w:t>can be very sensitive to implementation choices.</w:t>
      </w:r>
      <w:r w:rsidRPr="006C4D93">
        <w:rPr>
          <w:rStyle w:val="FootnoteReference"/>
        </w:rPr>
        <w:footnoteReference w:id="712"/>
      </w:r>
      <w:r>
        <w:t xml:space="preserve"> Partington and Satchell noted that, irrespective of the </w:t>
      </w:r>
      <w:r w:rsidRPr="00C61D42">
        <w:t>name and framework (the Black, Vasicek and Brennan versions of the CAPM), the major issue with zero beta CAPMs is determining the return of the zero beta portfolio.</w:t>
      </w:r>
      <w:r w:rsidRPr="00C61D42">
        <w:rPr>
          <w:rStyle w:val="FootnoteReference"/>
        </w:rPr>
        <w:footnoteReference w:id="713"/>
      </w:r>
      <w:r w:rsidRPr="00C61D42">
        <w:t xml:space="preserve"> They noted Beaulieu, Dufour and Khalaf's conclusion that the estimate of the zero beta return is unstable and unreliable over time.</w:t>
      </w:r>
      <w:r w:rsidRPr="00C61D42">
        <w:rPr>
          <w:rStyle w:val="FootnoteReference"/>
        </w:rPr>
        <w:footnoteReference w:id="714"/>
      </w:r>
      <w:r w:rsidRPr="00C61D42">
        <w:t xml:space="preserve"> </w:t>
      </w:r>
      <w:r w:rsidRPr="008F0849">
        <w:t xml:space="preserve">Partington recommended </w:t>
      </w:r>
      <w:r>
        <w:t>against</w:t>
      </w:r>
      <w:r w:rsidRPr="008F0849">
        <w:t xml:space="preserve"> using empirical </w:t>
      </w:r>
      <w:r w:rsidRPr="00C61D42">
        <w:t xml:space="preserve">estimates of the </w:t>
      </w:r>
      <w:r>
        <w:t>Fama French model</w:t>
      </w:r>
      <w:r w:rsidRPr="00C61D42">
        <w:t xml:space="preserve"> and Black CAPM in the Australian context because many of the issue are 'virtually intractable and estimates, such as those of the zero beta return are so problematic and unreliable as to render them virtually worthless'.</w:t>
      </w:r>
      <w:r w:rsidRPr="00C61D42">
        <w:rPr>
          <w:rStyle w:val="FootnoteReference"/>
        </w:rPr>
        <w:footnoteReference w:id="715"/>
      </w:r>
    </w:p>
    <w:p w:rsidR="001B6CF5" w:rsidRPr="001562D4" w:rsidRDefault="001B6CF5" w:rsidP="001B6CF5">
      <w:pPr>
        <w:numPr>
          <w:ilvl w:val="0"/>
          <w:numId w:val="24"/>
        </w:numPr>
      </w:pPr>
      <w:r w:rsidRPr="001562D4">
        <w:t xml:space="preserve">The instability of the Black CAPM </w:t>
      </w:r>
      <w:r>
        <w:t>is</w:t>
      </w:r>
      <w:r w:rsidRPr="001562D4">
        <w:t xml:space="preserve"> highlighted in</w:t>
      </w:r>
      <w:r>
        <w:t xml:space="preserve"> </w:t>
      </w:r>
      <w:r w:rsidRPr="001562D4">
        <w:t xml:space="preserve">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716"/>
      </w:r>
    </w:p>
    <w:p w:rsidR="001B6CF5" w:rsidRPr="006C4D93" w:rsidRDefault="001B6CF5" w:rsidP="001B6CF5">
      <w:pPr>
        <w:pStyle w:val="AERbulletlistfirststyle"/>
      </w:pPr>
      <w:r w:rsidRPr="001562D4">
        <w:t xml:space="preserve">CEG (2008) reports zero beta </w:t>
      </w:r>
      <w:r w:rsidRPr="006C4D93">
        <w:t>premium estimates between 7.21 and 10.31 per cent per annum.</w:t>
      </w:r>
    </w:p>
    <w:p w:rsidR="001B6CF5" w:rsidRPr="006C4D93" w:rsidRDefault="001B6CF5" w:rsidP="001B6CF5">
      <w:pPr>
        <w:pStyle w:val="AERbulletlistfirststyle"/>
      </w:pPr>
      <w:r w:rsidRPr="001562D4">
        <w:t xml:space="preserve">NERA (2013) reports zero beta </w:t>
      </w:r>
      <w:r w:rsidRPr="006C4D93">
        <w:t>premium estimates between 8.74 and 13.95 per cent per annum.</w:t>
      </w:r>
    </w:p>
    <w:p w:rsidR="001B6CF5" w:rsidRDefault="001B6CF5" w:rsidP="001B6CF5">
      <w:pPr>
        <w:numPr>
          <w:ilvl w:val="0"/>
          <w:numId w:val="24"/>
        </w:numPr>
      </w:pPr>
      <w:r w:rsidRPr="001562D4">
        <w:t>NERA also acknowledge</w:t>
      </w:r>
      <w:r>
        <w:t>d</w:t>
      </w:r>
      <w:r w:rsidRPr="001562D4">
        <w:t xml:space="preserve"> that</w:t>
      </w:r>
      <w:r>
        <w:t>:</w:t>
      </w:r>
      <w:r w:rsidRPr="001562D4">
        <w:rPr>
          <w:rStyle w:val="FootnoteReference"/>
        </w:rPr>
        <w:footnoteReference w:id="717"/>
      </w:r>
    </w:p>
    <w:p w:rsidR="001B6CF5" w:rsidRDefault="001B6CF5" w:rsidP="001B6CF5">
      <w:pPr>
        <w:pStyle w:val="AERquote"/>
      </w:pPr>
      <w:r w:rsidRPr="001562D4">
        <w:t>estimates of the zero-beta premium produced by studies that use long time series of Australian data are generally larger than estimates of the MRP that the AER has in the past used</w:t>
      </w:r>
      <w:r>
        <w:t>.</w:t>
      </w:r>
    </w:p>
    <w:p w:rsidR="001B6CF5" w:rsidRDefault="001B6CF5" w:rsidP="001B6CF5">
      <w:pPr>
        <w:numPr>
          <w:ilvl w:val="0"/>
          <w:numId w:val="24"/>
        </w:numPr>
      </w:pPr>
      <w:r>
        <w:t>NERA</w:t>
      </w:r>
      <w:r w:rsidRPr="001562D4">
        <w:t xml:space="preserve"> also acknowledge</w:t>
      </w:r>
      <w:r>
        <w:t>d</w:t>
      </w:r>
      <w:r w:rsidRPr="001562D4">
        <w:t xml:space="preserve"> the implausibility of the zero beta premium being equal to the </w:t>
      </w:r>
      <w:r w:rsidR="00875B40">
        <w:t>market risk premium</w:t>
      </w:r>
      <w:r w:rsidRPr="001562D4">
        <w:t>. However, NERA claim</w:t>
      </w:r>
      <w:r>
        <w:t>ed</w:t>
      </w:r>
      <w:r w:rsidRPr="001562D4">
        <w:t xml:space="preserve"> the result simply reflects that there is no relationship between systematic risk and return.</w:t>
      </w:r>
      <w:r w:rsidRPr="001562D4">
        <w:rPr>
          <w:rStyle w:val="FootnoteReference"/>
        </w:rPr>
        <w:footnoteReference w:id="718"/>
      </w:r>
      <w:r>
        <w:t xml:space="preserve"> Similarly, SFG submitted that imprecise estimates of the zero beta premium arose from the imprecision in the relationship between beta and stock returns.</w:t>
      </w:r>
      <w:r>
        <w:rPr>
          <w:rStyle w:val="FootnoteReference"/>
        </w:rPr>
        <w:footnoteReference w:id="719"/>
      </w:r>
      <w:r>
        <w:t xml:space="preserve"> We do not find these submissions compelling. As stated by Handley, </w:t>
      </w:r>
      <w:r w:rsidRPr="001562D4">
        <w:t>NERA's results that the zero b</w:t>
      </w:r>
      <w:r w:rsidRPr="006C4D93">
        <w:t xml:space="preserve">eta premium equals the </w:t>
      </w:r>
      <w:r w:rsidR="00875B40">
        <w:t>market risk premium</w:t>
      </w:r>
      <w:r w:rsidRPr="006C4D93">
        <w:t xml:space="preserve"> ha</w:t>
      </w:r>
      <w:r>
        <w:t>ve</w:t>
      </w:r>
      <w:r w:rsidRPr="006C4D93">
        <w:t xml:space="preserve"> an unsettling implication that, 'there is a minimum variance portfolio that has no exposure to the risk of the market but is still expected to yield the same return as the market portfolio.'</w:t>
      </w:r>
      <w:r w:rsidRPr="006C4D93">
        <w:rPr>
          <w:rStyle w:val="FootnoteReference"/>
        </w:rPr>
        <w:footnoteReference w:id="720"/>
      </w:r>
      <w:r>
        <w:t xml:space="preserve"> </w:t>
      </w:r>
      <w:r w:rsidRPr="001562D4">
        <w:t xml:space="preserve">We also question the validity of applying an asset pricing model that prices assets on the basis of </w:t>
      </w:r>
      <w:r>
        <w:t xml:space="preserve">equity </w:t>
      </w:r>
      <w:r w:rsidRPr="001562D4">
        <w:t>beta</w:t>
      </w:r>
      <w:r>
        <w:t xml:space="preserve">, in a situation where one does </w:t>
      </w:r>
      <w:r w:rsidRPr="001562D4">
        <w:t>not consider there is a relationship be</w:t>
      </w:r>
      <w:r>
        <w:t>tween equity beta and required return.</w:t>
      </w:r>
    </w:p>
    <w:p w:rsidR="001B6CF5" w:rsidRDefault="001B6CF5" w:rsidP="001B6CF5">
      <w:pPr>
        <w:pStyle w:val="AERbulletlistfirststyle"/>
        <w:numPr>
          <w:ilvl w:val="0"/>
          <w:numId w:val="24"/>
        </w:numPr>
      </w:pPr>
      <w:r>
        <w:t xml:space="preserve">Partington </w:t>
      </w:r>
      <w:r w:rsidRPr="00CA5AF6">
        <w:t xml:space="preserve">and Satchell also noted </w:t>
      </w:r>
      <w:r>
        <w:t xml:space="preserve">that </w:t>
      </w:r>
      <w:r w:rsidRPr="00CA5AF6">
        <w:t>Shanken has cautioned u</w:t>
      </w:r>
      <w:r>
        <w:t>sing the method by Litzenburger</w:t>
      </w:r>
      <w:r w:rsidRPr="00CA5AF6">
        <w:t xml:space="preserve"> and Ramaswamy and Shanken (used by NERA) to estimate the zero-beta premium because such procedures can lead to unreliable estimates.</w:t>
      </w:r>
      <w:r w:rsidRPr="00CA5AF6">
        <w:rPr>
          <w:rStyle w:val="FootnoteReference"/>
        </w:rPr>
        <w:footnoteReference w:id="721"/>
      </w:r>
      <w:r w:rsidRPr="00CA5AF6">
        <w:t xml:space="preserve"> </w:t>
      </w:r>
    </w:p>
    <w:p w:rsidR="001B6CF5" w:rsidRPr="00C854DA" w:rsidRDefault="001B6CF5" w:rsidP="001B6CF5">
      <w:pPr>
        <w:pStyle w:val="ListParagraph"/>
        <w:numPr>
          <w:ilvl w:val="0"/>
          <w:numId w:val="24"/>
        </w:numPr>
      </w:pPr>
      <w:r w:rsidRPr="00C854DA">
        <w:t xml:space="preserve">NERA’s 2012 submission further illustrates the unreliability of the Black CAPM. This presented estimates of a Black CAPM that implied a negative </w:t>
      </w:r>
      <w:r w:rsidR="00875B40">
        <w:t>market risk premium</w:t>
      </w:r>
      <w:r w:rsidRPr="00C854DA">
        <w:t>.</w:t>
      </w:r>
      <w:r w:rsidRPr="00C854DA">
        <w:rPr>
          <w:rStyle w:val="FootnoteReference"/>
        </w:rPr>
        <w:footnoteReference w:id="722"/>
      </w:r>
    </w:p>
    <w:p w:rsidR="001B6CF5" w:rsidRPr="001562D4" w:rsidRDefault="001B6CF5" w:rsidP="001B6CF5">
      <w:pPr>
        <w:numPr>
          <w:ilvl w:val="0"/>
          <w:numId w:val="24"/>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723"/>
      </w:r>
      <w:r w:rsidRPr="001562D4">
        <w:t xml:space="preserve"> SFG estimate</w:t>
      </w:r>
      <w:r>
        <w:t xml:space="preserve">d an </w:t>
      </w:r>
      <w:r w:rsidRPr="001562D4">
        <w:t>estimate of the zero beta premium of 3.34</w:t>
      </w:r>
      <w:r>
        <w:t xml:space="preserve"> per cent per annum</w:t>
      </w:r>
      <w:r w:rsidRPr="001562D4">
        <w:t>.</w:t>
      </w:r>
      <w:r w:rsidRPr="001562D4">
        <w:rPr>
          <w:rStyle w:val="FootnoteReference"/>
        </w:rPr>
        <w:footnoteReference w:id="724"/>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725"/>
      </w:r>
    </w:p>
    <w:p w:rsidR="001B6CF5" w:rsidRPr="001562D4" w:rsidRDefault="001B6CF5" w:rsidP="001B6CF5">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1B6CF5" w:rsidRPr="001562D4" w:rsidRDefault="001B6CF5" w:rsidP="001B6CF5">
      <w:pPr>
        <w:numPr>
          <w:ilvl w:val="0"/>
          <w:numId w:val="24"/>
        </w:numPr>
      </w:pPr>
      <w:r>
        <w:t>W</w:t>
      </w:r>
      <w:r w:rsidRPr="001562D4">
        <w:t>e consider SFG's latest estimate of the zero beta</w:t>
      </w:r>
      <w:r>
        <w:t xml:space="preserve"> premium appears more plausible</w:t>
      </w:r>
      <w:r w:rsidR="00875B40">
        <w:t>, as it is not negative and is below the market risk premium</w:t>
      </w:r>
      <w:r>
        <w:t>.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1562D4">
        <w:t>McKenzie and Partington also consider</w:t>
      </w:r>
      <w:r>
        <w:t>ed</w:t>
      </w:r>
      <w:r w:rsidRPr="001562D4">
        <w:t xml:space="preserve"> </w:t>
      </w:r>
      <w:r>
        <w:t xml:space="preserve">SFG's and </w:t>
      </w:r>
      <w:r w:rsidRPr="001562D4">
        <w:t>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726"/>
      </w:r>
    </w:p>
    <w:p w:rsidR="001B6CF5" w:rsidRDefault="001B6CF5" w:rsidP="001B6CF5">
      <w:pPr>
        <w:pStyle w:val="AERquote"/>
      </w:pPr>
      <w:r w:rsidRPr="001562D4">
        <w:t>Our point that ‘what you get depends very heavily on what you do’ is well illustrated by the SFG estimate of the zero beta premium, which is quite different to the NERA estimate</w:t>
      </w:r>
    </w:p>
    <w:p w:rsidR="001B6CF5" w:rsidRDefault="001B6CF5" w:rsidP="001B6CF5">
      <w:pPr>
        <w:rPr>
          <w:rStyle w:val="CommentReference"/>
        </w:rPr>
      </w:pPr>
      <w:r w:rsidRPr="005A1480">
        <w:t xml:space="preserve">SFG </w:t>
      </w:r>
      <w:r>
        <w:t>later characterised this logic as not placing reliance on a 'plausible' estimate simply because different approaches produced implausible estimates.</w:t>
      </w:r>
      <w:r>
        <w:rPr>
          <w:rStyle w:val="FootnoteReference"/>
        </w:rPr>
        <w:footnoteReference w:id="727"/>
      </w:r>
      <w:r>
        <w:t xml:space="preserve"> Having reviewed SFG's report, Partington advised:</w:t>
      </w:r>
      <w:r>
        <w:rPr>
          <w:rStyle w:val="FootnoteReference"/>
        </w:rPr>
        <w:footnoteReference w:id="728"/>
      </w:r>
    </w:p>
    <w:p w:rsidR="001B6CF5" w:rsidRPr="009A5577" w:rsidRDefault="001B6CF5" w:rsidP="001B6CF5">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 is unclear what those estimated represent</w:t>
      </w:r>
      <w:r>
        <w:t>.</w:t>
      </w:r>
    </w:p>
    <w:p w:rsidR="001B6CF5" w:rsidRPr="00127ECB" w:rsidRDefault="001B6CF5" w:rsidP="001B6CF5">
      <w:r>
        <w:t>We received a number of submissions from the service providers and their consultants on the Black CAPM for this decision. However, they largely surround issues previously considered in our Guideline and/or previous decisions.</w:t>
      </w:r>
      <w:r>
        <w:rPr>
          <w:rStyle w:val="FootnoteReference"/>
        </w:rPr>
        <w:footnoteReference w:id="729"/>
      </w:r>
      <w:r>
        <w:t xml:space="preserve"> We focus on key aspects of these submissions below.</w:t>
      </w:r>
      <w:r w:rsidR="007A3345">
        <w:t xml:space="preserve"> </w:t>
      </w:r>
      <w:r>
        <w:t>In response to our concern with the reliability</w:t>
      </w:r>
      <w:r w:rsidRPr="00127ECB">
        <w:t xml:space="preserve"> of the </w:t>
      </w:r>
      <w:r>
        <w:t>zero beta premium</w:t>
      </w:r>
      <w:r w:rsidRPr="00127ECB">
        <w:t xml:space="preserve">, </w:t>
      </w:r>
      <w:r w:rsidR="00875B40">
        <w:t>service providers</w:t>
      </w:r>
      <w:r>
        <w:t xml:space="preserve"> submitted that</w:t>
      </w:r>
      <w:r w:rsidRPr="00127ECB">
        <w:t xml:space="preserve"> the AER has not sought to test SFG’s proposed</w:t>
      </w:r>
      <w:r>
        <w:t xml:space="preserve"> </w:t>
      </w:r>
      <w:r w:rsidRPr="00127ECB">
        <w:t>zero-beta premium</w:t>
      </w:r>
      <w:r>
        <w:t xml:space="preserve"> and</w:t>
      </w:r>
      <w:r w:rsidRPr="00127ECB">
        <w:t xml:space="preserve"> </w:t>
      </w:r>
      <w:r>
        <w:t xml:space="preserve">instead </w:t>
      </w:r>
      <w:r w:rsidRPr="00127ECB">
        <w:t xml:space="preserve">dismissed </w:t>
      </w:r>
      <w:r>
        <w:t>this</w:t>
      </w:r>
      <w:r w:rsidRPr="00127ECB">
        <w:t xml:space="preserve"> estimate on the basis that there are other</w:t>
      </w:r>
      <w:r>
        <w:t xml:space="preserve"> </w:t>
      </w:r>
      <w:r w:rsidRPr="00127ECB">
        <w:t>differing estimates, some of which are ‘implausible</w:t>
      </w:r>
      <w:r>
        <w:t>'.</w:t>
      </w:r>
      <w:r w:rsidR="00875B40">
        <w:rPr>
          <w:rStyle w:val="FootnoteReference"/>
        </w:rPr>
        <w:footnoteReference w:id="730"/>
      </w:r>
    </w:p>
    <w:p w:rsidR="001B6CF5" w:rsidRDefault="00875B40" w:rsidP="001B6CF5">
      <w:r>
        <w:t>Service providers</w:t>
      </w:r>
      <w:r w:rsidR="001B6CF5">
        <w:t xml:space="preserve"> considered that, g</w:t>
      </w:r>
      <w:r w:rsidR="001B6CF5" w:rsidRPr="00127ECB">
        <w:t xml:space="preserve">iven </w:t>
      </w:r>
      <w:r w:rsidR="001B6CF5">
        <w:t>t</w:t>
      </w:r>
      <w:r w:rsidR="001B6CF5" w:rsidRPr="00127ECB">
        <w:t xml:space="preserve">he Black CAPM is a relevant model, a proper examination should be undertaken </w:t>
      </w:r>
      <w:r w:rsidR="001B6CF5">
        <w:t>for</w:t>
      </w:r>
      <w:r w:rsidR="001B6CF5" w:rsidRPr="00127ECB">
        <w:t xml:space="preserve"> the</w:t>
      </w:r>
      <w:r w:rsidR="001B6CF5">
        <w:t xml:space="preserve"> </w:t>
      </w:r>
      <w:r w:rsidR="001B6CF5" w:rsidRPr="00127ECB">
        <w:t>best estimate for the zero-beta premium and this value should be used</w:t>
      </w:r>
      <w:r w:rsidR="001B6CF5">
        <w:t xml:space="preserve"> instead of </w:t>
      </w:r>
      <w:r w:rsidR="001B6CF5" w:rsidRPr="00127ECB">
        <w:t>effectively assum</w:t>
      </w:r>
      <w:r w:rsidR="001B6CF5">
        <w:t xml:space="preserve">ing </w:t>
      </w:r>
      <w:r w:rsidR="001B6CF5" w:rsidRPr="00127ECB">
        <w:t>this to be ze</w:t>
      </w:r>
      <w:r>
        <w:t xml:space="preserve">ro (by relying solely on the Sharpe-Lintner </w:t>
      </w:r>
      <w:r w:rsidR="001B6CF5" w:rsidRPr="00127ECB">
        <w:t>CAPM to estimate the return on equity).</w:t>
      </w:r>
      <w:r w:rsidR="001B6CF5">
        <w:rPr>
          <w:rStyle w:val="FootnoteReference"/>
        </w:rPr>
        <w:footnoteReference w:id="731"/>
      </w:r>
      <w:r w:rsidR="001B6CF5" w:rsidRPr="00127ECB">
        <w:t xml:space="preserve"> </w:t>
      </w:r>
    </w:p>
    <w:p w:rsidR="001B6CF5" w:rsidRDefault="001B6CF5" w:rsidP="001B6CF5">
      <w:pPr>
        <w:rPr>
          <w:rStyle w:val="AERbody"/>
        </w:rPr>
      </w:pPr>
      <w:r>
        <w:rPr>
          <w:rStyle w:val="AERbody"/>
        </w:rPr>
        <w:t>Partington and Satchell continue to note a range of issues (some of which are long-standing) with the Black CAPM in their latest report:</w:t>
      </w:r>
    </w:p>
    <w:p w:rsidR="001B6CF5" w:rsidRDefault="001B6CF5" w:rsidP="001B6CF5">
      <w:pPr>
        <w:pStyle w:val="AERbulletlistfirststyle"/>
      </w:pPr>
      <w:r>
        <w:t>Examinations of important academic research on the Black CAPM show that it is based on a number of unrealistic assumptions, such as unrestricted short-selling.</w:t>
      </w:r>
      <w:r>
        <w:rPr>
          <w:rStyle w:val="FootnoteReference"/>
        </w:rPr>
        <w:footnoteReference w:id="732"/>
      </w:r>
      <w:r>
        <w:t xml:space="preserve"> In particular, the 1971 Brennan paper indicates that the Black CAPM is unsuitable for regulatory use due to its assumption of two Markowitz portfolios as we cannot be certain what the properties of the market portfolio actually are. </w:t>
      </w:r>
    </w:p>
    <w:p w:rsidR="001B6CF5" w:rsidRDefault="001B6CF5" w:rsidP="001B6CF5">
      <w:pPr>
        <w:pStyle w:val="AERbulletlistfirststyle"/>
        <w:rPr>
          <w:rStyle w:val="AERbody"/>
        </w:rPr>
      </w:pPr>
      <w:r>
        <w:rPr>
          <w:rStyle w:val="AERbody"/>
        </w:rPr>
        <w:t>There are a range of issues with implementing the Black CAPM.</w:t>
      </w:r>
      <w:r>
        <w:rPr>
          <w:rStyle w:val="FootnoteReference"/>
        </w:rPr>
        <w:footnoteReference w:id="733"/>
      </w:r>
      <w:r>
        <w:rPr>
          <w:rStyle w:val="AERbody"/>
        </w:rPr>
        <w:t xml:space="preserve"> For example, the zero-beta premium is not observable and different methods and assumptions can lead to very different estimates of the zero-beta premium. In particular, the variability in zero-beta premiums is evident in SFG's estimate (10.75 per cent) and NERA's estimate (3.43 per cent).</w:t>
      </w:r>
    </w:p>
    <w:p w:rsidR="001B6CF5" w:rsidRDefault="001B6CF5" w:rsidP="001B6CF5">
      <w:pPr>
        <w:pStyle w:val="AERbulletlistfirststyle"/>
      </w:pPr>
      <w:r>
        <w:t>The zero beta premium estimates is not current nor observable and the standard errors of the estimates are substantial.</w:t>
      </w:r>
      <w:r>
        <w:rPr>
          <w:rStyle w:val="FootnoteReference"/>
        </w:rPr>
        <w:footnoteReference w:id="734"/>
      </w:r>
    </w:p>
    <w:p w:rsidR="001B6CF5" w:rsidRDefault="001B6CF5" w:rsidP="001B6CF5">
      <w:r>
        <w:t xml:space="preserve">After reviewing </w:t>
      </w:r>
      <w:r w:rsidR="00875B40">
        <w:t>the</w:t>
      </w:r>
      <w:r>
        <w:t xml:space="preserve"> material</w:t>
      </w:r>
      <w:r w:rsidR="00875B40">
        <w:t xml:space="preserve"> submitted to us</w:t>
      </w:r>
      <w:r>
        <w:t xml:space="preserve">, we are </w:t>
      </w:r>
      <w:r w:rsidR="00875B40">
        <w:t>satisfied</w:t>
      </w:r>
      <w:r>
        <w:t xml:space="preserve"> that we do not need to estimate the Black CAPM.</w:t>
      </w:r>
    </w:p>
    <w:p w:rsidR="001B6CF5" w:rsidRDefault="001B6CF5" w:rsidP="001B6CF5">
      <w:r>
        <w:t>In response to Partington and Satchell's October 2015 advice, HoustonKemp submitted analysis</w:t>
      </w:r>
      <w:r w:rsidRPr="001B55CE">
        <w:t xml:space="preserve"> show</w:t>
      </w:r>
      <w:r>
        <w:t>ed</w:t>
      </w:r>
      <w:r w:rsidRPr="001B55CE">
        <w:t xml:space="preserve"> that none of the estimates are either extremely large and negative or extremely large and positive</w:t>
      </w:r>
      <w:r w:rsidR="00875B40">
        <w:t>. HoustonKemp submitted that</w:t>
      </w:r>
      <w:r w:rsidRPr="001B55CE">
        <w:t xml:space="preserve"> the recursive estimates of the zero-beta premium have been relatively stable for the last 30 years and do not appear to be either problematic or unreliable.</w:t>
      </w:r>
      <w:r>
        <w:rPr>
          <w:rStyle w:val="FootnoteReference"/>
        </w:rPr>
        <w:footnoteReference w:id="735"/>
      </w:r>
      <w:r w:rsidRPr="001B55CE">
        <w:t xml:space="preserve"> </w:t>
      </w:r>
    </w:p>
    <w:p w:rsidR="001B6CF5" w:rsidRPr="001B6CF5" w:rsidRDefault="001B6CF5" w:rsidP="00242E90">
      <w:pPr>
        <w:rPr>
          <w:rStyle w:val="AERbody"/>
        </w:rPr>
      </w:pPr>
      <w:r w:rsidRPr="001B6CF5">
        <w:rPr>
          <w:rStyle w:val="AERbody"/>
        </w:rPr>
        <w:t>Based on a visu</w:t>
      </w:r>
      <w:r w:rsidR="00242E90">
        <w:rPr>
          <w:rStyle w:val="AERbody"/>
        </w:rPr>
        <w:t xml:space="preserve">al interpretation of its </w:t>
      </w:r>
      <w:r w:rsidRPr="001B6CF5">
        <w:rPr>
          <w:rStyle w:val="AERbody"/>
        </w:rPr>
        <w:t>figure 4</w:t>
      </w:r>
      <w:r w:rsidR="00242E90">
        <w:rPr>
          <w:rStyle w:val="AERbody"/>
        </w:rPr>
        <w:t xml:space="preserve"> in HoustonKemp's report</w:t>
      </w:r>
      <w:r w:rsidRPr="001B6CF5">
        <w:rPr>
          <w:rStyle w:val="AERbody"/>
        </w:rPr>
        <w:t>, more than half of the zero beta premium estimates are concentrated in the 5% bar. HoustonKemp's recursive estimate of the zero bet</w:t>
      </w:r>
      <w:r w:rsidR="00242E90">
        <w:rPr>
          <w:rStyle w:val="AERbody"/>
        </w:rPr>
        <w:t>a premium (figure 5</w:t>
      </w:r>
      <w:r w:rsidR="00FD16E9">
        <w:rPr>
          <w:rStyle w:val="AERbody"/>
        </w:rPr>
        <w:t xml:space="preserve"> in its report</w:t>
      </w:r>
      <w:r w:rsidR="00242E90">
        <w:rPr>
          <w:rStyle w:val="AERbody"/>
        </w:rPr>
        <w:t>) indicates</w:t>
      </w:r>
      <w:r w:rsidRPr="001B6CF5">
        <w:rPr>
          <w:rStyle w:val="AERbody"/>
        </w:rPr>
        <w:t xml:space="preserve"> a value around 7–8% in 2014.  We consider that both charts indicate a large and positive premium, </w:t>
      </w:r>
      <w:r w:rsidR="00242E90">
        <w:rPr>
          <w:rStyle w:val="AERbody"/>
        </w:rPr>
        <w:t>relative to our estimated range for the market risk premium</w:t>
      </w:r>
      <w:r w:rsidRPr="001B6CF5">
        <w:rPr>
          <w:rStyle w:val="AERbody"/>
        </w:rPr>
        <w:t>. Further, we note that the 95% confidence interval captures a range of approximately 4–13% which suggest</w:t>
      </w:r>
      <w:r w:rsidR="00181E64">
        <w:rPr>
          <w:rStyle w:val="AERbody"/>
        </w:rPr>
        <w:t>s</w:t>
      </w:r>
      <w:r w:rsidRPr="001B6CF5">
        <w:rPr>
          <w:rStyle w:val="AERbody"/>
        </w:rPr>
        <w:t xml:space="preserve"> not insignificant uncertainty regarding the zero beta premium estimate. </w:t>
      </w:r>
    </w:p>
    <w:p w:rsidR="001B6CF5" w:rsidRDefault="001B6CF5" w:rsidP="001B6CF5">
      <w:r>
        <w:t>HoustonKemp made the following submissions on Beaulie</w:t>
      </w:r>
      <w:r w:rsidR="00CC3760">
        <w:t>u</w:t>
      </w:r>
      <w:r>
        <w:t>, Dufour and Khalaf</w:t>
      </w:r>
      <w:r w:rsidR="00CC3760">
        <w:t xml:space="preserve">'s </w:t>
      </w:r>
      <w:r w:rsidR="00CC3760" w:rsidRPr="00C61D42">
        <w:t>conclusion that the estimate of the zero beta return is unstable and unreliable over time</w:t>
      </w:r>
      <w:r>
        <w:t>:</w:t>
      </w:r>
      <w:r>
        <w:rPr>
          <w:rStyle w:val="FootnoteReference"/>
        </w:rPr>
        <w:footnoteReference w:id="736"/>
      </w:r>
    </w:p>
    <w:p w:rsidR="001B6CF5" w:rsidRDefault="00CC3760" w:rsidP="001B6CF5">
      <w:pPr>
        <w:pStyle w:val="AERquote"/>
      </w:pPr>
      <w:r>
        <w:t>Beaulieu, Dufour and Kh</w:t>
      </w:r>
      <w:r w:rsidR="001B6CF5">
        <w:t>alaf's finding relates to unreliable zero-beta rate estimates</w:t>
      </w:r>
      <w:r w:rsidR="001B6CF5" w:rsidRPr="00A22A95">
        <w:t xml:space="preserve"> </w:t>
      </w:r>
      <w:r w:rsidR="001B6CF5">
        <w:t>for assets with true betas that are close to one. HoustonKemp has used data from the largest stocks</w:t>
      </w:r>
      <w:r w:rsidR="001B6CF5">
        <w:rPr>
          <w:rStyle w:val="FootnoteReference"/>
        </w:rPr>
        <w:footnoteReference w:id="737"/>
      </w:r>
      <w:r w:rsidR="001B6CF5" w:rsidRPr="001B55CE">
        <w:t xml:space="preserve"> </w:t>
      </w:r>
      <w:r w:rsidR="001B6CF5">
        <w:t xml:space="preserve">to </w:t>
      </w:r>
      <w:r w:rsidR="001B6CF5" w:rsidRPr="001B55CE">
        <w:t xml:space="preserve">compute </w:t>
      </w:r>
      <w:r w:rsidR="001B6CF5">
        <w:t>its</w:t>
      </w:r>
      <w:r w:rsidR="001B6CF5" w:rsidRPr="001B55CE">
        <w:t xml:space="preserve"> zero-beta premium</w:t>
      </w:r>
      <w:r w:rsidR="001B6CF5">
        <w:t xml:space="preserve"> </w:t>
      </w:r>
      <w:r w:rsidR="001B6CF5" w:rsidRPr="001B55CE">
        <w:t>and it</w:t>
      </w:r>
      <w:r w:rsidR="001B6CF5">
        <w:t xml:space="preserve"> </w:t>
      </w:r>
      <w:r w:rsidR="001B6CF5" w:rsidRPr="001B55CE">
        <w:t>is unlikely that all of these stocks have true betas that are close to one.</w:t>
      </w:r>
      <w:r w:rsidR="001B6CF5">
        <w:t xml:space="preserve"> </w:t>
      </w:r>
    </w:p>
    <w:p w:rsidR="001B6CF5" w:rsidRDefault="001B6CF5" w:rsidP="001B6CF5">
      <w:pPr>
        <w:rPr>
          <w:rStyle w:val="AERbody"/>
        </w:rPr>
      </w:pPr>
      <w:r>
        <w:rPr>
          <w:rStyle w:val="AERbody"/>
        </w:rPr>
        <w:t xml:space="preserve">Partington and Satchell </w:t>
      </w:r>
      <w:r w:rsidR="00181E64">
        <w:rPr>
          <w:rStyle w:val="AERbody"/>
        </w:rPr>
        <w:t>noted that the estimation problems set out in Beaulieu, Dufour and Khalaf remain relevant even for assets with estimated betas not close to one. Partington and Satchell stated</w:t>
      </w:r>
      <w:r>
        <w:rPr>
          <w:rStyle w:val="AERbody"/>
        </w:rPr>
        <w:t>:</w:t>
      </w:r>
      <w:r>
        <w:rPr>
          <w:rStyle w:val="FootnoteReference"/>
        </w:rPr>
        <w:footnoteReference w:id="738"/>
      </w:r>
    </w:p>
    <w:p w:rsidR="001F59D7" w:rsidRPr="001F59D7" w:rsidRDefault="001F59D7" w:rsidP="001F59D7">
      <w:pPr>
        <w:pStyle w:val="AERquote"/>
      </w:pPr>
      <w:r w:rsidRPr="001F59D7">
        <w:t>[Beaulieu, Dufour and Khalaf (2012) states that] even if estimated betas are not close to one, irregularities associated with WI [weak identification] are not at all precluded [in view of (1) and (2) above]…</w:t>
      </w:r>
    </w:p>
    <w:p w:rsidR="001F59D7" w:rsidRPr="001F59D7" w:rsidRDefault="001F59D7" w:rsidP="001F59D7">
      <w:pPr>
        <w:pStyle w:val="AERquote"/>
      </w:pPr>
      <w:r w:rsidRPr="001F59D7">
        <w:t xml:space="preserve"> [Their statement states that] even if the estimated betas are not close to one, this is not a sufficient condition to preclude problems of estimation and inference.</w:t>
      </w:r>
    </w:p>
    <w:p w:rsidR="00885799" w:rsidRDefault="001F59D7" w:rsidP="00885799">
      <w:pPr>
        <w:pStyle w:val="AERquote"/>
      </w:pPr>
      <w:r w:rsidRPr="00885799">
        <w:t>The implicit argument [by HoustonKemp] is that any instability in estimates of the zero beta return is due to variation in the risk free rate. Thus eliminating the risk free rate fixes the stability problems in the zero beta rate by transforming it to a zero beta premium. This is a dubious proposition, which we find completely unconvincing.</w:t>
      </w:r>
      <w:r>
        <w:t xml:space="preserve"> </w:t>
      </w:r>
    </w:p>
    <w:p w:rsidR="001B6CF5" w:rsidRDefault="001B6CF5" w:rsidP="001B6CF5">
      <w:r>
        <w:t>HoustonKemp submitted that Partington and Satchell's finding of Kan, Robotti and Shanken's</w:t>
      </w:r>
      <w:r w:rsidRPr="00AB73B1">
        <w:t xml:space="preserve"> </w:t>
      </w:r>
      <w:r>
        <w:t>zero-beta estimate being implausibly high ignores the fact that there is no sign the authors consider their estimate</w:t>
      </w:r>
      <w:r w:rsidRPr="00AB73B1">
        <w:t xml:space="preserve"> unreliable</w:t>
      </w:r>
      <w:r>
        <w:t>.</w:t>
      </w:r>
      <w:r w:rsidRPr="00BC4BBC">
        <w:rPr>
          <w:rStyle w:val="FootnoteReference"/>
        </w:rPr>
        <w:t xml:space="preserve"> </w:t>
      </w:r>
      <w:r>
        <w:rPr>
          <w:rStyle w:val="FootnoteReference"/>
        </w:rPr>
        <w:footnoteReference w:id="739"/>
      </w:r>
    </w:p>
    <w:p w:rsidR="001B6CF5" w:rsidRDefault="001B6CF5" w:rsidP="001B6CF5">
      <w:r w:rsidRPr="00024F5D">
        <w:rPr>
          <w:rStyle w:val="AERbody"/>
        </w:rPr>
        <w:t xml:space="preserve">We note Partington previous </w:t>
      </w:r>
      <w:r>
        <w:rPr>
          <w:rStyle w:val="AERbody"/>
        </w:rPr>
        <w:t xml:space="preserve">and latest </w:t>
      </w:r>
      <w:r w:rsidRPr="00024F5D">
        <w:rPr>
          <w:rStyle w:val="AERbody"/>
        </w:rPr>
        <w:t>advice regarding issues with implementing the Black CAPM, including the unreliable nature of (and wide range for) the zero beta estimate.</w:t>
      </w:r>
      <w:r w:rsidRPr="009A482A">
        <w:rPr>
          <w:rStyle w:val="FootnoteReference"/>
        </w:rPr>
        <w:footnoteReference w:id="740"/>
      </w:r>
      <w:r w:rsidRPr="00024F5D">
        <w:rPr>
          <w:rStyle w:val="AERbody"/>
        </w:rPr>
        <w:t xml:space="preserve"> We also consider </w:t>
      </w:r>
      <w:r>
        <w:rPr>
          <w:rStyle w:val="AERbody"/>
        </w:rPr>
        <w:t xml:space="preserve">that </w:t>
      </w:r>
      <w:r>
        <w:t>Kan, Robotti and Shanken</w:t>
      </w:r>
      <w:r>
        <w:rPr>
          <w:rStyle w:val="AERbody"/>
        </w:rPr>
        <w:t xml:space="preserve">'s </w:t>
      </w:r>
      <w:r w:rsidRPr="00024F5D">
        <w:rPr>
          <w:rStyle w:val="AERbody"/>
        </w:rPr>
        <w:t>caution reinforces our view that the model is not empirically reliable.</w:t>
      </w:r>
      <w:r w:rsidRPr="00FE6A89">
        <w:rPr>
          <w:rStyle w:val="FootnoteReference"/>
        </w:rPr>
        <w:footnoteReference w:id="741"/>
      </w:r>
      <w:r w:rsidRPr="00024F5D">
        <w:rPr>
          <w:rStyle w:val="AERbody"/>
        </w:rPr>
        <w:t xml:space="preserve"> </w:t>
      </w:r>
      <w:r w:rsidRPr="00FE35A8">
        <w:t xml:space="preserve"> </w:t>
      </w:r>
      <w:r>
        <w:t xml:space="preserve">Partington and Satchell </w:t>
      </w:r>
      <w:r w:rsidR="00CC3760">
        <w:t>advise</w:t>
      </w:r>
      <w:r>
        <w:t xml:space="preserve"> that the Black CAPM is based on a number of unrealistic assumptions and can lead to a wide range (and unreliable) estimates depending on the method used.</w:t>
      </w:r>
      <w:r>
        <w:rPr>
          <w:rStyle w:val="FootnoteReference"/>
        </w:rPr>
        <w:footnoteReference w:id="742"/>
      </w:r>
    </w:p>
    <w:p w:rsidR="001B6CF5" w:rsidRPr="00890E90" w:rsidRDefault="001B6CF5" w:rsidP="001B6CF5">
      <w:r>
        <w:t>HoustonKemp submitted in respect of the asset pricing tests in Lewellen, Nagel and Shanken:</w:t>
      </w:r>
      <w:r w:rsidRPr="00890E90">
        <w:rPr>
          <w:rStyle w:val="FootnoteReference"/>
        </w:rPr>
        <w:footnoteReference w:id="743"/>
      </w:r>
      <w:r w:rsidRPr="00890E90">
        <w:t xml:space="preserve">  </w:t>
      </w:r>
    </w:p>
    <w:p w:rsidR="001B6CF5" w:rsidRPr="00890E90" w:rsidRDefault="001B6CF5" w:rsidP="001B6CF5">
      <w:pPr>
        <w:pStyle w:val="AERbulletlistfirststyle"/>
      </w:pPr>
      <w:r>
        <w:t>Lewellen, Nagel and Shanken</w:t>
      </w:r>
      <w:r w:rsidRPr="00065C01">
        <w:t xml:space="preserve"> find that there is little relation between mean return and</w:t>
      </w:r>
      <w:r w:rsidRPr="00890E90">
        <w:t xml:space="preserve"> beta</w:t>
      </w:r>
      <w:r>
        <w:t>,</w:t>
      </w:r>
      <w:r w:rsidRPr="00890E90">
        <w:t xml:space="preserve"> and that estimates of the zero-beta premium are large and both economicall</w:t>
      </w:r>
      <w:r>
        <w:t>y and statistically significant.</w:t>
      </w:r>
    </w:p>
    <w:p w:rsidR="001B6CF5" w:rsidRDefault="001B6CF5" w:rsidP="001B6CF5">
      <w:pPr>
        <w:pStyle w:val="AERbulletlistfirststyle"/>
      </w:pPr>
      <w:r w:rsidRPr="00065C01">
        <w:t>Lewellen, Nagel and Shanken find</w:t>
      </w:r>
      <w:r>
        <w:t xml:space="preserve"> </w:t>
      </w:r>
      <w:r w:rsidRPr="00065C01">
        <w:t>statistically significant evidence that the S</w:t>
      </w:r>
      <w:r>
        <w:t>harpe-</w:t>
      </w:r>
      <w:r w:rsidRPr="00065C01">
        <w:t>L</w:t>
      </w:r>
      <w:r>
        <w:t>intner</w:t>
      </w:r>
      <w:r w:rsidRPr="00065C01">
        <w:t xml:space="preserve"> CAPM will deliver downwardly biased estimates of the returns</w:t>
      </w:r>
      <w:r>
        <w:t xml:space="preserve"> </w:t>
      </w:r>
      <w:r w:rsidRPr="00065C01">
        <w:t>required on low-beta portfolios of stocks</w:t>
      </w:r>
      <w:r>
        <w:t>.</w:t>
      </w:r>
    </w:p>
    <w:p w:rsidR="001B6CF5" w:rsidRPr="009A482A" w:rsidRDefault="001B6CF5" w:rsidP="001B6CF5">
      <w:pPr>
        <w:rPr>
          <w:rStyle w:val="AERbody"/>
        </w:rPr>
      </w:pPr>
      <w:r w:rsidRPr="009A482A">
        <w:rPr>
          <w:rStyle w:val="AERbody"/>
        </w:rPr>
        <w:t>However, Partington and Satchell cautioned use of results from asset pricing tests:</w:t>
      </w:r>
      <w:r w:rsidRPr="009A482A">
        <w:rPr>
          <w:rStyle w:val="FootnoteReference"/>
        </w:rPr>
        <w:footnoteReference w:id="744"/>
      </w:r>
    </w:p>
    <w:p w:rsidR="001B6CF5" w:rsidRDefault="001B6CF5" w:rsidP="001B6CF5">
      <w:pPr>
        <w:pStyle w:val="AERquote"/>
      </w:pPr>
      <w:r>
        <w:t xml:space="preserve">we have also pointed out (see for example, Partington and Satchell 2015a and 2015b) that there is well regarded </w:t>
      </w:r>
      <w:r w:rsidRPr="001B191B">
        <w:t>research which shows that there are substantial methodological and statistical problems associated with asset pricing tests, for example, that results depend on how the portfolios used in the tests are formed.</w:t>
      </w:r>
      <w:r>
        <w:t xml:space="preserve"> </w:t>
      </w:r>
    </w:p>
    <w:p w:rsidR="001B6CF5" w:rsidRDefault="001B6CF5" w:rsidP="001B6CF5">
      <w:pPr>
        <w:pStyle w:val="AERquote"/>
        <w:rPr>
          <w:rStyle w:val="AERtexthighlight"/>
        </w:rPr>
      </w:pPr>
      <w:r w:rsidRPr="001B191B">
        <w:t>These papers also illustrate that the tide of academic opinion is divided about the evidence from realised returns, both for and against the CAPM. In short there is ongoing debate about how asset pricing tests should be conducted, what test statistics are appropriate, and what such tests actually mean.</w:t>
      </w:r>
    </w:p>
    <w:p w:rsidR="001B6CF5" w:rsidRPr="00B4711B" w:rsidRDefault="001B6CF5" w:rsidP="001B6CF5">
      <w:pPr>
        <w:pStyle w:val="Heading9"/>
      </w:pPr>
      <w:bookmarkStart w:id="199" w:name="_Ref449010288"/>
      <w:bookmarkStart w:id="200" w:name="_Toc451678637"/>
      <w:r>
        <w:t>Low beta bias may not reflect ex ante priced risk</w:t>
      </w:r>
      <w:bookmarkEnd w:id="199"/>
      <w:bookmarkEnd w:id="200"/>
    </w:p>
    <w:p w:rsidR="001B6CF5" w:rsidRDefault="00C41A59" w:rsidP="001B6CF5">
      <w:r>
        <w:t xml:space="preserve">Service </w:t>
      </w:r>
      <w:r w:rsidR="001355DE">
        <w:t>providers</w:t>
      </w:r>
      <w:r w:rsidR="001B6CF5">
        <w:t xml:space="preserve"> submitted that the Sharpe-Lintner CAPM underestimates the return on equity for businesses with an equity beta less than one ('low beta bias'). </w:t>
      </w:r>
      <w:r>
        <w:t>Service providers</w:t>
      </w:r>
      <w:r w:rsidR="001B6CF5">
        <w:t xml:space="preserve"> submitted that low beta bias is evidenced by the return on equity estimates from Black CAPM and the empirical performance of the Sharpe-Lintner CAPM using ex post data.</w:t>
      </w:r>
      <w:r w:rsidR="001B6CF5">
        <w:rPr>
          <w:rStyle w:val="FootnoteReference"/>
        </w:rPr>
        <w:footnoteReference w:id="745"/>
      </w:r>
    </w:p>
    <w:p w:rsidR="001B6CF5" w:rsidRDefault="001B6CF5" w:rsidP="001B6CF5">
      <w:r>
        <w:t xml:space="preserve">The empirical performance of the Sharpe-Lintner CAPM using ex post data is discussed in detail in section </w:t>
      </w:r>
      <w:r>
        <w:fldChar w:fldCharType="begin"/>
      </w:r>
      <w:r>
        <w:instrText xml:space="preserve"> REF _Ref449004969 \r \h </w:instrText>
      </w:r>
      <w:r>
        <w:fldChar w:fldCharType="separate"/>
      </w:r>
      <w:r w:rsidR="00BA2E8E">
        <w:t>B.1.2</w:t>
      </w:r>
      <w:r>
        <w:fldChar w:fldCharType="end"/>
      </w:r>
      <w:r>
        <w:t xml:space="preserve">. We acknowledge </w:t>
      </w:r>
      <w:r w:rsidR="001355DE">
        <w:t>that</w:t>
      </w:r>
      <w:r>
        <w:t xml:space="preserve"> the Sharpe-Lintner CAPM tests poorly using ex post returns data, and appears to underestimate the ex post returns for businesses with a</w:t>
      </w:r>
      <w:r w:rsidR="00C41A59">
        <w:t>n</w:t>
      </w:r>
      <w:r>
        <w:t xml:space="preserve"> equity beta less than one. However, we do not consider that </w:t>
      </w:r>
      <w:r w:rsidR="00C41A59">
        <w:t>t</w:t>
      </w:r>
      <w:r>
        <w:t>his result is evidence that the set of assumptions underpinning the Black CAPM are more realistic than those underpinning the Sharpe-Lintner CAPM.</w:t>
      </w:r>
    </w:p>
    <w:p w:rsidR="001B6CF5" w:rsidRPr="006C4D93" w:rsidRDefault="001B6CF5" w:rsidP="001B6CF5">
      <w:r>
        <w:t>Handley stated that 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746"/>
      </w:r>
      <w:r w:rsidRPr="00FB2D22">
        <w:t xml:space="preserve"> </w:t>
      </w:r>
      <w:r>
        <w:t>I</w:t>
      </w:r>
      <w:r w:rsidRPr="006C4D93">
        <w:t>t is unclear that low beta bias is a priced risk not already captured by the S</w:t>
      </w:r>
      <w:r>
        <w:t>harpe-</w:t>
      </w:r>
      <w:r w:rsidRPr="006C4D93">
        <w:t>L</w:t>
      </w:r>
      <w:r>
        <w:t xml:space="preserve">intner </w:t>
      </w:r>
      <w:r w:rsidRPr="006C4D93">
        <w:t>CAPM.</w:t>
      </w:r>
      <w:r w:rsidRPr="006C4D93">
        <w:rPr>
          <w:rStyle w:val="FootnoteReference"/>
        </w:rPr>
        <w:footnoteReference w:id="747"/>
      </w:r>
      <w:r>
        <w:t xml:space="preserve"> Handley later reiterated that </w:t>
      </w:r>
      <w:r w:rsidRPr="00725202">
        <w:t>our understanding of the low beta bias is still far</w:t>
      </w:r>
      <w:r>
        <w:t xml:space="preserve"> </w:t>
      </w:r>
      <w:r w:rsidRPr="00725202">
        <w:t>from clear.</w:t>
      </w:r>
      <w:r>
        <w:rPr>
          <w:rStyle w:val="FootnoteReference"/>
        </w:rPr>
        <w:footnoteReference w:id="748"/>
      </w:r>
    </w:p>
    <w:p w:rsidR="001B6CF5" w:rsidRDefault="001B6CF5" w:rsidP="001B6CF5">
      <w:r w:rsidRPr="001562D4">
        <w:t xml:space="preserve">McKenzie and Partington </w:t>
      </w:r>
      <w:r>
        <w:t>indicated that</w:t>
      </w:r>
      <w:r w:rsidRPr="001562D4">
        <w:t xml:space="preserve"> the Black CAPM</w:t>
      </w:r>
      <w:r w:rsidRPr="00DD27F8">
        <w:t xml:space="preserve"> </w:t>
      </w:r>
      <w:r w:rsidRPr="006C4D93">
        <w:t>is not based on more realistic assumptions than the S</w:t>
      </w:r>
      <w:r>
        <w:t xml:space="preserve">harpe-Lintner </w:t>
      </w:r>
      <w:r w:rsidRPr="006C4D93">
        <w:t xml:space="preserve">CAPM. </w:t>
      </w:r>
      <w:r>
        <w:t>In fact, Partington and Satchell show that the Black CAPM is based on a number of unrealistic assumptions, such as unrestricted short-selling.</w:t>
      </w:r>
      <w:r>
        <w:rPr>
          <w:rStyle w:val="FootnoteReference"/>
        </w:rPr>
        <w:footnoteReference w:id="749"/>
      </w:r>
    </w:p>
    <w:p w:rsidR="001B6CF5" w:rsidRDefault="001B6CF5" w:rsidP="001B6CF5">
      <w:r w:rsidRPr="006C4D93">
        <w:t>The Black CAPM cannot be directly compared to the S</w:t>
      </w:r>
      <w:r>
        <w:t>harpe-</w:t>
      </w:r>
      <w:r w:rsidRPr="006C4D93">
        <w:t>L</w:t>
      </w:r>
      <w:r>
        <w:t xml:space="preserve">intner </w:t>
      </w:r>
      <w:r w:rsidRPr="006C4D93">
        <w:t>CAPM as they each involve very different investment strategies.</w:t>
      </w:r>
      <w:r w:rsidRPr="006C4D93">
        <w:rPr>
          <w:rStyle w:val="FootnoteReference"/>
        </w:rPr>
        <w:footnoteReference w:id="750"/>
      </w:r>
      <w:r>
        <w:t xml:space="preserve"> As such, any attempt to compare the two models must be done with great care.</w:t>
      </w:r>
      <w:r>
        <w:rPr>
          <w:rStyle w:val="FootnoteReference"/>
        </w:rPr>
        <w:footnoteReference w:id="751"/>
      </w:r>
    </w:p>
    <w:p w:rsidR="001B6CF5" w:rsidRPr="001B6CF5" w:rsidRDefault="001B6CF5" w:rsidP="00C41A59">
      <w:r>
        <w:t xml:space="preserve">Partington and Satchell </w:t>
      </w:r>
      <w:r w:rsidR="00C41A59">
        <w:t xml:space="preserve">noted that 'low beta bias' represents </w:t>
      </w:r>
      <w:r w:rsidRPr="001B6CF5">
        <w:t xml:space="preserve">a tendency for low beta stocks to overperform and high beta stocks to underperform relative to the CAPM. </w:t>
      </w:r>
      <w:r w:rsidR="00C41A59">
        <w:t>Partington and Satchell noted that o</w:t>
      </w:r>
      <w:r w:rsidRPr="001B6CF5">
        <w:t xml:space="preserve">ne possible interpretation is </w:t>
      </w:r>
      <w:r w:rsidR="00C41A59">
        <w:t xml:space="preserve">not necessarily that the </w:t>
      </w:r>
      <w:r w:rsidRPr="001B6CF5">
        <w:t xml:space="preserve">Sharpe–Lintner CAPM gives a downward biased </w:t>
      </w:r>
      <w:r w:rsidR="00C41A59" w:rsidRPr="001B6CF5">
        <w:t>estimated</w:t>
      </w:r>
      <w:r w:rsidR="00C41A59">
        <w:t xml:space="preserve"> of required returns </w:t>
      </w:r>
      <w:r w:rsidRPr="001B6CF5">
        <w:t>but that low b</w:t>
      </w:r>
      <w:r w:rsidR="00C41A59">
        <w:t xml:space="preserve">eta stocks have positive </w:t>
      </w:r>
      <w:r w:rsidR="008D609E">
        <w:t>'</w:t>
      </w:r>
      <w:r w:rsidR="00C41A59">
        <w:t>alphas</w:t>
      </w:r>
      <w:r w:rsidR="008D609E">
        <w:t>'</w:t>
      </w:r>
      <w:r w:rsidRPr="001B6CF5">
        <w:t>.</w:t>
      </w:r>
      <w:r w:rsidRPr="001B6CF5">
        <w:rPr>
          <w:rStyle w:val="FootnoteReference"/>
        </w:rPr>
        <w:footnoteReference w:id="752"/>
      </w:r>
      <w:r w:rsidR="008D609E">
        <w:t xml:space="preserve"> W</w:t>
      </w:r>
      <w:r>
        <w:t xml:space="preserve">e note that </w:t>
      </w:r>
      <w:r w:rsidR="008D609E">
        <w:t xml:space="preserve">a </w:t>
      </w:r>
      <w:r>
        <w:t>myriad factors can contribute to the under and over performance of a stock</w:t>
      </w:r>
      <w:r w:rsidR="008D609E">
        <w:t>.</w:t>
      </w:r>
      <w:r w:rsidRPr="001B6CF5">
        <w:t xml:space="preserve"> </w:t>
      </w:r>
      <w:r w:rsidR="008D609E">
        <w:t xml:space="preserve">Partington and Satchell noted that the question of whether </w:t>
      </w:r>
      <w:r w:rsidRPr="001B6CF5">
        <w:t>any of these variables determine equilibrium expected returns</w:t>
      </w:r>
      <w:r w:rsidR="008D609E">
        <w:t xml:space="preserve"> </w:t>
      </w:r>
      <w:r w:rsidRPr="001B6CF5">
        <w:t xml:space="preserve">is </w:t>
      </w:r>
      <w:r w:rsidR="008D609E">
        <w:t xml:space="preserve">currently </w:t>
      </w:r>
      <w:r w:rsidRPr="001B6CF5">
        <w:t>unresolved.</w:t>
      </w:r>
      <w:r w:rsidRPr="001B6CF5">
        <w:rPr>
          <w:rStyle w:val="FootnoteReference"/>
        </w:rPr>
        <w:footnoteReference w:id="753"/>
      </w:r>
      <w:r w:rsidRPr="001B6CF5">
        <w:t xml:space="preserve"> </w:t>
      </w:r>
    </w:p>
    <w:p w:rsidR="001B6CF5" w:rsidRPr="00B4711B" w:rsidRDefault="001B6CF5" w:rsidP="001B6CF5">
      <w:pPr>
        <w:pStyle w:val="Heading9"/>
      </w:pPr>
      <w:bookmarkStart w:id="201" w:name="_Ref448924785"/>
      <w:bookmarkStart w:id="202" w:name="_Toc451678638"/>
      <w:r>
        <w:t>AER's role for the theory of the Black CAPM</w:t>
      </w:r>
      <w:bookmarkEnd w:id="201"/>
      <w:bookmarkEnd w:id="202"/>
    </w:p>
    <w:p w:rsidR="001B6CF5" w:rsidRDefault="001B6CF5" w:rsidP="001B6CF5">
      <w:pPr>
        <w:numPr>
          <w:ilvl w:val="0"/>
          <w:numId w:val="24"/>
        </w:numPr>
      </w:pPr>
      <w:r>
        <w:t>We consider that the Black CAPM cannot be reliably estimated and we should not place weight on return on equity estimates from the model. However, we consider the theoretical underpinnings of the model remain a relevant consideration.</w:t>
      </w:r>
    </w:p>
    <w:p w:rsidR="001B6CF5" w:rsidRDefault="001B6CF5" w:rsidP="001B6CF5">
      <w:pPr>
        <w:numPr>
          <w:ilvl w:val="0"/>
          <w:numId w:val="24"/>
        </w:numPr>
      </w:pPr>
      <w:r>
        <w:t>T</w:t>
      </w:r>
      <w:r w:rsidRPr="00A71CB9">
        <w:t xml:space="preserve">he </w:t>
      </w:r>
      <w:r w:rsidRPr="00C61D42">
        <w:t>theoretical principles underpinning the Black CAPM demonstrate that market imperfections could cause the true (unobservable) expected return on equity to vary from the S</w:t>
      </w:r>
      <w:r>
        <w:t>harpe-</w:t>
      </w:r>
      <w:r w:rsidRPr="00C61D42">
        <w:t>L</w:t>
      </w:r>
      <w:r>
        <w:t xml:space="preserve">intner CAPM estimate. This is </w:t>
      </w:r>
      <w:r w:rsidRPr="00A71CB9">
        <w:t>a result of slightly different starting assumptions</w:t>
      </w:r>
      <w:r>
        <w:t xml:space="preserve"> between the models.</w:t>
      </w:r>
      <w:r w:rsidRPr="00A71CB9">
        <w:rPr>
          <w:rStyle w:val="FootnoteReference"/>
        </w:rPr>
        <w:footnoteReference w:id="754"/>
      </w:r>
      <w:r w:rsidRPr="00A71CB9">
        <w:t xml:space="preserve"> </w:t>
      </w:r>
      <w:r>
        <w:t>The resulting variation in expected return on equity is (in the theoretical principles) larger for businesses with equity betas further from one. We</w:t>
      </w:r>
      <w:r w:rsidRPr="00C44EAF">
        <w:t xml:space="preserve"> have </w:t>
      </w:r>
      <w:r>
        <w:t xml:space="preserve">also </w:t>
      </w:r>
      <w:r w:rsidRPr="00C44EAF">
        <w:t>considered the empirical evidence that the S</w:t>
      </w:r>
      <w:r>
        <w:t>harpe-</w:t>
      </w:r>
      <w:r w:rsidRPr="00C44EAF">
        <w:t>L</w:t>
      </w:r>
      <w:r>
        <w:t xml:space="preserve">intner </w:t>
      </w:r>
      <w:r w:rsidRPr="00C44EAF">
        <w:t xml:space="preserve">CAPM </w:t>
      </w:r>
      <w:r>
        <w:t xml:space="preserve">tends to </w:t>
      </w:r>
      <w:r w:rsidRPr="00C44EAF">
        <w:t>underestimate return</w:t>
      </w:r>
      <w:r>
        <w:t>s</w:t>
      </w:r>
      <w:r w:rsidRPr="00C44EAF">
        <w:t xml:space="preserve"> on low beta stocks </w:t>
      </w:r>
      <w:r w:rsidRPr="00C61D42">
        <w:t>when examined using ex</w:t>
      </w:r>
      <w:r>
        <w:t>-</w:t>
      </w:r>
      <w:r w:rsidRPr="00C61D42">
        <w:t>post data.</w:t>
      </w:r>
    </w:p>
    <w:p w:rsidR="001B6CF5" w:rsidRDefault="001B6CF5" w:rsidP="001B6CF5">
      <w:pPr>
        <w:numPr>
          <w:ilvl w:val="0"/>
          <w:numId w:val="24"/>
        </w:numPr>
      </w:pPr>
      <w:r>
        <w:t>Our empirical and conceptual analysis of equity beta for businesses with a similar degree of risk as CitiPower (in the provision of regulated services) indicates an equity beta less than one, and within the range of 0.4 to 0.7.</w:t>
      </w:r>
      <w:r>
        <w:rPr>
          <w:rStyle w:val="FootnoteReference"/>
        </w:rPr>
        <w:footnoteReference w:id="755"/>
      </w:r>
      <w:r>
        <w:t xml:space="preserve"> In this case, where initial considerations indicate an equity beta materially below one, the theory of the Black CAPM may be relevant. As the importance of the theory of the Black CAPM is relative to considerations of the business' equity beta estimate, we consider it is appropriate for the theory of the Black CAPM to inform our equity beta estimate.</w:t>
      </w:r>
    </w:p>
    <w:p w:rsidR="001B6CF5" w:rsidRDefault="001B6CF5" w:rsidP="001B6CF5">
      <w:pPr>
        <w:numPr>
          <w:ilvl w:val="0"/>
          <w:numId w:val="24"/>
        </w:numPr>
      </w:pPr>
      <w:r>
        <w:t>However, it is important to note that:</w:t>
      </w:r>
    </w:p>
    <w:p w:rsidR="001B6CF5" w:rsidRDefault="001B6CF5" w:rsidP="001B6CF5">
      <w:pPr>
        <w:pStyle w:val="AERbulletlistfirststyle"/>
      </w:pPr>
      <w:r>
        <w:t>A</w:t>
      </w:r>
      <w:r w:rsidRPr="00C61D42">
        <w:t>ll models with simplifying assumptions will likely be affected by market imperfections when they are</w:t>
      </w:r>
      <w:r>
        <w:t xml:space="preserve"> applied in a practical setting.</w:t>
      </w:r>
      <w:r w:rsidRPr="00DD55F9">
        <w:t xml:space="preserve"> </w:t>
      </w:r>
      <w:r>
        <w:t>The key theoretical difference between the Black CAPM and the Sharpe-Lintner CAPM relates to borrowing and lending. The Sharpe-Lintner 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w:t>
      </w:r>
    </w:p>
    <w:p w:rsidR="001B6CF5" w:rsidRDefault="001B6CF5" w:rsidP="001B6CF5">
      <w:pPr>
        <w:pStyle w:val="AERbulletlistfirststyle"/>
      </w:pPr>
      <w:r>
        <w:t>W</w:t>
      </w:r>
      <w:r w:rsidRPr="00C44EAF">
        <w:t xml:space="preserve">e </w:t>
      </w:r>
      <w:r>
        <w:t>consider that we c</w:t>
      </w:r>
      <w:r w:rsidRPr="00C44EAF">
        <w:t>a</w:t>
      </w:r>
      <w:r>
        <w:t>n</w:t>
      </w:r>
      <w:r w:rsidRPr="00C44EAF">
        <w:t>n</w:t>
      </w:r>
      <w:r>
        <w:t>ot</w:t>
      </w:r>
      <w:r w:rsidRPr="00C44EAF">
        <w:t xml:space="preserve"> reliably estimate the B</w:t>
      </w:r>
      <w:r w:rsidRPr="00C61D42">
        <w:t>lack CAPM</w:t>
      </w:r>
      <w:r>
        <w:t>.</w:t>
      </w:r>
    </w:p>
    <w:p w:rsidR="001B6CF5" w:rsidRDefault="001B6CF5" w:rsidP="001B6CF5">
      <w:pPr>
        <w:pStyle w:val="AERbulletlistfirststyle"/>
      </w:pPr>
      <w:r>
        <w:t>The empirical tests of the Sharpe-Lintner CAPM using ex-post data do not provide conclusive evidence that the Sharpe-Lintner CAPM has 'low beta bias'.</w:t>
      </w:r>
    </w:p>
    <w:p w:rsidR="001B6CF5" w:rsidRDefault="001B6CF5" w:rsidP="001B6CF5">
      <w:pPr>
        <w:numPr>
          <w:ilvl w:val="0"/>
          <w:numId w:val="24"/>
        </w:numPr>
      </w:pPr>
      <w:r>
        <w:t xml:space="preserve">Our use of the Black CAPM in informing the equity beta point estimate is supported by recent advice from our expert consultants, McKenzie and Partington and John Handley. </w:t>
      </w:r>
    </w:p>
    <w:p w:rsidR="001B6CF5" w:rsidRDefault="001B6CF5" w:rsidP="001B6CF5">
      <w:pPr>
        <w:numPr>
          <w:ilvl w:val="0"/>
          <w:numId w:val="24"/>
        </w:numPr>
      </w:pPr>
      <w:r>
        <w:t xml:space="preserve">John Handley noted our use of the Black CAPM to inform the beta estimate, as well as our roles for the </w:t>
      </w:r>
      <w:r w:rsidR="008D609E">
        <w:t>dividend growth model</w:t>
      </w:r>
      <w:r>
        <w:t xml:space="preserve"> and the Fama-French model, as 'appropriate and reasonable'.</w:t>
      </w:r>
      <w:r>
        <w:rPr>
          <w:rStyle w:val="FootnoteReference"/>
        </w:rPr>
        <w:footnoteReference w:id="756"/>
      </w:r>
    </w:p>
    <w:p w:rsidR="001B6CF5" w:rsidRDefault="001B6CF5" w:rsidP="001B6CF5">
      <w:pPr>
        <w:numPr>
          <w:ilvl w:val="0"/>
          <w:numId w:val="24"/>
        </w:numPr>
      </w:pPr>
      <w:r w:rsidRPr="00A71CB9">
        <w:t>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757"/>
      </w:r>
      <w:r w:rsidRPr="00A71CB9">
        <w:t xml:space="preserve"> </w:t>
      </w:r>
      <w:r w:rsidRPr="00C1309F">
        <w:t>McKenzie and Partington note</w:t>
      </w:r>
      <w:r>
        <w:t>d</w:t>
      </w:r>
      <w:r w:rsidRPr="00C1309F">
        <w:t xml:space="preserve"> there is considerable uncertainty in how the Black CAPM</w:t>
      </w:r>
      <w:r>
        <w:t xml:space="preserve"> theory should be applied to a Sharpe-Lintner CAPM</w:t>
      </w:r>
      <w:r w:rsidRPr="00C1309F">
        <w:t xml:space="preserve"> equity beta estimate.</w:t>
      </w:r>
      <w:r>
        <w:t xml:space="preserve"> However, they considered the theory underlying the Black CAPM does not necessarily support an uplift to the equity beta estimate used in the Sharpe-Lintner CAPM.</w:t>
      </w:r>
      <w:r w:rsidRPr="00A71CB9">
        <w:rPr>
          <w:rStyle w:val="FootnoteReference"/>
        </w:rPr>
        <w:footnoteReference w:id="758"/>
      </w:r>
      <w:r>
        <w:t xml:space="preserve"> </w:t>
      </w:r>
    </w:p>
    <w:p w:rsidR="001B6CF5" w:rsidRDefault="001B6CF5" w:rsidP="001B6CF5">
      <w:r>
        <w:t>W</w:t>
      </w:r>
      <w:r w:rsidRPr="001562D4">
        <w:t xml:space="preserve">e agree with McKenzie and Partington that the Black CAPM (of itself) does not justify an uplift to the equity beta </w:t>
      </w:r>
      <w:r>
        <w:t>used in</w:t>
      </w:r>
      <w:r w:rsidRPr="001562D4">
        <w:t xml:space="preserve"> the S</w:t>
      </w:r>
      <w:r>
        <w:t>harpe-</w:t>
      </w:r>
      <w:r w:rsidRPr="001562D4">
        <w:t>L</w:t>
      </w:r>
      <w:r>
        <w:t xml:space="preserve">intner </w:t>
      </w:r>
      <w:r w:rsidRPr="001562D4">
        <w:t>CAPM</w:t>
      </w:r>
      <w:r>
        <w:t>.</w:t>
      </w:r>
      <w:r w:rsidRPr="001562D4">
        <w:rPr>
          <w:rStyle w:val="FootnoteReference"/>
        </w:rPr>
        <w:footnoteReference w:id="759"/>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Sharpe-Lintner CAPM-</w:t>
      </w:r>
      <w:r w:rsidRPr="001562D4">
        <w:t>based estimate</w:t>
      </w:r>
      <w:r>
        <w:t>. We consider this</w:t>
      </w:r>
      <w:r w:rsidRPr="001562D4">
        <w:t xml:space="preserve"> a relevant consideration</w:t>
      </w:r>
      <w:r>
        <w:t xml:space="preserve"> in selecting the equity beta.</w:t>
      </w:r>
    </w:p>
    <w:p w:rsidR="001B6CF5" w:rsidRPr="00C61D42" w:rsidRDefault="001B6CF5" w:rsidP="00262F70">
      <w:r>
        <w:t>Some s</w:t>
      </w:r>
      <w:r w:rsidRPr="00C61D42">
        <w:t>ervice providers have submitted that we have adjusted the equity beta for the Black CAPM in order to provide a correction for low beta bias.</w:t>
      </w:r>
      <w:r>
        <w:rPr>
          <w:rStyle w:val="FootnoteReference"/>
        </w:rPr>
        <w:footnoteReference w:id="760"/>
      </w:r>
      <w:r w:rsidRPr="00C61D42">
        <w:t xml:space="preserve"> </w:t>
      </w:r>
      <w:r>
        <w:t>Other service providers submitted that</w:t>
      </w:r>
      <w:r w:rsidRPr="0012004B">
        <w:t xml:space="preserve"> it is not clear whether </w:t>
      </w:r>
      <w:r>
        <w:t>our equity beta estimate</w:t>
      </w:r>
      <w:r w:rsidRPr="0012004B">
        <w:t xml:space="preserve"> is intended to correct for bias in the</w:t>
      </w:r>
      <w:r>
        <w:t xml:space="preserve"> Sharpe-Lintner CAPM</w:t>
      </w:r>
      <w:r w:rsidRPr="0012004B">
        <w:t>.</w:t>
      </w:r>
      <w:r>
        <w:rPr>
          <w:rStyle w:val="FootnoteReference"/>
        </w:rPr>
        <w:footnoteReference w:id="761"/>
      </w:r>
      <w:r>
        <w:t xml:space="preserve"> </w:t>
      </w:r>
      <w:r w:rsidRPr="00C61D42">
        <w:t xml:space="preserve">We do not consider </w:t>
      </w:r>
      <w:r>
        <w:t>that</w:t>
      </w:r>
      <w:r w:rsidRPr="00C61D42">
        <w:t xml:space="preserve"> service providers have shown that low beta bias exists on an ex ante basis and that it reflects a priced risk factor that would contribute to the allowed rate of return objective. </w:t>
      </w:r>
      <w:r>
        <w:t>We also note that the theory of the Black CAPM is only one consideration informing our equity beta point estimate (for more detail,</w:t>
      </w:r>
      <w:r w:rsidR="00262F70">
        <w:t xml:space="preserve"> see </w:t>
      </w:r>
      <w:r w:rsidR="000E44EF">
        <w:t xml:space="preserve">the 'estimating equity beta' </w:t>
      </w:r>
      <w:r>
        <w:t>subsection in section</w:t>
      </w:r>
      <w:r w:rsidR="00262F70">
        <w:t xml:space="preserve"> </w:t>
      </w:r>
      <w:r w:rsidR="00262F70">
        <w:fldChar w:fldCharType="begin"/>
      </w:r>
      <w:r w:rsidR="00262F70">
        <w:instrText xml:space="preserve"> REF _Ref430958591 \r \h </w:instrText>
      </w:r>
      <w:r w:rsidR="00262F70">
        <w:fldChar w:fldCharType="separate"/>
      </w:r>
      <w:r w:rsidR="00BA2E8E">
        <w:t>3.4.1</w:t>
      </w:r>
      <w:r w:rsidR="00262F70">
        <w:fldChar w:fldCharType="end"/>
      </w:r>
      <w:r>
        <w:t>).</w:t>
      </w:r>
    </w:p>
    <w:p w:rsidR="001B6CF5" w:rsidRDefault="001B6CF5" w:rsidP="001B6CF5">
      <w:r>
        <w:t>SFG, Frontier, and Houston Kemp</w:t>
      </w:r>
      <w:r w:rsidRPr="00C61D42">
        <w:t xml:space="preserve"> submitted it is not possible to have proper regard to the Black CAPM without estimating it</w:t>
      </w:r>
      <w:r>
        <w:t>, and that we have essentially computed an unspecified estimate of the zero-beta premium</w:t>
      </w:r>
      <w:r w:rsidRPr="00C61D42">
        <w:t>.</w:t>
      </w:r>
      <w:r w:rsidRPr="00C61D42">
        <w:rPr>
          <w:rStyle w:val="FootnoteReference"/>
        </w:rPr>
        <w:footnoteReference w:id="762"/>
      </w:r>
      <w:r>
        <w:t xml:space="preserve"> We do not consider that the Black CAPM can be reliably estimated, and therefore consider that proper regard to the model requires that we do not place weight on estimates from the model and do not estimate the zero-beta premium.</w:t>
      </w:r>
    </w:p>
    <w:p w:rsidR="001B6CF5" w:rsidRDefault="001B6CF5" w:rsidP="001B6CF5">
      <w:r>
        <w:t xml:space="preserve">HoustonKemp submitted that we </w:t>
      </w:r>
      <w:r w:rsidRPr="002D59BA">
        <w:t>adjust upwards an estimate of 0.55 – the midpoint of the</w:t>
      </w:r>
      <w:r>
        <w:t xml:space="preserve"> </w:t>
      </w:r>
      <w:r w:rsidRPr="002D59BA">
        <w:t>range of 0.4 to 0.7 – to 0.7</w:t>
      </w:r>
      <w:r>
        <w:t xml:space="preserve"> by placing</w:t>
      </w:r>
      <w:r w:rsidRPr="002D59BA">
        <w:t xml:space="preserve"> a weight of two thirds on an</w:t>
      </w:r>
      <w:r>
        <w:t xml:space="preserve"> </w:t>
      </w:r>
      <w:r w:rsidRPr="002D59BA">
        <w:t>unadjusted estimate of beta</w:t>
      </w:r>
      <w:r>
        <w:t xml:space="preserve"> (0.55)</w:t>
      </w:r>
      <w:r w:rsidRPr="002D59BA">
        <w:t xml:space="preserve"> and one third on one.</w:t>
      </w:r>
      <w:r>
        <w:rPr>
          <w:rStyle w:val="FootnoteReference"/>
        </w:rPr>
        <w:footnoteReference w:id="763"/>
      </w:r>
      <w:r>
        <w:t xml:space="preserve"> </w:t>
      </w:r>
    </w:p>
    <w:p w:rsidR="001B6CF5" w:rsidRPr="0092561B" w:rsidRDefault="001B6CF5" w:rsidP="001B6CF5">
      <w:pPr>
        <w:rPr>
          <w:rStyle w:val="AERbody"/>
        </w:rPr>
      </w:pPr>
      <w:r w:rsidRPr="0092561B">
        <w:rPr>
          <w:rStyle w:val="AERbody"/>
        </w:rPr>
        <w:t>We note that our equity beta estimate of 0.7 is informed by a range of relevant evidence</w:t>
      </w:r>
      <w:r w:rsidRPr="0092561B">
        <w:rPr>
          <w:rStyle w:val="FootnoteReference"/>
        </w:rPr>
        <w:footnoteReference w:id="764"/>
      </w:r>
      <w:r w:rsidRPr="0092561B">
        <w:rPr>
          <w:rStyle w:val="AERbody"/>
        </w:rPr>
        <w:t xml:space="preserve"> and based on exercise of our regulatory judgment. It is not determined in any mechanistic manner as suggested by HoustonKemp. </w:t>
      </w:r>
    </w:p>
    <w:p w:rsidR="001B6CF5" w:rsidRDefault="001B6CF5" w:rsidP="001B6CF5">
      <w:pPr>
        <w:pStyle w:val="ListParagraph"/>
        <w:numPr>
          <w:ilvl w:val="0"/>
          <w:numId w:val="24"/>
        </w:numPr>
      </w:pPr>
      <w:r>
        <w:t xml:space="preserve">In its June 2015 and January 2016 reports, </w:t>
      </w:r>
      <w:r w:rsidRPr="00EB6387">
        <w:t xml:space="preserve">Frontier </w:t>
      </w:r>
      <w:r>
        <w:t>maintained its disagreement</w:t>
      </w:r>
      <w:r w:rsidRPr="00EB6387">
        <w:t xml:space="preserve"> with our use of the theory underlying the Black CAPM to inform the equity beta point estimate.</w:t>
      </w:r>
      <w:r w:rsidRPr="00EB6387">
        <w:rPr>
          <w:rStyle w:val="FootnoteReference"/>
        </w:rPr>
        <w:footnoteReference w:id="765"/>
      </w:r>
      <w:r w:rsidRPr="00EB6387">
        <w:t xml:space="preserve"> We do not consider </w:t>
      </w:r>
      <w:r>
        <w:t>that Frontier</w:t>
      </w:r>
      <w:r w:rsidRPr="00EB6387">
        <w:t xml:space="preserve"> have raised any substantive new evidence to support their views. Therefore, we maintain the position and reasoning set out above.</w:t>
      </w:r>
    </w:p>
    <w:p w:rsidR="001B6CF5" w:rsidRPr="00F143C8" w:rsidRDefault="001B6CF5" w:rsidP="001B6CF5">
      <w:pPr>
        <w:pStyle w:val="ListParagraph"/>
        <w:numPr>
          <w:ilvl w:val="0"/>
          <w:numId w:val="24"/>
        </w:numPr>
      </w:pPr>
      <w:r w:rsidRPr="00F143C8">
        <w:t xml:space="preserve">The </w:t>
      </w:r>
      <w:r w:rsidR="008D609E">
        <w:t>Consumer Challenge Panel</w:t>
      </w:r>
      <w:r w:rsidRPr="00F143C8">
        <w:t xml:space="preserve"> agreed with our view on </w:t>
      </w:r>
      <w:r>
        <w:t xml:space="preserve">the difficulties with </w:t>
      </w:r>
      <w:r w:rsidRPr="00F143C8">
        <w:t>empirically implementing the Black CAPM. However, it disagreed with our use of the theory underlying the Black CAPM to inform the equity beta point estimate.</w:t>
      </w:r>
      <w:r w:rsidRPr="00F143C8">
        <w:rPr>
          <w:rStyle w:val="FootnoteReference"/>
        </w:rPr>
        <w:footnoteReference w:id="766"/>
      </w:r>
      <w:r w:rsidRPr="00F143C8">
        <w:t xml:space="preserve"> The </w:t>
      </w:r>
      <w:r w:rsidR="008D609E">
        <w:t>Consumer Challenge Panel</w:t>
      </w:r>
      <w:r w:rsidRPr="00F143C8">
        <w:t xml:space="preserve"> stated:</w:t>
      </w:r>
      <w:r w:rsidRPr="00F143C8">
        <w:rPr>
          <w:rStyle w:val="FootnoteReference"/>
        </w:rPr>
        <w:footnoteReference w:id="767"/>
      </w:r>
    </w:p>
    <w:p w:rsidR="001B6CF5" w:rsidRPr="00F143C8" w:rsidRDefault="001B6CF5" w:rsidP="001B6CF5">
      <w:pPr>
        <w:pStyle w:val="AERquote"/>
      </w:pPr>
      <w:r w:rsidRPr="00F143C8">
        <w:t>We have discussed our concerns with the Black CAPM above and do not consider it is an appropriate basis for the AER to select an equity beta that is higher than the median of the empirical observations.</w:t>
      </w:r>
    </w:p>
    <w:p w:rsidR="001B6CF5" w:rsidRDefault="001B6CF5" w:rsidP="001B6CF5">
      <w:pPr>
        <w:pStyle w:val="ListParagraph"/>
        <w:numPr>
          <w:ilvl w:val="0"/>
          <w:numId w:val="24"/>
        </w:numPr>
      </w:pPr>
      <w:r w:rsidRPr="00F143C8">
        <w:t xml:space="preserve">We consider the </w:t>
      </w:r>
      <w:r w:rsidR="008D609E">
        <w:t>Consumer Challenge Panel's</w:t>
      </w:r>
      <w:r w:rsidRPr="00F143C8">
        <w:t xml:space="preserve"> submission merely reflects a difference in opinion on the usefulness of qualitative evidence from one model to inform a parameter estimate in another model.</w:t>
      </w:r>
      <w:r w:rsidRPr="00F143C8">
        <w:rPr>
          <w:rStyle w:val="FootnoteReference"/>
        </w:rPr>
        <w:footnoteReference w:id="768"/>
      </w:r>
      <w:r w:rsidRPr="00F143C8">
        <w:t xml:space="preserve"> We note that the theory of the Black CAPM was only one factor that informed our equity beta point estimate.</w:t>
      </w:r>
    </w:p>
    <w:p w:rsidR="001B6CF5" w:rsidRPr="001B6CF5" w:rsidRDefault="001B6CF5" w:rsidP="008D609E">
      <w:r>
        <w:t xml:space="preserve">In submissions </w:t>
      </w:r>
      <w:r w:rsidRPr="001B6CF5">
        <w:t xml:space="preserve">on </w:t>
      </w:r>
      <w:r w:rsidR="008D609E">
        <w:t>service providers' proposals</w:t>
      </w:r>
      <w:r w:rsidRPr="001B6CF5">
        <w:t>, there was broad agreement from consumer groups on the application of our foundation model approach as set out in our Guideline.</w:t>
      </w:r>
      <w:r w:rsidRPr="001B6CF5">
        <w:rPr>
          <w:rStyle w:val="FootnoteReference"/>
        </w:rPr>
        <w:footnoteReference w:id="769"/>
      </w:r>
      <w:r w:rsidRPr="001B6CF5">
        <w:t xml:space="preserve"> We consider that this refers to the Guideline in its entirety, including our role for the theory of the Black CAPM.</w:t>
      </w:r>
    </w:p>
    <w:p w:rsidR="001B6CF5" w:rsidRDefault="001B6CF5" w:rsidP="001B6CF5">
      <w:pPr>
        <w:pStyle w:val="Heading8"/>
      </w:pPr>
      <w:bookmarkStart w:id="203" w:name="_Ref449007420"/>
      <w:bookmarkStart w:id="204" w:name="_Toc451678639"/>
      <w:r>
        <w:t>Fama-French model</w:t>
      </w:r>
      <w:bookmarkEnd w:id="203"/>
      <w:bookmarkEnd w:id="204"/>
    </w:p>
    <w:p w:rsidR="001B6CF5" w:rsidRPr="001562D4" w:rsidRDefault="001B6CF5" w:rsidP="001B6CF5">
      <w:pPr>
        <w:numPr>
          <w:ilvl w:val="0"/>
          <w:numId w:val="24"/>
        </w:numPr>
      </w:pPr>
      <w:r w:rsidRPr="001562D4">
        <w:t xml:space="preserve">The </w:t>
      </w:r>
      <w:r>
        <w:t>Fama-French model</w:t>
      </w:r>
      <w:r w:rsidRPr="001562D4">
        <w:t xml:space="preserve"> is a three factor model of asset returns.</w:t>
      </w:r>
      <w:r w:rsidRPr="001562D4">
        <w:rPr>
          <w:rStyle w:val="FootnoteReference"/>
        </w:rPr>
        <w:footnoteReference w:id="770"/>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771"/>
      </w:r>
    </w:p>
    <w:p w:rsidR="001B6CF5" w:rsidRPr="006C4D93" w:rsidRDefault="001B6CF5" w:rsidP="001B6CF5">
      <w:pPr>
        <w:pStyle w:val="AERbulletlistfirststyle"/>
      </w:pPr>
      <w:r w:rsidRPr="001562D4">
        <w:t>the return on the market (thus it incorporates the CAPM</w:t>
      </w:r>
      <w:r w:rsidRPr="006C4D93">
        <w:t>'s systematic risk factor by having  the return on the market as a factor)</w:t>
      </w:r>
    </w:p>
    <w:p w:rsidR="001B6CF5" w:rsidRPr="006C4D93" w:rsidRDefault="001B6CF5" w:rsidP="001B6CF5">
      <w:pPr>
        <w:pStyle w:val="AERbulletlistfirststyle"/>
      </w:pPr>
      <w:r w:rsidRPr="001562D4">
        <w:t>firm size (measured by market capitalisation)</w:t>
      </w:r>
    </w:p>
    <w:p w:rsidR="001B6CF5" w:rsidRPr="006C4D93" w:rsidRDefault="001B6CF5" w:rsidP="001B6CF5">
      <w:pPr>
        <w:pStyle w:val="AERbulletlistfirststyle"/>
      </w:pPr>
      <w:r w:rsidRPr="001562D4">
        <w:t>the ratio of book value to market value</w:t>
      </w:r>
      <w:r w:rsidRPr="006C4D93">
        <w:t>.</w:t>
      </w:r>
    </w:p>
    <w:p w:rsidR="001B6CF5" w:rsidRDefault="001B6CF5" w:rsidP="001B6CF5">
      <w:pPr>
        <w:numPr>
          <w:ilvl w:val="0"/>
          <w:numId w:val="24"/>
        </w:numPr>
      </w:pPr>
      <w:r>
        <w:t>We have reviewed all the material submitted to us</w:t>
      </w:r>
      <w:r>
        <w:rPr>
          <w:rStyle w:val="FootnoteReference"/>
        </w:rPr>
        <w:footnoteReference w:id="772"/>
      </w:r>
      <w:r>
        <w:t xml:space="preserve"> on the Fama-French model and decided to give the model no role in informing our return on equity estimate (either directly or through informing parameter estimates). We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773"/>
      </w:r>
      <w:r w:rsidRPr="002E1BC3">
        <w:rPr>
          <w:rStyle w:val="FootnoteReference"/>
        </w:rPr>
        <w:t xml:space="preserve"> </w:t>
      </w:r>
      <w:r w:rsidRPr="001562D4">
        <w:t>We do not consider</w:t>
      </w:r>
      <w:r>
        <w:t xml:space="preserve"> that using the Fama-French model</w:t>
      </w:r>
      <w:r w:rsidRPr="001562D4">
        <w:t xml:space="preserve"> will result in a </w:t>
      </w:r>
      <w:r>
        <w:t>return on equity</w:t>
      </w:r>
      <w:r w:rsidRPr="001562D4">
        <w:t xml:space="preserve"> </w:t>
      </w:r>
      <w:r>
        <w:t>commensurate with the efficient financing costs given the risk of CitiPower's regulated services</w:t>
      </w:r>
      <w:r w:rsidRPr="001562D4">
        <w:t xml:space="preserve">. </w:t>
      </w:r>
    </w:p>
    <w:p w:rsidR="001B6CF5" w:rsidRPr="001562D4" w:rsidRDefault="001B6CF5" w:rsidP="001B6CF5">
      <w:pPr>
        <w:numPr>
          <w:ilvl w:val="0"/>
          <w:numId w:val="24"/>
        </w:numPr>
      </w:pPr>
      <w:r>
        <w:t>Our</w:t>
      </w:r>
      <w:r w:rsidRPr="001562D4">
        <w:t xml:space="preserve"> reasons for giving the </w:t>
      </w:r>
      <w:r>
        <w:t>Fama-French model</w:t>
      </w:r>
      <w:r w:rsidRPr="001562D4">
        <w:t xml:space="preserve"> no role </w:t>
      </w:r>
      <w:r>
        <w:t>are:</w:t>
      </w:r>
    </w:p>
    <w:p w:rsidR="001B6CF5" w:rsidRPr="006C4D93" w:rsidRDefault="001B6CF5" w:rsidP="001B6CF5">
      <w:pPr>
        <w:pStyle w:val="AERbulletlistfirststyle"/>
      </w:pPr>
      <w:r>
        <w:t>E</w:t>
      </w:r>
      <w:r w:rsidRPr="006C4D93">
        <w:t xml:space="preserve">mpirical implementation of the </w:t>
      </w:r>
      <w:r>
        <w:t>Fama-French model</w:t>
      </w:r>
      <w:r w:rsidRPr="006C4D93">
        <w:t xml:space="preserve"> is relatively complex and opaque</w:t>
      </w:r>
      <w:r>
        <w:t>, with no apparent consensus on the factors to be included or the construction of portfolios for the factors</w:t>
      </w:r>
      <w:r w:rsidRPr="006C4D93">
        <w:t xml:space="preserve">. </w:t>
      </w:r>
      <w:r>
        <w:t>Its</w:t>
      </w:r>
      <w:r w:rsidRPr="006C4D93">
        <w:t xml:space="preserve"> estimates are sensitive to the chosen estimation period and methodological assumptions.</w:t>
      </w:r>
    </w:p>
    <w:p w:rsidR="001B6CF5" w:rsidRPr="006C4D93" w:rsidRDefault="001B6CF5" w:rsidP="001B6CF5">
      <w:pPr>
        <w:pStyle w:val="AERbulletlistfirststyle"/>
      </w:pPr>
      <w:r>
        <w:t>T</w:t>
      </w:r>
      <w:r w:rsidRPr="006C4D93">
        <w:t>he ex-post (backward looking) observation of apparently priced risk factors does not mean these factors are priced ex-ante (on a forward looking basis).</w:t>
      </w:r>
    </w:p>
    <w:p w:rsidR="001B6CF5" w:rsidRPr="006C4D93" w:rsidRDefault="001B6CF5" w:rsidP="001B6CF5">
      <w:pPr>
        <w:pStyle w:val="AERbulletlistfirststyle"/>
      </w:pPr>
      <w:r>
        <w:t>T</w:t>
      </w:r>
      <w:r w:rsidRPr="006C4D93">
        <w:t xml:space="preserve">here is a lack of </w:t>
      </w:r>
      <w:r>
        <w:t xml:space="preserve">agreed-upon </w:t>
      </w:r>
      <w:r w:rsidRPr="006C4D93">
        <w:t>theoretical foundation for the factors and the ins</w:t>
      </w:r>
      <w:r>
        <w:t>tability of parameter estimates</w:t>
      </w:r>
      <w:r w:rsidRPr="006C4D93">
        <w:t>.</w:t>
      </w:r>
      <w:r>
        <w:t xml:space="preserve"> This may be a contributing factor to the lack of consensus on the empirical implementation of the Fama-French model. It also increases the </w:t>
      </w:r>
      <w:r w:rsidR="008D609E">
        <w:t>difficulty</w:t>
      </w:r>
      <w:r>
        <w:t xml:space="preserve"> associated with ascertaining whether the ex post observation of apparently priced risk factors are priced ex ante.</w:t>
      </w:r>
      <w:r w:rsidRPr="00EB5930">
        <w:rPr>
          <w:rStyle w:val="FootnoteReference"/>
        </w:rPr>
        <w:t xml:space="preserve"> </w:t>
      </w:r>
      <w:r>
        <w:rPr>
          <w:rStyle w:val="FootnoteReference"/>
        </w:rPr>
        <w:footnoteReference w:id="774"/>
      </w:r>
    </w:p>
    <w:p w:rsidR="001B6CF5" w:rsidRPr="006C4D93" w:rsidRDefault="001B6CF5" w:rsidP="001B6CF5">
      <w:pPr>
        <w:pStyle w:val="AERbulletlistfirststyle"/>
      </w:pPr>
      <w:r>
        <w:t>T</w:t>
      </w:r>
      <w:r w:rsidRPr="006C4D93">
        <w:t xml:space="preserve">here is little evidence of companies or regulators using the </w:t>
      </w:r>
      <w:r>
        <w:t>Fama-French model</w:t>
      </w:r>
      <w:r w:rsidRPr="006C4D93">
        <w:t xml:space="preserve"> to estimate the return on equity.</w:t>
      </w:r>
      <w:r>
        <w:rPr>
          <w:rStyle w:val="FootnoteReference"/>
        </w:rPr>
        <w:footnoteReference w:id="775"/>
      </w:r>
    </w:p>
    <w:p w:rsidR="001B6CF5" w:rsidRDefault="001B6CF5" w:rsidP="001B6CF5">
      <w:pPr>
        <w:numPr>
          <w:ilvl w:val="0"/>
          <w:numId w:val="24"/>
        </w:numPr>
      </w:pPr>
      <w:r>
        <w:t>T</w:t>
      </w:r>
      <w:r w:rsidRPr="001562D4">
        <w:t>here is no single correct application</w:t>
      </w:r>
      <w:r>
        <w:t xml:space="preserve"> of the Fama-French model</w:t>
      </w:r>
      <w:r w:rsidRPr="001562D4">
        <w:t xml:space="preserve">. </w:t>
      </w:r>
      <w:r>
        <w:t>T</w:t>
      </w:r>
      <w:r w:rsidRPr="001562D4">
        <w:t xml:space="preserve">here are numerous specifications of the </w:t>
      </w:r>
      <w:r w:rsidR="008D609E">
        <w:t>model</w:t>
      </w:r>
      <w:r>
        <w:t xml:space="preserve"> that produce</w:t>
      </w:r>
      <w:r w:rsidRPr="001562D4">
        <w:t xml:space="preserve"> different estimates of the </w:t>
      </w:r>
      <w:r>
        <w:t>return on equity. The lack of consensus on both the relevant factors and methodological choices is likely to increase the sensitivity of the model to such choices, reducing the reliability of the model and increasing the potential for bias. 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a business with a similar degree of risk as CitiPower in providing regulated services,</w:t>
      </w:r>
      <w:r w:rsidRPr="001562D4">
        <w:t xml:space="preserve"> even if they were capable of estimating required returns for the</w:t>
      </w:r>
      <w:r>
        <w:t xml:space="preserve"> average firm.</w:t>
      </w:r>
      <w:r w:rsidRPr="00405B65">
        <w:t xml:space="preserve"> </w:t>
      </w:r>
      <w:r>
        <w:t>We set out these issues in more detail in the subsections below.</w:t>
      </w:r>
    </w:p>
    <w:p w:rsidR="001B6CF5" w:rsidRPr="001562D4" w:rsidRDefault="001B6CF5" w:rsidP="001B6CF5">
      <w:pPr>
        <w:numPr>
          <w:ilvl w:val="0"/>
          <w:numId w:val="24"/>
        </w:numPr>
      </w:pPr>
      <w:r>
        <w:t xml:space="preserve">McKenzie and Partington have also previously </w:t>
      </w:r>
      <w:r w:rsidRPr="001562D4">
        <w:t>support</w:t>
      </w:r>
      <w:r>
        <w:t>ed</w:t>
      </w:r>
      <w:r w:rsidRPr="001562D4">
        <w:t xml:space="preserve"> our decision to not use the model.</w:t>
      </w:r>
      <w:r w:rsidRPr="001562D4">
        <w:rPr>
          <w:rStyle w:val="FootnoteReference"/>
        </w:rPr>
        <w:footnoteReference w:id="776"/>
      </w:r>
      <w:r>
        <w:t xml:space="preserve"> We consider Handley's comments on the model also support our decision to not use the </w:t>
      </w:r>
      <w:r w:rsidR="008D609E">
        <w:t>Fame-French model</w:t>
      </w:r>
      <w:r>
        <w:t>.</w:t>
      </w:r>
      <w:r>
        <w:rPr>
          <w:rStyle w:val="FootnoteReference"/>
        </w:rPr>
        <w:footnoteReference w:id="777"/>
      </w:r>
    </w:p>
    <w:p w:rsidR="001B6CF5" w:rsidRDefault="001B6CF5" w:rsidP="001B6CF5">
      <w:r w:rsidRPr="000A3A91">
        <w:t>The E</w:t>
      </w:r>
      <w:r>
        <w:t xml:space="preserve">nergy </w:t>
      </w:r>
      <w:r w:rsidRPr="000A3A91">
        <w:t>C</w:t>
      </w:r>
      <w:r>
        <w:t xml:space="preserve">onsumers </w:t>
      </w:r>
      <w:r w:rsidRPr="000A3A91">
        <w:t>C</w:t>
      </w:r>
      <w:r>
        <w:t xml:space="preserve">oalition of </w:t>
      </w:r>
      <w:r w:rsidRPr="000A3A91">
        <w:t>S</w:t>
      </w:r>
      <w:r>
        <w:t xml:space="preserve">outh </w:t>
      </w:r>
      <w:r w:rsidRPr="000A3A91">
        <w:t>A</w:t>
      </w:r>
      <w:r>
        <w:t>ustralia (ECCSA)</w:t>
      </w:r>
      <w:r w:rsidRPr="000A3A91">
        <w:t xml:space="preserve"> agree</w:t>
      </w:r>
      <w:r>
        <w:t>d</w:t>
      </w:r>
      <w:r w:rsidRPr="000A3A91">
        <w:t xml:space="preserve"> </w:t>
      </w:r>
      <w:r>
        <w:t>with the role we assign to</w:t>
      </w:r>
      <w:r w:rsidRPr="000A3A91">
        <w:t xml:space="preserve"> the Fama–French model</w:t>
      </w:r>
      <w:r>
        <w:t>. ECCSA</w:t>
      </w:r>
      <w:r w:rsidRPr="000A3A91">
        <w:t xml:space="preserve"> </w:t>
      </w:r>
      <w:r>
        <w:t xml:space="preserve">rejected </w:t>
      </w:r>
      <w:r w:rsidRPr="000A3A91">
        <w:t>the associated proposal by the</w:t>
      </w:r>
      <w:r>
        <w:t xml:space="preserve"> </w:t>
      </w:r>
      <w:r w:rsidRPr="000A3A91">
        <w:t>networks to use multiple models to assess the outcomes then weighting</w:t>
      </w:r>
      <w:r>
        <w:t xml:space="preserve"> </w:t>
      </w:r>
      <w:r w:rsidRPr="000A3A91">
        <w:t>these models to arrive at a point estimate.</w:t>
      </w:r>
      <w:r>
        <w:rPr>
          <w:rStyle w:val="FootnoteReference"/>
        </w:rPr>
        <w:footnoteReference w:id="778"/>
      </w:r>
      <w:r>
        <w:t xml:space="preserve"> </w:t>
      </w:r>
    </w:p>
    <w:p w:rsidR="001B6CF5" w:rsidRDefault="001B6CF5" w:rsidP="001B6CF5">
      <w:r>
        <w:t>The Consumer Challenge P</w:t>
      </w:r>
      <w:r w:rsidRPr="001562D4">
        <w:t>anel</w:t>
      </w:r>
      <w:r>
        <w:t xml:space="preserve"> was</w:t>
      </w:r>
      <w:r w:rsidRPr="001562D4">
        <w:t xml:space="preserve"> </w:t>
      </w:r>
      <w:r>
        <w:t xml:space="preserve">also unconvinced by arguments from the various service providers for the AER to use models other than the Sharpe-Lintner CAPM for estimating the cost of equity. The </w:t>
      </w:r>
      <w:r w:rsidR="008D609E">
        <w:t>Consumer Challenge P</w:t>
      </w:r>
      <w:r w:rsidR="008D609E" w:rsidRPr="001562D4">
        <w:t>anel</w:t>
      </w:r>
      <w:r w:rsidR="008D609E">
        <w:t xml:space="preserve"> </w:t>
      </w:r>
      <w:r>
        <w:t>considered that these alternative models are currently not being utilized by academics nor valuation practitioners.</w:t>
      </w:r>
      <w:r>
        <w:rPr>
          <w:rStyle w:val="FootnoteReference"/>
        </w:rPr>
        <w:footnoteReference w:id="779"/>
      </w:r>
      <w:r>
        <w:t xml:space="preserve"> Similarly, t</w:t>
      </w:r>
      <w:r w:rsidRPr="006B4511">
        <w:t xml:space="preserve">he Victorian Energy Consumer and User Alliance </w:t>
      </w:r>
      <w:r>
        <w:t xml:space="preserve">(VECUA) </w:t>
      </w:r>
      <w:r w:rsidRPr="006B4511">
        <w:t>consider</w:t>
      </w:r>
      <w:r>
        <w:t>ed</w:t>
      </w:r>
      <w:r w:rsidRPr="006B4511">
        <w:t xml:space="preserve"> that </w:t>
      </w:r>
      <w:r>
        <w:t>our</w:t>
      </w:r>
      <w:r w:rsidRPr="006B4511">
        <w:t xml:space="preserve"> approach to estimating return on equity is more appropriate than the distribut</w:t>
      </w:r>
      <w:r>
        <w:t>or</w:t>
      </w:r>
      <w:r w:rsidRPr="006B4511">
        <w:t>s' proposed approaches that adopt weighted averages of different return on equity models</w:t>
      </w:r>
      <w:r>
        <w:t>. T</w:t>
      </w:r>
      <w:r w:rsidRPr="006B4511">
        <w:t>hese proposed departures have not been subjected to any rigorous analysis or stakeholder consultation.</w:t>
      </w:r>
      <w:r w:rsidRPr="006B4511">
        <w:rPr>
          <w:rStyle w:val="FootnoteReference"/>
        </w:rPr>
        <w:footnoteReference w:id="780"/>
      </w:r>
      <w:r>
        <w:t xml:space="preserve"> </w:t>
      </w:r>
    </w:p>
    <w:p w:rsidR="001B6CF5" w:rsidRDefault="008D609E" w:rsidP="001B6CF5">
      <w:pPr>
        <w:numPr>
          <w:ilvl w:val="0"/>
          <w:numId w:val="24"/>
        </w:numPr>
      </w:pPr>
      <w:r>
        <w:t>Service providers</w:t>
      </w:r>
      <w:r w:rsidR="001B6CF5" w:rsidRPr="001562D4">
        <w:t xml:space="preserve"> responded to </w:t>
      </w:r>
      <w:r w:rsidR="001B6CF5">
        <w:t xml:space="preserve">our </w:t>
      </w:r>
      <w:r w:rsidR="001B6CF5" w:rsidRPr="001562D4">
        <w:t>rea</w:t>
      </w:r>
      <w:r w:rsidR="001B6CF5">
        <w:t>sons for giving the Fama-French model no role, submitting that:</w:t>
      </w:r>
      <w:r w:rsidR="001B6CF5">
        <w:rPr>
          <w:rStyle w:val="FootnoteReference"/>
        </w:rPr>
        <w:footnoteReference w:id="781"/>
      </w:r>
      <w:r w:rsidR="001B6CF5">
        <w:t xml:space="preserve"> </w:t>
      </w:r>
    </w:p>
    <w:p w:rsidR="001B6CF5" w:rsidRDefault="001B6CF5" w:rsidP="001B6CF5">
      <w:pPr>
        <w:pStyle w:val="AERbulletlistfirststyle"/>
      </w:pPr>
      <w:r>
        <w:t>The Fama-French model performs better than the Sharpe-Lintner CAPM.</w:t>
      </w:r>
      <w:r>
        <w:rPr>
          <w:rStyle w:val="FootnoteReference"/>
        </w:rPr>
        <w:footnoteReference w:id="782"/>
      </w:r>
    </w:p>
    <w:p w:rsidR="001B6CF5" w:rsidRDefault="001B6CF5" w:rsidP="001B6CF5">
      <w:pPr>
        <w:pStyle w:val="AERbulletlistfirststyle"/>
      </w:pPr>
      <w:r>
        <w:t>All models requiring parameter estimates are sensitive to those estimates, including the Sharpe-Lintner CAPM, and the Fama-French model is not materially more sensitive to input choices than the Sharpe-Lintner CAPM.</w:t>
      </w:r>
    </w:p>
    <w:p w:rsidR="001B6CF5" w:rsidRPr="008166A1" w:rsidRDefault="001B6CF5" w:rsidP="001B6CF5">
      <w:pPr>
        <w:pStyle w:val="AERbulletlistfirststyle"/>
        <w:rPr>
          <w:rStyle w:val="AERbody"/>
        </w:rPr>
      </w:pPr>
      <w:r w:rsidRPr="008166A1">
        <w:rPr>
          <w:rStyle w:val="AERbody"/>
        </w:rPr>
        <w:t xml:space="preserve">HoustonKemp noted that the </w:t>
      </w:r>
      <w:r>
        <w:rPr>
          <w:rStyle w:val="AERbody"/>
        </w:rPr>
        <w:t>Fama-French model</w:t>
      </w:r>
      <w:r w:rsidRPr="008166A1">
        <w:rPr>
          <w:rStyle w:val="AERbody"/>
        </w:rPr>
        <w:t xml:space="preserve"> was developed to address mis-pricing on low-cap and value stocks.</w:t>
      </w:r>
      <w:r w:rsidRPr="008166A1">
        <w:rPr>
          <w:rStyle w:val="FootnoteReference"/>
        </w:rPr>
        <w:footnoteReference w:id="783"/>
      </w:r>
      <w:r w:rsidRPr="008166A1">
        <w:rPr>
          <w:rStyle w:val="AERbody"/>
        </w:rPr>
        <w:t xml:space="preserve"> </w:t>
      </w:r>
    </w:p>
    <w:p w:rsidR="001B6CF5" w:rsidRPr="008166A1" w:rsidRDefault="001B6CF5" w:rsidP="001B6CF5">
      <w:pPr>
        <w:pStyle w:val="ListParagraph"/>
        <w:numPr>
          <w:ilvl w:val="0"/>
          <w:numId w:val="24"/>
        </w:numPr>
        <w:rPr>
          <w:rStyle w:val="AERtexthighlight"/>
        </w:rPr>
      </w:pPr>
      <w:r w:rsidRPr="008166A1">
        <w:rPr>
          <w:rStyle w:val="AERbody"/>
        </w:rPr>
        <w:t>HoustonKemp submitted that, in examining the performance of a five factor model, Fama and French do not suggest that they consider the three-factor model to provide estimates of the returns required on equities to be inferior to those produced by the S</w:t>
      </w:r>
      <w:r>
        <w:rPr>
          <w:rStyle w:val="AERbody"/>
        </w:rPr>
        <w:t>harpe-Lintner</w:t>
      </w:r>
      <w:r w:rsidRPr="008166A1">
        <w:rPr>
          <w:rStyle w:val="AERbody"/>
        </w:rPr>
        <w:t xml:space="preserve"> CAPM.</w:t>
      </w:r>
      <w:r w:rsidRPr="008166A1">
        <w:rPr>
          <w:rStyle w:val="FootnoteReference"/>
        </w:rPr>
        <w:footnoteReference w:id="784"/>
      </w:r>
      <w:r w:rsidRPr="008166A1">
        <w:rPr>
          <w:rStyle w:val="AERbody"/>
        </w:rPr>
        <w:t xml:space="preserve"> </w:t>
      </w:r>
    </w:p>
    <w:p w:rsidR="001B6CF5" w:rsidRDefault="001B6CF5" w:rsidP="001B6CF5">
      <w:pPr>
        <w:pStyle w:val="ListParagraph"/>
        <w:numPr>
          <w:ilvl w:val="0"/>
          <w:numId w:val="24"/>
        </w:numPr>
      </w:pPr>
      <w:r>
        <w:t xml:space="preserve">We are not satisfied with these arguments. </w:t>
      </w:r>
      <w:r w:rsidRPr="006F34DC">
        <w:t xml:space="preserve">Partington and Satchell's latest report </w:t>
      </w:r>
      <w:r>
        <w:t>also advised against using the Fama-French model:</w:t>
      </w:r>
      <w:r>
        <w:rPr>
          <w:rStyle w:val="FootnoteReference"/>
        </w:rPr>
        <w:footnoteReference w:id="785"/>
      </w:r>
    </w:p>
    <w:p w:rsidR="001B6CF5" w:rsidRPr="006F34DC" w:rsidRDefault="001B6CF5" w:rsidP="001B6CF5">
      <w:pPr>
        <w:pStyle w:val="AERquote"/>
      </w:pPr>
      <w:r w:rsidRPr="006F34DC">
        <w:t>'</w:t>
      </w:r>
      <w:r>
        <w:t xml:space="preserve">one reason why </w:t>
      </w:r>
      <w:r w:rsidRPr="006F34DC">
        <w:t xml:space="preserve">regulators should be wary of the Fama-French approach is that there is considerable possible variation in the ways these factors can be constructed, which is one of the reasons that these factors are favoured by the financial sector; they can be customised. Also, there is no theory attached to such a model; this has the implication that we do not really know if these factors represent risks, alpha opportunities, or behavioural anomalies. By contrast, the CAPM is a simple but self-contained theory of equilibrium pricing; the single factor, the market, is clearly identifiable as a risk factor and this makes it much harder to manipulate once we agree upon the market portfolio and the choice of riskless asset. </w:t>
      </w:r>
    </w:p>
    <w:p w:rsidR="001B6CF5" w:rsidRPr="001F02B3" w:rsidRDefault="001B6CF5" w:rsidP="001B6CF5">
      <w:pPr>
        <w:pStyle w:val="ListParagraph"/>
        <w:numPr>
          <w:ilvl w:val="0"/>
          <w:numId w:val="24"/>
        </w:numPr>
        <w:rPr>
          <w:rStyle w:val="AERbody"/>
        </w:rPr>
      </w:pPr>
      <w:r w:rsidRPr="001F02B3">
        <w:t>Further, Partington and Satchell noted that the Fama-French model is a model that that is still to gain acceptance in the world of practice and is also being increasingly questioned.</w:t>
      </w:r>
      <w:r w:rsidRPr="001F02B3">
        <w:rPr>
          <w:rStyle w:val="FootnoteReference"/>
        </w:rPr>
        <w:footnoteReference w:id="786"/>
      </w:r>
      <w:r w:rsidRPr="001F02B3">
        <w:t>. They advised that the model has not established itself in the role of estimating the cost of capital, it is increasingly being challenged and currently it is in a state of flux with Fama and French having moved on to a new model.</w:t>
      </w:r>
      <w:r w:rsidRPr="001F02B3">
        <w:rPr>
          <w:rStyle w:val="FootnoteReference"/>
        </w:rPr>
        <w:footnoteReference w:id="787"/>
      </w:r>
    </w:p>
    <w:p w:rsidR="001B6CF5" w:rsidRDefault="001B6CF5" w:rsidP="001B6CF5">
      <w:pPr>
        <w:numPr>
          <w:ilvl w:val="0"/>
          <w:numId w:val="24"/>
        </w:numPr>
      </w:pPr>
      <w:r>
        <w:t xml:space="preserve">We have discussed the relative empirical performance of the Sharpe-Lintner CAPM in section </w:t>
      </w:r>
      <w:r>
        <w:fldChar w:fldCharType="begin"/>
      </w:r>
      <w:r>
        <w:instrText xml:space="preserve"> REF _Ref445849366 \r \h </w:instrText>
      </w:r>
      <w:r>
        <w:fldChar w:fldCharType="separate"/>
      </w:r>
      <w:r w:rsidR="00BA2E8E">
        <w:t>B.1</w:t>
      </w:r>
      <w:r>
        <w:fldChar w:fldCharType="end"/>
      </w:r>
      <w:r>
        <w:t xml:space="preserve"> above. We set out our response to the other issues in the following sections.</w:t>
      </w:r>
    </w:p>
    <w:p w:rsidR="001B6CF5" w:rsidRPr="00B4711B" w:rsidRDefault="001B6CF5" w:rsidP="001B6CF5">
      <w:pPr>
        <w:pStyle w:val="Heading9"/>
      </w:pPr>
      <w:bookmarkStart w:id="205" w:name="_Toc451678640"/>
      <w:r>
        <w:t>Sensitivity to methodological choices</w:t>
      </w:r>
      <w:bookmarkEnd w:id="205"/>
    </w:p>
    <w:p w:rsidR="001B6CF5" w:rsidRDefault="001B6CF5" w:rsidP="001B6CF5">
      <w:pPr>
        <w:pStyle w:val="AERbulletlistfirststyle"/>
        <w:numPr>
          <w:ilvl w:val="0"/>
          <w:numId w:val="24"/>
        </w:numPr>
      </w:pPr>
      <w:r w:rsidRPr="00EE03E8">
        <w:t xml:space="preserve">There appears to be no consensus, and, indeed, nothing approaching a consensus, on the appropriate factors to use in factor modelling. </w:t>
      </w:r>
      <w:r w:rsidRPr="001562D4">
        <w:t>McKenzie and Partington</w:t>
      </w:r>
      <w:r>
        <w:t xml:space="preserve"> </w:t>
      </w:r>
      <w:r w:rsidRPr="001562D4">
        <w:t>highlight</w:t>
      </w:r>
      <w:r>
        <w:t xml:space="preserve">ed a vast array of models that add further factors to the Fama-French model.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788"/>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789"/>
      </w:r>
    </w:p>
    <w:p w:rsidR="001B6CF5" w:rsidRDefault="001B6CF5" w:rsidP="001B6CF5">
      <w:pPr>
        <w:numPr>
          <w:ilvl w:val="0"/>
          <w:numId w:val="24"/>
        </w:numPr>
      </w:pPr>
      <w:r>
        <w:t>In addition to the appropriate factors to us in the model, there appears to be no consensus on the methodological choices for constructing the portfolios to proxy the chosen factors.</w:t>
      </w:r>
      <w:r>
        <w:rPr>
          <w:rStyle w:val="FootnoteReference"/>
        </w:rPr>
        <w:footnoteReference w:id="790"/>
      </w:r>
      <w:r>
        <w:t xml:space="preserve"> This lack of consensus on both the relevant factors and methodological choices is likely to increase the sensitivity of the model to such choices, reducing the reliability of the model and increasing the potential for bias and regulatory gaming.</w:t>
      </w:r>
    </w:p>
    <w:p w:rsidR="001B6CF5" w:rsidRPr="00F17532" w:rsidRDefault="001B6CF5" w:rsidP="001B6CF5">
      <w:pPr>
        <w:pStyle w:val="ListParagraph"/>
        <w:numPr>
          <w:ilvl w:val="0"/>
          <w:numId w:val="24"/>
        </w:numPr>
      </w:pPr>
      <w:r w:rsidRPr="00F17532">
        <w:t>Partington and Satchell noted that the Fama-French model can be manipulated through varying the number of factors and their definitions to choose a form that is most favourable to certain arguments.</w:t>
      </w:r>
      <w:r w:rsidRPr="00F17532">
        <w:rPr>
          <w:rStyle w:val="FootnoteReference"/>
        </w:rPr>
        <w:footnoteReference w:id="791"/>
      </w:r>
      <w:r w:rsidRPr="00F17532">
        <w:t xml:space="preserve"> They noted that </w:t>
      </w:r>
      <w:r>
        <w:t xml:space="preserve">two </w:t>
      </w:r>
      <w:r w:rsidRPr="00F17532">
        <w:t>advantage</w:t>
      </w:r>
      <w:r>
        <w:t xml:space="preserve">s </w:t>
      </w:r>
      <w:r w:rsidRPr="00F17532">
        <w:t>of the S</w:t>
      </w:r>
      <w:r>
        <w:t xml:space="preserve">harpe-Lintner </w:t>
      </w:r>
      <w:r w:rsidRPr="00F17532">
        <w:t xml:space="preserve">CAPM </w:t>
      </w:r>
      <w:r>
        <w:t>are its parsimony and greater observability</w:t>
      </w:r>
      <w:r w:rsidRPr="00F17532">
        <w:t xml:space="preserve"> which reduces opportunities for cherry picking and also provides the opportunity for a relatively transparent implementation.</w:t>
      </w:r>
      <w:r w:rsidRPr="00F17532">
        <w:rPr>
          <w:rStyle w:val="FootnoteReference"/>
        </w:rPr>
        <w:footnoteReference w:id="792"/>
      </w:r>
    </w:p>
    <w:p w:rsidR="001B6CF5" w:rsidRPr="001562D4" w:rsidRDefault="001B6CF5" w:rsidP="001B6CF5">
      <w:pPr>
        <w:numPr>
          <w:ilvl w:val="0"/>
          <w:numId w:val="24"/>
        </w:numPr>
      </w:pPr>
      <w:r>
        <w:t>A</w:t>
      </w:r>
      <w:r w:rsidRPr="001562D4">
        <w:t xml:space="preserve"> recent study in the UK by Michou, Mouselli and Stark (2014)</w:t>
      </w:r>
      <w:r>
        <w:t xml:space="preserve"> supports </w:t>
      </w:r>
      <w:r w:rsidRPr="001562D4">
        <w:t>this conclusion.</w:t>
      </w:r>
      <w:r w:rsidRPr="001562D4">
        <w:rPr>
          <w:rStyle w:val="FootnoteReference"/>
        </w:rPr>
        <w:footnoteReference w:id="793"/>
      </w:r>
      <w:r>
        <w:t xml:space="preserve"> </w:t>
      </w:r>
      <w:r w:rsidRPr="001562D4">
        <w:t>A principal conclusion</w:t>
      </w:r>
      <w:r>
        <w:t xml:space="preserve"> of Michou, Mouselli and Stark wa</w:t>
      </w:r>
      <w:r w:rsidRPr="001562D4">
        <w:t xml:space="preserve">s that the results of the </w:t>
      </w:r>
      <w:r>
        <w:t>model</w:t>
      </w:r>
      <w:r w:rsidRPr="001562D4">
        <w:t xml:space="preserve">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794"/>
      </w:r>
      <w:r w:rsidRPr="001562D4">
        <w:t xml:space="preserve"> </w:t>
      </w:r>
      <w:r>
        <w:t>T</w:t>
      </w:r>
      <w:r w:rsidRPr="001562D4">
        <w:t>he Australian work of Brailsford, Guant and O'Brien (2012) note</w:t>
      </w:r>
      <w:r>
        <w:t>d that,</w:t>
      </w:r>
      <w:r w:rsidRPr="001562D4">
        <w:t xml:space="preserve"> </w:t>
      </w:r>
      <w:r>
        <w:t>regarding</w:t>
      </w:r>
      <w:r w:rsidRPr="001562D4">
        <w:t xml:space="preserve"> the </w:t>
      </w:r>
      <w:r>
        <w:t>Fama French model's</w:t>
      </w:r>
      <w:r w:rsidRPr="001562D4">
        <w:t xml:space="preserve"> specification choices</w:t>
      </w:r>
      <w:r>
        <w:t>,</w:t>
      </w:r>
      <w:r w:rsidRPr="001562D4">
        <w:t xml:space="preserve"> </w:t>
      </w:r>
      <w:r>
        <w:t>'</w:t>
      </w:r>
      <w:r w:rsidRPr="001562D4">
        <w:t>what appears to be relatively innocuous choices in portfolio construction can lead to substantially different conclusions</w:t>
      </w:r>
      <w:r>
        <w:t>'</w:t>
      </w:r>
      <w:r w:rsidRPr="001562D4">
        <w:t>.</w:t>
      </w:r>
      <w:r w:rsidRPr="001562D4">
        <w:rPr>
          <w:rStyle w:val="FootnoteReference"/>
        </w:rPr>
        <w:footnoteReference w:id="795"/>
      </w:r>
      <w:r>
        <w:t xml:space="preserve"> In contrast, we have a higher degree of confidence in our Sharpe-Lintner CAPM input parameters and resulting return on equity estimates.</w:t>
      </w:r>
    </w:p>
    <w:p w:rsidR="001B6CF5" w:rsidRDefault="001B6CF5" w:rsidP="001B6CF5">
      <w:pPr>
        <w:pStyle w:val="AERbulletlistfirststyle"/>
        <w:numPr>
          <w:ilvl w:val="0"/>
          <w:numId w:val="24"/>
        </w:numPr>
      </w:pPr>
      <w:r w:rsidRPr="00EE03E8">
        <w:t xml:space="preserve">Given the large range of potential factors used in factor modelling, as well as the contested and technical nature of this emerging body of research, we consider (at this time) factor modelling is </w:t>
      </w:r>
      <w:r>
        <w:t>unlikely to produce suitably reliable and unbiased estimates of the return on equity.</w:t>
      </w:r>
    </w:p>
    <w:p w:rsidR="001B6CF5" w:rsidRDefault="001B6CF5" w:rsidP="001B6CF5">
      <w:pPr>
        <w:pStyle w:val="AERbulletlistfirststyle"/>
        <w:numPr>
          <w:ilvl w:val="0"/>
          <w:numId w:val="24"/>
        </w:numPr>
      </w:pPr>
      <w:r>
        <w:t>SFG did not consider the Fama-French model complex to implement, as it simply required estimating three factors instead of the one factor in the Sharpe-Lintner CAPM.</w:t>
      </w:r>
      <w:r>
        <w:rPr>
          <w:rStyle w:val="FootnoteReference"/>
        </w:rPr>
        <w:footnoteReference w:id="796"/>
      </w:r>
      <w:r>
        <w:t xml:space="preserve"> We do not agree. We consider that there is a much greater degree of consensus among academics and market practitioners on the methods and data sources for estimating the market risk premium and equity beta than there is for estimating the size and value factors in the Fama-French model.</w:t>
      </w:r>
      <w:r>
        <w:rPr>
          <w:rStyle w:val="FootnoteReference"/>
        </w:rPr>
        <w:footnoteReference w:id="797"/>
      </w:r>
      <w:r>
        <w:t xml:space="preserve"> Further, estimating the market risk premium and equity beta in the Sharpe-Lintner CAPM has resulted in a large amount of material being submitted by service providers, consultants and consumer groups.</w:t>
      </w:r>
      <w:r>
        <w:rPr>
          <w:rStyle w:val="FootnoteReference"/>
        </w:rPr>
        <w:footnoteReference w:id="798"/>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1B6CF5" w:rsidRDefault="001B6CF5" w:rsidP="001B6CF5">
      <w:pPr>
        <w:numPr>
          <w:ilvl w:val="0"/>
          <w:numId w:val="24"/>
        </w:numPr>
      </w:pPr>
      <w:r>
        <w:t>Regarding sensitivity, SFG and Frontier considered all models requiring parameter estimates are sensitive to those estimates, including the Sharpe-Lintner CAPM.</w:t>
      </w:r>
      <w:r>
        <w:rPr>
          <w:rStyle w:val="FootnoteReference"/>
        </w:rPr>
        <w:footnoteReference w:id="799"/>
      </w:r>
      <w:r>
        <w:t xml:space="preserve"> While we recognise that all models can be sensitive, we are not satisfied that the sensitivity of the Fama-French model is comparable to the Sharpe-Lintner CAPM. </w:t>
      </w:r>
    </w:p>
    <w:p w:rsidR="001B6CF5" w:rsidRDefault="001B6CF5" w:rsidP="001B6CF5">
      <w:pPr>
        <w:numPr>
          <w:ilvl w:val="0"/>
          <w:numId w:val="24"/>
        </w:numPr>
      </w:pPr>
      <w:r>
        <w:t>SFG appears to suggest that the sensitivity arising from the Sharpe-Lintner CAPM is due to the market factor. We have no reason to expect that adding arguably more sensitive factors (the size and value factors) would produce a model with a comparable level of sensitivity.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00"/>
      </w:r>
      <w:r>
        <w:t xml:space="preserve"> We have confidence in our proxy for the risk free rate, which would be the same if we were to apply the Fama-French model.</w:t>
      </w:r>
    </w:p>
    <w:p w:rsidR="001B6CF5" w:rsidRDefault="001B6CF5" w:rsidP="001B6CF5">
      <w:r>
        <w:t>Partington did not agree with SFG's submission that all models are sensitive to different estimation periods and methodologies. He advised:</w:t>
      </w:r>
      <w:r>
        <w:rPr>
          <w:rStyle w:val="FootnoteReference"/>
        </w:rPr>
        <w:footnoteReference w:id="801"/>
      </w:r>
    </w:p>
    <w:p w:rsidR="001B6CF5" w:rsidRDefault="001B6CF5" w:rsidP="001B6CF5">
      <w:pPr>
        <w:pStyle w:val="AERquote"/>
      </w:pPr>
      <w:r w:rsidRPr="00E311F4">
        <w:t>We do not agree with SFG however, that “this applies to all models”</w:t>
      </w:r>
      <w:r>
        <w:t>. We agree that estimated values may vary over data sets, the question is do they vary moderately or do they vary so much as to be considered unstable and/or unreliable? In this context we</w:t>
      </w:r>
      <w:r w:rsidRPr="00E311F4">
        <w:t xml:space="preserve"> note that Henry (2008, 2009, 2014) tests for, and finds no evidence of, structural instability in the estimates of the equity beta in the SL-CAPM.  </w:t>
      </w:r>
    </w:p>
    <w:p w:rsidR="001B6CF5" w:rsidRDefault="001B6CF5" w:rsidP="001B6CF5">
      <w:pPr>
        <w:pStyle w:val="AERbulletlistfirststyle"/>
        <w:numPr>
          <w:ilvl w:val="0"/>
          <w:numId w:val="24"/>
        </w:numPr>
      </w:pPr>
      <w:r>
        <w:t xml:space="preserve">NERA submitted that </w:t>
      </w:r>
      <w:r w:rsidRPr="006C4D93">
        <w:t xml:space="preserve">the </w:t>
      </w:r>
      <w:r>
        <w:t>Fama-French model</w:t>
      </w:r>
      <w:r w:rsidRPr="006C4D93">
        <w:t xml:space="preserve"> produces a less precise estimate than the S</w:t>
      </w:r>
      <w:r>
        <w:t>harpe-</w:t>
      </w:r>
      <w:r w:rsidRPr="006C4D93">
        <w:t>L</w:t>
      </w:r>
      <w:r>
        <w:t xml:space="preserve">intner </w:t>
      </w:r>
      <w:r w:rsidRPr="006C4D93">
        <w:t>CAPM, ‘because it requires beta estimates relative to, not one, but three factors’. However, there may be a trade-off between precision (low standard deviation) and bias</w:t>
      </w:r>
      <w:r>
        <w:t xml:space="preserve"> </w:t>
      </w:r>
      <w:r w:rsidRPr="00F025A9">
        <w:t>—</w:t>
      </w:r>
      <w:r>
        <w:t xml:space="preserve"> the </w:t>
      </w:r>
      <w:r w:rsidR="004212BE">
        <w:t>Fama-French model</w:t>
      </w:r>
      <w:r>
        <w:t xml:space="preserve"> should be considered given its relative lack of</w:t>
      </w:r>
      <w:r w:rsidRPr="006C4D93">
        <w:t xml:space="preserve"> </w:t>
      </w:r>
      <w:r>
        <w:t>bias</w:t>
      </w:r>
      <w:r w:rsidRPr="006C4D93">
        <w:t>.</w:t>
      </w:r>
      <w:r>
        <w:rPr>
          <w:rStyle w:val="FootnoteReference"/>
        </w:rPr>
        <w:footnoteReference w:id="802"/>
      </w:r>
      <w:r>
        <w:t xml:space="preserve"> </w:t>
      </w:r>
      <w:r w:rsidRPr="001562D4">
        <w:t>We accept that a more complex model may be preferred over a less complex model where it offers a better estimate. However, w</w:t>
      </w:r>
      <w:r>
        <w:t xml:space="preserve">e do not consider the Fama-French model </w:t>
      </w:r>
      <w:r w:rsidRPr="001562D4">
        <w:t xml:space="preserve">provides a better estimate </w:t>
      </w:r>
      <w:r>
        <w:t>than</w:t>
      </w:r>
      <w:r w:rsidRPr="001562D4">
        <w:t xml:space="preserve"> the S</w:t>
      </w:r>
      <w:r>
        <w:t>harpe-</w:t>
      </w:r>
      <w:r w:rsidRPr="001562D4">
        <w:t>L</w:t>
      </w:r>
      <w:r>
        <w:t xml:space="preserve">intner </w:t>
      </w:r>
      <w:r w:rsidRPr="001562D4">
        <w:t xml:space="preserve">CAPM. </w:t>
      </w:r>
      <w:r>
        <w:t>As noted above, we do not consider that the Fama-French model provides compelling evidence that a book-to-market bias exists in the Sharpe-Lintner CAPM.</w:t>
      </w:r>
      <w:r w:rsidRPr="001562D4">
        <w:t xml:space="preserve"> </w:t>
      </w:r>
    </w:p>
    <w:p w:rsidR="001B6CF5" w:rsidRPr="006C4D93" w:rsidRDefault="001B6CF5" w:rsidP="001B6CF5">
      <w:pPr>
        <w:numPr>
          <w:ilvl w:val="0"/>
          <w:numId w:val="24"/>
        </w:numPr>
      </w:pPr>
      <w:r>
        <w:t>SFG submitted t</w:t>
      </w:r>
      <w:r w:rsidRPr="006C4D93">
        <w:t xml:space="preserve">he variation between </w:t>
      </w:r>
      <w:r>
        <w:t>Fama-French</w:t>
      </w:r>
      <w:r w:rsidRPr="006C4D93">
        <w:t xml:space="preserve"> </w:t>
      </w:r>
      <w:r>
        <w:t xml:space="preserve">model </w:t>
      </w:r>
      <w:r w:rsidRPr="006C4D93">
        <w:t>estimates arises because the studies that produce them are of different quality. We should only consider estimates from the best studies.</w:t>
      </w:r>
      <w:r w:rsidRPr="006C4D93">
        <w:rPr>
          <w:rStyle w:val="FootnoteReference"/>
        </w:rPr>
        <w:footnoteReference w:id="803"/>
      </w:r>
      <w:r>
        <w:t xml:space="preserve"> Further, NERA previously submitted:</w:t>
      </w:r>
      <w:r w:rsidRPr="006C4D93">
        <w:rPr>
          <w:rStyle w:val="FootnoteReference"/>
        </w:rPr>
        <w:footnoteReference w:id="804"/>
      </w:r>
    </w:p>
    <w:p w:rsidR="001B6CF5" w:rsidRPr="001562D4" w:rsidRDefault="001B6CF5" w:rsidP="001B6CF5">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1B6CF5" w:rsidRDefault="001B6CF5" w:rsidP="001B6CF5">
      <w:r>
        <w:t>We do not consider there are clear objective grounds to distinguish the 'best' studies. McKenzie and Partington supported this view.</w:t>
      </w:r>
      <w:r>
        <w:rPr>
          <w:rStyle w:val="FootnoteReference"/>
        </w:rPr>
        <w:footnoteReference w:id="805"/>
      </w:r>
      <w:r>
        <w:t xml:space="preserve"> </w:t>
      </w:r>
      <w:r w:rsidRPr="001562D4">
        <w:t>While SFG argue</w:t>
      </w:r>
      <w:r>
        <w:t>d</w:t>
      </w:r>
      <w:r w:rsidRPr="001562D4">
        <w:t xml:space="preserve"> </w:t>
      </w:r>
      <w:r>
        <w:t>that one methodology to estimating the Fama-French model i</w:t>
      </w:r>
      <w:r w:rsidRPr="001562D4">
        <w:t xml:space="preserve">s superior to </w:t>
      </w:r>
      <w:r>
        <w:t>other methodologies</w:t>
      </w:r>
      <w:r w:rsidRPr="001562D4">
        <w:t>, we disagree.</w:t>
      </w:r>
      <w:r w:rsidRPr="001562D4">
        <w:rPr>
          <w:rStyle w:val="FootnoteReference"/>
        </w:rPr>
        <w:footnoteReference w:id="806"/>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07"/>
      </w:r>
    </w:p>
    <w:p w:rsidR="001B6CF5" w:rsidRPr="00B4711B" w:rsidRDefault="001B6CF5" w:rsidP="001B6CF5">
      <w:pPr>
        <w:pStyle w:val="Heading9"/>
      </w:pPr>
      <w:bookmarkStart w:id="206" w:name="_Ref449010281"/>
      <w:bookmarkStart w:id="207" w:name="_Toc451678641"/>
      <w:r>
        <w:t>Fama-French factors may not reflect ex ante priced risk</w:t>
      </w:r>
      <w:bookmarkEnd w:id="206"/>
      <w:bookmarkEnd w:id="207"/>
    </w:p>
    <w:p w:rsidR="001B6CF5" w:rsidRDefault="001B6CF5" w:rsidP="004212BE">
      <w:pPr>
        <w:numPr>
          <w:ilvl w:val="0"/>
          <w:numId w:val="24"/>
        </w:numPr>
      </w:pPr>
      <w:r>
        <w:t>The Fama-French model</w:t>
      </w:r>
      <w:r w:rsidRPr="001562D4">
        <w:t xml:space="preserve"> estimate</w:t>
      </w:r>
      <w:r>
        <w:t>s average returns</w:t>
      </w:r>
      <w:r w:rsidR="004212BE">
        <w:t xml:space="preserve"> in the cross-</w:t>
      </w:r>
      <w:r w:rsidRPr="001562D4">
        <w:t>section</w:t>
      </w:r>
      <w:r>
        <w:t xml:space="preserve">. </w:t>
      </w:r>
      <w:r w:rsidRPr="001562D4">
        <w:t xml:space="preserve">McKenzie and Partington </w:t>
      </w:r>
      <w:r>
        <w:t>made</w:t>
      </w:r>
      <w:r w:rsidRPr="001562D4">
        <w:t xml:space="preserve"> the important point that</w:t>
      </w:r>
      <w:r>
        <w:t>,</w:t>
      </w:r>
      <w:r w:rsidRPr="001562D4">
        <w:t xml:space="preserve"> </w:t>
      </w:r>
      <w:r w:rsidR="004212BE">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rsidR="004212BE">
        <w:t>"</w:t>
      </w:r>
      <w:r w:rsidRPr="001562D4">
        <w:t>.</w:t>
      </w:r>
      <w:r w:rsidRPr="001562D4">
        <w:rPr>
          <w:rStyle w:val="FootnoteReference"/>
        </w:rPr>
        <w:footnoteReference w:id="808"/>
      </w:r>
    </w:p>
    <w:p w:rsidR="001B6CF5" w:rsidRDefault="001B6CF5" w:rsidP="001B6CF5">
      <w:pPr>
        <w:numPr>
          <w:ilvl w:val="0"/>
          <w:numId w:val="24"/>
        </w:numPr>
      </w:pPr>
      <w:r>
        <w:t xml:space="preserve">We are not satisfied </w:t>
      </w:r>
      <w:r w:rsidR="004212BE">
        <w:t>the Fama-French model is</w:t>
      </w:r>
      <w:r>
        <w:t xml:space="preserve"> helpful for our regulatory task because:</w:t>
      </w:r>
    </w:p>
    <w:p w:rsidR="001B6CF5" w:rsidRPr="006C4D93" w:rsidRDefault="001B6CF5" w:rsidP="001B6CF5">
      <w:pPr>
        <w:pStyle w:val="AERbulletlistfirststyle"/>
      </w:pPr>
      <w:r>
        <w:t xml:space="preserve">We consider that whether </w:t>
      </w:r>
      <w:r w:rsidRPr="006C4D93">
        <w:t xml:space="preserve">factors </w:t>
      </w:r>
      <w:r w:rsidR="004212BE">
        <w:t>are priced in the cross-</w:t>
      </w:r>
      <w:r w:rsidRPr="006C4D93">
        <w:t>section is unresolved. SFG referred to a number of possible explanations for why the value factor could be genuinely priced in average returns in the cross section.</w:t>
      </w:r>
      <w:r w:rsidRPr="006C4D93">
        <w:rPr>
          <w:rStyle w:val="FootnoteReference"/>
        </w:rPr>
        <w:footnoteReference w:id="809"/>
      </w:r>
      <w:r w:rsidRPr="006C4D93">
        <w:t xml:space="preserve"> However, none of the possible reasons is commonly accepted.</w:t>
      </w:r>
      <w:r>
        <w:rPr>
          <w:rStyle w:val="FootnoteReference"/>
        </w:rPr>
        <w:footnoteReference w:id="810"/>
      </w:r>
    </w:p>
    <w:p w:rsidR="001B6CF5" w:rsidRDefault="001B6CF5" w:rsidP="001B6CF5">
      <w:pPr>
        <w:pStyle w:val="AERbulletlistfirststyle"/>
      </w:pPr>
      <w:r>
        <w:t>E</w:t>
      </w:r>
      <w:r w:rsidRPr="006C4D93">
        <w:t>ven if we accepted that the f</w:t>
      </w:r>
      <w:r w:rsidR="004212BE">
        <w:t>actors were priced in the cross-</w:t>
      </w:r>
      <w:r w:rsidRPr="006C4D93">
        <w:t>section, McKenzie and Partington question the appropriateness of applyi</w:t>
      </w:r>
      <w:r w:rsidR="004212BE">
        <w:t>ng average returns in the cross-</w:t>
      </w:r>
      <w:r w:rsidRPr="006C4D93">
        <w:t>section to the benchmark efficient entity. Even if factors are price</w:t>
      </w:r>
      <w:r>
        <w:t>d</w:t>
      </w:r>
      <w:r w:rsidR="004212BE">
        <w:t xml:space="preserve"> in the cross-</w:t>
      </w:r>
      <w:r w:rsidRPr="006C4D93">
        <w:t>section, this does not necessarily imply that the benchmark efficient entity requires compensation above the level provided for under the S</w:t>
      </w:r>
      <w:r>
        <w:t>harpe-</w:t>
      </w:r>
      <w:r w:rsidRPr="006C4D93">
        <w:t>L</w:t>
      </w:r>
      <w:r>
        <w:t xml:space="preserve">intner </w:t>
      </w:r>
      <w:r w:rsidRPr="006C4D93">
        <w:t>CAPM.</w:t>
      </w:r>
    </w:p>
    <w:p w:rsidR="001B6CF5" w:rsidRDefault="001B6CF5" w:rsidP="001B6CF5">
      <w:r>
        <w:t>Service providers noted that our concern</w:t>
      </w:r>
      <w:r w:rsidRPr="00127ECB">
        <w:t xml:space="preserve"> that the </w:t>
      </w:r>
      <w:r>
        <w:t xml:space="preserve">Fama-French model </w:t>
      </w:r>
      <w:r w:rsidRPr="00127ECB">
        <w:t>is not clearly estimating ex ante required</w:t>
      </w:r>
      <w:r>
        <w:t xml:space="preserve"> </w:t>
      </w:r>
      <w:r w:rsidRPr="00127ECB">
        <w:t>returns</w:t>
      </w:r>
      <w:r>
        <w:t xml:space="preserve"> is 'curious'.</w:t>
      </w:r>
      <w:r>
        <w:rPr>
          <w:rStyle w:val="FootnoteReference"/>
        </w:rPr>
        <w:footnoteReference w:id="811"/>
      </w:r>
      <w:r w:rsidRPr="00127ECB">
        <w:t xml:space="preserve"> </w:t>
      </w:r>
      <w:r>
        <w:t xml:space="preserve">Frontier added that </w:t>
      </w:r>
      <w:r w:rsidRPr="00127ECB">
        <w:t xml:space="preserve">the rationale for using the </w:t>
      </w:r>
      <w:r>
        <w:t>Fama-French model</w:t>
      </w:r>
      <w:r w:rsidRPr="00127ECB">
        <w:t xml:space="preserve"> is no</w:t>
      </w:r>
      <w:r>
        <w:t xml:space="preserve"> </w:t>
      </w:r>
      <w:r w:rsidRPr="00127ECB">
        <w:t>different to the rationale for using the S</w:t>
      </w:r>
      <w:r>
        <w:t xml:space="preserve">harpe-Lintner </w:t>
      </w:r>
      <w:r w:rsidRPr="00127ECB">
        <w:t>CAPM or Black CAPM</w:t>
      </w:r>
      <w:r>
        <w:t xml:space="preserve"> - that is, </w:t>
      </w:r>
      <w:r w:rsidRPr="00127ECB">
        <w:t>to explain the cross</w:t>
      </w:r>
      <w:r w:rsidR="004212BE">
        <w:t>-</w:t>
      </w:r>
      <w:r w:rsidRPr="00127ECB">
        <w:t>section of stock returns, based on explanatory factors</w:t>
      </w:r>
      <w:r>
        <w:t xml:space="preserve"> </w:t>
      </w:r>
      <w:r w:rsidRPr="00127ECB">
        <w:t>that have been observed to correlate with stock returns in the past.</w:t>
      </w:r>
      <w:r>
        <w:t xml:space="preserve"> HoustonKemp also noted that t</w:t>
      </w:r>
      <w:r w:rsidRPr="00291ED2">
        <w:rPr>
          <w:rStyle w:val="AERbody"/>
        </w:rPr>
        <w:t xml:space="preserve">he </w:t>
      </w:r>
      <w:r>
        <w:rPr>
          <w:rStyle w:val="AERbody"/>
        </w:rPr>
        <w:t>Fama-French model</w:t>
      </w:r>
      <w:r w:rsidRPr="00291ED2">
        <w:rPr>
          <w:rStyle w:val="AERbody"/>
        </w:rPr>
        <w:t xml:space="preserve"> was developed to address mis-pricing on low-cap and value stocks.</w:t>
      </w:r>
      <w:r w:rsidRPr="004212BE">
        <w:rPr>
          <w:rStyle w:val="FootnoteReference"/>
        </w:rPr>
        <w:footnoteReference w:id="812"/>
      </w:r>
    </w:p>
    <w:p w:rsidR="001B6CF5" w:rsidRDefault="001B6CF5" w:rsidP="001B6CF5">
      <w:pPr>
        <w:pStyle w:val="ListParagraph"/>
        <w:numPr>
          <w:ilvl w:val="0"/>
          <w:numId w:val="24"/>
        </w:numPr>
      </w:pPr>
      <w:r>
        <w:t xml:space="preserve">We note that </w:t>
      </w:r>
      <w:r w:rsidR="004212BE">
        <w:t>service providers and their</w:t>
      </w:r>
      <w:r>
        <w:t xml:space="preserve"> consultants' </w:t>
      </w:r>
      <w:r w:rsidRPr="00615EDE">
        <w:t xml:space="preserve">criterion for selecting an asset pricing model </w:t>
      </w:r>
      <w:r>
        <w:t xml:space="preserve">appears to be </w:t>
      </w:r>
      <w:r w:rsidRPr="00615EDE">
        <w:t>how well it forecasts subsequent realised returns</w:t>
      </w:r>
      <w:r>
        <w:t xml:space="preserve"> using asset pricing tests</w:t>
      </w:r>
      <w:r w:rsidRPr="00615EDE">
        <w:t>.</w:t>
      </w:r>
      <w:r>
        <w:rPr>
          <w:rStyle w:val="FootnoteReference"/>
        </w:rPr>
        <w:footnoteReference w:id="813"/>
      </w:r>
      <w:r w:rsidRPr="00615EDE">
        <w:t xml:space="preserve"> </w:t>
      </w:r>
      <w:r>
        <w:t>However, Partington and Satchell advised that it is t</w:t>
      </w:r>
      <w:r w:rsidRPr="00265E75">
        <w:t xml:space="preserve">he </w:t>
      </w:r>
      <w:r>
        <w:t>e</w:t>
      </w:r>
      <w:r w:rsidRPr="00265E75">
        <w:t xml:space="preserve">quilibrium expected returns </w:t>
      </w:r>
      <w:r>
        <w:t>that</w:t>
      </w:r>
      <w:r w:rsidRPr="00265E75">
        <w:t xml:space="preserve"> we want to measure when determining the cost of capital.</w:t>
      </w:r>
      <w:r>
        <w:rPr>
          <w:rStyle w:val="FootnoteReference"/>
        </w:rPr>
        <w:footnoteReference w:id="814"/>
      </w:r>
      <w:r>
        <w:t xml:space="preserve"> They added that f</w:t>
      </w:r>
      <w:r w:rsidRPr="00615EDE">
        <w:t>orecasting stock returns and determining equilibrium expected returns (asset pricing) are two different tasks.</w:t>
      </w:r>
      <w:r>
        <w:rPr>
          <w:rStyle w:val="FootnoteReference"/>
        </w:rPr>
        <w:footnoteReference w:id="815"/>
      </w:r>
      <w:r w:rsidRPr="00615EDE">
        <w:t xml:space="preserve"> </w:t>
      </w:r>
    </w:p>
    <w:p w:rsidR="001B6CF5" w:rsidRDefault="001B6CF5" w:rsidP="001B6CF5">
      <w:pPr>
        <w:pStyle w:val="ListParagraph"/>
        <w:numPr>
          <w:ilvl w:val="0"/>
          <w:numId w:val="24"/>
        </w:numPr>
      </w:pPr>
      <w:r>
        <w:t xml:space="preserve">We also note that the results of asset pricing tests such as those by Kan, Robotti and Shanken </w:t>
      </w:r>
      <w:r w:rsidRPr="00615EDE">
        <w:t>depend upon the characteristics used in sorting stocks into portfolios</w:t>
      </w:r>
      <w:r>
        <w:t xml:space="preserve"> when undertaking asset pricing tests</w:t>
      </w:r>
      <w:r w:rsidRPr="00615EDE">
        <w:t>.</w:t>
      </w:r>
      <w:r>
        <w:rPr>
          <w:rStyle w:val="FootnoteReference"/>
        </w:rPr>
        <w:footnoteReference w:id="816"/>
      </w:r>
      <w:r w:rsidRPr="00615EDE">
        <w:t xml:space="preserve"> </w:t>
      </w:r>
      <w:r>
        <w:t>Partington and Satchell</w:t>
      </w:r>
      <w:r w:rsidRPr="00615EDE">
        <w:t xml:space="preserve"> </w:t>
      </w:r>
      <w:r>
        <w:t xml:space="preserve">noted that in </w:t>
      </w:r>
      <w:r w:rsidRPr="00615EDE">
        <w:t>multiple model comparisons</w:t>
      </w:r>
      <w:r>
        <w:t>,</w:t>
      </w:r>
      <w:r w:rsidRPr="00615EDE">
        <w:t xml:space="preserve"> the </w:t>
      </w:r>
      <w:r>
        <w:t>Fama-French</w:t>
      </w:r>
      <w:r w:rsidRPr="00615EDE">
        <w:t xml:space="preserve"> model is rejected in tests using portfolios sorted </w:t>
      </w:r>
      <w:r>
        <w:t xml:space="preserve">by </w:t>
      </w:r>
      <w:r w:rsidRPr="00615EDE">
        <w:t xml:space="preserve">size and beta. </w:t>
      </w:r>
    </w:p>
    <w:p w:rsidR="001B6CF5" w:rsidRDefault="001B6CF5" w:rsidP="001B6CF5">
      <w:pPr>
        <w:pStyle w:val="Heading8"/>
      </w:pPr>
      <w:bookmarkStart w:id="208" w:name="_Ref449007421"/>
      <w:bookmarkStart w:id="209" w:name="_Toc451678642"/>
      <w:r>
        <w:t>Dividend growth model</w:t>
      </w:r>
      <w:bookmarkEnd w:id="208"/>
      <w:bookmarkEnd w:id="209"/>
    </w:p>
    <w:p w:rsidR="001B6CF5" w:rsidRDefault="001B6CF5" w:rsidP="001B6CF5">
      <w:pPr>
        <w:numPr>
          <w:ilvl w:val="0"/>
          <w:numId w:val="24"/>
        </w:numPr>
      </w:pPr>
      <w:r>
        <w:t xml:space="preserve">Dividend growth models </w:t>
      </w:r>
      <w:r w:rsidRPr="00C8159B">
        <w:t>use forecast</w:t>
      </w:r>
      <w:r>
        <w:t>s of a business'</w:t>
      </w:r>
      <w:r w:rsidRPr="00C8159B">
        <w:t xml:space="preserve"> dividends to derive the return on equity by making the assumption that the present value of these dividends is equal to the business' market value of equity. </w:t>
      </w:r>
      <w:r>
        <w:t xml:space="preserve">Dividend growth models may come in many different forms. Our preferred construction of the dividend growth model is set out in section </w:t>
      </w:r>
      <w:r>
        <w:fldChar w:fldCharType="begin"/>
      </w:r>
      <w:r>
        <w:instrText xml:space="preserve"> REF _Ref448787515 \r \h </w:instrText>
      </w:r>
      <w:r>
        <w:fldChar w:fldCharType="separate"/>
      </w:r>
      <w:r w:rsidR="00BA2E8E">
        <w:t>D.3</w:t>
      </w:r>
      <w:r>
        <w:fldChar w:fldCharType="end"/>
      </w:r>
      <w:r>
        <w:t xml:space="preserve">. Dividend growth models typically require forecasts of dividends for a defined future period, and a rate at which dividends are forecast to grow in the long-term after the forecast period has ended. </w:t>
      </w:r>
    </w:p>
    <w:p w:rsidR="001B6CF5" w:rsidRPr="00957F0D" w:rsidRDefault="001B6CF5" w:rsidP="001B6CF5">
      <w:pPr>
        <w:numPr>
          <w:ilvl w:val="0"/>
          <w:numId w:val="24"/>
        </w:numPr>
      </w:pPr>
      <w:r w:rsidRPr="00957F0D">
        <w:t xml:space="preserve">We consider the point estimates of the </w:t>
      </w:r>
      <w:r>
        <w:t>return on equity</w:t>
      </w:r>
      <w:r w:rsidRPr="00957F0D">
        <w:t xml:space="preserve"> from </w:t>
      </w:r>
      <w:r>
        <w:t>dividend growth models</w:t>
      </w:r>
      <w:r w:rsidRPr="00957F0D">
        <w:t xml:space="preserve"> are currently </w:t>
      </w:r>
      <w:r>
        <w:t>unsuitable for:</w:t>
      </w:r>
    </w:p>
    <w:p w:rsidR="001B6CF5" w:rsidRPr="00F63640" w:rsidRDefault="001B6CF5" w:rsidP="001B6CF5">
      <w:pPr>
        <w:pStyle w:val="AERbulletlistfirststyle"/>
      </w:pPr>
      <w:r>
        <w:t>e</w:t>
      </w:r>
      <w:r w:rsidRPr="00957F0D">
        <w:t>stimating</w:t>
      </w:r>
      <w:r w:rsidRPr="00F63640">
        <w:t xml:space="preserve"> the return on equity for the benchmark efficient entity</w:t>
      </w:r>
    </w:p>
    <w:p w:rsidR="001B6CF5" w:rsidRPr="00F63640" w:rsidRDefault="001B6CF5" w:rsidP="001B6CF5">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1B6CF5" w:rsidRPr="00957F0D" w:rsidRDefault="001B6CF5" w:rsidP="001B6CF5">
      <w:pPr>
        <w:numPr>
          <w:ilvl w:val="0"/>
          <w:numId w:val="24"/>
        </w:numPr>
      </w:pPr>
      <w:r>
        <w:t>Our</w:t>
      </w:r>
      <w:r w:rsidRPr="00957F0D">
        <w:t xml:space="preserve"> reasons for </w:t>
      </w:r>
      <w:r>
        <w:t>this position</w:t>
      </w:r>
      <w:r w:rsidRPr="00957F0D">
        <w:t xml:space="preserve"> are:</w:t>
      </w:r>
    </w:p>
    <w:p w:rsidR="001B6CF5" w:rsidRPr="006A1651" w:rsidRDefault="001B6CF5" w:rsidP="001B6CF5">
      <w:pPr>
        <w:pStyle w:val="AERbulletlistfirststyle"/>
      </w:pPr>
      <w:r>
        <w:t>T</w:t>
      </w:r>
      <w:r w:rsidRPr="006A1651">
        <w:t xml:space="preserve">here is insufficient data </w:t>
      </w:r>
      <w:r>
        <w:t xml:space="preserve">on dividend forecasts </w:t>
      </w:r>
      <w:r w:rsidRPr="006A1651">
        <w:t>to form robust estimates of the required return on equity for Australian energy network service providers.</w:t>
      </w:r>
      <w:r w:rsidRPr="00750566">
        <w:rPr>
          <w:rStyle w:val="FootnoteReference"/>
        </w:rPr>
        <w:footnoteReference w:id="817"/>
      </w:r>
      <w:r w:rsidRPr="006A1651">
        <w:t xml:space="preserve"> As such, there are practical difficulties in constructing credible datasets for implementing industry specific </w:t>
      </w:r>
      <w:r>
        <w:t>dividend growth models</w:t>
      </w:r>
      <w:r w:rsidRPr="006A1651">
        <w:t>.</w:t>
      </w:r>
      <w:r w:rsidRPr="00750566">
        <w:rPr>
          <w:rStyle w:val="FootnoteReference"/>
        </w:rPr>
        <w:footnoteReference w:id="818"/>
      </w:r>
      <w:r w:rsidRPr="006A1651">
        <w:t xml:space="preserve"> Also, there are too few Australian businesses to </w:t>
      </w:r>
      <w:r>
        <w:t>estimate</w:t>
      </w:r>
      <w:r w:rsidRPr="006A1651">
        <w:t xml:space="preserve"> </w:t>
      </w:r>
      <w:r>
        <w:t>dividend growth models</w:t>
      </w:r>
      <w:r w:rsidRPr="006A1651">
        <w:t xml:space="preserve"> on an individual business level.</w:t>
      </w:r>
      <w:r w:rsidRPr="00750566">
        <w:rPr>
          <w:rStyle w:val="FootnoteReference"/>
        </w:rPr>
        <w:footnoteReference w:id="819"/>
      </w:r>
      <w:r w:rsidRPr="006A1651">
        <w:t xml:space="preserve"> </w:t>
      </w:r>
      <w:r>
        <w:t>However, a</w:t>
      </w:r>
      <w:r w:rsidRPr="006A1651">
        <w:t xml:space="preserve"> sufficiently robust data seri</w:t>
      </w:r>
      <w:r>
        <w:t>es exists for dividend yields for</w:t>
      </w:r>
      <w:r w:rsidRPr="006A1651">
        <w:t xml:space="preserve"> t</w:t>
      </w:r>
      <w:r>
        <w:t>he Australian market as a whole.</w:t>
      </w:r>
    </w:p>
    <w:p w:rsidR="001B6CF5" w:rsidRPr="006A1651" w:rsidRDefault="001B6CF5" w:rsidP="001B6CF5">
      <w:pPr>
        <w:pStyle w:val="AERbulletlistfirststyle"/>
      </w:pPr>
      <w:r>
        <w:t>We do not consider that</w:t>
      </w:r>
      <w:r w:rsidRPr="006A1651">
        <w:t xml:space="preserve"> there is a sufficiently robust method for estimatin</w:t>
      </w:r>
      <w:r>
        <w:t>g the long-</w:t>
      </w:r>
      <w:r w:rsidRPr="006A1651">
        <w:t>term dividend growth rate</w:t>
      </w:r>
      <w:r w:rsidRPr="00750566">
        <w:rPr>
          <w:rStyle w:val="CommentReference"/>
        </w:rPr>
        <w:t xml:space="preserve"> </w:t>
      </w:r>
      <w:r w:rsidRPr="006A1651">
        <w:t>for Australian energy network service providers.</w:t>
      </w:r>
      <w:r w:rsidRPr="00750566">
        <w:rPr>
          <w:rStyle w:val="FootnoteReference"/>
        </w:rPr>
        <w:footnoteReference w:id="820"/>
      </w:r>
      <w:r>
        <w:t xml:space="preserve"> However, t</w:t>
      </w:r>
      <w:r w:rsidRPr="006A1651">
        <w:t xml:space="preserve">here are developed methods for estimating the </w:t>
      </w:r>
      <w:r>
        <w:t xml:space="preserve">long-term </w:t>
      </w:r>
      <w:r w:rsidRPr="006A1651">
        <w:t xml:space="preserve">growth rate of dividends </w:t>
      </w:r>
      <w:r>
        <w:t>for</w:t>
      </w:r>
      <w:r w:rsidRPr="006A1651">
        <w:t xml:space="preserve"> the Australian market</w:t>
      </w:r>
      <w:r>
        <w:t xml:space="preserve"> as a whole</w:t>
      </w:r>
      <w:r w:rsidRPr="006A1651">
        <w:t>.</w:t>
      </w:r>
      <w:r w:rsidRPr="00750566">
        <w:rPr>
          <w:rStyle w:val="FootnoteReference"/>
        </w:rPr>
        <w:footnoteReference w:id="821"/>
      </w:r>
      <w:r>
        <w:t xml:space="preserve"> </w:t>
      </w:r>
    </w:p>
    <w:p w:rsidR="001B6CF5" w:rsidRDefault="001B6CF5" w:rsidP="001B6CF5">
      <w:pPr>
        <w:pStyle w:val="AERbulletlistfirststyle"/>
      </w:pPr>
      <w:r>
        <w:t>Dividend growth models</w:t>
      </w:r>
      <w:r w:rsidRPr="00B4711B">
        <w:t xml:space="preserve"> can have limited robustness given they are highly sensitive to input assum</w:t>
      </w:r>
      <w:r>
        <w:t>ptions regarding short and long-</w:t>
      </w:r>
      <w:r w:rsidRPr="00B4711B">
        <w:t xml:space="preserve">term dividend growth rates. This makes </w:t>
      </w:r>
      <w:r>
        <w:t>the models</w:t>
      </w:r>
      <w:r w:rsidRPr="00B4711B">
        <w:t xml:space="preserve"> highly sensitive to potential errors in inputs. Further, </w:t>
      </w:r>
      <w:r>
        <w:t>dividend growth models</w:t>
      </w:r>
      <w:r w:rsidRPr="00B4711B">
        <w:t xml:space="preserve"> may generate </w:t>
      </w:r>
      <w:r>
        <w:t>counter-intuitive</w:t>
      </w:r>
      <w:r w:rsidRPr="00B4711B">
        <w:t xml:space="preserve"> results. For example, we have observed that, over</w:t>
      </w:r>
      <w:r w:rsidRPr="00B4711B">
        <w:rPr>
          <w:rStyle w:val="CommentReference"/>
        </w:rPr>
        <w:t xml:space="preserve"> </w:t>
      </w:r>
      <w:r w:rsidRPr="00B4711B">
        <w:t xml:space="preserve">extended periods of time, </w:t>
      </w:r>
      <w:r>
        <w:t>dividend growth models</w:t>
      </w:r>
      <w:r w:rsidRPr="00B4711B">
        <w:t xml:space="preserve"> generated significantly higher average returns on equity for </w:t>
      </w:r>
      <w:r>
        <w:t xml:space="preserve">Australian energy </w:t>
      </w:r>
      <w:r w:rsidRPr="00B4711B">
        <w:t>network businesses than for the Australian market</w:t>
      </w:r>
      <w:r>
        <w:t xml:space="preserve"> as a whole</w:t>
      </w:r>
      <w:r w:rsidRPr="00B4711B">
        <w:t>. We consider this fails a sanity test as the systematic risk of network businesses is likely less than the overall market.</w:t>
      </w:r>
      <w:r w:rsidRPr="00B4711B">
        <w:rPr>
          <w:rStyle w:val="FootnoteReference"/>
        </w:rPr>
        <w:footnoteReference w:id="822"/>
      </w:r>
    </w:p>
    <w:p w:rsidR="001B6CF5" w:rsidRDefault="001B6CF5" w:rsidP="001B6CF5">
      <w:pPr>
        <w:pStyle w:val="AERbulletlistfirststyle"/>
      </w:pPr>
      <w:r>
        <w:t>Dividend growth model estimates may be upwardly biased due to:</w:t>
      </w:r>
    </w:p>
    <w:p w:rsidR="001B6CF5" w:rsidRDefault="001B6CF5" w:rsidP="001B6CF5">
      <w:pPr>
        <w:pStyle w:val="AERbulletlistsecondstyle"/>
      </w:pPr>
      <w:r>
        <w:t>The well-understood upwards bias in a</w:t>
      </w:r>
      <w:r w:rsidRPr="00B4711B">
        <w:t>nalyst forecasts</w:t>
      </w:r>
      <w:r>
        <w:t>.</w:t>
      </w:r>
      <w:r w:rsidRPr="00B4711B">
        <w:rPr>
          <w:rStyle w:val="FootnoteReference"/>
        </w:rPr>
        <w:footnoteReference w:id="823"/>
      </w:r>
    </w:p>
    <w:p w:rsidR="001B6CF5" w:rsidRDefault="001B6CF5" w:rsidP="001B6CF5">
      <w:pPr>
        <w:pStyle w:val="AERbulletlistsecondstyle"/>
      </w:pPr>
      <w:r>
        <w:t>Slow-changing dividends, which is</w:t>
      </w:r>
      <w:r w:rsidRPr="0065391F">
        <w:t xml:space="preserve"> </w:t>
      </w:r>
      <w:r>
        <w:t xml:space="preserve">a </w:t>
      </w:r>
      <w:r w:rsidRPr="0065391F">
        <w:t>well-understood phenomenon in financial theory and empirical</w:t>
      </w:r>
      <w:r>
        <w:t>ly supported by survey evidence</w:t>
      </w:r>
      <w:r w:rsidRPr="0065391F">
        <w:t>.</w:t>
      </w:r>
      <w:r w:rsidRPr="0065391F">
        <w:rPr>
          <w:rStyle w:val="FootnoteReference"/>
        </w:rPr>
        <w:footnoteReference w:id="824"/>
      </w:r>
      <w:r w:rsidRPr="00832CA6">
        <w:t xml:space="preserve"> </w:t>
      </w:r>
      <w:r>
        <w:t>T</w:t>
      </w:r>
      <w:r w:rsidRPr="0065391F">
        <w:t>here is likely to be an asymmetry in the effects because of a greater reluctance to cut dividends than increase dividends.</w:t>
      </w:r>
      <w:r w:rsidRPr="0065391F">
        <w:rPr>
          <w:rStyle w:val="FootnoteReference"/>
        </w:rPr>
        <w:footnoteReference w:id="825"/>
      </w:r>
    </w:p>
    <w:p w:rsidR="001B6CF5" w:rsidRDefault="001B6CF5" w:rsidP="001B6CF5">
      <w:pPr>
        <w:pStyle w:val="AERbulletlistsecondstyle"/>
      </w:pPr>
      <w:r w:rsidRPr="0065391F">
        <w:rPr>
          <w:rStyle w:val="AERbody"/>
        </w:rPr>
        <w:t xml:space="preserve">The currently relatively low </w:t>
      </w:r>
      <w:r>
        <w:rPr>
          <w:rStyle w:val="AERbody"/>
        </w:rPr>
        <w:t>risk free rate</w:t>
      </w:r>
      <w:r w:rsidRPr="0065391F">
        <w:rPr>
          <w:rStyle w:val="AERbody"/>
        </w:rPr>
        <w:t>.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826"/>
      </w:r>
      <w:r w:rsidRPr="0065391F">
        <w:rPr>
          <w:rStyle w:val="AERbody"/>
        </w:rPr>
        <w:t xml:space="preserve"> </w:t>
      </w:r>
    </w:p>
    <w:p w:rsidR="001B6CF5" w:rsidRPr="00B4711B" w:rsidRDefault="001B6CF5" w:rsidP="001B6CF5">
      <w:pPr>
        <w:pStyle w:val="AERbulletlistsecondstyle"/>
      </w:pPr>
      <w:r>
        <w:t xml:space="preserve">Financing arrangements. </w:t>
      </w:r>
      <w:r w:rsidRPr="0065391F">
        <w:rPr>
          <w:rStyle w:val="AERbody"/>
        </w:rPr>
        <w:t>Where there is significant financing of dividends and/or where substantial investment demand for funds is anticipated, there is a risk that dividend growth will slow or even turn negative for a period. This is likely to result in the model produc</w:t>
      </w:r>
      <w:r>
        <w:rPr>
          <w:rStyle w:val="AERbody"/>
        </w:rPr>
        <w:t>ing upwardly biased estimates</w:t>
      </w:r>
      <w:r w:rsidRPr="0065391F">
        <w:rPr>
          <w:rStyle w:val="AERbody"/>
        </w:rPr>
        <w:t>.</w:t>
      </w:r>
      <w:r>
        <w:rPr>
          <w:rStyle w:val="FootnoteReference"/>
        </w:rPr>
        <w:footnoteReference w:id="827"/>
      </w:r>
    </w:p>
    <w:p w:rsidR="001B6CF5" w:rsidRPr="002F6B48" w:rsidRDefault="001B6CF5" w:rsidP="001B6CF5">
      <w:pPr>
        <w:rPr>
          <w:rStyle w:val="AERbody"/>
        </w:rPr>
      </w:pPr>
      <w:r w:rsidRPr="002F6B48">
        <w:rPr>
          <w:rStyle w:val="AERbody"/>
        </w:rPr>
        <w:t xml:space="preserve">The first two concerns </w:t>
      </w:r>
      <w:r>
        <w:rPr>
          <w:rStyle w:val="AERbody"/>
        </w:rPr>
        <w:t xml:space="preserve">listed above </w:t>
      </w:r>
      <w:r w:rsidRPr="002F6B48">
        <w:rPr>
          <w:rStyle w:val="AERbody"/>
        </w:rPr>
        <w:t xml:space="preserve">are not relevant when using the dividend growth model to estimate the market risk premium. </w:t>
      </w:r>
      <w:r>
        <w:rPr>
          <w:rStyle w:val="AERbody"/>
        </w:rPr>
        <w:t>We therefore consider that dividend growth model estimates may be more useful for informing our estimate of the market risk premium. However,</w:t>
      </w:r>
      <w:r w:rsidRPr="002F6B48">
        <w:rPr>
          <w:rStyle w:val="AERbody"/>
        </w:rPr>
        <w:t xml:space="preserve"> </w:t>
      </w:r>
      <w:r>
        <w:rPr>
          <w:rStyle w:val="AERbody"/>
        </w:rPr>
        <w:t xml:space="preserve">in doing so, we note that </w:t>
      </w:r>
      <w:r w:rsidRPr="002F6B48">
        <w:rPr>
          <w:rStyle w:val="AERbody"/>
        </w:rPr>
        <w:t xml:space="preserve">the other limitations </w:t>
      </w:r>
      <w:r>
        <w:rPr>
          <w:rStyle w:val="AERbody"/>
        </w:rPr>
        <w:t xml:space="preserve">set out above </w:t>
      </w:r>
      <w:r w:rsidRPr="002F6B48">
        <w:rPr>
          <w:rStyle w:val="AERbody"/>
        </w:rPr>
        <w:t xml:space="preserve">are likely to </w:t>
      </w:r>
      <w:r>
        <w:rPr>
          <w:rStyle w:val="AERbody"/>
        </w:rPr>
        <w:t>remain relevant</w:t>
      </w:r>
      <w:r w:rsidRPr="002F6B48">
        <w:rPr>
          <w:rStyle w:val="AERbody"/>
        </w:rPr>
        <w:t>. For these reasons, we place only limited reliance on dividend growth model estimates of market risk premium.</w:t>
      </w:r>
    </w:p>
    <w:p w:rsidR="001B6CF5" w:rsidRDefault="001B6CF5" w:rsidP="001B6CF5">
      <w:r w:rsidRPr="00767D37">
        <w:t xml:space="preserve">We note much of the material provided by service providers was considered in </w:t>
      </w:r>
      <w:r>
        <w:t>our</w:t>
      </w:r>
      <w:r w:rsidRPr="00690E38">
        <w:t xml:space="preserve"> April and June 2015 decisions and reviewed by McKenzie, Partington, and Satchell</w:t>
      </w:r>
      <w:r>
        <w:t xml:space="preserve"> (Partington and Satchell maintained the positions set out by McKenzie and Partington)</w:t>
      </w:r>
      <w:r w:rsidRPr="00690E38">
        <w:t>.</w:t>
      </w:r>
      <w:r w:rsidRPr="00690E38">
        <w:rPr>
          <w:rStyle w:val="FootnoteReference"/>
        </w:rPr>
        <w:footnoteReference w:id="828"/>
      </w:r>
      <w:r w:rsidRPr="00690E38">
        <w:t xml:space="preserve"> Having reviewed all this material, McKenzie and Partington supported our decision to not use the dividend growth model to directly estimate the return on equity on the benchmark efficient entity. They also supported limiting the use of the dividend growth model to informing the estimate of the market risk premium.</w:t>
      </w:r>
      <w:r w:rsidRPr="00690E38">
        <w:rPr>
          <w:rStyle w:val="FootnoteReference"/>
        </w:rPr>
        <w:footnoteReference w:id="829"/>
      </w:r>
      <w:r w:rsidRPr="00690E38">
        <w:t xml:space="preserve"> However, they raised </w:t>
      </w:r>
      <w:r>
        <w:t xml:space="preserve">the </w:t>
      </w:r>
      <w:r w:rsidRPr="00690E38">
        <w:t>concerns around the reliability of dividend growth model</w:t>
      </w:r>
      <w:r>
        <w:t xml:space="preserve"> that we have outlined above</w:t>
      </w:r>
      <w:r w:rsidRPr="00690E38">
        <w:t>.</w:t>
      </w:r>
      <w:r w:rsidRPr="00690E38">
        <w:rPr>
          <w:rStyle w:val="FootnoteReference"/>
        </w:rPr>
        <w:footnoteReference w:id="830"/>
      </w:r>
      <w:r w:rsidRPr="00690E38">
        <w:t xml:space="preserve"> While we use the dividend growth model to inform the estimate of the market risk premium, we also take these concerns into account.</w:t>
      </w:r>
    </w:p>
    <w:p w:rsidR="001B6CF5" w:rsidRPr="00957F0D" w:rsidRDefault="001B6CF5" w:rsidP="001B6CF5">
      <w:pPr>
        <w:numPr>
          <w:ilvl w:val="0"/>
          <w:numId w:val="24"/>
        </w:numPr>
      </w:pPr>
      <w:r>
        <w:t>Handley also reviewed</w:t>
      </w:r>
      <w:r w:rsidRPr="00957F0D">
        <w:t xml:space="preserve"> sub</w:t>
      </w:r>
      <w:r>
        <w:t>missions on the dividend growth model and stated that</w:t>
      </w:r>
      <w:r w:rsidRPr="00957F0D">
        <w:t xml:space="preserve"> </w:t>
      </w:r>
      <w:r>
        <w:t>the model</w:t>
      </w:r>
      <w:r w:rsidRPr="00957F0D">
        <w:t xml:space="preserve"> </w:t>
      </w:r>
      <w:r>
        <w:t xml:space="preserve">involves estimating an unobservable expected </w:t>
      </w:r>
      <w:r w:rsidRPr="00957F0D">
        <w:t>growth rate:</w:t>
      </w:r>
      <w:r w:rsidRPr="00957F0D">
        <w:rPr>
          <w:rStyle w:val="FootnoteReference"/>
        </w:rPr>
        <w:footnoteReference w:id="831"/>
      </w:r>
    </w:p>
    <w:p w:rsidR="001B6CF5" w:rsidRPr="00957F0D" w:rsidRDefault="001B6CF5" w:rsidP="001B6CF5">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1B6CF5" w:rsidRPr="00957F0D" w:rsidRDefault="001B6CF5" w:rsidP="001B6CF5">
      <w:pPr>
        <w:numPr>
          <w:ilvl w:val="0"/>
          <w:numId w:val="24"/>
        </w:numPr>
      </w:pPr>
      <w:r>
        <w:t>Handley showed that the</w:t>
      </w:r>
      <w:r w:rsidRPr="00957F0D">
        <w:t xml:space="preserve"> </w:t>
      </w:r>
      <w:r>
        <w:t xml:space="preserve">return on equity estimated using </w:t>
      </w:r>
      <w:r w:rsidR="00115090">
        <w:t>a constant-</w:t>
      </w:r>
      <w:r w:rsidRPr="00957F0D">
        <w:t>growth</w:t>
      </w:r>
      <w:r w:rsidR="00115090">
        <w:t xml:space="preserve"> version of the dividend growth model</w:t>
      </w:r>
      <w:r w:rsidRPr="00957F0D">
        <w:t xml:space="preserve"> </w:t>
      </w:r>
      <w:r>
        <w:t>simply equalled</w:t>
      </w:r>
      <w:r w:rsidRPr="00957F0D">
        <w:t xml:space="preserve"> the expected dividend yield next period plus the growth rate.</w:t>
      </w:r>
      <w:r>
        <w:rPr>
          <w:rStyle w:val="FootnoteReference"/>
        </w:rPr>
        <w:footnoteReference w:id="832"/>
      </w:r>
      <w:r>
        <w:t xml:space="preserve"> Handley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833"/>
      </w:r>
    </w:p>
    <w:p w:rsidR="001B6CF5" w:rsidRPr="00045ECA" w:rsidRDefault="001B6CF5" w:rsidP="001B6CF5">
      <w:pPr>
        <w:pStyle w:val="ListParagraph"/>
        <w:numPr>
          <w:ilvl w:val="0"/>
          <w:numId w:val="24"/>
        </w:numPr>
      </w:pPr>
      <w:r w:rsidRPr="00045ECA">
        <w:t>Malko submitted that the wide acceptance of dividend growth models in the US demonstrates that this model is sufficiently robust to be useful in economic regulatory decision making.</w:t>
      </w:r>
      <w:r w:rsidRPr="00045ECA">
        <w:rPr>
          <w:rStyle w:val="FootnoteReference"/>
        </w:rPr>
        <w:footnoteReference w:id="834"/>
      </w:r>
      <w:r w:rsidRPr="00045ECA">
        <w:t xml:space="preserve"> However, we note Malko's admission that current corporate and academic practices are less supportive of the use of dividend growth models alone in estimating a rate of return and consider that other information should also inform the decision'.</w:t>
      </w:r>
      <w:r w:rsidRPr="00045ECA">
        <w:rPr>
          <w:rStyle w:val="FootnoteReference"/>
        </w:rPr>
        <w:footnoteReference w:id="835"/>
      </w:r>
      <w:r w:rsidRPr="00045ECA">
        <w:t xml:space="preserve"> </w:t>
      </w:r>
    </w:p>
    <w:p w:rsidR="001B6CF5" w:rsidRDefault="001B6CF5" w:rsidP="001B6CF5">
      <w:pPr>
        <w:numPr>
          <w:ilvl w:val="0"/>
          <w:numId w:val="24"/>
        </w:numPr>
      </w:pPr>
      <w:r>
        <w:t>Service prov</w:t>
      </w:r>
      <w:r w:rsidR="00115090">
        <w:t>i</w:t>
      </w:r>
      <w:r>
        <w:t xml:space="preserve">ders have not provided any </w:t>
      </w:r>
      <w:r w:rsidR="00115090">
        <w:t>substantively</w:t>
      </w:r>
      <w:r>
        <w:t xml:space="preserve"> new evidence to alleviate our concerns that the dividend growth model cannot reliably estimate return on equity for individual firms or sectors.</w:t>
      </w:r>
      <w:r>
        <w:rPr>
          <w:rStyle w:val="FootnoteReference"/>
        </w:rPr>
        <w:footnoteReference w:id="836"/>
      </w:r>
      <w:r>
        <w:t xml:space="preserve"> Services providers have also not provided compelling evidence that dividend growth model estimates of market risk premium are not upwardly biased. </w:t>
      </w:r>
    </w:p>
    <w:p w:rsidR="001B6CF5" w:rsidRPr="004D7F0F" w:rsidRDefault="001B6CF5" w:rsidP="001B6CF5">
      <w:pPr>
        <w:pStyle w:val="ListParagraph"/>
        <w:numPr>
          <w:ilvl w:val="0"/>
          <w:numId w:val="24"/>
        </w:numPr>
      </w:pPr>
      <w:r w:rsidRPr="004D7F0F">
        <w:t xml:space="preserve">We consider that dividend growth models are likely to be biased in the current market, due to concerns about slow-changing dividend forecasts, bias in analysts' forecasts, and to the extent that there is a term structure for the return on equity. Our consultant, Partington and Satchell, also share </w:t>
      </w:r>
      <w:r>
        <w:t>our</w:t>
      </w:r>
      <w:r w:rsidRPr="004D7F0F">
        <w:t xml:space="preserve"> concerns on these issues.</w:t>
      </w:r>
      <w:r w:rsidRPr="004D7F0F">
        <w:rPr>
          <w:rStyle w:val="FootnoteReference"/>
        </w:rPr>
        <w:footnoteReference w:id="837"/>
      </w:r>
    </w:p>
    <w:p w:rsidR="001B6CF5" w:rsidRDefault="001B6CF5" w:rsidP="001B6CF5">
      <w:pPr>
        <w:numPr>
          <w:ilvl w:val="0"/>
          <w:numId w:val="24"/>
        </w:numPr>
      </w:pPr>
      <w:r>
        <w:t xml:space="preserve">Our response to submissions on bias in the dividend growth model is set out in section </w:t>
      </w:r>
      <w:r>
        <w:fldChar w:fldCharType="begin"/>
      </w:r>
      <w:r>
        <w:instrText xml:space="preserve"> REF _Ref446260197 \r \h </w:instrText>
      </w:r>
      <w:r>
        <w:fldChar w:fldCharType="separate"/>
      </w:r>
      <w:r w:rsidR="00BA2E8E">
        <w:t>D.4</w:t>
      </w:r>
      <w:r>
        <w:fldChar w:fldCharType="end"/>
      </w:r>
      <w:r>
        <w:t>.</w:t>
      </w:r>
    </w:p>
    <w:p w:rsidR="001B6CF5" w:rsidRPr="00C61D42" w:rsidRDefault="001B6CF5" w:rsidP="001B6CF5">
      <w:r>
        <w:t>Service providers also supported SFG's construction of the dividend growth model and approach to using the model to estimate return on equity.</w:t>
      </w:r>
      <w:r w:rsidRPr="001C657E">
        <w:rPr>
          <w:rStyle w:val="FootnoteReference"/>
        </w:rPr>
        <w:t xml:space="preserve"> </w:t>
      </w:r>
      <w:r>
        <w:rPr>
          <w:rStyle w:val="FootnoteReference"/>
        </w:rPr>
        <w:footnoteReference w:id="838"/>
      </w:r>
      <w:r>
        <w:t xml:space="preserve"> We consider that SFG's dividend growth model approach is unlikely to provide reliable estimates of the return on equity or market risk premium. Our concerns are detailed in section </w:t>
      </w:r>
      <w:r>
        <w:fldChar w:fldCharType="begin"/>
      </w:r>
      <w:r>
        <w:instrText xml:space="preserve"> REF _Ref449021062 \r \h </w:instrText>
      </w:r>
      <w:r>
        <w:fldChar w:fldCharType="separate"/>
      </w:r>
      <w:r w:rsidR="00BA2E8E">
        <w:t>B.4.1</w:t>
      </w:r>
      <w:r>
        <w:fldChar w:fldCharType="end"/>
      </w:r>
      <w:r>
        <w:t xml:space="preserve"> below.</w:t>
      </w:r>
    </w:p>
    <w:p w:rsidR="001B6CF5" w:rsidRPr="00B4711B" w:rsidRDefault="001B6CF5" w:rsidP="00BC2BDA">
      <w:pPr>
        <w:pStyle w:val="Heading9"/>
        <w:keepNext/>
      </w:pPr>
      <w:bookmarkStart w:id="210" w:name="_Ref449021062"/>
      <w:bookmarkStart w:id="211" w:name="_Toc451678643"/>
      <w:r w:rsidRPr="00B4711B">
        <w:t>SFG</w:t>
      </w:r>
      <w:r>
        <w:t xml:space="preserve">'s </w:t>
      </w:r>
      <w:r w:rsidR="001355DE">
        <w:t>construction</w:t>
      </w:r>
      <w:r>
        <w:t xml:space="preserve"> of the dividend growth model</w:t>
      </w:r>
      <w:bookmarkEnd w:id="210"/>
      <w:bookmarkEnd w:id="211"/>
    </w:p>
    <w:p w:rsidR="001B6CF5" w:rsidRDefault="001B6CF5" w:rsidP="00BC2BDA">
      <w:pPr>
        <w:keepNext/>
        <w:numPr>
          <w:ilvl w:val="0"/>
          <w:numId w:val="24"/>
        </w:numPr>
      </w:pPr>
      <w:r>
        <w:t xml:space="preserve">SFG and several service providers criticised our position in the Guideline and our April and June 2015 decisions to </w:t>
      </w:r>
      <w:r w:rsidRPr="001562D4">
        <w:t xml:space="preserve">limit the role of the </w:t>
      </w:r>
      <w:r>
        <w:t>dividend growth model</w:t>
      </w:r>
      <w:r w:rsidRPr="001562D4">
        <w:t xml:space="preserve"> to informing the </w:t>
      </w:r>
      <w:r>
        <w:t xml:space="preserve">market risk premium, rather than also considering dividend growth model to inform </w:t>
      </w:r>
      <w:r w:rsidRPr="001562D4">
        <w:t>the overall return on equity.</w:t>
      </w:r>
      <w:r w:rsidRPr="001562D4">
        <w:rPr>
          <w:rStyle w:val="FootnoteReference"/>
        </w:rPr>
        <w:footnoteReference w:id="839"/>
      </w:r>
      <w:r w:rsidRPr="001562D4">
        <w:t xml:space="preserve"> </w:t>
      </w:r>
      <w:r w:rsidRPr="00B4711B">
        <w:t xml:space="preserve">SFG submitted its construction of the </w:t>
      </w:r>
      <w:r>
        <w:t>dividend growth model</w:t>
      </w:r>
      <w:r w:rsidRPr="00B4711B">
        <w:t xml:space="preserve"> could produce estimates that we could use for the Australian market as a whole, and at the industry level.</w:t>
      </w:r>
      <w:r w:rsidRPr="00B4711B">
        <w:rPr>
          <w:rStyle w:val="FootnoteReference"/>
        </w:rPr>
        <w:footnoteReference w:id="840"/>
      </w:r>
      <w:r w:rsidRPr="00B4711B">
        <w:t xml:space="preserve"> However, we consider SFG has overstated the ability of its </w:t>
      </w:r>
      <w:r>
        <w:t>dividend growth model</w:t>
      </w:r>
      <w:r w:rsidRPr="00B4711B">
        <w:t xml:space="preserve"> to provide robust return on equity estimates at the industry level.</w:t>
      </w:r>
    </w:p>
    <w:p w:rsidR="001B6CF5" w:rsidRDefault="001B6CF5" w:rsidP="001B6CF5">
      <w:pPr>
        <w:numPr>
          <w:ilvl w:val="0"/>
          <w:numId w:val="24"/>
        </w:numPr>
      </w:pPr>
      <w:r w:rsidRPr="00B4711B">
        <w:t>In SFG's 2014 analysis, there are 99 return on equity estimates using analyst forecasts for the network businesses over the period 2002 to 2014, based on a six month averaging period.</w:t>
      </w:r>
      <w:r w:rsidRPr="00B4711B">
        <w:rPr>
          <w:rStyle w:val="FootnoteReference"/>
        </w:rPr>
        <w:footnoteReference w:id="841"/>
      </w:r>
      <w:r w:rsidRPr="00B4711B">
        <w:t xml:space="preserve"> This is a small sample size, relative to the sample size for estimating the return on equity for the market as a whole. There are few analyst data because there are few network businesses listed on the Australian stock exchange. There is also limited analyst coverage of Australian network businesses. Given the relatively small sample of analyst forecasts available on Australian network businesses, we consider it is difficult to derive a sound return on equity estimate for these businesses using </w:t>
      </w:r>
      <w:r>
        <w:t>dividend growth models</w:t>
      </w:r>
      <w:r w:rsidRPr="00B4711B">
        <w:t>.</w:t>
      </w:r>
    </w:p>
    <w:p w:rsidR="001B6CF5" w:rsidRPr="00941168" w:rsidRDefault="001B6CF5" w:rsidP="001B6CF5">
      <w:pPr>
        <w:pStyle w:val="ListParagraph"/>
        <w:numPr>
          <w:ilvl w:val="0"/>
          <w:numId w:val="24"/>
        </w:numPr>
      </w:pPr>
      <w:r w:rsidRPr="00941168">
        <w:t>In SFG's 2015 report, it changed its approach to use a two month averaging period. In SFG's 2015 analysis, there are 235 return on equity estimates using analyst forecasts for the network businesses over the period 2002 to 2014.</w:t>
      </w:r>
      <w:r w:rsidRPr="00941168">
        <w:rPr>
          <w:rStyle w:val="FootnoteReference"/>
        </w:rPr>
        <w:footnoteReference w:id="842"/>
      </w:r>
      <w:r w:rsidRPr="00941168">
        <w:t xml:space="preserve"> 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equity beta). Moreover, we consider SFG's new approach of using a two month averaging period may introduce errors because of a lack of data. For example, in SFG's sample, there are six two month periods where there were no analyst forecasts for energy network businesses.</w:t>
      </w:r>
      <w:r w:rsidRPr="00941168">
        <w:rPr>
          <w:rStyle w:val="FootnoteReference"/>
        </w:rPr>
        <w:footnoteReference w:id="843"/>
      </w:r>
      <w:r w:rsidRPr="00941168">
        <w:t xml:space="preserve"> </w:t>
      </w:r>
    </w:p>
    <w:p w:rsidR="001B6CF5" w:rsidRPr="00941168" w:rsidRDefault="001B6CF5" w:rsidP="001B6CF5">
      <w:pPr>
        <w:pStyle w:val="ListParagraph"/>
        <w:numPr>
          <w:ilvl w:val="0"/>
          <w:numId w:val="24"/>
        </w:numPr>
      </w:pPr>
      <w:r w:rsidRPr="00941168">
        <w:t xml:space="preserve">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then the use of a simple average means that analyst will be given more weight in the return on equity estimate compared to an analyst that makes only one forecast on that stock in a two month period. Further, firms that have more analyst coverage will have more two–monthly return on equity estimates and hence will receive more weight than firms that have less analyst coverage. Therefore, we consider that SFG's </w:t>
      </w:r>
      <w:r w:rsidR="00115090">
        <w:t>dividend growth model</w:t>
      </w:r>
      <w:r w:rsidRPr="00941168">
        <w:t xml:space="preserve"> gives energy network firms with more analyst coverage greater weight.</w:t>
      </w:r>
    </w:p>
    <w:p w:rsidR="001B6CF5" w:rsidRDefault="001B6CF5" w:rsidP="001B6CF5">
      <w:r>
        <w:t xml:space="preserve">We also note that SFG's approach does not entail directly estimating the return on equity for the using the dividend growth model. Rather, SFG applies its dividend growth model to produce a market risk premium estimate and a ratio of energy networks' risk premiums relative to the market risk premium (an indirect equity beta estimate). </w:t>
      </w:r>
      <w:r w:rsidRPr="00B4711B">
        <w:t>The method used to estimate</w:t>
      </w:r>
      <w:r>
        <w:t xml:space="preserve"> the average risk premium ratio</w:t>
      </w:r>
      <w:r w:rsidRPr="00B4711B">
        <w:t xml:space="preserve"> is not aligned with the definition of equity beta. The equity beta is the covariance between the return on the market and the return on a business divided by the variance of the market. </w:t>
      </w:r>
      <w:r>
        <w:t>We consider that, in doing so, SFG has overstated the ability of its dividend growth model to reliably estimate the return on equity directly</w:t>
      </w:r>
      <w:r w:rsidRPr="006C4D93">
        <w:t>.</w:t>
      </w:r>
      <w:r>
        <w:t xml:space="preserve">  SFG is effectively using its dividend growth model to estimate the market risk premium to incorporate into a Sharpe-Lintner CAPM. </w:t>
      </w:r>
    </w:p>
    <w:p w:rsidR="001B6CF5" w:rsidRPr="001562D4" w:rsidRDefault="001B6CF5" w:rsidP="001B6CF5">
      <w:pPr>
        <w:numPr>
          <w:ilvl w:val="0"/>
          <w:numId w:val="24"/>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dividend growth model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844"/>
      </w:r>
    </w:p>
    <w:p w:rsidR="001B6CF5" w:rsidRPr="00B4711B" w:rsidRDefault="001B6CF5" w:rsidP="001B6CF5">
      <w:r>
        <w:t>SFG</w:t>
      </w:r>
      <w:r w:rsidRPr="00B4711B">
        <w:t xml:space="preserve"> submitted its </w:t>
      </w:r>
      <w:r>
        <w:t>dividend growth model</w:t>
      </w:r>
      <w:r w:rsidRPr="00B4711B">
        <w:t xml:space="preserve"> is more reliable and less volatile than our </w:t>
      </w:r>
      <w:r>
        <w:t>model</w:t>
      </w:r>
      <w:r w:rsidRPr="00B4711B">
        <w:t>.</w:t>
      </w:r>
      <w:r w:rsidRPr="00B4711B">
        <w:rPr>
          <w:rStyle w:val="FootnoteReference"/>
        </w:rPr>
        <w:footnoteReference w:id="845"/>
      </w:r>
      <w:r w:rsidRPr="00B4711B">
        <w:t xml:space="preserve"> However, this perception of stability is subjective and we do not agree with it. </w:t>
      </w:r>
      <w:r>
        <w:fldChar w:fldCharType="begin"/>
      </w:r>
      <w:r>
        <w:instrText xml:space="preserve"> REF _Ref449021102 \h </w:instrText>
      </w:r>
      <w:r>
        <w:fldChar w:fldCharType="separate"/>
      </w:r>
      <w:r w:rsidR="00BA2E8E" w:rsidRPr="00B4711B">
        <w:t xml:space="preserve">Figure </w:t>
      </w:r>
      <w:r w:rsidR="00BA2E8E">
        <w:rPr>
          <w:noProof/>
        </w:rPr>
        <w:t>3</w:t>
      </w:r>
      <w:r w:rsidR="00BA2E8E">
        <w:noBreakHyphen/>
      </w:r>
      <w:r w:rsidR="00BA2E8E">
        <w:rPr>
          <w:noProof/>
        </w:rPr>
        <w:t>6</w:t>
      </w:r>
      <w:r>
        <w:fldChar w:fldCharType="end"/>
      </w:r>
      <w:r>
        <w:t xml:space="preserve"> </w:t>
      </w:r>
      <w:r w:rsidRPr="00B4711B">
        <w:t>illustrates this point by showing three time series:</w:t>
      </w:r>
      <w:r w:rsidRPr="00B4711B">
        <w:rPr>
          <w:rStyle w:val="FootnoteReference"/>
        </w:rPr>
        <w:footnoteReference w:id="846"/>
      </w:r>
    </w:p>
    <w:p w:rsidR="001B6CF5" w:rsidRPr="00B4711B" w:rsidRDefault="001B6CF5" w:rsidP="001B6CF5">
      <w:pPr>
        <w:pStyle w:val="AERbulletlistfirststyle"/>
      </w:pPr>
      <w:r w:rsidRPr="00B4711B">
        <w:t xml:space="preserve">the return on equity for the market determined by SFG's </w:t>
      </w:r>
      <w:r>
        <w:t>model</w:t>
      </w:r>
      <w:r w:rsidRPr="00B4711B">
        <w:t xml:space="preserve"> (blue line)</w:t>
      </w:r>
    </w:p>
    <w:p w:rsidR="001B6CF5" w:rsidRPr="00B4711B" w:rsidRDefault="001B6CF5" w:rsidP="001B6CF5">
      <w:pPr>
        <w:pStyle w:val="AERbulletlistfirststyle"/>
      </w:pPr>
      <w:r w:rsidRPr="00B4711B">
        <w:t xml:space="preserve">the return on equity for network businesses determined by multiplying the </w:t>
      </w:r>
      <w:r w:rsidR="00115090">
        <w:t>market risk premium</w:t>
      </w:r>
      <w:r w:rsidRPr="00B4711B">
        <w:t xml:space="preserve"> from SFG's </w:t>
      </w:r>
      <w:r>
        <w:t>model</w:t>
      </w:r>
      <w:r w:rsidRPr="00B4711B">
        <w:t xml:space="preserve"> by 0.94 then adding the prevailing risk free rate (green line)</w:t>
      </w:r>
    </w:p>
    <w:p w:rsidR="001B6CF5" w:rsidRPr="00B4711B" w:rsidRDefault="001B6CF5" w:rsidP="001B6CF5">
      <w:pPr>
        <w:pStyle w:val="AERbulletlistfirststyle"/>
      </w:pPr>
      <w:r w:rsidRPr="00B4711B">
        <w:t xml:space="preserve">the return on equity for network businesses determined by directly applying SFG's </w:t>
      </w:r>
      <w:r>
        <w:t>model</w:t>
      </w:r>
      <w:r w:rsidRPr="00B4711B">
        <w:t xml:space="preserve"> (red line).</w:t>
      </w:r>
    </w:p>
    <w:p w:rsidR="001B6CF5" w:rsidRPr="00B4711B" w:rsidRDefault="001B6CF5" w:rsidP="001B6CF5">
      <w:pPr>
        <w:pStyle w:val="Caption"/>
      </w:pPr>
      <w:bookmarkStart w:id="212" w:name="_Ref449021102"/>
      <w:r w:rsidRPr="00B4711B">
        <w:t xml:space="preserve">Figure </w:t>
      </w:r>
      <w:fldSimple w:instr=" STYLEREF 1 \s ">
        <w:r w:rsidR="00BA2E8E">
          <w:rPr>
            <w:noProof/>
          </w:rPr>
          <w:t>3</w:t>
        </w:r>
      </w:fldSimple>
      <w:r w:rsidR="00A6197A">
        <w:noBreakHyphen/>
      </w:r>
      <w:fldSimple w:instr=" SEQ Figure \* ARABIC \s 1 ">
        <w:r w:rsidR="00BA2E8E">
          <w:rPr>
            <w:noProof/>
          </w:rPr>
          <w:t>6</w:t>
        </w:r>
      </w:fldSimple>
      <w:bookmarkEnd w:id="212"/>
      <w:r w:rsidRPr="00B4711B">
        <w:tab/>
        <w:t>Movements in SFG's dividend growth model</w:t>
      </w:r>
    </w:p>
    <w:p w:rsidR="001B6CF5" w:rsidRPr="00B4711B" w:rsidRDefault="009C74CF" w:rsidP="009C74CF">
      <w:pPr>
        <w:numPr>
          <w:ilvl w:val="0"/>
          <w:numId w:val="24"/>
        </w:numPr>
      </w:pPr>
      <w:r w:rsidRPr="009C74CF">
        <w:rPr>
          <w:noProof/>
          <w:lang w:eastAsia="en-AU"/>
        </w:rPr>
        <w:drawing>
          <wp:inline distT="0" distB="0" distL="0" distR="0" wp14:anchorId="2EACA40C" wp14:editId="301E31BC">
            <wp:extent cx="5372100" cy="3209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72100" cy="3209925"/>
                    </a:xfrm>
                    <a:prstGeom prst="rect">
                      <a:avLst/>
                    </a:prstGeom>
                    <a:noFill/>
                    <a:ln>
                      <a:noFill/>
                    </a:ln>
                  </pic:spPr>
                </pic:pic>
              </a:graphicData>
            </a:graphic>
          </wp:inline>
        </w:drawing>
      </w:r>
    </w:p>
    <w:p w:rsidR="001B6CF5" w:rsidRPr="00B4711B" w:rsidRDefault="001B6CF5" w:rsidP="001B6CF5">
      <w:pPr>
        <w:pStyle w:val="AERtablesource"/>
      </w:pPr>
      <w:r w:rsidRPr="00B4711B">
        <w:t xml:space="preserve">Source: </w:t>
      </w:r>
      <w:r w:rsidRPr="00B4711B">
        <w:tab/>
        <w:t xml:space="preserve">SFG, </w:t>
      </w:r>
      <w:r w:rsidRPr="00B4711B">
        <w:rPr>
          <w:rStyle w:val="AERtextitalic"/>
        </w:rPr>
        <w:t>Share prices, the dividend discount model and the cost of equity for the market and a benchmark energy network</w:t>
      </w:r>
      <w:r w:rsidRPr="00B4711B">
        <w:t>, 13 February 2015, pp. 40–41; AER analysis.</w:t>
      </w:r>
      <w:r w:rsidRPr="00B4711B">
        <w:rPr>
          <w:rStyle w:val="FootnoteReference"/>
        </w:rPr>
        <w:footnoteReference w:id="847"/>
      </w:r>
    </w:p>
    <w:p w:rsidR="001B6CF5" w:rsidRPr="00B4711B" w:rsidRDefault="001B6CF5" w:rsidP="001B6CF5">
      <w:pPr>
        <w:pStyle w:val="AERtablesource"/>
      </w:pPr>
      <w:r w:rsidRPr="00B4711B">
        <w:t>Note:</w:t>
      </w:r>
      <w:r w:rsidRPr="00B4711B">
        <w:tab/>
        <w:t>SFG calls the market value return on equity, the 'cost of equity'. This is the concept we refer to throughout this decision as the 'return on equity'.</w:t>
      </w:r>
    </w:p>
    <w:p w:rsidR="001B6CF5" w:rsidRPr="00B4711B" w:rsidRDefault="001B6CF5" w:rsidP="001B6CF5">
      <w:pPr>
        <w:pStyle w:val="AERtablesource"/>
      </w:pPr>
      <w:r w:rsidRPr="00B4711B">
        <w:tab/>
        <w:t>The gaps in the red line are the result of periods where there were no analyst forecasts for energy network businesses. Therefore, the return on equity for network businesses could not be estimated for these periods.</w:t>
      </w:r>
    </w:p>
    <w:p w:rsidR="001B6CF5" w:rsidRPr="00B4711B" w:rsidRDefault="001B6CF5" w:rsidP="001B6CF5">
      <w:pPr>
        <w:numPr>
          <w:ilvl w:val="0"/>
          <w:numId w:val="24"/>
        </w:numPr>
      </w:pPr>
      <w:r>
        <w:fldChar w:fldCharType="begin"/>
      </w:r>
      <w:r>
        <w:instrText xml:space="preserve"> REF _Ref449021102 \h </w:instrText>
      </w:r>
      <w:r>
        <w:fldChar w:fldCharType="separate"/>
      </w:r>
      <w:r w:rsidR="00BA2E8E" w:rsidRPr="00B4711B">
        <w:t xml:space="preserve">Figure </w:t>
      </w:r>
      <w:r w:rsidR="00BA2E8E">
        <w:rPr>
          <w:noProof/>
        </w:rPr>
        <w:t>3</w:t>
      </w:r>
      <w:r w:rsidR="00BA2E8E">
        <w:noBreakHyphen/>
      </w:r>
      <w:r w:rsidR="00BA2E8E">
        <w:rPr>
          <w:noProof/>
        </w:rPr>
        <w:t>6</w:t>
      </w:r>
      <w:r>
        <w:fldChar w:fldCharType="end"/>
      </w:r>
      <w:r>
        <w:t xml:space="preserve"> </w:t>
      </w:r>
      <w:r w:rsidRPr="00B4711B">
        <w:t xml:space="preserve">illustrates that direct estimates of the return on equity for network businesses using SFG's </w:t>
      </w:r>
      <w:r>
        <w:t>dividend growth model</w:t>
      </w:r>
      <w:r w:rsidRPr="00B4711B">
        <w:t xml:space="preserve"> (red line) are volatile. Whereas, by construction, SFG's indirect estimates of the return on equity for network businesses using a hybrid CAPM</w:t>
      </w:r>
      <w:r>
        <w:t xml:space="preserve"> </w:t>
      </w:r>
      <w:r w:rsidRPr="00B4711B">
        <w:t>/</w:t>
      </w:r>
      <w:r>
        <w:t xml:space="preserve"> dividend growth model</w:t>
      </w:r>
      <w:r w:rsidRPr="00B4711B">
        <w:t xml:space="preserve"> are more stable (green line). SFG and service providers only proposed indirect estimates. SFG's indirect approach results in a return for the industry that precisely mirrors movements in the market. SFG's indirect approach is predisposed to this outcome because of its construction. It is not clear to us that this outcome is a reasonable reflection of expected returns for the industry.</w:t>
      </w:r>
    </w:p>
    <w:p w:rsidR="001B6CF5" w:rsidRDefault="001B6CF5" w:rsidP="001B6CF5">
      <w:pPr>
        <w:pStyle w:val="Heading8"/>
      </w:pPr>
      <w:bookmarkStart w:id="213" w:name="_Ref449018117"/>
      <w:bookmarkStart w:id="214" w:name="_Toc451678644"/>
      <w:r>
        <w:t>Wright CAPM and historical CAPM</w:t>
      </w:r>
      <w:bookmarkEnd w:id="213"/>
      <w:bookmarkEnd w:id="214"/>
    </w:p>
    <w:p w:rsidR="001B6CF5" w:rsidRDefault="001B6CF5" w:rsidP="001B6CF5">
      <w:pPr>
        <w:numPr>
          <w:ilvl w:val="0"/>
          <w:numId w:val="24"/>
        </w:numPr>
      </w:pPr>
      <w:r>
        <w:t>The Wright CAPM is an alternative implementation of the Sharpe-Lintner CAPM. This is where the return on the market portfolio and the risk free rate are estimated as separate components of the market risk premium. The following equation represents this relationship:</w:t>
      </w:r>
    </w:p>
    <w:p w:rsidR="001B6CF5" w:rsidRDefault="001B6CF5" w:rsidP="001B6CF5">
      <w:pPr>
        <w:numPr>
          <w:ilvl w:val="0"/>
          <w:numId w:val="24"/>
        </w:numPr>
      </w:pPr>
      <m:oMath>
        <m:r>
          <w:rPr>
            <w:rFonts w:ascii="Cambria Math" w:hAnsi="Cambria Math"/>
          </w:rPr>
          <m:t>ke=rf+βe×(rm-rf)</m:t>
        </m:r>
      </m:oMath>
    </w:p>
    <w:p w:rsidR="001B6CF5" w:rsidRPr="0082305A" w:rsidRDefault="001B6CF5" w:rsidP="001B6CF5">
      <w:pPr>
        <w:pStyle w:val="AERtablesource"/>
      </w:pPr>
      <w:r>
        <w:t>W</w:t>
      </w:r>
      <w:r w:rsidRPr="0082305A">
        <w:t>here</w:t>
      </w:r>
      <w:r>
        <w:t>:</w:t>
      </w:r>
      <w:r>
        <w:tab/>
      </w:r>
      <m:oMath>
        <m:r>
          <w:rPr>
            <w:rFonts w:ascii="Cambria Math" w:hAnsi="Cambria Math"/>
          </w:rPr>
          <m:t>ke</m:t>
        </m:r>
      </m:oMath>
      <w:r w:rsidRPr="0082305A">
        <w:t xml:space="preserve"> is the expected return on equity</w:t>
      </w:r>
    </w:p>
    <w:p w:rsidR="001B6CF5" w:rsidRPr="0082305A" w:rsidRDefault="001B6CF5" w:rsidP="001B6CF5">
      <w:pPr>
        <w:pStyle w:val="AERtablesource"/>
      </w:pPr>
      <w:r>
        <w:tab/>
      </w:r>
      <m:oMath>
        <m:r>
          <w:rPr>
            <w:rFonts w:ascii="Cambria Math" w:hAnsi="Cambria Math"/>
          </w:rPr>
          <m:t>rf</m:t>
        </m:r>
      </m:oMath>
      <w:r w:rsidRPr="0082305A">
        <w:t xml:space="preserve"> is the risk free rate</w:t>
      </w:r>
    </w:p>
    <w:p w:rsidR="001B6CF5" w:rsidRPr="0082305A" w:rsidRDefault="001B6CF5" w:rsidP="001B6CF5">
      <w:pPr>
        <w:pStyle w:val="AERtablesource"/>
      </w:pPr>
      <w:r>
        <w:tab/>
      </w:r>
      <m:oMath>
        <m:r>
          <w:rPr>
            <w:rFonts w:ascii="Cambria Math" w:hAnsi="Cambria Math"/>
          </w:rPr>
          <m:t>βe</m:t>
        </m:r>
      </m:oMath>
      <w:r w:rsidRPr="0082305A">
        <w:t xml:space="preserve"> is the equity beta</w:t>
      </w:r>
    </w:p>
    <w:p w:rsidR="001B6CF5" w:rsidRDefault="001B6CF5" w:rsidP="001B6CF5">
      <w:pPr>
        <w:pStyle w:val="AERtablesource"/>
      </w:pPr>
      <w:r>
        <w:tab/>
      </w:r>
      <m:oMath>
        <m:r>
          <w:rPr>
            <w:rFonts w:ascii="Cambria Math" w:hAnsi="Cambria Math"/>
          </w:rPr>
          <m:t>rm</m:t>
        </m:r>
      </m:oMath>
      <w:r w:rsidRPr="0082305A">
        <w:t xml:space="preserve"> is the expected return on the market</w:t>
      </w:r>
    </w:p>
    <w:p w:rsidR="001B6CF5" w:rsidRDefault="001B6CF5" w:rsidP="001B6CF5">
      <w:pPr>
        <w:numPr>
          <w:ilvl w:val="0"/>
          <w:numId w:val="24"/>
        </w:numPr>
      </w:pPr>
      <w:r>
        <w:t>Typically, under the Wright approach the return on the market is estimated using historical data, while a prevailing risk free rate is estimated. Under an historical specification of the CAPM, both the return on the market (or market risk premium) and the risk free rate is estimated by reference to long-run historical data.</w:t>
      </w:r>
      <w:r>
        <w:rPr>
          <w:rStyle w:val="FootnoteReference"/>
        </w:rPr>
        <w:footnoteReference w:id="848"/>
      </w:r>
      <w:r>
        <w:t xml:space="preserve"> </w:t>
      </w:r>
    </w:p>
    <w:p w:rsidR="001B6CF5" w:rsidRDefault="001B6CF5" w:rsidP="001B6CF5">
      <w:pPr>
        <w:numPr>
          <w:ilvl w:val="0"/>
          <w:numId w:val="24"/>
        </w:numPr>
      </w:pPr>
      <w:r>
        <w:t>In its access arrangement proposal, APTNT</w:t>
      </w:r>
      <w:r w:rsidRPr="001562D4">
        <w:t xml:space="preserve"> </w:t>
      </w:r>
      <w:r>
        <w:t>proposed</w:t>
      </w:r>
      <w:r w:rsidRPr="001562D4">
        <w:t xml:space="preserve"> a 'Wright' specific</w:t>
      </w:r>
      <w:r>
        <w:t>ation of the Sharpe-Lintner CAPM.</w:t>
      </w:r>
      <w:r>
        <w:rPr>
          <w:rStyle w:val="FootnoteReference"/>
        </w:rPr>
        <w:footnoteReference w:id="849"/>
      </w:r>
      <w:r>
        <w:t xml:space="preserve"> Many other service providers proposed using the underlying premise of the Wright CAPM – that the market return is relatively constant – when estimating market risk premium.</w:t>
      </w:r>
      <w:r w:rsidRPr="007472EA">
        <w:rPr>
          <w:rStyle w:val="FootnoteReference"/>
        </w:rPr>
        <w:footnoteReference w:id="850"/>
      </w:r>
    </w:p>
    <w:p w:rsidR="001B6CF5" w:rsidRPr="00957F0D" w:rsidRDefault="001B6CF5" w:rsidP="001B6CF5">
      <w:pPr>
        <w:numPr>
          <w:ilvl w:val="0"/>
          <w:numId w:val="24"/>
        </w:numPr>
      </w:pPr>
      <w:r w:rsidRPr="00957F0D">
        <w:t xml:space="preserve">We consider the point estimates of the </w:t>
      </w:r>
      <w:r>
        <w:t>return on equity</w:t>
      </w:r>
      <w:r w:rsidRPr="00957F0D">
        <w:t xml:space="preserve"> from these non-standard specifications of the S</w:t>
      </w:r>
      <w:r>
        <w:t>harpe-</w:t>
      </w:r>
      <w:r w:rsidRPr="00957F0D">
        <w:t>L</w:t>
      </w:r>
      <w:r>
        <w:t xml:space="preserve">intner </w:t>
      </w:r>
      <w:r w:rsidRPr="00957F0D">
        <w:t xml:space="preserve">CAPM are currently </w:t>
      </w:r>
      <w:r>
        <w:t>unsuitable for:</w:t>
      </w:r>
    </w:p>
    <w:p w:rsidR="001B6CF5" w:rsidRPr="00F63640" w:rsidRDefault="001B6CF5" w:rsidP="001B6CF5">
      <w:pPr>
        <w:pStyle w:val="AERbulletlistfirststyle"/>
      </w:pPr>
      <w:r>
        <w:t>e</w:t>
      </w:r>
      <w:r w:rsidRPr="00957F0D">
        <w:t>stimating</w:t>
      </w:r>
      <w:r w:rsidRPr="00F63640">
        <w:t xml:space="preserve"> the return on equity for the benchmark efficient entity</w:t>
      </w:r>
    </w:p>
    <w:p w:rsidR="001B6CF5" w:rsidRPr="00F63640" w:rsidRDefault="001B6CF5" w:rsidP="001B6CF5">
      <w:pPr>
        <w:pStyle w:val="AERbulletlistfirststyle"/>
      </w:pPr>
      <w:r>
        <w:t>p</w:t>
      </w:r>
      <w:r w:rsidRPr="00F63640">
        <w:t>erforming a cross check on whethe</w:t>
      </w:r>
      <w:r>
        <w:t xml:space="preserve">r other models (including the Sharpe-Lintner </w:t>
      </w:r>
      <w:r w:rsidRPr="00F63640">
        <w:t>CAPM) are producing reasonable estimates of the return on equity.</w:t>
      </w:r>
    </w:p>
    <w:p w:rsidR="001B6CF5" w:rsidRPr="00957F0D" w:rsidRDefault="001B6CF5" w:rsidP="001B6CF5">
      <w:pPr>
        <w:numPr>
          <w:ilvl w:val="0"/>
          <w:numId w:val="24"/>
        </w:numPr>
      </w:pPr>
      <w:r>
        <w:t>Our</w:t>
      </w:r>
      <w:r w:rsidRPr="00957F0D">
        <w:t xml:space="preserve"> reasons for </w:t>
      </w:r>
      <w:r>
        <w:t>this position</w:t>
      </w:r>
      <w:r w:rsidRPr="00957F0D">
        <w:t xml:space="preserve"> are:</w:t>
      </w:r>
    </w:p>
    <w:p w:rsidR="001B6CF5" w:rsidRPr="00F63640" w:rsidRDefault="001B6CF5" w:rsidP="001B6CF5">
      <w:pPr>
        <w:pStyle w:val="AERbulletlistfirststyle"/>
      </w:pPr>
      <w:r w:rsidRPr="00957F0D">
        <w:t>The models are not theoretically justified. The S</w:t>
      </w:r>
      <w:r>
        <w:t>harpe-</w:t>
      </w:r>
      <w:r w:rsidRPr="00957F0D">
        <w:t>L</w:t>
      </w:r>
      <w:r>
        <w:t xml:space="preserve">intner </w:t>
      </w:r>
      <w:r w:rsidRPr="00F63640">
        <w:t>CAPM is a forward-looking equilibrium asset pricing model and therefore requires forward looking input parameters.</w:t>
      </w:r>
      <w:r w:rsidRPr="00F63640">
        <w:rPr>
          <w:rStyle w:val="FootnoteReference"/>
        </w:rPr>
        <w:footnoteReference w:id="851"/>
      </w:r>
    </w:p>
    <w:p w:rsidR="001B6CF5" w:rsidRPr="00F63640" w:rsidRDefault="001B6CF5" w:rsidP="001B6CF5">
      <w:pPr>
        <w:pStyle w:val="AERbulletlistfirststyle"/>
      </w:pPr>
      <w:r w:rsidRPr="00957F0D">
        <w:t>The models do not take into acc</w:t>
      </w:r>
      <w:r w:rsidRPr="00F63640">
        <w:t>ount changing market conditions. Therefore, they are unlikely to (at a given point in time) estimate an unbiased forward-looking estimate of the required return on equity.</w:t>
      </w:r>
      <w:r w:rsidRPr="009B3DBE">
        <w:t xml:space="preserve"> </w:t>
      </w:r>
      <w:r>
        <w:t>H</w:t>
      </w:r>
      <w:r w:rsidRPr="001562D4">
        <w:t>istorical data may be used as a basis for estimates of the model</w:t>
      </w:r>
      <w:r>
        <w:t xml:space="preserve">’s </w:t>
      </w:r>
      <w:r w:rsidRPr="001562D4">
        <w:t xml:space="preserve">parameters </w:t>
      </w:r>
      <w:r>
        <w:t>where they are good evidence of forward-looking parameters. However,</w:t>
      </w:r>
      <w:r w:rsidRPr="001562D4">
        <w:t xml:space="preserve"> we do not consider using historically based estimates that are clearly not representative of the forward looking rate will result in an unbiased estimate of the </w:t>
      </w:r>
      <w:r>
        <w:t>return on equity.</w:t>
      </w:r>
      <w:r>
        <w:rPr>
          <w:rStyle w:val="FootnoteReference"/>
        </w:rPr>
        <w:footnoteReference w:id="852"/>
      </w:r>
    </w:p>
    <w:p w:rsidR="001B6CF5" w:rsidRPr="00F63640" w:rsidRDefault="001B6CF5" w:rsidP="001B6CF5">
      <w:pPr>
        <w:pStyle w:val="AERbulletlistfirststyle"/>
      </w:pPr>
      <w:r>
        <w:t>We consider that no</w:t>
      </w:r>
      <w:r w:rsidRPr="00F63640">
        <w:t xml:space="preserve"> compelling empirical evidence is before us </w:t>
      </w:r>
      <w:r>
        <w:t xml:space="preserve">to </w:t>
      </w:r>
      <w:r w:rsidRPr="00F63640">
        <w:t>support the use of the models.</w:t>
      </w:r>
      <w:r>
        <w:t xml:space="preserve"> We </w:t>
      </w:r>
      <w:r w:rsidRPr="006C4D93">
        <w:t xml:space="preserve">do not agree with the underlying premise of the </w:t>
      </w:r>
      <w:r>
        <w:t>Wright CAPM</w:t>
      </w:r>
      <w:r w:rsidRPr="006C4D93">
        <w:t xml:space="preserve"> that there is a </w:t>
      </w:r>
      <w:r>
        <w:t>clear</w:t>
      </w:r>
      <w:r w:rsidRPr="006C4D93">
        <w:t xml:space="preserve"> inverse relationship between movements in the risk free rate and </w:t>
      </w:r>
      <w:r>
        <w:t>market risk premium</w:t>
      </w:r>
      <w:r w:rsidRPr="006C4D93">
        <w:t xml:space="preserve">. </w:t>
      </w:r>
      <w:r>
        <w:t>Frontier submitted that empirical evidence from Wright &amp; Smithers indicates that the return on the market using U.S. data has been relatively stable over time.</w:t>
      </w:r>
      <w:r>
        <w:rPr>
          <w:rStyle w:val="FootnoteReference"/>
        </w:rPr>
        <w:footnoteReference w:id="853"/>
      </w:r>
      <w:r>
        <w:t xml:space="preserve"> However, a</w:t>
      </w:r>
      <w:r w:rsidRPr="002662F2">
        <w:t xml:space="preserve">pplying Wright’s approach to Australian data, Lally found the estimated </w:t>
      </w:r>
      <w:r>
        <w:t>market risk premium</w:t>
      </w:r>
      <w:r w:rsidRPr="002662F2">
        <w:t xml:space="preserve"> series is more stable than the average real market return series.</w:t>
      </w:r>
      <w:r>
        <w:rPr>
          <w:rStyle w:val="FootnoteReference"/>
        </w:rPr>
        <w:footnoteReference w:id="854"/>
      </w:r>
    </w:p>
    <w:p w:rsidR="001B6CF5" w:rsidRPr="00F63640" w:rsidRDefault="001B6CF5" w:rsidP="001B6CF5">
      <w:pPr>
        <w:pStyle w:val="AERbulletlistfirststyle"/>
      </w:pPr>
      <w:r>
        <w:t>M</w:t>
      </w:r>
      <w:r w:rsidRPr="00F63640">
        <w:t>arket practitioners, academics or regulators do not generally accept these models.</w:t>
      </w:r>
      <w:r w:rsidRPr="00F63640">
        <w:rPr>
          <w:rStyle w:val="FootnoteReference"/>
        </w:rPr>
        <w:footnoteReference w:id="855"/>
      </w:r>
      <w:r>
        <w:t xml:space="preserve"> For example, an analysis of 78 suitable independent valuation reports over May 2013 to January 2016 indicates there are no reports that appear to use the Wright CAPM.</w:t>
      </w:r>
    </w:p>
    <w:p w:rsidR="001B6CF5" w:rsidRPr="00957F0D" w:rsidRDefault="001B6CF5" w:rsidP="001B6CF5">
      <w:r w:rsidRPr="00957F0D">
        <w:t xml:space="preserve">Handley considered the Wright </w:t>
      </w:r>
      <w:r>
        <w:t>CAPM</w:t>
      </w:r>
      <w:r w:rsidRPr="00957F0D">
        <w:t xml:space="preserve"> </w:t>
      </w:r>
      <w:r>
        <w:t>and</w:t>
      </w:r>
      <w:r w:rsidRPr="00957F0D">
        <w:t xml:space="preserve"> stated:</w:t>
      </w:r>
      <w:r>
        <w:rPr>
          <w:rStyle w:val="FootnoteReference"/>
        </w:rPr>
        <w:footnoteReference w:id="856"/>
      </w:r>
    </w:p>
    <w:p w:rsidR="001B6CF5" w:rsidRPr="00957F0D" w:rsidRDefault="001B6CF5" w:rsidP="001B6CF5">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857"/>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1B6CF5" w:rsidRPr="00957F0D" w:rsidRDefault="001B6CF5" w:rsidP="001B6CF5">
      <w:pPr>
        <w:pStyle w:val="AERquoteindent2"/>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858"/>
      </w:r>
    </w:p>
    <w:p w:rsidR="001B6CF5" w:rsidRPr="00957F0D" w:rsidRDefault="001B6CF5" w:rsidP="001B6CF5">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1B6CF5" w:rsidRDefault="001B6CF5" w:rsidP="001B6CF5">
      <w:pPr>
        <w:numPr>
          <w:ilvl w:val="0"/>
          <w:numId w:val="24"/>
        </w:numPr>
      </w:pPr>
      <w:r w:rsidRPr="00957F0D">
        <w:t>We note</w:t>
      </w:r>
      <w:r>
        <w:t xml:space="preserve"> that</w:t>
      </w:r>
      <w:r w:rsidRPr="00957F0D">
        <w:t xml:space="preserve"> Handley's comments appear equally applicable to the 'long term' </w:t>
      </w:r>
      <w:r w:rsidR="00EF429B">
        <w:t xml:space="preserve">Sharpe-Lintner </w:t>
      </w:r>
      <w:r w:rsidRPr="00957F0D">
        <w:t xml:space="preserve">CAPM specification proposed by a number of </w:t>
      </w:r>
      <w:r>
        <w:t>service providers.</w:t>
      </w:r>
    </w:p>
    <w:p w:rsidR="001B6CF5" w:rsidRDefault="001B6CF5" w:rsidP="001B6CF5">
      <w:pPr>
        <w:numPr>
          <w:ilvl w:val="0"/>
          <w:numId w:val="24"/>
        </w:numPr>
      </w:pPr>
      <w:r>
        <w:t>While</w:t>
      </w:r>
      <w:r w:rsidRPr="00957F0D">
        <w:t xml:space="preserve"> we have used a range from the Wright CAPM to inform the overall </w:t>
      </w:r>
      <w:r>
        <w:t>return on equity, we have placed little reliance on this information given our concerns outlined above</w:t>
      </w:r>
      <w:r w:rsidRPr="00957F0D">
        <w:t>.</w:t>
      </w:r>
      <w:r>
        <w:rPr>
          <w:rStyle w:val="FootnoteReference"/>
        </w:rPr>
        <w:footnoteReference w:id="859"/>
      </w:r>
    </w:p>
    <w:p w:rsidR="001B6CF5" w:rsidRDefault="001B6CF5" w:rsidP="001B6CF5">
      <w:pPr>
        <w:numPr>
          <w:ilvl w:val="0"/>
          <w:numId w:val="24"/>
        </w:numPr>
      </w:pPr>
      <w:r>
        <w:t>Service providers submitted that the Wright CAPM is relevant to the estimation of the market risk premium, rather than the overall return on equity.</w:t>
      </w:r>
      <w:r>
        <w:rPr>
          <w:rStyle w:val="FootnoteReference"/>
        </w:rPr>
        <w:footnoteReference w:id="860"/>
      </w:r>
      <w:r w:rsidRPr="00E364BB">
        <w:t xml:space="preserve"> </w:t>
      </w:r>
      <w:r>
        <w:t>We compare our foundation model equity risk premium to the Wright CAPM equity risk premium. This provides for consideration of both market risk premium and equity beta estimates, as the equity risk premium is the product of both estimates. We do not consider the Wright CAPM when estimating market risk premium. We consider that doing so would be unnecessary, and may place too much weight on the Wright CAPM given our concerns with it as set out above.</w:t>
      </w:r>
    </w:p>
    <w:p w:rsidR="001B6CF5" w:rsidRDefault="001B6CF5" w:rsidP="001B6CF5">
      <w:pPr>
        <w:pStyle w:val="ListParagraph"/>
        <w:numPr>
          <w:ilvl w:val="0"/>
          <w:numId w:val="24"/>
        </w:numPr>
      </w:pPr>
      <w:r>
        <w:t>Partington and Satchell advised that they are '</w:t>
      </w:r>
      <w:r w:rsidRPr="00042AEC">
        <w:t>unconvinced by the Wright approach</w:t>
      </w:r>
      <w:r>
        <w:t xml:space="preserve">' for estimating the market risk premium and </w:t>
      </w:r>
      <w:r w:rsidRPr="00042AEC">
        <w:t xml:space="preserve">recommend that </w:t>
      </w:r>
      <w:r>
        <w:t>we give</w:t>
      </w:r>
      <w:r w:rsidRPr="00042AEC">
        <w:t xml:space="preserve"> it little weight</w:t>
      </w:r>
      <w:r>
        <w:t>.</w:t>
      </w:r>
      <w:r>
        <w:rPr>
          <w:rStyle w:val="FootnoteReference"/>
        </w:rPr>
        <w:footnoteReference w:id="861"/>
      </w:r>
      <w:r>
        <w:t xml:space="preserve"> The noted that the Wright CAPM is</w:t>
      </w:r>
      <w:r w:rsidRPr="00042AEC">
        <w:t xml:space="preserve"> </w:t>
      </w:r>
      <w:r>
        <w:t>has no 'well accepted theoretical support',</w:t>
      </w:r>
      <w:r w:rsidRPr="00042AEC">
        <w:t xml:space="preserve"> </w:t>
      </w:r>
      <w:r>
        <w:t>'</w:t>
      </w:r>
      <w:r w:rsidRPr="00042AEC">
        <w:t>does not seem to be much used, if at all, in practice</w:t>
      </w:r>
      <w:r>
        <w:t>' and '</w:t>
      </w:r>
      <w:r w:rsidRPr="00042AEC">
        <w:t>runs contrary to the well accepted view that asset prices are inversely related to interest rates</w:t>
      </w:r>
      <w:r>
        <w:t xml:space="preserve">'. </w:t>
      </w:r>
    </w:p>
    <w:p w:rsidR="001B6CF5" w:rsidRDefault="001B6CF5" w:rsidP="001B6CF5">
      <w:pPr>
        <w:numPr>
          <w:ilvl w:val="0"/>
          <w:numId w:val="24"/>
        </w:numPr>
      </w:pPr>
    </w:p>
    <w:p w:rsidR="00DB0499" w:rsidRPr="00BA0AFD" w:rsidRDefault="00DB0499" w:rsidP="00DB0499">
      <w:pPr>
        <w:pStyle w:val="Heading7"/>
      </w:pPr>
      <w:bookmarkStart w:id="215" w:name="_Toc443923196"/>
      <w:bookmarkStart w:id="216" w:name="_Toc451678645"/>
      <w:bookmarkEnd w:id="173"/>
      <w:bookmarkEnd w:id="174"/>
      <w:bookmarkEnd w:id="175"/>
      <w:bookmarkEnd w:id="176"/>
      <w:bookmarkEnd w:id="177"/>
      <w:bookmarkEnd w:id="178"/>
      <w:bookmarkEnd w:id="179"/>
      <w:bookmarkEnd w:id="180"/>
      <w:bookmarkEnd w:id="181"/>
      <w:bookmarkEnd w:id="182"/>
      <w:bookmarkEnd w:id="183"/>
      <w:r>
        <w:t>Historical stock returns</w:t>
      </w:r>
      <w:bookmarkEnd w:id="215"/>
      <w:bookmarkEnd w:id="216"/>
    </w:p>
    <w:p w:rsidR="00DB0499" w:rsidRDefault="00DB0499" w:rsidP="00DB0499">
      <w:r>
        <w:t>This appendix examines realised returns to Australian listed equity (stocks) as a proxy for the historical return on the portfolio of all equity in the market. We examine both total returns and excess returns. E</w:t>
      </w:r>
      <w:r w:rsidRPr="009F06D7">
        <w:t xml:space="preserve">xcess returns </w:t>
      </w:r>
      <w:r>
        <w:t>are the realised returns</w:t>
      </w:r>
      <w:r>
        <w:rPr>
          <w:rStyle w:val="FootnoteReference"/>
        </w:rPr>
        <w:footnoteReference w:id="862"/>
      </w:r>
      <w:r w:rsidRPr="009F06D7">
        <w:t xml:space="preserve"> </w:t>
      </w:r>
      <w:r>
        <w:t xml:space="preserve">that </w:t>
      </w:r>
      <w:r w:rsidRPr="009F06D7">
        <w:t>stocks have earned in excess of the</w:t>
      </w:r>
      <w:r>
        <w:t xml:space="preserve"> returns on government bonds with a ten-year term-to-maturity.</w:t>
      </w:r>
    </w:p>
    <w:p w:rsidR="00ED5F44" w:rsidRPr="00DC72A3" w:rsidRDefault="00ED5F44" w:rsidP="00ED5F44">
      <w:pPr>
        <w:rPr>
          <w:rStyle w:val="AERbody"/>
        </w:rPr>
      </w:pPr>
      <w:r w:rsidRPr="00DC72A3">
        <w:rPr>
          <w:rStyle w:val="AERbody"/>
        </w:rPr>
        <w:t>Our dataset and methodology is based on Brailsford, Handley, and Maheswaran</w:t>
      </w:r>
      <w:r>
        <w:rPr>
          <w:rStyle w:val="AERbody"/>
        </w:rPr>
        <w:t xml:space="preserve"> (Brailsford et al)</w:t>
      </w:r>
      <w:r w:rsidRPr="00DC72A3">
        <w:rPr>
          <w:rStyle w:val="AERbody"/>
        </w:rPr>
        <w:t>.</w:t>
      </w:r>
      <w:r w:rsidRPr="00DC72A3">
        <w:rPr>
          <w:rStyle w:val="AERsuperscript"/>
        </w:rPr>
        <w:footnoteReference w:id="863"/>
      </w:r>
      <w:r w:rsidRPr="00DC72A3">
        <w:rPr>
          <w:rStyle w:val="AERbody"/>
        </w:rPr>
        <w:t xml:space="preserve"> </w:t>
      </w:r>
      <w:r>
        <w:rPr>
          <w:rStyle w:val="AERbody"/>
        </w:rPr>
        <w:t>A</w:t>
      </w:r>
      <w:r w:rsidRPr="00DC72A3">
        <w:rPr>
          <w:rStyle w:val="AERbody"/>
        </w:rPr>
        <w:t xml:space="preserve"> detailed discussion on data and methodology</w:t>
      </w:r>
      <w:r>
        <w:rPr>
          <w:rStyle w:val="AERbody"/>
        </w:rPr>
        <w:t xml:space="preserve"> </w:t>
      </w:r>
      <w:r w:rsidRPr="00DC72A3">
        <w:rPr>
          <w:rStyle w:val="AERbody"/>
        </w:rPr>
        <w:t xml:space="preserve">can be found </w:t>
      </w:r>
      <w:r>
        <w:rPr>
          <w:rStyle w:val="AERbody"/>
        </w:rPr>
        <w:t>in</w:t>
      </w:r>
      <w:r w:rsidRPr="00DC72A3">
        <w:rPr>
          <w:rStyle w:val="AERbody"/>
        </w:rPr>
        <w:t xml:space="preserve"> </w:t>
      </w:r>
      <w:r>
        <w:rPr>
          <w:rStyle w:val="AERbody"/>
        </w:rPr>
        <w:t>Brailsford et al</w:t>
      </w:r>
      <w:r w:rsidRPr="00DC72A3">
        <w:rPr>
          <w:rStyle w:val="AERbody"/>
        </w:rPr>
        <w:t xml:space="preserve">, our Guideline, and </w:t>
      </w:r>
      <w:r>
        <w:rPr>
          <w:rStyle w:val="AERbody"/>
        </w:rPr>
        <w:t xml:space="preserve">attachment 3 to our preliminary decision for </w:t>
      </w:r>
      <w:r w:rsidRPr="00DC72A3">
        <w:rPr>
          <w:rStyle w:val="AERbody"/>
        </w:rPr>
        <w:t xml:space="preserve">CitiPower. </w:t>
      </w:r>
    </w:p>
    <w:p w:rsidR="00DB0499" w:rsidRDefault="00DB0499" w:rsidP="00DB0499">
      <w:r>
        <w:t>In the remainder of this section we examine:</w:t>
      </w:r>
    </w:p>
    <w:p w:rsidR="00DB0499" w:rsidRDefault="00DB0499" w:rsidP="00DB0499">
      <w:pPr>
        <w:pStyle w:val="AERbulletlistfirststyle"/>
      </w:pPr>
      <w:r>
        <w:t>Prevailing estimates for both excess returns and total returns</w:t>
      </w:r>
    </w:p>
    <w:p w:rsidR="00DB0499" w:rsidRDefault="00DB0499" w:rsidP="00DB0499">
      <w:pPr>
        <w:pStyle w:val="AERbulletlistfirststyle"/>
      </w:pPr>
      <w:r>
        <w:t>The relative merits of arithmetic and geometric averages of historical returns</w:t>
      </w:r>
    </w:p>
    <w:p w:rsidR="00DB0499" w:rsidRDefault="00DB0499" w:rsidP="00DB0499">
      <w:pPr>
        <w:pStyle w:val="AERbulletlistfirststyle"/>
      </w:pPr>
      <w:r>
        <w:t xml:space="preserve">The relative merits of the ASX's adjustment and NERA's </w:t>
      </w:r>
      <w:r w:rsidR="001355DE">
        <w:t>adjustment</w:t>
      </w:r>
      <w:r>
        <w:t xml:space="preserve"> to historical stock returns data</w:t>
      </w:r>
    </w:p>
    <w:p w:rsidR="00DB0499" w:rsidRPr="00DB0499" w:rsidRDefault="00DB0499" w:rsidP="00BA2E8E">
      <w:pPr>
        <w:pStyle w:val="Heading8"/>
        <w:numPr>
          <w:ilvl w:val="1"/>
          <w:numId w:val="49"/>
        </w:numPr>
      </w:pPr>
      <w:bookmarkStart w:id="217" w:name="_Toc443923197"/>
      <w:bookmarkStart w:id="218" w:name="_Ref444735329"/>
      <w:bookmarkStart w:id="219" w:name="_Toc451678646"/>
      <w:r>
        <w:t>Prevailing estimates: excess returns</w:t>
      </w:r>
      <w:bookmarkEnd w:id="217"/>
      <w:bookmarkEnd w:id="218"/>
      <w:bookmarkEnd w:id="219"/>
    </w:p>
    <w:p w:rsidR="00DB0499" w:rsidRDefault="00DB0499" w:rsidP="00DB0499">
      <w:r>
        <w:fldChar w:fldCharType="begin"/>
      </w:r>
      <w:r>
        <w:instrText xml:space="preserve"> REF _Ref432619921 \h </w:instrText>
      </w:r>
      <w:r>
        <w:fldChar w:fldCharType="separate"/>
      </w:r>
      <w:r w:rsidR="00BA2E8E">
        <w:t xml:space="preserve">Table </w:t>
      </w:r>
      <w:r w:rsidR="00BA2E8E">
        <w:rPr>
          <w:noProof/>
        </w:rPr>
        <w:t>3</w:t>
      </w:r>
      <w:r w:rsidR="00BA2E8E">
        <w:noBreakHyphen/>
      </w:r>
      <w:r w:rsidR="00BA2E8E">
        <w:rPr>
          <w:noProof/>
        </w:rPr>
        <w:t>27</w:t>
      </w:r>
      <w:r>
        <w:fldChar w:fldCharType="end"/>
      </w:r>
      <w:r w:rsidRPr="00DD37EB">
        <w:t xml:space="preserve"> sets out </w:t>
      </w:r>
      <w:r>
        <w:t xml:space="preserve">our estimates of </w:t>
      </w:r>
      <w:r w:rsidRPr="00DD37EB">
        <w:t>historical excess returns</w:t>
      </w:r>
      <w:r>
        <w:t xml:space="preserve">, measured using both </w:t>
      </w:r>
      <w:r w:rsidRPr="00DD37EB">
        <w:t>arithmetic and geometric average</w:t>
      </w:r>
      <w:r>
        <w:t>s, and</w:t>
      </w:r>
      <w:r w:rsidRPr="00DD37EB">
        <w:t xml:space="preserve"> estimated over different </w:t>
      </w:r>
      <w:r>
        <w:t>sample periods up until the 2015</w:t>
      </w:r>
      <w:r w:rsidRPr="00DD37EB">
        <w:t xml:space="preserve"> calendar year end.</w:t>
      </w:r>
      <w:r w:rsidRPr="00DD37EB">
        <w:rPr>
          <w:rStyle w:val="FootnoteReference"/>
        </w:rPr>
        <w:footnoteReference w:id="864"/>
      </w:r>
      <w:r w:rsidRPr="00DD37EB">
        <w:t xml:space="preserve"> </w:t>
      </w:r>
      <w:r>
        <w:t>Arithmetic average measures</w:t>
      </w:r>
      <w:r w:rsidRPr="00DD37EB">
        <w:t xml:space="preserve"> range between </w:t>
      </w:r>
      <w:r>
        <w:t>5.2</w:t>
      </w:r>
      <w:r w:rsidRPr="00DD37EB">
        <w:t xml:space="preserve"> and </w:t>
      </w:r>
      <w:r>
        <w:t>6.2</w:t>
      </w:r>
      <w:r w:rsidRPr="00DD37EB">
        <w:t xml:space="preserve"> per cent and geometric average</w:t>
      </w:r>
      <w:r>
        <w:t xml:space="preserve"> measures</w:t>
      </w:r>
      <w:r w:rsidRPr="00DD37EB">
        <w:t xml:space="preserve"> range between </w:t>
      </w:r>
      <w:r>
        <w:t>3.5</w:t>
      </w:r>
      <w:r w:rsidRPr="00DD37EB">
        <w:t xml:space="preserve"> and </w:t>
      </w:r>
      <w:r>
        <w:t>4.8</w:t>
      </w:r>
      <w:r w:rsidRPr="00DD37EB">
        <w:t xml:space="preserve"> per cent.</w:t>
      </w:r>
      <w:r>
        <w:t xml:space="preserve">  </w:t>
      </w:r>
    </w:p>
    <w:p w:rsidR="00DB0499" w:rsidRPr="007B58A9" w:rsidRDefault="00DB0499" w:rsidP="00DB0499">
      <w:pPr>
        <w:pStyle w:val="Caption"/>
        <w:rPr>
          <w:rStyle w:val="Strong"/>
        </w:rPr>
      </w:pPr>
      <w:bookmarkStart w:id="220" w:name="_Ref432619921"/>
      <w:r>
        <w:t xml:space="preserve">Table </w:t>
      </w:r>
      <w:fldSimple w:instr=" STYLEREF 1 \s ">
        <w:r w:rsidR="00BA2E8E">
          <w:rPr>
            <w:noProof/>
          </w:rPr>
          <w:t>3</w:t>
        </w:r>
      </w:fldSimple>
      <w:r w:rsidR="000F4BC3">
        <w:noBreakHyphen/>
      </w:r>
      <w:fldSimple w:instr=" SEQ Table \* ARABIC \s 1 ">
        <w:r w:rsidR="00BA2E8E">
          <w:rPr>
            <w:noProof/>
          </w:rPr>
          <w:t>27</w:t>
        </w:r>
      </w:fldSimple>
      <w:bookmarkEnd w:id="220"/>
      <w:r>
        <w:tab/>
      </w:r>
      <w:r w:rsidRPr="005F2D3F">
        <w:t>Historical excess returns (per cent)</w:t>
      </w:r>
    </w:p>
    <w:tbl>
      <w:tblPr>
        <w:tblStyle w:val="AERtable-numbers"/>
        <w:tblW w:w="5000" w:type="pct"/>
        <w:tblLook w:val="01E0" w:firstRow="1" w:lastRow="1" w:firstColumn="1" w:lastColumn="1" w:noHBand="0" w:noVBand="0"/>
      </w:tblPr>
      <w:tblGrid>
        <w:gridCol w:w="2897"/>
        <w:gridCol w:w="2898"/>
        <w:gridCol w:w="2898"/>
      </w:tblGrid>
      <w:tr w:rsidR="00DB0499" w:rsidRPr="00F7507F" w:rsidTr="00DB0499">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B0499" w:rsidRPr="00DB0499" w:rsidRDefault="00DB0499" w:rsidP="00EB795B">
            <w:pPr>
              <w:rPr>
                <w:rStyle w:val="Strong"/>
              </w:rPr>
            </w:pPr>
            <w:r w:rsidRPr="00DD37EB">
              <w:rPr>
                <w:rStyle w:val="Strong"/>
              </w:rPr>
              <w:t>Sampling period</w:t>
            </w:r>
          </w:p>
        </w:tc>
        <w:tc>
          <w:tcPr>
            <w:tcW w:w="1667" w:type="pct"/>
            <w:noWrap/>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DB0499">
              <w:rPr>
                <w:rStyle w:val="Strong"/>
              </w:rPr>
              <w:t>average</w:t>
            </w:r>
          </w:p>
        </w:tc>
        <w:tc>
          <w:tcPr>
            <w:tcW w:w="1667" w:type="pct"/>
            <w:noWrap/>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DB0499">
              <w:rPr>
                <w:rStyle w:val="Strong"/>
              </w:rPr>
              <w:t>average</w:t>
            </w:r>
          </w:p>
        </w:tc>
      </w:tr>
      <w:tr w:rsidR="00DB0499" w:rsidRPr="00F7507F" w:rsidTr="00DB0499">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B0499" w:rsidRPr="00DB0499" w:rsidRDefault="00DB0499" w:rsidP="00EB795B">
            <w:r w:rsidRPr="00F7507F">
              <w:t>1883–</w:t>
            </w:r>
            <w:r w:rsidRPr="00DB0499">
              <w:t>2015</w:t>
            </w:r>
          </w:p>
        </w:tc>
        <w:tc>
          <w:tcPr>
            <w:tcW w:w="1667"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6.1</w:t>
            </w:r>
          </w:p>
        </w:tc>
        <w:tc>
          <w:tcPr>
            <w:tcW w:w="1667"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4.</w:t>
            </w:r>
            <w:r w:rsidRPr="00DB0499">
              <w:t>8</w:t>
            </w:r>
          </w:p>
        </w:tc>
      </w:tr>
      <w:tr w:rsidR="00DB0499" w:rsidRPr="00F7507F" w:rsidTr="00DB049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B0499" w:rsidRPr="00DB0499" w:rsidRDefault="00DB0499" w:rsidP="00EB795B">
            <w:r w:rsidRPr="00F7507F">
              <w:t>1937–</w:t>
            </w:r>
            <w:r w:rsidRPr="00DB0499">
              <w:t>2015</w:t>
            </w:r>
          </w:p>
        </w:tc>
        <w:tc>
          <w:tcPr>
            <w:tcW w:w="1667"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5.</w:t>
            </w:r>
            <w:r w:rsidRPr="00DB0499">
              <w:t>7</w:t>
            </w:r>
          </w:p>
        </w:tc>
        <w:tc>
          <w:tcPr>
            <w:tcW w:w="1667"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3.</w:t>
            </w:r>
            <w:r w:rsidRPr="00DB0499">
              <w:t>9</w:t>
            </w:r>
          </w:p>
        </w:tc>
      </w:tr>
      <w:tr w:rsidR="00DB0499" w:rsidRPr="00F7507F" w:rsidTr="00DB0499">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B0499" w:rsidRPr="00DB0499" w:rsidRDefault="00DB0499" w:rsidP="00EB795B">
            <w:r>
              <w:t>1958–</w:t>
            </w:r>
            <w:r w:rsidRPr="00DB0499">
              <w:t>2015</w:t>
            </w:r>
          </w:p>
        </w:tc>
        <w:tc>
          <w:tcPr>
            <w:tcW w:w="1667"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w:t>
            </w:r>
            <w:r w:rsidRPr="00DB0499">
              <w:t>.2</w:t>
            </w:r>
          </w:p>
        </w:tc>
        <w:tc>
          <w:tcPr>
            <w:tcW w:w="1667"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3.8</w:t>
            </w:r>
          </w:p>
        </w:tc>
      </w:tr>
      <w:tr w:rsidR="00DB0499" w:rsidRPr="00F7507F" w:rsidTr="00DB049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B0499" w:rsidRPr="00DB0499" w:rsidRDefault="00DB0499" w:rsidP="00EB795B">
            <w:r w:rsidRPr="00F7507F">
              <w:t>1980–</w:t>
            </w:r>
            <w:r w:rsidRPr="00DB0499">
              <w:t>2015</w:t>
            </w:r>
          </w:p>
        </w:tc>
        <w:tc>
          <w:tcPr>
            <w:tcW w:w="1667"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5.</w:t>
            </w:r>
            <w:r w:rsidRPr="00DB0499">
              <w:t>9</w:t>
            </w:r>
          </w:p>
        </w:tc>
        <w:tc>
          <w:tcPr>
            <w:tcW w:w="1667"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3.5</w:t>
            </w:r>
          </w:p>
        </w:tc>
      </w:tr>
      <w:tr w:rsidR="00DB0499" w:rsidRPr="00F7507F" w:rsidTr="00DB0499">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DB0499" w:rsidRPr="00DB0499" w:rsidRDefault="00DB0499" w:rsidP="00EB795B">
            <w:r w:rsidRPr="00F7507F">
              <w:t>1988–</w:t>
            </w:r>
            <w:r w:rsidRPr="00DB0499">
              <w:t>2015</w:t>
            </w:r>
          </w:p>
        </w:tc>
        <w:tc>
          <w:tcPr>
            <w:tcW w:w="1667"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5.</w:t>
            </w:r>
            <w:r w:rsidRPr="00DB0499">
              <w:t>2</w:t>
            </w:r>
          </w:p>
        </w:tc>
        <w:tc>
          <w:tcPr>
            <w:tcW w:w="1667"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3.</w:t>
            </w:r>
            <w:r w:rsidRPr="00DB0499">
              <w:t>6</w:t>
            </w:r>
          </w:p>
        </w:tc>
      </w:tr>
    </w:tbl>
    <w:p w:rsidR="00DB0499" w:rsidRPr="00BA0AFD" w:rsidRDefault="00DB0499" w:rsidP="00DB0499">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DB0499" w:rsidRPr="00DE1A32" w:rsidRDefault="00DB0499" w:rsidP="00DB0499">
      <w:pPr>
        <w:pStyle w:val="AERtablesource"/>
      </w:pPr>
      <w:r>
        <w:t>Notes</w:t>
      </w:r>
      <w:r w:rsidRPr="00DE1A32">
        <w:t xml:space="preserve">: </w:t>
      </w:r>
      <w:r w:rsidRPr="00DE1A32">
        <w:tab/>
      </w:r>
      <w:r>
        <w:t>Based on a theta of 0.6.</w:t>
      </w:r>
    </w:p>
    <w:p w:rsidR="00DB0499" w:rsidRPr="006705B3" w:rsidRDefault="00DB0499" w:rsidP="00DB0499">
      <w:pPr>
        <w:pStyle w:val="Heading8"/>
      </w:pPr>
      <w:bookmarkStart w:id="221" w:name="_Toc443923198"/>
      <w:bookmarkStart w:id="222" w:name="_Ref444735331"/>
      <w:bookmarkStart w:id="223" w:name="_Ref445926700"/>
      <w:bookmarkStart w:id="224" w:name="_Ref449053064"/>
      <w:bookmarkStart w:id="225" w:name="_Toc451678647"/>
      <w:r>
        <w:t>P</w:t>
      </w:r>
      <w:r w:rsidRPr="006705B3">
        <w:t xml:space="preserve">revailing estimates: </w:t>
      </w:r>
      <w:r>
        <w:t>total</w:t>
      </w:r>
      <w:r w:rsidRPr="006705B3">
        <w:t xml:space="preserve"> returns</w:t>
      </w:r>
      <w:bookmarkEnd w:id="221"/>
      <w:bookmarkEnd w:id="222"/>
      <w:bookmarkEnd w:id="223"/>
      <w:bookmarkEnd w:id="224"/>
      <w:bookmarkEnd w:id="225"/>
    </w:p>
    <w:p w:rsidR="00DB0499" w:rsidRDefault="00DB0499" w:rsidP="00DB0499">
      <w:r>
        <w:fldChar w:fldCharType="begin"/>
      </w:r>
      <w:r>
        <w:instrText xml:space="preserve"> REF _Ref417570520 \h </w:instrText>
      </w:r>
      <w:r>
        <w:fldChar w:fldCharType="separate"/>
      </w:r>
      <w:r w:rsidR="00BA2E8E">
        <w:t xml:space="preserve">Table </w:t>
      </w:r>
      <w:r w:rsidR="00BA2E8E">
        <w:rPr>
          <w:noProof/>
        </w:rPr>
        <w:t>3</w:t>
      </w:r>
      <w:r w:rsidR="00BA2E8E">
        <w:noBreakHyphen/>
      </w:r>
      <w:r w:rsidR="00BA2E8E">
        <w:rPr>
          <w:noProof/>
        </w:rPr>
        <w:t>28</w:t>
      </w:r>
      <w:r>
        <w:fldChar w:fldCharType="end"/>
      </w:r>
      <w:r w:rsidRPr="00760BFA">
        <w:t xml:space="preserve"> sets out our estimates of historical returns on the market portfolio.</w:t>
      </w:r>
      <w:r w:rsidRPr="00F57E56">
        <w:t xml:space="preserve"> </w:t>
      </w:r>
      <w:r>
        <w:t>The nominal return ranges from 10.0 to 12.7. We use a range because the estimated return on the market will vary depending on the time period used.</w:t>
      </w:r>
      <w:r>
        <w:rPr>
          <w:rStyle w:val="FootnoteReference"/>
        </w:rPr>
        <w:footnoteReference w:id="865"/>
      </w:r>
    </w:p>
    <w:p w:rsidR="00DB0499" w:rsidRPr="00276FAF" w:rsidRDefault="00DB0499" w:rsidP="00DB0499">
      <w:pPr>
        <w:pStyle w:val="Caption"/>
        <w:rPr>
          <w:rStyle w:val="Strong"/>
        </w:rPr>
      </w:pPr>
      <w:bookmarkStart w:id="226" w:name="_Ref417570520"/>
      <w:r>
        <w:t xml:space="preserve">Table </w:t>
      </w:r>
      <w:fldSimple w:instr=" STYLEREF 1 \s ">
        <w:r w:rsidR="00BA2E8E">
          <w:rPr>
            <w:noProof/>
          </w:rPr>
          <w:t>3</w:t>
        </w:r>
      </w:fldSimple>
      <w:r w:rsidR="000F4BC3">
        <w:noBreakHyphen/>
      </w:r>
      <w:fldSimple w:instr=" SEQ Table \* ARABIC \s 1 ">
        <w:r w:rsidR="00BA2E8E">
          <w:rPr>
            <w:noProof/>
          </w:rPr>
          <w:t>28</w:t>
        </w:r>
      </w:fldSimple>
      <w:bookmarkEnd w:id="226"/>
      <w:r>
        <w:tab/>
      </w:r>
      <w:r w:rsidRPr="005F2D3F">
        <w:t xml:space="preserve">Historical returns on the market portfolio </w:t>
      </w:r>
      <w:r>
        <w:t>(per cent)</w:t>
      </w:r>
    </w:p>
    <w:tbl>
      <w:tblPr>
        <w:tblStyle w:val="AERtable-numbers"/>
        <w:tblW w:w="8755" w:type="dxa"/>
        <w:tblLook w:val="04A0" w:firstRow="1" w:lastRow="0" w:firstColumn="1" w:lastColumn="0" w:noHBand="0" w:noVBand="1"/>
      </w:tblPr>
      <w:tblGrid>
        <w:gridCol w:w="1909"/>
        <w:gridCol w:w="3423"/>
        <w:gridCol w:w="3423"/>
      </w:tblGrid>
      <w:tr w:rsidR="00DB0499" w:rsidRPr="00B9584E" w:rsidTr="00DB04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rsidRPr="00B9584E">
              <w:t>Sampling period</w:t>
            </w:r>
          </w:p>
        </w:tc>
        <w:tc>
          <w:tcPr>
            <w:tcW w:w="3423" w:type="dxa"/>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pPr>
            <w:r w:rsidRPr="009E266F">
              <w:t>Market return (real)</w:t>
            </w:r>
          </w:p>
        </w:tc>
        <w:tc>
          <w:tcPr>
            <w:tcW w:w="3423" w:type="dxa"/>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pPr>
            <w:r w:rsidRPr="009E266F">
              <w:t>Market return (nominal)</w:t>
            </w:r>
          </w:p>
        </w:tc>
      </w:tr>
      <w:tr w:rsidR="00DB0499" w:rsidRPr="00B9584E" w:rsidTr="00DB0499">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1883</w:t>
            </w:r>
            <w:r w:rsidRPr="00DB0499">
              <w:t>–2015</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8.</w:t>
            </w:r>
            <w:r w:rsidRPr="00DB0499">
              <w:t>6</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11.</w:t>
            </w:r>
            <w:r w:rsidRPr="00DB0499">
              <w:t>3</w:t>
            </w:r>
          </w:p>
        </w:tc>
      </w:tr>
      <w:tr w:rsidR="00DB0499" w:rsidRPr="00B9584E"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1937–201</w:t>
            </w:r>
            <w:r w:rsidRPr="00DB0499">
              <w:t>5</w:t>
            </w:r>
          </w:p>
        </w:tc>
        <w:tc>
          <w:tcPr>
            <w:tcW w:w="3423" w:type="dxa"/>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7.</w:t>
            </w:r>
            <w:r w:rsidRPr="00DB0499">
              <w:t>3</w:t>
            </w:r>
          </w:p>
        </w:tc>
        <w:tc>
          <w:tcPr>
            <w:tcW w:w="3423" w:type="dxa"/>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10.</w:t>
            </w:r>
            <w:r w:rsidRPr="00DB0499">
              <w:t>0</w:t>
            </w:r>
          </w:p>
        </w:tc>
      </w:tr>
      <w:tr w:rsidR="00DB0499" w:rsidRPr="00B9584E" w:rsidTr="00DB0499">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1958–201</w:t>
            </w:r>
            <w:r w:rsidRPr="00DB0499">
              <w:t>5</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8.9</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11.</w:t>
            </w:r>
            <w:r w:rsidRPr="00DB0499">
              <w:t>6</w:t>
            </w:r>
          </w:p>
        </w:tc>
      </w:tr>
      <w:tr w:rsidR="00DB0499" w:rsidRPr="00B9584E"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1980–201</w:t>
            </w:r>
            <w:r w:rsidRPr="00DB0499">
              <w:t>5</w:t>
            </w:r>
          </w:p>
        </w:tc>
        <w:tc>
          <w:tcPr>
            <w:tcW w:w="3423" w:type="dxa"/>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9.9</w:t>
            </w:r>
          </w:p>
        </w:tc>
        <w:tc>
          <w:tcPr>
            <w:tcW w:w="3423" w:type="dxa"/>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1</w:t>
            </w:r>
            <w:r w:rsidRPr="00DB0499">
              <w:t>2.7</w:t>
            </w:r>
          </w:p>
        </w:tc>
      </w:tr>
      <w:tr w:rsidR="00DB0499" w:rsidRPr="00B9584E" w:rsidTr="00DB0499">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1988–201</w:t>
            </w:r>
            <w:r w:rsidRPr="00DB0499">
              <w:t>5</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9.</w:t>
            </w:r>
            <w:r w:rsidRPr="00DB0499">
              <w:t>3</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12.</w:t>
            </w:r>
            <w:r w:rsidRPr="00DB0499">
              <w:t>0</w:t>
            </w:r>
          </w:p>
        </w:tc>
      </w:tr>
    </w:tbl>
    <w:p w:rsidR="00DB0499" w:rsidRPr="00BA0AFD" w:rsidRDefault="00DB0499" w:rsidP="00DB0499">
      <w:pPr>
        <w:pStyle w:val="AERtablesource"/>
      </w:pPr>
      <w:r w:rsidRPr="00823B7B">
        <w:t>Source:</w:t>
      </w:r>
      <w:r w:rsidRPr="00823B7B">
        <w:tab/>
        <w:t xml:space="preserve">Handley, </w:t>
      </w:r>
      <w:r w:rsidRPr="00BA0AFD">
        <w:rPr>
          <w:rStyle w:val="AERtextitalic"/>
        </w:rPr>
        <w:t>An estimate of the historical equity risk premium for the period 1883 to 2011</w:t>
      </w:r>
      <w:r w:rsidRPr="00BA0AFD">
        <w:t>, April 2012, p. 6. AER update for 2012–201</w:t>
      </w:r>
      <w:r>
        <w:t>5</w:t>
      </w:r>
      <w:r w:rsidRPr="00BA0AFD">
        <w:t xml:space="preserve"> market data.</w:t>
      </w:r>
    </w:p>
    <w:p w:rsidR="00DB0499" w:rsidRPr="00BA0AFD" w:rsidRDefault="00DB0499" w:rsidP="00DB0499">
      <w:pPr>
        <w:pStyle w:val="AERtablesource"/>
      </w:pPr>
      <w:r>
        <w:t>Notes</w:t>
      </w:r>
      <w:r>
        <w:tab/>
        <w:t>Historical market returns are estimated using arithmetic averages, a</w:t>
      </w:r>
      <w:r w:rsidRPr="00BA0AFD">
        <w:t xml:space="preserve">ssuming </w:t>
      </w:r>
      <w:r>
        <w:t xml:space="preserve">a theta value of 0.6, and assuming </w:t>
      </w:r>
      <w:r w:rsidRPr="00BA0AFD">
        <w:t xml:space="preserve">an inflation rate of 2.5 per cent. Nominal figures calculated by the AER using the Fisher equation: </w:t>
      </w:r>
    </w:p>
    <w:p w:rsidR="00DB0499" w:rsidRPr="00BA0AFD" w:rsidRDefault="00DB0499" w:rsidP="00DB0499">
      <w:pPr>
        <w:pStyle w:val="AERtablesource"/>
      </w:pPr>
      <w:r w:rsidRPr="00823B7B">
        <w:tab/>
        <w:t>1+i=(1+r)×(1+</w:t>
      </w:r>
      <w:r w:rsidRPr="00BA0AFD">
        <w:rPr>
          <w:rFonts w:hint="eastAsia"/>
        </w:rPr>
        <w:t>π</w:t>
      </w:r>
      <w:r w:rsidRPr="00BA0AFD">
        <w:t xml:space="preserve">) where r denotes the real return, i denotes the nominal return and </w:t>
      </w:r>
      <w:r w:rsidRPr="00BA0AFD">
        <w:rPr>
          <w:rFonts w:hint="eastAsia"/>
        </w:rPr>
        <w:t>π</w:t>
      </w:r>
      <w:r w:rsidRPr="00BA0AFD">
        <w:t xml:space="preserve"> denotes the inflation rate</w:t>
      </w:r>
      <w:r>
        <w:t>.</w:t>
      </w:r>
    </w:p>
    <w:p w:rsidR="00DB0499" w:rsidRDefault="00DB0499" w:rsidP="00DB0499">
      <w:r>
        <w:t>We estimate a return on equity under the Wright CAPM</w:t>
      </w:r>
      <w:r>
        <w:rPr>
          <w:rStyle w:val="FootnoteReference"/>
        </w:rPr>
        <w:footnoteReference w:id="866"/>
      </w:r>
      <w:r>
        <w:t xml:space="preserve"> by combining the historical nominal market return with our prevailing risk free rate estimate</w:t>
      </w:r>
      <w:r>
        <w:rPr>
          <w:rStyle w:val="FootnoteReference"/>
        </w:rPr>
        <w:footnoteReference w:id="867"/>
      </w:r>
      <w:r>
        <w:t xml:space="preserve"> and equity beta estimates.</w:t>
      </w:r>
      <w:r>
        <w:rPr>
          <w:rStyle w:val="FootnoteReference"/>
        </w:rPr>
        <w:footnoteReference w:id="868"/>
      </w:r>
      <w:r>
        <w:t xml:space="preserve"> As shown in </w:t>
      </w:r>
      <w:r>
        <w:fldChar w:fldCharType="begin"/>
      </w:r>
      <w:r>
        <w:instrText xml:space="preserve"> REF _Ref443916669 \h </w:instrText>
      </w:r>
      <w:r>
        <w:fldChar w:fldCharType="separate"/>
      </w:r>
      <w:r w:rsidR="00BA2E8E">
        <w:t xml:space="preserve">Table </w:t>
      </w:r>
      <w:r w:rsidR="00BA2E8E">
        <w:rPr>
          <w:noProof/>
        </w:rPr>
        <w:t>3</w:t>
      </w:r>
      <w:r w:rsidR="00BA2E8E">
        <w:noBreakHyphen/>
      </w:r>
      <w:r w:rsidR="00BA2E8E">
        <w:rPr>
          <w:noProof/>
        </w:rPr>
        <w:t>29</w:t>
      </w:r>
      <w:r>
        <w:fldChar w:fldCharType="end"/>
      </w:r>
      <w:r>
        <w:t>, our estimated range for equity beta and market return results in Wright CAPM return on equity estimates ranging from 5.</w:t>
      </w:r>
      <w:r w:rsidR="002E0B3D">
        <w:t>5</w:t>
      </w:r>
      <w:r>
        <w:t xml:space="preserve"> to 9.</w:t>
      </w:r>
      <w:r w:rsidR="002E0B3D">
        <w:t>6</w:t>
      </w:r>
      <w:r>
        <w:t>.</w:t>
      </w:r>
    </w:p>
    <w:p w:rsidR="00DB0499" w:rsidRPr="00276FAF" w:rsidRDefault="00DB0499" w:rsidP="00DB0499">
      <w:pPr>
        <w:pStyle w:val="Caption"/>
        <w:rPr>
          <w:rStyle w:val="Strong"/>
        </w:rPr>
      </w:pPr>
      <w:bookmarkStart w:id="227" w:name="_Ref443916669"/>
      <w:r>
        <w:t xml:space="preserve">Table </w:t>
      </w:r>
      <w:fldSimple w:instr=" STYLEREF 1 \s ">
        <w:r w:rsidR="00BA2E8E">
          <w:rPr>
            <w:noProof/>
          </w:rPr>
          <w:t>3</w:t>
        </w:r>
      </w:fldSimple>
      <w:r w:rsidR="000F4BC3">
        <w:noBreakHyphen/>
      </w:r>
      <w:fldSimple w:instr=" SEQ Table \* ARABIC \s 1 ">
        <w:r w:rsidR="00BA2E8E">
          <w:rPr>
            <w:noProof/>
          </w:rPr>
          <w:t>29</w:t>
        </w:r>
      </w:fldSimple>
      <w:bookmarkEnd w:id="227"/>
      <w:r>
        <w:tab/>
        <w:t>Wright CAPM return on equity</w:t>
      </w:r>
      <w:r w:rsidRPr="005F2D3F">
        <w:t xml:space="preserve"> </w:t>
      </w:r>
      <w:r>
        <w:t>(per cent)</w:t>
      </w:r>
    </w:p>
    <w:tbl>
      <w:tblPr>
        <w:tblStyle w:val="AERtable-numbers"/>
        <w:tblW w:w="8755" w:type="dxa"/>
        <w:tblLook w:val="04A0" w:firstRow="1" w:lastRow="0" w:firstColumn="1" w:lastColumn="0" w:noHBand="0" w:noVBand="1"/>
      </w:tblPr>
      <w:tblGrid>
        <w:gridCol w:w="1909"/>
        <w:gridCol w:w="3423"/>
        <w:gridCol w:w="3423"/>
      </w:tblGrid>
      <w:tr w:rsidR="00DB0499" w:rsidRPr="00B9584E" w:rsidTr="00DB049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AER equity beta estimate</w:t>
            </w:r>
          </w:p>
        </w:tc>
        <w:tc>
          <w:tcPr>
            <w:tcW w:w="3423" w:type="dxa"/>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pPr>
            <w:r>
              <w:t>Wright CAPM return on equity based on 10.0 market return</w:t>
            </w:r>
          </w:p>
        </w:tc>
        <w:tc>
          <w:tcPr>
            <w:tcW w:w="3423" w:type="dxa"/>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pPr>
            <w:r>
              <w:t>Wright CAPM return on equity based on 12.7 market return</w:t>
            </w:r>
          </w:p>
        </w:tc>
      </w:tr>
      <w:tr w:rsidR="00DB0499" w:rsidRPr="00B9584E" w:rsidTr="00DB0499">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0.4</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5.</w:t>
            </w:r>
            <w:r w:rsidR="00EA0381">
              <w:t>5</w:t>
            </w:r>
          </w:p>
        </w:tc>
        <w:tc>
          <w:tcPr>
            <w:tcW w:w="3423" w:type="dxa"/>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w:t>
            </w:r>
            <w:r w:rsidR="00EA0381">
              <w:t>6</w:t>
            </w:r>
          </w:p>
        </w:tc>
      </w:tr>
      <w:tr w:rsidR="00DB0499" w:rsidRPr="00B9584E"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9" w:type="dxa"/>
          </w:tcPr>
          <w:p w:rsidR="00DB0499" w:rsidRPr="00DB0499" w:rsidRDefault="00DB0499" w:rsidP="00EB795B">
            <w:r>
              <w:t>0.7</w:t>
            </w:r>
          </w:p>
        </w:tc>
        <w:tc>
          <w:tcPr>
            <w:tcW w:w="3423" w:type="dxa"/>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7.</w:t>
            </w:r>
            <w:r w:rsidR="00EA0381">
              <w:t>7</w:t>
            </w:r>
          </w:p>
        </w:tc>
        <w:tc>
          <w:tcPr>
            <w:tcW w:w="3423" w:type="dxa"/>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9.</w:t>
            </w:r>
            <w:r w:rsidR="00EA0381">
              <w:t>6</w:t>
            </w:r>
          </w:p>
        </w:tc>
      </w:tr>
    </w:tbl>
    <w:p w:rsidR="00DB0499" w:rsidRPr="00BA0AFD" w:rsidRDefault="00DB0499" w:rsidP="00DB0499">
      <w:pPr>
        <w:pStyle w:val="AERtablesource"/>
      </w:pPr>
      <w:r w:rsidRPr="00823B7B">
        <w:t>Source:</w:t>
      </w:r>
      <w:r w:rsidRPr="00823B7B">
        <w:tab/>
      </w:r>
      <w:r>
        <w:t>AER analysis</w:t>
      </w:r>
      <w:r w:rsidRPr="00BA0AFD">
        <w:t>.</w:t>
      </w:r>
    </w:p>
    <w:p w:rsidR="00DB0499" w:rsidRPr="00BA0AFD" w:rsidRDefault="00DB0499" w:rsidP="00DB0499">
      <w:pPr>
        <w:pStyle w:val="AERtablesource"/>
      </w:pPr>
      <w:r>
        <w:t>Notes</w:t>
      </w:r>
      <w:r w:rsidRPr="00823B7B">
        <w:t>:</w:t>
      </w:r>
      <w:r w:rsidRPr="00823B7B">
        <w:tab/>
      </w:r>
      <w:r>
        <w:t>Based on a risk free rate estimate of 2.</w:t>
      </w:r>
      <w:r w:rsidR="0064261A">
        <w:t>48</w:t>
      </w:r>
      <w:r>
        <w:t xml:space="preserve"> per cent.</w:t>
      </w:r>
    </w:p>
    <w:p w:rsidR="00DB0499" w:rsidRDefault="00DB0499" w:rsidP="00DB0499">
      <w:pPr>
        <w:pStyle w:val="Heading8"/>
      </w:pPr>
      <w:bookmarkStart w:id="228" w:name="_Toc443923200"/>
      <w:bookmarkStart w:id="229" w:name="_Ref448320174"/>
      <w:bookmarkStart w:id="230" w:name="_Toc451678648"/>
      <w:bookmarkStart w:id="231" w:name="_Ref451678814"/>
      <w:r>
        <w:t>Arithmetic and geometric averages</w:t>
      </w:r>
      <w:bookmarkEnd w:id="228"/>
      <w:bookmarkEnd w:id="229"/>
      <w:bookmarkEnd w:id="230"/>
      <w:bookmarkEnd w:id="231"/>
    </w:p>
    <w:p w:rsidR="00DB0499" w:rsidRDefault="00DB0499" w:rsidP="00DB0499">
      <w:r w:rsidRPr="008323D2">
        <w:t xml:space="preserve">Historical excess market returns are sensitive to the method of averaging returns over multiple periods. The arithmetic average return </w:t>
      </w:r>
      <w:r>
        <w:t>is</w:t>
      </w:r>
      <w:r w:rsidRPr="008323D2">
        <w:t xml:space="preserve"> the </w:t>
      </w:r>
      <w:r>
        <w:t xml:space="preserve">simple </w:t>
      </w:r>
      <w:r w:rsidRPr="008323D2">
        <w:t xml:space="preserve">average </w:t>
      </w:r>
      <w:r>
        <w:t>annual return</w:t>
      </w:r>
      <w:r w:rsidRPr="008323D2">
        <w:t xml:space="preserve">. </w:t>
      </w:r>
      <w:r>
        <w:t xml:space="preserve">The </w:t>
      </w:r>
      <w:r w:rsidRPr="008323D2">
        <w:t>geometric average return</w:t>
      </w:r>
      <w:r>
        <w:t xml:space="preserve"> is the average compounded annual return</w:t>
      </w:r>
      <w:r w:rsidRPr="008323D2">
        <w:t>.</w:t>
      </w:r>
      <w:r>
        <w:rPr>
          <w:rStyle w:val="FootnoteReference"/>
        </w:rPr>
        <w:footnoteReference w:id="869"/>
      </w:r>
    </w:p>
    <w:p w:rsidR="00DB0499" w:rsidRDefault="00DB0499" w:rsidP="00DB0499">
      <w:r>
        <w:t xml:space="preserve">In estimating the </w:t>
      </w:r>
      <w:r w:rsidR="00273355">
        <w:t>market risk premium</w:t>
      </w:r>
      <w:r>
        <w:t xml:space="preserve">, we have regard to both </w:t>
      </w:r>
      <w:r w:rsidRPr="00002A2E">
        <w:t>a</w:t>
      </w:r>
      <w:r>
        <w:t>rithmetic and geometric average historical excess returns. We set out our reasoning in our final decision for Jemena Gas Networks (JGN), and this material remains relevant.</w:t>
      </w:r>
      <w:r>
        <w:rPr>
          <w:rStyle w:val="FootnoteReference"/>
        </w:rPr>
        <w:footnoteReference w:id="870"/>
      </w:r>
      <w:r>
        <w:t xml:space="preserve"> We also note that </w:t>
      </w:r>
      <w:r w:rsidRPr="00F4301A">
        <w:t>Partington and Satchell</w:t>
      </w:r>
      <w:r>
        <w:t xml:space="preserve"> support our position to have regard to both types of average historical excess returns.</w:t>
      </w:r>
      <w:r>
        <w:rPr>
          <w:rStyle w:val="FootnoteReference"/>
        </w:rPr>
        <w:footnoteReference w:id="871"/>
      </w:r>
      <w:r>
        <w:t xml:space="preserve"> Overall, our decision is informed by the following considerations:</w:t>
      </w:r>
    </w:p>
    <w:p w:rsidR="00DB0499" w:rsidRPr="00DD37EB" w:rsidRDefault="00DB0499" w:rsidP="00DB0499">
      <w:pPr>
        <w:pStyle w:val="AERbulletlistfirststyle"/>
      </w:pPr>
      <w:r w:rsidRPr="00E816D0">
        <w:t>We consider the arithmetic average of 10</w:t>
      </w:r>
      <w:r>
        <w:t>-</w:t>
      </w:r>
      <w:r w:rsidRPr="00E816D0">
        <w:t>year</w:t>
      </w:r>
      <w:r>
        <w:t>ly</w:t>
      </w:r>
      <w:r w:rsidRPr="00E816D0">
        <w:t xml:space="preserve"> historical excess returns </w:t>
      </w:r>
      <w:r>
        <w:t>could</w:t>
      </w:r>
      <w:r w:rsidRPr="00E816D0">
        <w:t xml:space="preserve"> be an unbiased estimator of a forward looking 10 year return. However, </w:t>
      </w:r>
      <w:r>
        <w:t>to obtain a sufficiently large dataset, historical excess returns are estimated as the arithmetic or geometric average of annual returns</w:t>
      </w:r>
      <w:r w:rsidRPr="00DD37EB">
        <w:t xml:space="preserve">. Since </w:t>
      </w:r>
      <w:r>
        <w:t>annual</w:t>
      </w:r>
      <w:r w:rsidRPr="00DD37EB">
        <w:t xml:space="preserve"> historical excess returns are variable, their arithmetic average will overstate the arithmetic average of 10 year historical excess return</w:t>
      </w:r>
      <w:r>
        <w:t>s</w:t>
      </w:r>
      <w:r w:rsidRPr="00DD37EB">
        <w:t xml:space="preserve">. Similarly, the geometric average of </w:t>
      </w:r>
      <w:r>
        <w:t>annual</w:t>
      </w:r>
      <w:r w:rsidRPr="00DD37EB">
        <w:t xml:space="preserve"> historical excess returns will understate the arithmetic average of 10 year historical excess returns.</w:t>
      </w:r>
      <w:r w:rsidRPr="00DD37EB">
        <w:rPr>
          <w:rStyle w:val="FootnoteReference"/>
        </w:rPr>
        <w:footnoteReference w:id="872"/>
      </w:r>
    </w:p>
    <w:p w:rsidR="00DB0499" w:rsidRPr="00DD37EB" w:rsidRDefault="00DB0499" w:rsidP="00DB0499">
      <w:pPr>
        <w:pStyle w:val="AERbulletlistfirststyle"/>
      </w:pPr>
      <w:r>
        <w:t>We have previously considered</w:t>
      </w:r>
      <w:r w:rsidRPr="00DD37EB">
        <w:t xml:space="preserve"> arithmetic and geometric averages relevant when estimating a 10 year forward looking </w:t>
      </w:r>
      <w:r w:rsidR="00273355">
        <w:t>market risk premium</w:t>
      </w:r>
      <w:r w:rsidRPr="00DD37EB">
        <w:t xml:space="preserve"> using historical annual excess returns.</w:t>
      </w:r>
      <w:r w:rsidRPr="00DD37EB">
        <w:rPr>
          <w:rStyle w:val="FootnoteReference"/>
        </w:rPr>
        <w:footnoteReference w:id="873"/>
      </w:r>
      <w:r w:rsidRPr="00DD37EB">
        <w:t xml:space="preserve"> The Tribunal found no error with this approach.</w:t>
      </w:r>
      <w:r w:rsidRPr="00DD37EB">
        <w:rPr>
          <w:rStyle w:val="FootnoteReference"/>
        </w:rPr>
        <w:footnoteReference w:id="874"/>
      </w:r>
    </w:p>
    <w:p w:rsidR="00DB0499" w:rsidRPr="00DD37EB" w:rsidRDefault="00DB0499" w:rsidP="00DB0499">
      <w:pPr>
        <w:pStyle w:val="AERbulletlistfirststyle"/>
      </w:pPr>
      <w:r>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875"/>
      </w:r>
      <w:r w:rsidRPr="00DD37EB">
        <w:t xml:space="preserve"> While we do not adopt this approach, this indicates that experts and other regulators consider geometric averages valuable.</w:t>
      </w:r>
    </w:p>
    <w:p w:rsidR="00DB0499" w:rsidRPr="00DD37EB" w:rsidRDefault="00DB0499" w:rsidP="00DB0499">
      <w:pPr>
        <w:pStyle w:val="AERbulletlistfirststyle"/>
      </w:pPr>
      <w:r w:rsidRPr="00002A2E">
        <w:t>McKenzie</w:t>
      </w:r>
      <w:r>
        <w:t>,</w:t>
      </w:r>
      <w:r w:rsidRPr="00002A2E">
        <w:t xml:space="preserve"> Partington</w:t>
      </w:r>
      <w:r>
        <w:t xml:space="preserve">, and Satchell recommended the consideration of both arithmetic and geometric averages, </w:t>
      </w:r>
      <w:r w:rsidRPr="00265CC3">
        <w:t>tempered by an understanding of their inherent biases</w:t>
      </w:r>
      <w:r w:rsidRPr="00DD37EB">
        <w:t>.</w:t>
      </w:r>
      <w:r w:rsidRPr="00DD37EB">
        <w:rPr>
          <w:rStyle w:val="FootnoteReference"/>
        </w:rPr>
        <w:footnoteReference w:id="876"/>
      </w:r>
    </w:p>
    <w:p w:rsidR="00DB0499" w:rsidRDefault="00DB0499" w:rsidP="00DB0499">
      <w:r>
        <w:t>In a series of reports, NERA recommended we give no weight to geometric average historical excess returns.</w:t>
      </w:r>
      <w:r>
        <w:rPr>
          <w:rStyle w:val="FootnoteReference"/>
        </w:rPr>
        <w:footnoteReference w:id="877"/>
      </w:r>
      <w:r>
        <w:t xml:space="preserve"> In June 2015, NERA submitted a further report on this issue.</w:t>
      </w:r>
      <w:r>
        <w:rPr>
          <w:rStyle w:val="FootnoteReference"/>
        </w:rPr>
        <w:footnoteReference w:id="878"/>
      </w:r>
      <w:r>
        <w:t xml:space="preserve"> In January 2016, HoustonKemp submitted a similar report to NERA that also recommended that no weight be given to geometric average historical excess returns.</w:t>
      </w:r>
      <w:r>
        <w:rPr>
          <w:rStyle w:val="FootnoteReference"/>
        </w:rPr>
        <w:footnoteReference w:id="879"/>
      </w:r>
      <w:r>
        <w:t xml:space="preserve"> </w:t>
      </w:r>
    </w:p>
    <w:p w:rsidR="00DB0499" w:rsidRDefault="00DB0499" w:rsidP="00DB0499">
      <w:r>
        <w:t xml:space="preserve">We consider NERA and </w:t>
      </w:r>
      <w:r w:rsidRPr="00447587">
        <w:t>HoustonKemp</w:t>
      </w:r>
      <w:r>
        <w:t>'s submissions take a narrow view of the issue. As Partington and Satchell stated in their October 2015 report:</w:t>
      </w:r>
      <w:r>
        <w:rPr>
          <w:rStyle w:val="FootnoteReference"/>
        </w:rPr>
        <w:footnoteReference w:id="880"/>
      </w:r>
    </w:p>
    <w:p w:rsidR="00DB0499" w:rsidRDefault="00DB0499" w:rsidP="00DB0499">
      <w:pPr>
        <w:pStyle w:val="AERquote"/>
      </w:pPr>
      <w:r w:rsidRPr="00EA060E">
        <w:t>NERA (2015, History) makes a repeated case that if we are estimating the mean for one period using data over a number of past periods (denoted by T) then they are unaware of any work that suggests the superiority of geometric returns or combinations of geometric or arithmetic returns in situations when the data are iid or correlated. We see no compelling reason why the situation described above is the only one that the AER should consider.</w:t>
      </w:r>
    </w:p>
    <w:p w:rsidR="00DB0499" w:rsidRDefault="00DB0499" w:rsidP="00DB0499">
      <w:r>
        <w:t>T</w:t>
      </w:r>
      <w:r w:rsidRPr="00EA060E">
        <w:t>here remains uncertainty over whether an arithmetic or geometric average (or some combination of the two) of historical excess returns provides a better estimate of expected excess returns.</w:t>
      </w:r>
      <w:r>
        <w:t xml:space="preserve"> The answer to NERA's concern whether geometric or arithmetic averages are better is unclear and not settled amongst academics. Both methods have limitations. This is well summarised by Partington and Satchell:</w:t>
      </w:r>
      <w:r>
        <w:rPr>
          <w:rStyle w:val="FootnoteReference"/>
        </w:rPr>
        <w:footnoteReference w:id="881"/>
      </w:r>
    </w:p>
    <w:p w:rsidR="00DB0499" w:rsidRDefault="00DB0499" w:rsidP="00DB0499">
      <w:pPr>
        <w:pStyle w:val="AERquote"/>
      </w:pPr>
      <w:r w:rsidRPr="00FD1D73">
        <w:t>So which of these estimates is a better measure of expected returns? Jacquier, Kane and Marcus (2003) claim that academics tend to use the arithmetic return and that practitioners tend to use the geometric return. A more rigorous answer is that the choice depends upon what is assumed to be the distribution of returns through time. Assuming returns over time follow independent identical distributions with a finite variance, then it is widely accepted that the arithmetic average is the appropriate estimator of expected returns. Otherwise, the geometric average has a role to play. It has long been well understood that returns do not conform to the assumption of independent identical distributions, see for example Akgiray (1989). The literature has therefore suggested a weighted sum of the arithmetic and geometric averages be used in estimating the expected return. Unfortunately, there is no generally accepted optimal weighting scheme. In our opinion the use of arithmetic averages alone is likely to result in an upward biased estimate of expected returns and the use of geometric averages alone is likely to result in a downward biased estimate.</w:t>
      </w:r>
      <w:r>
        <w:t xml:space="preserve"> </w:t>
      </w:r>
    </w:p>
    <w:p w:rsidR="00DB0499" w:rsidRDefault="00DB0499" w:rsidP="00DB0499">
      <w:r>
        <w:t>In their 2012 report, McKenzie and Partington provided numerous references to academic studies that support this view.</w:t>
      </w:r>
      <w:r>
        <w:rPr>
          <w:rStyle w:val="FootnoteReference"/>
        </w:rPr>
        <w:footnoteReference w:id="882"/>
      </w:r>
      <w:r>
        <w:t xml:space="preserve"> They also considered that unbiasedness is only one desirable property of an estimator. Another consideration is efficiency, and 'the question then becomes one of trading off bias and efficiency'.</w:t>
      </w:r>
      <w:r>
        <w:rPr>
          <w:rStyle w:val="FootnoteReference"/>
        </w:rPr>
        <w:footnoteReference w:id="883"/>
      </w:r>
      <w:r>
        <w:t xml:space="preserve"> We agree with this view. </w:t>
      </w:r>
    </w:p>
    <w:p w:rsidR="00DB0499" w:rsidRDefault="00DB0499" w:rsidP="00DB0499">
      <w:r>
        <w:t>Moreover, in their October 2015 report, Partington and Satchell demonstrate that, even in the restricted case that NERA presents, the geometric average can be a superior estimator.</w:t>
      </w:r>
      <w:r>
        <w:rPr>
          <w:rStyle w:val="FootnoteReference"/>
        </w:rPr>
        <w:footnoteReference w:id="884"/>
      </w:r>
      <w:r>
        <w:t xml:space="preserve"> </w:t>
      </w:r>
    </w:p>
    <w:p w:rsidR="00DB0499" w:rsidRDefault="00DB0499" w:rsidP="00DB0499">
      <w:r w:rsidRPr="00447587">
        <w:t xml:space="preserve">HoustonKemp </w:t>
      </w:r>
      <w:r>
        <w:t>submitted</w:t>
      </w:r>
      <w:r w:rsidRPr="00447587">
        <w:t xml:space="preserve"> that Partington and Satchell, in their October 2015 report, made an incorrect claim that if the gross return to an asset is lognormally and independently and identically distributed through time, then the arithmetic mean of a sample of gross returns to the asset will provide an upwardly biased estimator of the expected gross return to the asset over a single period while the geometric mean will, for </w:t>
      </w:r>
      <w:r>
        <w:t xml:space="preserve">a </w:t>
      </w:r>
      <w:r w:rsidRPr="00447587">
        <w:t xml:space="preserve">large </w:t>
      </w:r>
      <w:r>
        <w:t>gross return</w:t>
      </w:r>
      <w:r w:rsidRPr="00447587">
        <w:t>, provide an unbiased estimator.</w:t>
      </w:r>
      <w:r w:rsidRPr="00447587">
        <w:rPr>
          <w:rStyle w:val="FootnoteReference"/>
        </w:rPr>
        <w:footnoteReference w:id="885"/>
      </w:r>
      <w:r w:rsidRPr="00447587">
        <w:t xml:space="preserve"> </w:t>
      </w:r>
    </w:p>
    <w:p w:rsidR="00DB0499" w:rsidRDefault="00DB0499" w:rsidP="00DB0499">
      <w:r>
        <w:t>We consider that Hous</w:t>
      </w:r>
      <w:r w:rsidR="00FE3907">
        <w:t>ton</w:t>
      </w:r>
      <w:r>
        <w:t xml:space="preserve">Kemp's 2016 report has incorrectly considered Partington and Satchell's results on </w:t>
      </w:r>
      <w:r w:rsidR="000273D3">
        <w:t>geometric</w:t>
      </w:r>
      <w:r>
        <w:t xml:space="preserve"> and </w:t>
      </w:r>
      <w:r w:rsidR="000273D3">
        <w:t>arithmetic</w:t>
      </w:r>
      <w:r>
        <w:t xml:space="preserve"> mean returns.  This is well summarised by Partington and Satchell:</w:t>
      </w:r>
      <w:r>
        <w:rPr>
          <w:rStyle w:val="FootnoteReference"/>
        </w:rPr>
        <w:footnoteReference w:id="886"/>
      </w:r>
    </w:p>
    <w:p w:rsidR="00DB0499" w:rsidRPr="000D44B5" w:rsidRDefault="00DB0499" w:rsidP="00DB0499">
      <w:pPr>
        <w:pStyle w:val="AERquote"/>
      </w:pPr>
      <w:r>
        <w:t>"</w:t>
      </w:r>
      <w:r w:rsidRPr="000D44B5">
        <w:t>We are interested in the term exp(</w:t>
      </w:r>
      <m:oMath>
        <m:r>
          <w:rPr>
            <w:rFonts w:ascii="Cambria Math" w:hAnsi="Cambria Math"/>
          </w:rPr>
          <m:t>μ)-1</m:t>
        </m:r>
      </m:oMath>
      <w:r w:rsidRPr="000D44B5">
        <w:t xml:space="preserve">; which we call the implied arithmetic rate of return. If we knew that the true geometric rate of return is </w:t>
      </w:r>
      <m:oMath>
        <m:r>
          <w:rPr>
            <w:rFonts w:ascii="Cambria Math" w:hAnsi="Cambria Math"/>
          </w:rPr>
          <m:t>μ</m:t>
        </m:r>
      </m:oMath>
      <w:r w:rsidRPr="000D44B5">
        <w:t xml:space="preserve"> then the true arithmetic rate of return is exp(</w:t>
      </w:r>
      <m:oMath>
        <m:r>
          <w:rPr>
            <w:rFonts w:ascii="Cambria Math" w:hAnsi="Cambria Math"/>
          </w:rPr>
          <m:t>μ)-1</m:t>
        </m:r>
      </m:oMath>
      <w:r w:rsidRPr="000D44B5">
        <w:t>. This is a property of the parameters of our model and, as yet, involves no notion of expectation</w:t>
      </w:r>
      <w:r>
        <w:t>s</w:t>
      </w:r>
      <w:r w:rsidRPr="000D44B5">
        <w:t xml:space="preserve"> of estimators, contrary to any assertions by </w:t>
      </w:r>
      <w:r>
        <w:t>HoustonKemp</w:t>
      </w:r>
      <w:r w:rsidRPr="000D44B5">
        <w:t>. We then consider the extent to which estimators, based on the arithmetic mean and the geometric mean over or under estimate exp(</w:t>
      </w:r>
      <m:oMath>
        <m:r>
          <w:rPr>
            <w:rFonts w:ascii="Cambria Math" w:hAnsi="Cambria Math"/>
          </w:rPr>
          <m:t>μ)-1</m:t>
        </m:r>
      </m:oMath>
      <w:r w:rsidRPr="000D44B5">
        <w:t>.</w:t>
      </w:r>
      <w:r>
        <w:t xml:space="preserve"> </w:t>
      </w:r>
      <w:r w:rsidRPr="000D44B5">
        <w:t>We show</w:t>
      </w:r>
      <w:r>
        <w:t>ed</w:t>
      </w:r>
      <w:r w:rsidRPr="000D44B5">
        <w:t xml:space="preserve"> that the expected value of the arithmetic mean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independent of the sample size so it is always biased upwards relative to exp(</w:t>
      </w:r>
      <m:oMath>
        <m:r>
          <w:rPr>
            <w:rFonts w:ascii="Cambria Math" w:hAnsi="Cambria Math"/>
          </w:rPr>
          <m:t>μ)-1</m:t>
        </m:r>
      </m:oMath>
      <w:r w:rsidRPr="000D44B5">
        <w:t>.</w:t>
      </w:r>
      <w:r>
        <w:t xml:space="preserve"> </w:t>
      </w:r>
      <w:r w:rsidRPr="000D44B5">
        <w:t>We also show that the expected value of the geometric mean=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2T</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)-1</m:t>
        </m:r>
      </m:oMath>
      <w:r w:rsidRPr="000D44B5">
        <w:t>, where T is the size of the sample. This is biased upwards relative to exp(</w:t>
      </w:r>
      <m:oMath>
        <m:r>
          <w:rPr>
            <w:rFonts w:ascii="Cambria Math" w:hAnsi="Cambria Math"/>
          </w:rPr>
          <m:t>μ)-1</m:t>
        </m:r>
      </m:oMath>
      <w:r w:rsidRPr="000D44B5">
        <w:t xml:space="preserve">; but the bias disappears as T gets large. </w:t>
      </w:r>
      <w:r>
        <w:t xml:space="preserve">HoustonKemp arrive at the same formula, </w:t>
      </w:r>
      <w:r w:rsidRPr="000D44B5">
        <w:t>see equation (23), page 36</w:t>
      </w:r>
      <w:r>
        <w:t xml:space="preserve">, but then </w:t>
      </w:r>
      <w:r w:rsidRPr="000D44B5">
        <w:t xml:space="preserve"> wrongly assume that the parameter function of interest is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w:t>
      </w:r>
      <w:r>
        <w:t>The report</w:t>
      </w:r>
      <w:r w:rsidRPr="000D44B5">
        <w:t xml:space="preserve"> then asserts that the bias, relative to </w:t>
      </w:r>
      <w:r>
        <w:t>the</w:t>
      </w:r>
      <w:r w:rsidRPr="000D44B5">
        <w:t xml:space="preserve"> wrongly assumed parameter exp(</w:t>
      </w:r>
      <m:oMath>
        <m:r>
          <w:rPr>
            <w:rFonts w:ascii="Cambria Math" w:hAnsi="Cambria Math"/>
          </w:rPr>
          <m:t>μ+</m:t>
        </m:r>
        <m:f>
          <m:fPr>
            <m:ctrlPr>
              <w:rPr>
                <w:rFonts w:ascii="Cambria Math" w:hAnsi="Cambria Math"/>
              </w:rPr>
            </m:ctrlPr>
          </m:fPr>
          <m:num>
            <m:r>
              <w:rPr>
                <w:rFonts w:ascii="Cambria Math" w:hAnsi="Cambria Math"/>
              </w:rPr>
              <m:t>1</m:t>
            </m:r>
          </m:num>
          <m:den>
            <m:r>
              <w:rPr>
                <w:rFonts w:ascii="Cambria Math" w:hAnsi="Cambria Math"/>
              </w:rPr>
              <m:t>2</m:t>
            </m:r>
          </m:den>
        </m:f>
        <m:sSup>
          <m:sSupPr>
            <m:ctrlPr>
              <w:rPr>
                <w:rFonts w:ascii="Cambria Math" w:hAnsi="Cambria Math"/>
              </w:rPr>
            </m:ctrlPr>
          </m:sSupPr>
          <m:e>
            <m:r>
              <w:rPr>
                <w:rFonts w:ascii="Cambria Math" w:hAnsi="Cambria Math"/>
              </w:rPr>
              <m:t>σ</m:t>
            </m:r>
          </m:e>
          <m:sup>
            <m:r>
              <w:rPr>
                <w:rFonts w:ascii="Cambria Math" w:hAnsi="Cambria Math"/>
              </w:rPr>
              <m:t>2</m:t>
            </m:r>
          </m:sup>
        </m:sSup>
        <m:r>
          <w:rPr>
            <w:rFonts w:ascii="Cambria Math" w:hAnsi="Cambria Math"/>
          </w:rPr>
          <m:t>)</m:t>
        </m:r>
      </m:oMath>
      <w:r w:rsidRPr="000D44B5">
        <w:t xml:space="preserve">, is increasing in T. </w:t>
      </w:r>
      <w:r>
        <w:t>The HoustonKemp</w:t>
      </w:r>
      <w:r w:rsidRPr="000D44B5">
        <w:t xml:space="preserve"> analysis is simply irrelevant.</w:t>
      </w:r>
      <w:r>
        <w:t>"</w:t>
      </w:r>
    </w:p>
    <w:p w:rsidR="00DB0499" w:rsidRDefault="00DB0499" w:rsidP="00DB0499">
      <w:r>
        <w:t>NERA has questioned the relevance of the Akgiray (1989) and the Jacquier, Kane and Marcus (2003) articles referenced by Partington and Satchell.</w:t>
      </w:r>
      <w:r>
        <w:rPr>
          <w:rStyle w:val="FootnoteReference"/>
        </w:rPr>
        <w:footnoteReference w:id="887"/>
      </w:r>
      <w:r>
        <w:t xml:space="preserve"> It considered these articles do not match how we use historical excess returns data. We consider it is the key messages of the articles that are relevant to our analysis and these are more broadly applicable than NERA suggests. If the key messages of an academic article were only relevant to those undertaking precisely the same task, their usefulness would be exceedingly limited. For example, Akgiray's use of daily stock returns does not necessarily limit the relevance of his key message about the temporal behaviour of stock returns.</w:t>
      </w:r>
    </w:p>
    <w:p w:rsidR="00DB0499" w:rsidRDefault="00DB0499" w:rsidP="00DB0499">
      <w:r>
        <w:t>SFG and Frontier Economics have also recommended</w:t>
      </w:r>
      <w:r w:rsidRPr="0014735D">
        <w:t xml:space="preserve"> </w:t>
      </w:r>
      <w:r>
        <w:t>we give no weight to geometric average historical excess returns.</w:t>
      </w:r>
      <w:r>
        <w:rPr>
          <w:rStyle w:val="FootnoteReference"/>
        </w:rPr>
        <w:footnoteReference w:id="888"/>
      </w:r>
      <w:r>
        <w:t xml:space="preserve"> This is a reiteration of its views from previous reports, and is based primarily on SFG's submission that arithmetic averages are more representative of future expectations.</w:t>
      </w:r>
      <w:r>
        <w:rPr>
          <w:rStyle w:val="FootnoteReference"/>
        </w:rPr>
        <w:footnoteReference w:id="889"/>
      </w:r>
      <w:r>
        <w:t xml:space="preserve"> We have responded to SFG's views in previous decisions</w:t>
      </w:r>
      <w:r w:rsidRPr="003F6527">
        <w:t xml:space="preserve"> </w:t>
      </w:r>
      <w:r>
        <w:t>and this material remains relevant.</w:t>
      </w:r>
      <w:r>
        <w:rPr>
          <w:rStyle w:val="FootnoteReference"/>
        </w:rPr>
        <w:footnoteReference w:id="890"/>
      </w:r>
    </w:p>
    <w:p w:rsidR="00DB0499" w:rsidRDefault="00DB0499" w:rsidP="00DB0499">
      <w:r>
        <w:t xml:space="preserve">Ultimately, we consider there are strengths and weaknesses associated with using arithmetic or geometric averages of historical excess returns to estimate the 10 year forward looking (or expected) </w:t>
      </w:r>
      <w:r w:rsidR="004B2D40">
        <w:t>market risk premium</w:t>
      </w:r>
      <w:r>
        <w:t xml:space="preserve">. We are not satisfied that NERA, HoustonKemp, SFG, or Frontier have provided sufficient evidence to support the conclusion that using arithmetic averages of historical excess returns provides a 'materially better estimate' of the </w:t>
      </w:r>
      <w:r w:rsidR="004B2D40">
        <w:t>market risk premium</w:t>
      </w:r>
      <w:r>
        <w:t xml:space="preserve"> than an estimate based (solely or in part) on geometric averages.</w:t>
      </w:r>
      <w:r>
        <w:rPr>
          <w:rStyle w:val="FootnoteReference"/>
        </w:rPr>
        <w:footnoteReference w:id="891"/>
      </w:r>
      <w:r>
        <w:t xml:space="preserve"> We agree with Partington and Satchell's conclusion (a reiteration of McKenzie and Partington's 2012 conclusion) that:</w:t>
      </w:r>
      <w:r>
        <w:rPr>
          <w:rStyle w:val="FootnoteReference"/>
        </w:rPr>
        <w:footnoteReference w:id="892"/>
      </w:r>
    </w:p>
    <w:p w:rsidR="00DB0499" w:rsidRDefault="00DB0499" w:rsidP="00DB0499">
      <w:pPr>
        <w:pStyle w:val="AERquote"/>
      </w:pPr>
      <w:r w:rsidRPr="00A110CC">
        <w:t>The widespread current practice is to use unadjusted geometric and arithmetic averages. Given the current state of knowledge, we see no strong case to depart from this common practice and recommend the use of both of these metrics, tempered by an understanding of their inherent biases.</w:t>
      </w:r>
    </w:p>
    <w:p w:rsidR="00DB0499" w:rsidRDefault="00DB0499" w:rsidP="00DB0499">
      <w:pPr>
        <w:pStyle w:val="Heading8"/>
      </w:pPr>
      <w:bookmarkStart w:id="232" w:name="_Toc443923201"/>
      <w:bookmarkStart w:id="233" w:name="_Toc451678649"/>
      <w:r>
        <w:t>ASX adjustment to historical data</w:t>
      </w:r>
      <w:bookmarkEnd w:id="232"/>
      <w:bookmarkEnd w:id="233"/>
    </w:p>
    <w:p w:rsidR="00DB0499" w:rsidRDefault="00DB0499" w:rsidP="00DB0499">
      <w:pPr>
        <w:numPr>
          <w:ilvl w:val="0"/>
          <w:numId w:val="24"/>
        </w:numPr>
      </w:pPr>
      <w:r>
        <w:t>Our analysis of</w:t>
      </w:r>
      <w:r w:rsidRPr="00C2709F">
        <w:t xml:space="preserve"> historical </w:t>
      </w:r>
      <w:r>
        <w:t>stock</w:t>
      </w:r>
      <w:r w:rsidRPr="00C2709F">
        <w:t xml:space="preserve"> returns </w:t>
      </w:r>
      <w:r>
        <w:t>has to date used data and methods developed by</w:t>
      </w:r>
      <w:r w:rsidRPr="00C2709F">
        <w:t xml:space="preserve"> Brailsford et al. and updated from time to time by Handley</w:t>
      </w:r>
      <w:r>
        <w:t xml:space="preserve"> and the AER</w:t>
      </w:r>
      <w:r w:rsidRPr="00C2709F">
        <w:t>.</w:t>
      </w:r>
      <w:r w:rsidRPr="00C2709F">
        <w:rPr>
          <w:rStyle w:val="FootnoteReference"/>
        </w:rPr>
        <w:footnoteReference w:id="893"/>
      </w:r>
      <w:r w:rsidRPr="00C2709F">
        <w:t xml:space="preserve"> </w:t>
      </w:r>
      <w:r>
        <w:t>The data used by Brailsford et al. was provided to them by the ASX.</w:t>
      </w:r>
      <w:r w:rsidRPr="00D60892">
        <w:rPr>
          <w:rStyle w:val="FootnoteReference"/>
        </w:rPr>
        <w:t xml:space="preserve"> </w:t>
      </w:r>
      <w:r>
        <w:rPr>
          <w:rStyle w:val="FootnoteReference"/>
        </w:rPr>
        <w:footnoteReference w:id="894"/>
      </w:r>
      <w:r>
        <w:t xml:space="preserve"> Service providers submitted that the data set from Brailsford et al. could be improved upon by substituting an adjustment made by the ASX and embedded in the data with an alternate adjustment proposed by NERA.</w:t>
      </w:r>
      <w:r w:rsidRPr="00D60892">
        <w:rPr>
          <w:rStyle w:val="FootnoteReference"/>
        </w:rPr>
        <w:t xml:space="preserve"> </w:t>
      </w:r>
      <w:r>
        <w:rPr>
          <w:rStyle w:val="FootnoteReference"/>
        </w:rPr>
        <w:footnoteReference w:id="895"/>
      </w:r>
      <w:r>
        <w:t xml:space="preserve"> </w:t>
      </w:r>
    </w:p>
    <w:p w:rsidR="00DB0499" w:rsidRPr="0000506E" w:rsidRDefault="00DB0499" w:rsidP="00DB0499">
      <w:pPr>
        <w:numPr>
          <w:ilvl w:val="0"/>
          <w:numId w:val="24"/>
        </w:numPr>
      </w:pPr>
      <w:r>
        <w:t>This issue has been raised numerous times since our</w:t>
      </w:r>
      <w:r w:rsidRPr="0000506E">
        <w:t xml:space="preserve"> Guideline development process,</w:t>
      </w:r>
      <w:r w:rsidRPr="0000506E">
        <w:rPr>
          <w:rStyle w:val="FootnoteReference"/>
        </w:rPr>
        <w:footnoteReference w:id="896"/>
      </w:r>
      <w:r w:rsidRPr="0000506E">
        <w:t xml:space="preserve"> </w:t>
      </w:r>
      <w:r>
        <w:t xml:space="preserve">and this history </w:t>
      </w:r>
      <w:r w:rsidRPr="0000506E">
        <w:t xml:space="preserve">is set out </w:t>
      </w:r>
      <w:r>
        <w:t>in our preliminary decision.</w:t>
      </w:r>
      <w:r>
        <w:rPr>
          <w:rStyle w:val="FootnoteReference"/>
        </w:rPr>
        <w:footnoteReference w:id="897"/>
      </w:r>
      <w:r>
        <w:t xml:space="preserve"> </w:t>
      </w:r>
    </w:p>
    <w:p w:rsidR="00DB0499" w:rsidRPr="00C2709F" w:rsidRDefault="00DB0499" w:rsidP="00DB0499">
      <w:pPr>
        <w:numPr>
          <w:ilvl w:val="0"/>
          <w:numId w:val="24"/>
        </w:numPr>
      </w:pPr>
      <w:r>
        <w:t>Firstly</w:t>
      </w:r>
      <w:r w:rsidRPr="00C2709F">
        <w:t xml:space="preserve">, our consideration of different time (or sampling) periods, and averaging methods, in estimating the </w:t>
      </w:r>
      <w:r w:rsidR="004B2D40">
        <w:t>market risk premium</w:t>
      </w:r>
      <w:r w:rsidRPr="00C2709F">
        <w:t xml:space="preserve"> from historical excess returns reduces the materiality of NERA's submission.</w:t>
      </w:r>
      <w:r w:rsidRPr="00C2709F">
        <w:rPr>
          <w:rStyle w:val="FootnoteReference"/>
        </w:rPr>
        <w:footnoteReference w:id="898"/>
      </w:r>
      <w:r w:rsidRPr="00C2709F">
        <w:t xml:space="preserve"> </w:t>
      </w:r>
      <w:r w:rsidRPr="00C2709F">
        <w:fldChar w:fldCharType="begin"/>
      </w:r>
      <w:r w:rsidRPr="00C2709F">
        <w:instrText xml:space="preserve"> REF _Ref432620022 \h </w:instrText>
      </w:r>
      <w:r w:rsidRPr="00C2709F">
        <w:fldChar w:fldCharType="separate"/>
      </w:r>
      <w:r w:rsidR="00BA2E8E" w:rsidRPr="00C2709F">
        <w:t xml:space="preserve">Table </w:t>
      </w:r>
      <w:r w:rsidR="00BA2E8E">
        <w:rPr>
          <w:noProof/>
        </w:rPr>
        <w:t>3</w:t>
      </w:r>
      <w:r w:rsidR="00BA2E8E">
        <w:noBreakHyphen/>
      </w:r>
      <w:r w:rsidR="00BA2E8E">
        <w:rPr>
          <w:noProof/>
        </w:rPr>
        <w:t>30</w:t>
      </w:r>
      <w:r w:rsidRPr="00C2709F">
        <w:fldChar w:fldCharType="end"/>
      </w:r>
      <w:r w:rsidRPr="00C2709F">
        <w:t xml:space="preserve"> shows NERA's adjustment would only affect one of these time periods. When implemented, NERA's adjustment does not materially alter the estimates obtained from the full suite of estimation techniques. </w:t>
      </w:r>
    </w:p>
    <w:p w:rsidR="00DB0499" w:rsidRPr="00C2709F" w:rsidRDefault="00DB0499" w:rsidP="00DB0499">
      <w:pPr>
        <w:pStyle w:val="Caption"/>
        <w:rPr>
          <w:rStyle w:val="Strong"/>
        </w:rPr>
      </w:pPr>
      <w:bookmarkStart w:id="234" w:name="_Ref432620022"/>
      <w:r w:rsidRPr="00C2709F">
        <w:t xml:space="preserve">Table </w:t>
      </w:r>
      <w:fldSimple w:instr=" STYLEREF 1 \s ">
        <w:r w:rsidR="00BA2E8E">
          <w:rPr>
            <w:noProof/>
          </w:rPr>
          <w:t>3</w:t>
        </w:r>
      </w:fldSimple>
      <w:r w:rsidR="000F4BC3">
        <w:noBreakHyphen/>
      </w:r>
      <w:fldSimple w:instr=" SEQ Table \* ARABIC \s 1 ">
        <w:r w:rsidR="00BA2E8E">
          <w:rPr>
            <w:noProof/>
          </w:rPr>
          <w:t>30</w:t>
        </w:r>
      </w:fldSimple>
      <w:bookmarkEnd w:id="234"/>
      <w:r w:rsidRPr="00C2709F">
        <w:t xml:space="preserve"> </w:t>
      </w:r>
      <w:r w:rsidRPr="00C2709F">
        <w:tab/>
        <w:t>Historical excess returns using NERA's adjustment (per cent)</w:t>
      </w:r>
      <w:r w:rsidRPr="00C2709F" w:rsidDel="00184676">
        <w:t xml:space="preserve"> </w:t>
      </w:r>
    </w:p>
    <w:tbl>
      <w:tblPr>
        <w:tblStyle w:val="AERtable-numbers"/>
        <w:tblW w:w="5000" w:type="pct"/>
        <w:tblLayout w:type="fixed"/>
        <w:tblLook w:val="01E0" w:firstRow="1" w:lastRow="1" w:firstColumn="1" w:lastColumn="1" w:noHBand="0" w:noVBand="0"/>
      </w:tblPr>
      <w:tblGrid>
        <w:gridCol w:w="1242"/>
        <w:gridCol w:w="3828"/>
        <w:gridCol w:w="3623"/>
      </w:tblGrid>
      <w:tr w:rsidR="00DB0499" w:rsidRPr="003663F4" w:rsidTr="00DB0499">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714" w:type="pct"/>
            <w:noWrap/>
          </w:tcPr>
          <w:p w:rsidR="00DB0499" w:rsidRPr="00DB0499" w:rsidRDefault="00DB0499" w:rsidP="00EB795B">
            <w:pPr>
              <w:rPr>
                <w:rStyle w:val="Strong"/>
              </w:rPr>
            </w:pPr>
            <w:r w:rsidRPr="00C2709F">
              <w:rPr>
                <w:rStyle w:val="Strong"/>
              </w:rPr>
              <w:t>Sampling period</w:t>
            </w:r>
          </w:p>
        </w:tc>
        <w:tc>
          <w:tcPr>
            <w:tcW w:w="2202" w:type="pct"/>
            <w:noWrap/>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DB0499">
              <w:rPr>
                <w:rStyle w:val="Strong"/>
              </w:rPr>
              <w:t>with ASX adjustment</w:t>
            </w:r>
          </w:p>
        </w:tc>
        <w:tc>
          <w:tcPr>
            <w:tcW w:w="2084" w:type="pct"/>
            <w:noWrap/>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rPr>
                <w:rStyle w:val="Strong"/>
              </w:rPr>
            </w:pPr>
            <w:r>
              <w:rPr>
                <w:rStyle w:val="Strong"/>
              </w:rPr>
              <w:t xml:space="preserve">Excess returns </w:t>
            </w:r>
            <w:r w:rsidRPr="00DB0499">
              <w:rPr>
                <w:rStyle w:val="Strong"/>
              </w:rPr>
              <w:t>with NERA adjustment</w:t>
            </w:r>
          </w:p>
        </w:tc>
      </w:tr>
      <w:tr w:rsidR="00DB0499" w:rsidRPr="003663F4" w:rsidTr="00DB0499">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B0499" w:rsidRPr="00DB0499" w:rsidRDefault="00DB0499" w:rsidP="00EB795B">
            <w:r w:rsidRPr="00C2709F">
              <w:t>1883–</w:t>
            </w:r>
            <w:r w:rsidRPr="00DB0499">
              <w:t>2015</w:t>
            </w:r>
          </w:p>
        </w:tc>
        <w:tc>
          <w:tcPr>
            <w:tcW w:w="2202"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6.1</w:t>
            </w:r>
          </w:p>
        </w:tc>
        <w:tc>
          <w:tcPr>
            <w:tcW w:w="2084"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6.5</w:t>
            </w:r>
          </w:p>
        </w:tc>
      </w:tr>
      <w:tr w:rsidR="00DB0499" w:rsidRPr="003663F4" w:rsidTr="00DB049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B0499" w:rsidRPr="00DB0499" w:rsidRDefault="00DB0499" w:rsidP="00EB795B">
            <w:r w:rsidRPr="00C2709F">
              <w:t>1937–</w:t>
            </w:r>
            <w:r w:rsidRPr="00DB0499">
              <w:t>2015</w:t>
            </w:r>
          </w:p>
        </w:tc>
        <w:tc>
          <w:tcPr>
            <w:tcW w:w="2202"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5.7</w:t>
            </w:r>
          </w:p>
        </w:tc>
        <w:tc>
          <w:tcPr>
            <w:tcW w:w="2084"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5.</w:t>
            </w:r>
            <w:r w:rsidRPr="00DB0499">
              <w:t>7</w:t>
            </w:r>
          </w:p>
        </w:tc>
      </w:tr>
      <w:tr w:rsidR="00DB0499" w:rsidRPr="003663F4" w:rsidTr="00DB0499">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B0499" w:rsidRPr="00DB0499" w:rsidRDefault="00DB0499" w:rsidP="00EB795B">
            <w:r w:rsidRPr="00C2709F">
              <w:t>1958–</w:t>
            </w:r>
            <w:r w:rsidRPr="00DB0499">
              <w:t>2015</w:t>
            </w:r>
          </w:p>
        </w:tc>
        <w:tc>
          <w:tcPr>
            <w:tcW w:w="2202"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6.2</w:t>
            </w:r>
          </w:p>
        </w:tc>
        <w:tc>
          <w:tcPr>
            <w:tcW w:w="2084"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6.2</w:t>
            </w:r>
          </w:p>
        </w:tc>
      </w:tr>
      <w:tr w:rsidR="00DB0499" w:rsidRPr="003663F4" w:rsidTr="00DB0499">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B0499" w:rsidRPr="00DB0499" w:rsidRDefault="00DB0499" w:rsidP="00EB795B">
            <w:r w:rsidRPr="00C2709F">
              <w:t>1980–</w:t>
            </w:r>
            <w:r w:rsidRPr="00DB0499">
              <w:t>2015</w:t>
            </w:r>
          </w:p>
        </w:tc>
        <w:tc>
          <w:tcPr>
            <w:tcW w:w="2202"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5.9</w:t>
            </w:r>
          </w:p>
        </w:tc>
        <w:tc>
          <w:tcPr>
            <w:tcW w:w="2084" w:type="pct"/>
            <w:noWrap/>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5.9</w:t>
            </w:r>
          </w:p>
        </w:tc>
      </w:tr>
      <w:tr w:rsidR="00DB0499" w:rsidRPr="003663F4" w:rsidTr="00DB0499">
        <w:trPr>
          <w:trHeight w:val="255"/>
        </w:trPr>
        <w:tc>
          <w:tcPr>
            <w:cnfStyle w:val="001000000000" w:firstRow="0" w:lastRow="0" w:firstColumn="1" w:lastColumn="0" w:oddVBand="0" w:evenVBand="0" w:oddHBand="0" w:evenHBand="0" w:firstRowFirstColumn="0" w:firstRowLastColumn="0" w:lastRowFirstColumn="0" w:lastRowLastColumn="0"/>
            <w:tcW w:w="714" w:type="pct"/>
            <w:noWrap/>
          </w:tcPr>
          <w:p w:rsidR="00DB0499" w:rsidRPr="00DB0499" w:rsidRDefault="00DB0499" w:rsidP="00EB795B">
            <w:r w:rsidRPr="00C2709F">
              <w:t>1988–</w:t>
            </w:r>
            <w:r w:rsidRPr="00DB0499">
              <w:t>2015</w:t>
            </w:r>
          </w:p>
        </w:tc>
        <w:tc>
          <w:tcPr>
            <w:tcW w:w="2202"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5.2</w:t>
            </w:r>
          </w:p>
        </w:tc>
        <w:tc>
          <w:tcPr>
            <w:tcW w:w="2084" w:type="pct"/>
            <w:noWrap/>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5.2</w:t>
            </w:r>
          </w:p>
        </w:tc>
      </w:tr>
    </w:tbl>
    <w:p w:rsidR="00DB0499" w:rsidRPr="00C2709F" w:rsidRDefault="00DB0499" w:rsidP="00DB0499">
      <w:pPr>
        <w:pStyle w:val="AERtablesource"/>
      </w:pPr>
      <w:r w:rsidRPr="00C2709F">
        <w:t xml:space="preserve">Source: </w:t>
      </w:r>
      <w:r w:rsidRPr="00C2709F">
        <w:tab/>
        <w:t xml:space="preserve">AER, </w:t>
      </w:r>
      <w:r w:rsidRPr="00C2709F">
        <w:rPr>
          <w:rStyle w:val="AERtextitalic"/>
        </w:rPr>
        <w:t>Explanatory statement: Rate of return guideline (appendices)</w:t>
      </w:r>
      <w:r w:rsidRPr="00C2709F">
        <w:t>, 17 December 2013, p. 83; AER updates</w:t>
      </w:r>
    </w:p>
    <w:p w:rsidR="00DB0499" w:rsidRPr="001562D4" w:rsidRDefault="00DB0499" w:rsidP="00DB0499">
      <w:pPr>
        <w:pStyle w:val="AERtablesource"/>
      </w:pPr>
      <w:r>
        <w:t>Notes</w:t>
      </w:r>
      <w:r w:rsidRPr="00C2709F">
        <w:t xml:space="preserve">: </w:t>
      </w:r>
      <w:r w:rsidRPr="00C2709F">
        <w:tab/>
      </w:r>
      <w:r>
        <w:t>Based on arithmetic averages of historical stock returns, and a theta value of 0.6.</w:t>
      </w:r>
    </w:p>
    <w:p w:rsidR="00DB0499" w:rsidRPr="00C2709F" w:rsidRDefault="00DB0499" w:rsidP="00DB0499">
      <w:pPr>
        <w:numPr>
          <w:ilvl w:val="0"/>
          <w:numId w:val="24"/>
        </w:numPr>
      </w:pPr>
      <w:r>
        <w:t>Secondly, we consider that</w:t>
      </w:r>
      <w:r w:rsidRPr="00C2709F">
        <w:t xml:space="preserve"> NERA's</w:t>
      </w:r>
      <w:r>
        <w:t xml:space="preserve"> proposed</w:t>
      </w:r>
      <w:r w:rsidRPr="00C2709F">
        <w:t xml:space="preserve"> adjustment </w:t>
      </w:r>
      <w:r>
        <w:t>is not warranted and it is</w:t>
      </w:r>
      <w:r w:rsidRPr="00C2709F">
        <w:t xml:space="preserve"> not</w:t>
      </w:r>
      <w:r>
        <w:t xml:space="preserve"> clear that it would</w:t>
      </w:r>
      <w:r w:rsidRPr="00C2709F">
        <w:t xml:space="preserve"> lead to a material improvement in the quality of our data.</w:t>
      </w:r>
      <w:r w:rsidRPr="006C1BAA">
        <w:t xml:space="preserve"> </w:t>
      </w:r>
      <w:r w:rsidRPr="00C2709F">
        <w:t>As Handley stated:</w:t>
      </w:r>
      <w:r w:rsidRPr="00C2709F">
        <w:rPr>
          <w:rStyle w:val="FootnoteReference"/>
        </w:rPr>
        <w:footnoteReference w:id="899"/>
      </w:r>
    </w:p>
    <w:p w:rsidR="00DB0499" w:rsidRPr="00C2709F" w:rsidRDefault="00DB0499" w:rsidP="00DB0499">
      <w:pPr>
        <w:pStyle w:val="AERquote"/>
      </w:pPr>
      <w:r w:rsidRPr="00C2709F">
        <w:t xml:space="preserve">There are two main problems with the NERA analysis. First, it is unreasonable to draw a conclusion about three-hundred data points from a sample of only seven of those data points. Second and more fundamentally, NERA has not reconciled their data back to the Lamberton </w:t>
      </w:r>
      <w:r>
        <w:t xml:space="preserve">[ASX] </w:t>
      </w:r>
      <w:r w:rsidRPr="00C2709F">
        <w:t>data as illustrated below</w:t>
      </w:r>
    </w:p>
    <w:p w:rsidR="00DB0499" w:rsidRPr="00C2709F" w:rsidRDefault="00DB0499" w:rsidP="00DB0499">
      <w:pPr>
        <w:numPr>
          <w:ilvl w:val="0"/>
          <w:numId w:val="24"/>
        </w:numPr>
      </w:pPr>
      <w:r w:rsidRPr="00C2709F">
        <w:t xml:space="preserve">In their </w:t>
      </w:r>
      <w:r>
        <w:t xml:space="preserve">published </w:t>
      </w:r>
      <w:r w:rsidRPr="00C2709F">
        <w:t xml:space="preserve">study, </w:t>
      </w:r>
      <w:r>
        <w:t>Brailsford et al. found that data for the period 1882 to 1964 originally represented the unweighted average yield rather than a weighted average yield, and reflected the average yield on dividend-paying stocks only rather than all stocks.</w:t>
      </w:r>
      <w:r w:rsidRPr="00C2709F">
        <w:rPr>
          <w:rStyle w:val="FootnoteReference"/>
        </w:rPr>
        <w:footnoteReference w:id="900"/>
      </w:r>
      <w:r>
        <w:t xml:space="preserve"> </w:t>
      </w:r>
      <w:r w:rsidRPr="00C2709F">
        <w:t xml:space="preserve">Brailsford et al. extensively considered issues concerning </w:t>
      </w:r>
      <w:r>
        <w:t xml:space="preserve">the </w:t>
      </w:r>
      <w:r w:rsidRPr="00C2709F">
        <w:t>data</w:t>
      </w:r>
      <w:r>
        <w:t>, and found that the ASX had made an adjustment to account for these data issues</w:t>
      </w:r>
      <w:r w:rsidRPr="00C2709F">
        <w:t>.</w:t>
      </w:r>
      <w:r w:rsidRPr="00C2709F">
        <w:rPr>
          <w:rStyle w:val="FootnoteReference"/>
        </w:rPr>
        <w:footnoteReference w:id="901"/>
      </w:r>
      <w:r w:rsidRPr="00C2709F">
        <w:t xml:space="preserve"> </w:t>
      </w:r>
      <w:r>
        <w:t>Brailsford et al. concluded that the ASX's adjustment was reasonable after considering</w:t>
      </w:r>
      <w:r w:rsidRPr="00C2709F">
        <w:t>:</w:t>
      </w:r>
      <w:r>
        <w:t xml:space="preserve"> </w:t>
      </w:r>
    </w:p>
    <w:p w:rsidR="00DB0499" w:rsidRPr="00C2709F" w:rsidRDefault="00DB0499" w:rsidP="00DB0499">
      <w:pPr>
        <w:pStyle w:val="AERbulletlistfirststyle"/>
      </w:pPr>
      <w:r w:rsidRPr="00C2709F">
        <w:t>the views of the stock exchange itself (a credible source), as its staff determined and applied the adjustment factor to the dividend yield series</w:t>
      </w:r>
    </w:p>
    <w:p w:rsidR="00DB0499" w:rsidRPr="00C2709F" w:rsidRDefault="00DB0499" w:rsidP="00DB0499">
      <w:pPr>
        <w:pStyle w:val="AERbulletlistfirststyle"/>
      </w:pPr>
      <w:r w:rsidRPr="00C2709F">
        <w:t>US studies, which have attempted to formulate dividend yield series over roughly comparable time periods</w:t>
      </w:r>
    </w:p>
    <w:p w:rsidR="00DB0499" w:rsidRPr="00C2709F" w:rsidRDefault="00DB0499" w:rsidP="00DB0499">
      <w:pPr>
        <w:pStyle w:val="AERbulletlistfirststyle"/>
      </w:pPr>
      <w:r w:rsidRPr="00C2709F">
        <w:t>estimates of unweighted and weighted dividend yields for the UK stock market over the period 1872 to 1913</w:t>
      </w:r>
    </w:p>
    <w:p w:rsidR="00DB0499" w:rsidRDefault="00DB0499" w:rsidP="00DB0499">
      <w:pPr>
        <w:pStyle w:val="AERbulletlistfirststyle"/>
      </w:pPr>
      <w:r w:rsidRPr="00C2709F">
        <w:t>a more direct test by estimating the weighted dividend yield across all stocks listed on the S</w:t>
      </w:r>
      <w:r w:rsidR="00E15ACC">
        <w:t xml:space="preserve">ydney </w:t>
      </w:r>
      <w:r w:rsidRPr="00C2709F">
        <w:t>S</w:t>
      </w:r>
      <w:r w:rsidR="00E15ACC">
        <w:t xml:space="preserve">tock </w:t>
      </w:r>
      <w:r w:rsidRPr="00C2709F">
        <w:t>E</w:t>
      </w:r>
      <w:r w:rsidR="00E15ACC">
        <w:t>xchange</w:t>
      </w:r>
      <w:r w:rsidRPr="00C2709F">
        <w:t xml:space="preserve"> for February 1966 (the first month of decimal currency)</w:t>
      </w:r>
    </w:p>
    <w:p w:rsidR="00DB0499" w:rsidRPr="00856B86" w:rsidRDefault="00DB0499" w:rsidP="00DB0499">
      <w:pPr>
        <w:pStyle w:val="ListParagraph"/>
        <w:numPr>
          <w:ilvl w:val="0"/>
          <w:numId w:val="24"/>
        </w:numPr>
      </w:pPr>
      <w:r>
        <w:t>We consider that</w:t>
      </w:r>
      <w:r w:rsidRPr="00C2709F">
        <w:t xml:space="preserve"> NERA's submission that its adjustment is more accurate because it uses more than one data point is </w:t>
      </w:r>
      <w:r>
        <w:t>misinforming</w:t>
      </w:r>
      <w:r w:rsidRPr="00C2709F">
        <w:t>.</w:t>
      </w:r>
      <w:r w:rsidRPr="00C2709F">
        <w:rPr>
          <w:rStyle w:val="FootnoteReference"/>
        </w:rPr>
        <w:footnoteReference w:id="902"/>
      </w:r>
      <w:r w:rsidRPr="00C2709F">
        <w:t xml:space="preserve"> Brailsford et al. uses one data point as one method (of several) to check the reasonableness of the ASX adjustment. This does not mean the ASX adjustment itself is based on one data point.</w:t>
      </w:r>
      <w:r>
        <w:t xml:space="preserve"> </w:t>
      </w:r>
      <w:r w:rsidRPr="00856B86">
        <w:t xml:space="preserve">Handley responded to this misconception multiple times. For example: </w:t>
      </w:r>
    </w:p>
    <w:p w:rsidR="00DB0499" w:rsidRPr="00856B86" w:rsidRDefault="00DB0499" w:rsidP="00DB0499">
      <w:pPr>
        <w:pStyle w:val="AERbulletlistfirststyle"/>
      </w:pPr>
      <w:r w:rsidRPr="00856B86">
        <w:t>In his October 2014 report, Handley stated:</w:t>
      </w:r>
      <w:r w:rsidRPr="00856B86">
        <w:rPr>
          <w:rStyle w:val="FootnoteReference"/>
        </w:rPr>
        <w:footnoteReference w:id="903"/>
      </w:r>
    </w:p>
    <w:p w:rsidR="00DB0499" w:rsidRPr="00856B86" w:rsidRDefault="00DB0499" w:rsidP="00DB0499">
      <w:pPr>
        <w:pStyle w:val="AERquote"/>
      </w:pPr>
      <w:r w:rsidRPr="00856B86">
        <w:t>Before addressing NERA’s analysis, it is appropriate to clarify a very important misconception concerning the adjustment. Contrary to the claim by SFG – and it is not clear whether this view is also shared by NERA – the adjustment was not something which BHM took upon themselves to apply to the Lamberton data. Rather, the data that the ASX provided to BHM had already had been adjusted by the ASX. In other words, the ASX had many years earlier decided in their knowledge and wisdom that some adjustment was necessary and it was the ASX who determined the amount and adjusted the data accordingly. BHM simply sought to confirm their understanding of the data series provided by the ASX by reconciling it back to original sources.</w:t>
      </w:r>
    </w:p>
    <w:p w:rsidR="00DB0499" w:rsidRPr="00856B86" w:rsidRDefault="00DB0499" w:rsidP="00DB0499">
      <w:pPr>
        <w:pStyle w:val="AERbulletlistfirststyle"/>
      </w:pPr>
      <w:r w:rsidRPr="00856B86">
        <w:t>In his May 2015 report, Handley stated:</w:t>
      </w:r>
      <w:r w:rsidRPr="00856B86">
        <w:rPr>
          <w:rStyle w:val="FootnoteReference"/>
        </w:rPr>
        <w:footnoteReference w:id="904"/>
      </w:r>
    </w:p>
    <w:p w:rsidR="00DB0499" w:rsidRPr="00856B86" w:rsidRDefault="00DB0499" w:rsidP="00DB0499">
      <w:pPr>
        <w:pStyle w:val="AERquote"/>
      </w:pPr>
      <w:r w:rsidRPr="00856B86">
        <w:t>The inference in the first statement that the stock and dividend data underlying the Brailsford, Handley and Maheswaran (2008) – BHM – dataset is not genuine is incorrect and troubling. The claim (by NERA) in the second statement that BHM, rather than the ASX, made the adjustment to the dividend data is incorrect.</w:t>
      </w:r>
    </w:p>
    <w:p w:rsidR="00DB0499" w:rsidRDefault="00DB0499" w:rsidP="00DB0499">
      <w:r w:rsidRPr="00C540E2">
        <w:t xml:space="preserve">HoustonKemp raise again the issues that no ASX publication uses the ASX adjustment and </w:t>
      </w:r>
      <w:r>
        <w:t xml:space="preserve">that </w:t>
      </w:r>
      <w:r w:rsidRPr="00C540E2">
        <w:t xml:space="preserve">the ASX </w:t>
      </w:r>
      <w:r>
        <w:t>has stated</w:t>
      </w:r>
      <w:r w:rsidRPr="00C540E2">
        <w:t xml:space="preserve"> that it has no opinion</w:t>
      </w:r>
      <w:r>
        <w:t xml:space="preserve"> on the adjustment</w:t>
      </w:r>
      <w:r w:rsidRPr="00C540E2">
        <w:t>. We remain satisfied that the</w:t>
      </w:r>
      <w:r>
        <w:t xml:space="preserve"> adjustment originated with the ASX, irrespective of the existence of any ASX publication using the data, and that</w:t>
      </w:r>
      <w:r w:rsidRPr="00C540E2">
        <w:t xml:space="preserve"> ASX provided the adjusted data </w:t>
      </w:r>
      <w:r>
        <w:t>to</w:t>
      </w:r>
      <w:r w:rsidRPr="00585C0A">
        <w:t xml:space="preserve"> Brailsford et al</w:t>
      </w:r>
      <w:r w:rsidRPr="00C540E2">
        <w:t>. </w:t>
      </w:r>
    </w:p>
    <w:p w:rsidR="00DB0499" w:rsidRPr="00C2709F" w:rsidRDefault="00DB0499" w:rsidP="00DB0499">
      <w:r>
        <w:t>W</w:t>
      </w:r>
      <w:r w:rsidRPr="00D02E71">
        <w:t xml:space="preserve">e also consider that NERA has not established that the overall level of its adjustment is superior to the ASX adjustment. </w:t>
      </w:r>
      <w:r>
        <w:t xml:space="preserve">In addition to examining the ASX adjustment to account for simple, unweighted yields, Brailsford et al. examined other </w:t>
      </w:r>
      <w:r w:rsidRPr="00C2709F">
        <w:t>concerns over data quality and the imprecision of the underlying series'</w:t>
      </w:r>
      <w:r>
        <w:t>,</w:t>
      </w:r>
      <w:r w:rsidRPr="00C2709F">
        <w:rPr>
          <w:rStyle w:val="FootnoteReference"/>
        </w:rPr>
        <w:footnoteReference w:id="905"/>
      </w:r>
      <w:r w:rsidRPr="00C2709F">
        <w:t xml:space="preserve"> specifically:</w:t>
      </w:r>
      <w:r w:rsidRPr="00C2709F">
        <w:rPr>
          <w:rStyle w:val="FootnoteReference"/>
        </w:rPr>
        <w:footnoteReference w:id="906"/>
      </w:r>
    </w:p>
    <w:p w:rsidR="00DB0499" w:rsidRPr="00C2709F" w:rsidRDefault="00DB0499" w:rsidP="00DB0499">
      <w:pPr>
        <w:pStyle w:val="AERbulletlistfirststyle"/>
      </w:pPr>
      <w:r w:rsidRPr="00C2709F">
        <w:t xml:space="preserve">employing hindsight in sample selection commonly imparts an upward (survivorship) bias </w:t>
      </w:r>
    </w:p>
    <w:p w:rsidR="00DB0499" w:rsidRPr="00C2709F" w:rsidRDefault="00DB0499" w:rsidP="00DB0499">
      <w:pPr>
        <w:pStyle w:val="AERbulletlistfirststyle"/>
      </w:pPr>
      <w:r w:rsidRPr="00C2709F">
        <w:t>the Commercial and Industrial price index from 1875 to 1936 does not include the financial sector and, therefore, is not strictly comparable to the All Ordinary Shares price index that followed from 1936 to 1957</w:t>
      </w:r>
    </w:p>
    <w:p w:rsidR="00DB0499" w:rsidRPr="00C2709F" w:rsidRDefault="00DB0499" w:rsidP="00DB0499">
      <w:pPr>
        <w:pStyle w:val="AERbulletlistfirststyle"/>
      </w:pPr>
      <w:r w:rsidRPr="00C2709F">
        <w:t>the Commercial and Industrial price index from 1875 to 1936 suffers from narrow coverage—there are only five stocks in the index in 1875, 12 in 1905 and 47 in 1935</w:t>
      </w:r>
    </w:p>
    <w:p w:rsidR="00DB0499" w:rsidRPr="00C2709F" w:rsidRDefault="00DB0499" w:rsidP="00DB0499">
      <w:pPr>
        <w:pStyle w:val="AERbulletlistfirststyle"/>
      </w:pPr>
      <w:r w:rsidRPr="00C2709F">
        <w:t>Australian government stock price controls were in operation from November 1941 to February 1947 and, therefore, prices over this period were not fully market determined</w:t>
      </w:r>
    </w:p>
    <w:p w:rsidR="00DB0499" w:rsidRPr="00C2709F" w:rsidRDefault="00DB0499" w:rsidP="00DB0499">
      <w:pPr>
        <w:pStyle w:val="AERbulletlistfirststyle"/>
      </w:pPr>
      <w:r w:rsidRPr="00C2709F">
        <w:t xml:space="preserve">each of Lamberton’s (1958) industry indices are value-weighted, but in forming the All Ordinary Shares index and the All Ordinary Shares (excluding Financial) index, the relevant component industry indices have been weighted according to their aggregate amount of paid up capital.. </w:t>
      </w:r>
    </w:p>
    <w:p w:rsidR="00DB0499" w:rsidRPr="00C2709F" w:rsidRDefault="00DB0499" w:rsidP="00DB0499">
      <w:r w:rsidRPr="00C2709F">
        <w:t>Brailsford et al. subsequently considered that:</w:t>
      </w:r>
      <w:r w:rsidRPr="00C2709F">
        <w:rPr>
          <w:rStyle w:val="FootnoteReference"/>
        </w:rPr>
        <w:footnoteReference w:id="907"/>
      </w:r>
    </w:p>
    <w:p w:rsidR="00DB0499" w:rsidRPr="00C2709F" w:rsidRDefault="00DB0499" w:rsidP="00DB0499">
      <w:pPr>
        <w:pStyle w:val="AERquote"/>
      </w:pPr>
      <w:r w:rsidRPr="00C2709F">
        <w:t>Although it is difficult to draw a conclusion on the extent to which the above issues impact on the observed rates of return on the equity index relative to the unobserved ‘true’ rates of return, a consequent bias leading to an overstatement of equity performance up to the mid-1950s is probable.</w:t>
      </w:r>
    </w:p>
    <w:p w:rsidR="00DB0499" w:rsidRDefault="00DB0499" w:rsidP="00DB0499">
      <w:pPr>
        <w:numPr>
          <w:ilvl w:val="0"/>
          <w:numId w:val="24"/>
        </w:numPr>
      </w:pPr>
      <w:r>
        <w:t>Given this probability of overstatement consider</w:t>
      </w:r>
      <w:r w:rsidR="00E15ACC">
        <w:t>e</w:t>
      </w:r>
      <w:r>
        <w:t xml:space="preserve">d by Brailsford et al., it is not clear that a smaller downward adjustment to the original data would reduce bias. </w:t>
      </w:r>
    </w:p>
    <w:p w:rsidR="00DB0499" w:rsidRPr="00BA0AFD" w:rsidRDefault="00DB0499" w:rsidP="00DB0499">
      <w:pPr>
        <w:pStyle w:val="Heading7"/>
      </w:pPr>
      <w:bookmarkStart w:id="235" w:name="_Toc443923203"/>
      <w:bookmarkStart w:id="236" w:name="_Toc451678650"/>
      <w:r>
        <w:t>AER's dividend growth model</w:t>
      </w:r>
      <w:bookmarkEnd w:id="235"/>
      <w:bookmarkEnd w:id="236"/>
    </w:p>
    <w:p w:rsidR="00DB0499" w:rsidRPr="00B4711B" w:rsidRDefault="00DB0499" w:rsidP="00DB0499">
      <w:pPr>
        <w:numPr>
          <w:ilvl w:val="0"/>
          <w:numId w:val="24"/>
        </w:numPr>
      </w:pPr>
      <w:r w:rsidRPr="00B4711B">
        <w:rPr>
          <w:rStyle w:val="AERbody"/>
        </w:rPr>
        <w:t xml:space="preserve">Dividend growth models </w:t>
      </w:r>
      <w:r w:rsidRPr="00B4711B">
        <w:t xml:space="preserve">use forecast dividends of businesses to derive the return on equity by </w:t>
      </w:r>
      <w:r>
        <w:t>assuming</w:t>
      </w:r>
      <w:r w:rsidRPr="00B4711B">
        <w:t xml:space="preserve"> that the present value of these dividends is equal to the business' market value of equity.</w:t>
      </w:r>
      <w:r w:rsidRPr="00B4711B">
        <w:rPr>
          <w:rStyle w:val="FootnoteReference"/>
        </w:rPr>
        <w:footnoteReference w:id="908"/>
      </w:r>
      <w:r w:rsidRPr="00B4711B">
        <w:t xml:space="preserve"> Consistent with the rate of return guideline (Guideline), we use </w:t>
      </w:r>
      <w:r>
        <w:t>dividend growth models</w:t>
      </w:r>
      <w:r w:rsidRPr="00B4711B">
        <w:t xml:space="preserve"> to inform our estimate of the market risk premium.</w:t>
      </w:r>
      <w:r w:rsidRPr="00B4711B">
        <w:rPr>
          <w:rStyle w:val="FootnoteReference"/>
        </w:rPr>
        <w:footnoteReference w:id="909"/>
      </w:r>
      <w:r>
        <w:t xml:space="preserve"> However, we consider that limited reliance should be placed on estimates from dividend growth models. </w:t>
      </w:r>
    </w:p>
    <w:p w:rsidR="00DB0499" w:rsidRPr="00B4711B" w:rsidRDefault="00DB0499" w:rsidP="00DB0499">
      <w:pPr>
        <w:numPr>
          <w:ilvl w:val="0"/>
          <w:numId w:val="24"/>
        </w:numPr>
      </w:pPr>
      <w:r w:rsidRPr="00B4711B">
        <w:t>In this appendix we set out:</w:t>
      </w:r>
    </w:p>
    <w:p w:rsidR="00DB0499" w:rsidRPr="00B4711B" w:rsidRDefault="00DB0499" w:rsidP="00DB0499">
      <w:pPr>
        <w:pStyle w:val="AERbulletlistfirststyle"/>
      </w:pPr>
      <w:r w:rsidRPr="00B4711B">
        <w:t xml:space="preserve">Prevailing estimates of the </w:t>
      </w:r>
      <w:r>
        <w:t>market risk premium</w:t>
      </w:r>
      <w:r w:rsidRPr="00B4711B">
        <w:t xml:space="preserve"> using our preferred construction of the </w:t>
      </w:r>
      <w:r>
        <w:t>dividend growth model.</w:t>
      </w:r>
    </w:p>
    <w:p w:rsidR="00DB0499" w:rsidRPr="00B4711B" w:rsidRDefault="00DB0499" w:rsidP="00DB0499">
      <w:pPr>
        <w:pStyle w:val="AERbulletlistfirststyle"/>
      </w:pPr>
      <w:r w:rsidRPr="00B4711B">
        <w:t>Sensitivity analysis surrounding our prevailing estimates.</w:t>
      </w:r>
    </w:p>
    <w:p w:rsidR="00DB0499" w:rsidRPr="00B4711B" w:rsidRDefault="00DB0499" w:rsidP="00DB0499">
      <w:pPr>
        <w:pStyle w:val="AERbulletlistfirststyle"/>
      </w:pPr>
      <w:r w:rsidRPr="00B4711B">
        <w:t xml:space="preserve">Our preferred construction of the </w:t>
      </w:r>
      <w:r>
        <w:t>dividend growth model</w:t>
      </w:r>
      <w:r w:rsidRPr="00B4711B">
        <w:t>.</w:t>
      </w:r>
    </w:p>
    <w:p w:rsidR="00DB0499" w:rsidRPr="00B4711B" w:rsidRDefault="00DB0499" w:rsidP="00DB0499">
      <w:pPr>
        <w:pStyle w:val="AERbulletlistfirststyle"/>
      </w:pPr>
      <w:r>
        <w:t>Limitations with the use of dividend growth models due to potential upward bias</w:t>
      </w:r>
      <w:r w:rsidRPr="00B4711B">
        <w:t xml:space="preserve">. </w:t>
      </w:r>
    </w:p>
    <w:p w:rsidR="00DB0499" w:rsidRPr="00DB0499" w:rsidRDefault="00DB0499" w:rsidP="007B1C84">
      <w:pPr>
        <w:pStyle w:val="Heading8"/>
        <w:numPr>
          <w:ilvl w:val="1"/>
          <w:numId w:val="39"/>
        </w:numPr>
      </w:pPr>
      <w:r w:rsidRPr="00B4711B">
        <w:t xml:space="preserve"> </w:t>
      </w:r>
      <w:bookmarkStart w:id="237" w:name="_Toc443923204"/>
      <w:bookmarkStart w:id="238" w:name="_Toc451678651"/>
      <w:r w:rsidRPr="00B4711B">
        <w:t>Prevailing estimates</w:t>
      </w:r>
      <w:bookmarkEnd w:id="237"/>
      <w:bookmarkEnd w:id="238"/>
      <w:r w:rsidRPr="00B4711B">
        <w:t xml:space="preserve"> </w:t>
      </w:r>
    </w:p>
    <w:p w:rsidR="00DB0499" w:rsidRPr="00B4711B" w:rsidRDefault="00DB0499" w:rsidP="00DB0499">
      <w:r w:rsidRPr="00B4711B">
        <w:t xml:space="preserve">Results in </w:t>
      </w:r>
      <w:r>
        <w:fldChar w:fldCharType="begin"/>
      </w:r>
      <w:r>
        <w:instrText xml:space="preserve"> REF _Ref445384078 \h </w:instrText>
      </w:r>
      <w:r>
        <w:fldChar w:fldCharType="separate"/>
      </w:r>
      <w:r w:rsidR="00BA2E8E" w:rsidRPr="00C2709F">
        <w:t xml:space="preserve">Table </w:t>
      </w:r>
      <w:r w:rsidR="00BA2E8E">
        <w:rPr>
          <w:noProof/>
        </w:rPr>
        <w:t>3</w:t>
      </w:r>
      <w:r w:rsidR="00BA2E8E">
        <w:noBreakHyphen/>
      </w:r>
      <w:r w:rsidR="00BA2E8E">
        <w:rPr>
          <w:noProof/>
        </w:rPr>
        <w:t>31</w:t>
      </w:r>
      <w:r>
        <w:fldChar w:fldCharType="end"/>
      </w:r>
      <w:r>
        <w:t xml:space="preserve"> </w:t>
      </w:r>
      <w:r w:rsidRPr="00B4711B">
        <w:t xml:space="preserve">show </w:t>
      </w:r>
      <w:r>
        <w:t xml:space="preserve">that, </w:t>
      </w:r>
      <w:r w:rsidRPr="00B4711B">
        <w:t xml:space="preserve">for the two month period up to </w:t>
      </w:r>
      <w:r w:rsidRPr="00B4711B">
        <w:rPr>
          <w:rStyle w:val="AERbody"/>
        </w:rPr>
        <w:t>end–</w:t>
      </w:r>
      <w:r w:rsidRPr="00B4711B">
        <w:t>February 201</w:t>
      </w:r>
      <w:r w:rsidR="00FF5216">
        <w:t>6</w:t>
      </w:r>
      <w:r w:rsidRPr="00B4711B">
        <w:t>, the</w:t>
      </w:r>
      <w:r w:rsidRPr="00B4711B">
        <w:rPr>
          <w:rStyle w:val="AERbody"/>
        </w:rPr>
        <w:t xml:space="preserve"> </w:t>
      </w:r>
      <w:r>
        <w:rPr>
          <w:rStyle w:val="AERbody"/>
        </w:rPr>
        <w:t>dividend growth models</w:t>
      </w:r>
      <w:r w:rsidRPr="00B4711B">
        <w:rPr>
          <w:rStyle w:val="AERbody"/>
        </w:rPr>
        <w:t xml:space="preserve"> produce </w:t>
      </w:r>
      <w:r>
        <w:rPr>
          <w:rStyle w:val="AERbody"/>
        </w:rPr>
        <w:t>a range of market risk premium</w:t>
      </w:r>
      <w:r w:rsidRPr="00B4711B">
        <w:rPr>
          <w:rStyle w:val="AERbody"/>
        </w:rPr>
        <w:t xml:space="preserve"> </w:t>
      </w:r>
      <w:r>
        <w:rPr>
          <w:rStyle w:val="AERbody"/>
        </w:rPr>
        <w:t xml:space="preserve">estimates between </w:t>
      </w:r>
      <w:r w:rsidRPr="00B4711B">
        <w:rPr>
          <w:rStyle w:val="AERbody"/>
        </w:rPr>
        <w:t>7.</w:t>
      </w:r>
      <w:r>
        <w:rPr>
          <w:rStyle w:val="AERbody"/>
        </w:rPr>
        <w:t>68</w:t>
      </w:r>
      <w:r w:rsidRPr="00B4711B">
        <w:rPr>
          <w:rStyle w:val="AERbody"/>
        </w:rPr>
        <w:t xml:space="preserve"> to </w:t>
      </w:r>
      <w:r>
        <w:rPr>
          <w:rStyle w:val="AERbody"/>
        </w:rPr>
        <w:t>8.89</w:t>
      </w:r>
      <w:r w:rsidRPr="00B4711B">
        <w:rPr>
          <w:rStyle w:val="AERbody"/>
        </w:rPr>
        <w:t xml:space="preserve"> per </w:t>
      </w:r>
      <w:r w:rsidRPr="00B4711B">
        <w:t>cent.</w:t>
      </w:r>
      <w:r w:rsidRPr="00890846">
        <w:t xml:space="preserve"> </w:t>
      </w:r>
    </w:p>
    <w:p w:rsidR="00DB0499" w:rsidRDefault="00DB0499" w:rsidP="00DB0499">
      <w:pPr>
        <w:pStyle w:val="Caption"/>
      </w:pPr>
      <w:bookmarkStart w:id="239" w:name="_Ref445384078"/>
      <w:bookmarkStart w:id="240" w:name="_Ref443651296"/>
      <w:r w:rsidRPr="00C2709F">
        <w:t xml:space="preserve">Table </w:t>
      </w:r>
      <w:fldSimple w:instr=" STYLEREF 1 \s ">
        <w:r w:rsidR="00BA2E8E">
          <w:rPr>
            <w:noProof/>
          </w:rPr>
          <w:t>3</w:t>
        </w:r>
      </w:fldSimple>
      <w:r w:rsidR="000F4BC3">
        <w:noBreakHyphen/>
      </w:r>
      <w:fldSimple w:instr=" SEQ Table \* ARABIC \s 1 ">
        <w:r w:rsidR="00BA2E8E">
          <w:rPr>
            <w:noProof/>
          </w:rPr>
          <w:t>31</w:t>
        </w:r>
      </w:fldSimple>
      <w:bookmarkEnd w:id="239"/>
      <w:r w:rsidRPr="00C2709F">
        <w:t xml:space="preserve"> </w:t>
      </w:r>
      <w:r w:rsidRPr="00C2709F">
        <w:tab/>
      </w:r>
      <w:r>
        <w:t>Market risk premium estimates under dividend growth models</w:t>
      </w:r>
      <w:r w:rsidRPr="00C2709F">
        <w:t xml:space="preserve"> (per cent)</w:t>
      </w:r>
      <w:r w:rsidRPr="00C2709F" w:rsidDel="00184676">
        <w:t xml:space="preserve"> </w:t>
      </w:r>
      <w:bookmarkEnd w:id="240"/>
    </w:p>
    <w:tbl>
      <w:tblPr>
        <w:tblStyle w:val="AERtable-text0"/>
        <w:tblW w:w="0" w:type="auto"/>
        <w:tblLook w:val="04A0" w:firstRow="1" w:lastRow="0" w:firstColumn="1" w:lastColumn="0" w:noHBand="0" w:noVBand="1"/>
      </w:tblPr>
      <w:tblGrid>
        <w:gridCol w:w="2897"/>
        <w:gridCol w:w="2898"/>
        <w:gridCol w:w="2898"/>
      </w:tblGrid>
      <w:tr w:rsidR="00EB795B" w:rsidTr="00EB795B">
        <w:trPr>
          <w:cnfStyle w:val="100000000000" w:firstRow="1" w:lastRow="0" w:firstColumn="0" w:lastColumn="0" w:oddVBand="0" w:evenVBand="0" w:oddHBand="0" w:evenHBand="0" w:firstRowFirstColumn="0" w:firstRowLastColumn="0" w:lastRowFirstColumn="0" w:lastRowLastColumn="0"/>
        </w:trPr>
        <w:tc>
          <w:tcPr>
            <w:tcW w:w="2897" w:type="dxa"/>
          </w:tcPr>
          <w:p w:rsidR="00EB795B" w:rsidRPr="00EB795B" w:rsidRDefault="00EB795B" w:rsidP="00EB795B">
            <w:r w:rsidRPr="00B4711B">
              <w:t xml:space="preserve">Growth rate </w:t>
            </w:r>
          </w:p>
        </w:tc>
        <w:tc>
          <w:tcPr>
            <w:tcW w:w="2898" w:type="dxa"/>
          </w:tcPr>
          <w:p w:rsidR="00EB795B" w:rsidRPr="00EB795B" w:rsidRDefault="00EB795B" w:rsidP="00EB795B">
            <w:r w:rsidRPr="00B4711B">
              <w:t>Two stage model</w:t>
            </w:r>
          </w:p>
        </w:tc>
        <w:tc>
          <w:tcPr>
            <w:tcW w:w="2898" w:type="dxa"/>
          </w:tcPr>
          <w:p w:rsidR="00EB795B" w:rsidRPr="00EB795B" w:rsidRDefault="00EB795B" w:rsidP="00EB795B">
            <w:r w:rsidRPr="00B4711B">
              <w:t>Three stage model</w:t>
            </w:r>
          </w:p>
        </w:tc>
      </w:tr>
      <w:tr w:rsidR="00EB795B" w:rsidTr="00EB795B">
        <w:tc>
          <w:tcPr>
            <w:tcW w:w="2897" w:type="dxa"/>
          </w:tcPr>
          <w:p w:rsidR="00EB795B" w:rsidRDefault="00EB795B" w:rsidP="00EB795B">
            <w:r>
              <w:t>3.8</w:t>
            </w:r>
          </w:p>
        </w:tc>
        <w:tc>
          <w:tcPr>
            <w:tcW w:w="2898" w:type="dxa"/>
          </w:tcPr>
          <w:p w:rsidR="00EB795B" w:rsidRDefault="00EB795B" w:rsidP="00EB795B">
            <w:r>
              <w:t>7.68</w:t>
            </w:r>
          </w:p>
        </w:tc>
        <w:tc>
          <w:tcPr>
            <w:tcW w:w="2898" w:type="dxa"/>
          </w:tcPr>
          <w:p w:rsidR="00EB795B" w:rsidRDefault="00EB795B" w:rsidP="00EB795B">
            <w:r>
              <w:t>7.86</w:t>
            </w:r>
          </w:p>
        </w:tc>
      </w:tr>
      <w:tr w:rsidR="00EB795B" w:rsidTr="00EB795B">
        <w:trPr>
          <w:cnfStyle w:val="000000010000" w:firstRow="0" w:lastRow="0" w:firstColumn="0" w:lastColumn="0" w:oddVBand="0" w:evenVBand="0" w:oddHBand="0" w:evenHBand="1" w:firstRowFirstColumn="0" w:firstRowLastColumn="0" w:lastRowFirstColumn="0" w:lastRowLastColumn="0"/>
        </w:trPr>
        <w:tc>
          <w:tcPr>
            <w:tcW w:w="2897" w:type="dxa"/>
          </w:tcPr>
          <w:p w:rsidR="00EB795B" w:rsidRDefault="00EB795B" w:rsidP="00EB795B">
            <w:r>
              <w:t>4.6</w:t>
            </w:r>
          </w:p>
        </w:tc>
        <w:tc>
          <w:tcPr>
            <w:tcW w:w="2898" w:type="dxa"/>
          </w:tcPr>
          <w:p w:rsidR="00EB795B" w:rsidRDefault="00EB795B" w:rsidP="00EB795B">
            <w:r>
              <w:t>8.43</w:t>
            </w:r>
          </w:p>
        </w:tc>
        <w:tc>
          <w:tcPr>
            <w:tcW w:w="2898" w:type="dxa"/>
          </w:tcPr>
          <w:p w:rsidR="00EB795B" w:rsidRDefault="00EB795B" w:rsidP="00EB795B">
            <w:r>
              <w:t>8.47</w:t>
            </w:r>
          </w:p>
        </w:tc>
      </w:tr>
      <w:tr w:rsidR="00EB795B" w:rsidTr="00EB795B">
        <w:tc>
          <w:tcPr>
            <w:tcW w:w="2897" w:type="dxa"/>
          </w:tcPr>
          <w:p w:rsidR="00EB795B" w:rsidRDefault="00EB795B" w:rsidP="00EB795B">
            <w:r>
              <w:t>5.1</w:t>
            </w:r>
          </w:p>
        </w:tc>
        <w:tc>
          <w:tcPr>
            <w:tcW w:w="2898" w:type="dxa"/>
          </w:tcPr>
          <w:p w:rsidR="00EB795B" w:rsidRDefault="00EB795B" w:rsidP="00EB795B">
            <w:r>
              <w:t>8.89</w:t>
            </w:r>
          </w:p>
        </w:tc>
        <w:tc>
          <w:tcPr>
            <w:tcW w:w="2898" w:type="dxa"/>
          </w:tcPr>
          <w:p w:rsidR="00EB795B" w:rsidRDefault="00EB795B" w:rsidP="00EB795B">
            <w:r>
              <w:t>8.85</w:t>
            </w:r>
          </w:p>
        </w:tc>
      </w:tr>
    </w:tbl>
    <w:p w:rsidR="00DB0499" w:rsidRPr="00B4711B" w:rsidRDefault="00DB0499" w:rsidP="00DB0499">
      <w:pPr>
        <w:pStyle w:val="AERtablesource"/>
      </w:pPr>
      <w:r w:rsidRPr="00B4711B">
        <w:t xml:space="preserve">Source: </w:t>
      </w:r>
      <w:r w:rsidRPr="00B4711B">
        <w:tab/>
        <w:t>Bloomberg, AER analysis.</w:t>
      </w:r>
      <w:r w:rsidRPr="00B4711B">
        <w:tab/>
      </w:r>
    </w:p>
    <w:p w:rsidR="00DB0499" w:rsidRPr="00B4711B" w:rsidRDefault="00DB0499" w:rsidP="00DB0499">
      <w:pPr>
        <w:pStyle w:val="AERtablesource"/>
      </w:pPr>
      <w:r w:rsidRPr="00B4711B">
        <w:t>Notes:</w:t>
      </w:r>
      <w:r w:rsidRPr="00B4711B">
        <w:tab/>
        <w:t xml:space="preserve">Growth rate is nominal, </w:t>
      </w:r>
      <w:r>
        <w:t>for</w:t>
      </w:r>
      <w:r w:rsidRPr="00B4711B">
        <w:t xml:space="preserve"> </w:t>
      </w:r>
      <w:r>
        <w:t xml:space="preserve">more detail on </w:t>
      </w:r>
      <w:r w:rsidRPr="00B4711B">
        <w:t>derivation of these long term dividend growth rate estimates</w:t>
      </w:r>
      <w:r>
        <w:t xml:space="preserve"> see section B.2.1 of Attachment 3 to our preliminary decision for CitiPower</w:t>
      </w:r>
      <w:r w:rsidRPr="00B4711B">
        <w:t xml:space="preserve">. Market risk premium estimates are based on an assumed theta of 0.6, and a 2 month average (Jan-Feb 2016) of analysts' dividend forecasts. </w:t>
      </w:r>
    </w:p>
    <w:p w:rsidR="00DB0499" w:rsidRPr="00B4711B" w:rsidRDefault="00DB0499" w:rsidP="006345FD">
      <w:pPr>
        <w:pStyle w:val="Heading8"/>
        <w:keepNext/>
      </w:pPr>
      <w:bookmarkStart w:id="241" w:name="_Ref443651537"/>
      <w:bookmarkStart w:id="242" w:name="_Toc443923205"/>
      <w:bookmarkStart w:id="243" w:name="_Toc451678652"/>
      <w:r w:rsidRPr="00B4711B">
        <w:t>Sensitivity analysis</w:t>
      </w:r>
      <w:bookmarkEnd w:id="241"/>
      <w:bookmarkEnd w:id="242"/>
      <w:bookmarkEnd w:id="243"/>
    </w:p>
    <w:p w:rsidR="00DB0499" w:rsidRPr="00B4711B" w:rsidRDefault="00DB0499" w:rsidP="006345FD">
      <w:pPr>
        <w:keepNext/>
        <w:numPr>
          <w:ilvl w:val="0"/>
          <w:numId w:val="24"/>
        </w:numPr>
      </w:pPr>
      <w:r w:rsidRPr="00B4711B">
        <w:t>We consider</w:t>
      </w:r>
      <w:r>
        <w:t xml:space="preserve"> that</w:t>
      </w:r>
      <w:r w:rsidRPr="00B4711B">
        <w:t xml:space="preserve"> </w:t>
      </w:r>
      <w:r>
        <w:t>market risk premium</w:t>
      </w:r>
      <w:r w:rsidRPr="00B4711B">
        <w:t xml:space="preserve"> </w:t>
      </w:r>
      <w:r>
        <w:t>estimates</w:t>
      </w:r>
      <w:r w:rsidRPr="00B4711B">
        <w:t xml:space="preserve"> from </w:t>
      </w:r>
      <w:r>
        <w:t>dividend growth models</w:t>
      </w:r>
      <w:r w:rsidRPr="00B4711B">
        <w:t xml:space="preserve"> </w:t>
      </w:r>
      <w:r>
        <w:t>are</w:t>
      </w:r>
      <w:r w:rsidRPr="00B4711B">
        <w:t xml:space="preserve"> very sensitive to input assumptions such as</w:t>
      </w:r>
      <w:r>
        <w:t xml:space="preserve"> the</w:t>
      </w:r>
      <w:r w:rsidRPr="00B4711B">
        <w:t>:</w:t>
      </w:r>
    </w:p>
    <w:p w:rsidR="00DB0499" w:rsidRPr="00B4711B" w:rsidRDefault="00DB0499" w:rsidP="00DB0499">
      <w:pPr>
        <w:pStyle w:val="AERbulletlistfirststyle"/>
      </w:pPr>
      <w:r>
        <w:t>L</w:t>
      </w:r>
      <w:r w:rsidRPr="00B4711B">
        <w:t>ong term dividend growth rate</w:t>
      </w:r>
      <w:r>
        <w:t>.</w:t>
      </w:r>
      <w:r w:rsidRPr="00B4711B">
        <w:t xml:space="preserve"> </w:t>
      </w:r>
    </w:p>
    <w:p w:rsidR="00DB0499" w:rsidRPr="00B4711B" w:rsidRDefault="00DB0499" w:rsidP="00DB0499">
      <w:pPr>
        <w:pStyle w:val="AERbulletlistfirststyle"/>
      </w:pPr>
      <w:r>
        <w:t>P</w:t>
      </w:r>
      <w:r w:rsidRPr="00B4711B">
        <w:t>eriod estimates are averaged over</w:t>
      </w:r>
      <w:r>
        <w:t>.</w:t>
      </w:r>
    </w:p>
    <w:p w:rsidR="00DB0499" w:rsidRPr="00B4711B" w:rsidRDefault="00DB0499" w:rsidP="00DB0499">
      <w:pPr>
        <w:pStyle w:val="AERbulletlistfirststyle"/>
      </w:pPr>
      <w:r>
        <w:t>U</w:t>
      </w:r>
      <w:r w:rsidRPr="00B4711B">
        <w:t>se of analyst forecasts, which are likely to be biased.</w:t>
      </w:r>
    </w:p>
    <w:p w:rsidR="00DB0499" w:rsidRPr="00B4711B" w:rsidRDefault="00DB0499" w:rsidP="00DB0499">
      <w:r>
        <w:t>These issues are further discussed in</w:t>
      </w:r>
      <w:r w:rsidRPr="00B4711B">
        <w:t xml:space="preserve"> section</w:t>
      </w:r>
      <w:r>
        <w:t xml:space="preserve"> </w:t>
      </w:r>
      <w:r>
        <w:fldChar w:fldCharType="begin"/>
      </w:r>
      <w:r>
        <w:instrText xml:space="preserve"> REF _Ref446260197 \r \h </w:instrText>
      </w:r>
      <w:r>
        <w:fldChar w:fldCharType="separate"/>
      </w:r>
      <w:r w:rsidR="00BA2E8E">
        <w:t>D.4</w:t>
      </w:r>
      <w:r>
        <w:fldChar w:fldCharType="end"/>
      </w:r>
      <w:r w:rsidRPr="00B4711B">
        <w:t>. In</w:t>
      </w:r>
      <w:r>
        <w:t xml:space="preserve"> the remainder of</w:t>
      </w:r>
      <w:r w:rsidRPr="00B4711B">
        <w:t xml:space="preserve"> this section, we show </w:t>
      </w:r>
      <w:r>
        <w:t>how sensitive</w:t>
      </w:r>
      <w:r w:rsidRPr="00B4711B">
        <w:t xml:space="preserve"> our </w:t>
      </w:r>
      <w:r>
        <w:t>dividend growth model is</w:t>
      </w:r>
      <w:r w:rsidRPr="00B4711B">
        <w:t xml:space="preserve"> to these factors</w:t>
      </w:r>
      <w:r>
        <w:t xml:space="preserve">. This is summarised </w:t>
      </w:r>
      <w:r w:rsidRPr="00B4711B">
        <w:t>in</w:t>
      </w:r>
      <w:r>
        <w:t xml:space="preserve"> </w:t>
      </w:r>
      <w:r>
        <w:fldChar w:fldCharType="begin"/>
      </w:r>
      <w:r>
        <w:instrText xml:space="preserve"> REF _Ref445384013 \h </w:instrText>
      </w:r>
      <w:r>
        <w:fldChar w:fldCharType="separate"/>
      </w:r>
      <w:r w:rsidR="00BA2E8E" w:rsidRPr="00C2709F">
        <w:t xml:space="preserve">Table </w:t>
      </w:r>
      <w:r w:rsidR="00BA2E8E">
        <w:rPr>
          <w:noProof/>
        </w:rPr>
        <w:t>3</w:t>
      </w:r>
      <w:r w:rsidR="00BA2E8E">
        <w:noBreakHyphen/>
      </w:r>
      <w:r w:rsidR="00BA2E8E">
        <w:rPr>
          <w:noProof/>
        </w:rPr>
        <w:t>32</w:t>
      </w:r>
      <w:r>
        <w:fldChar w:fldCharType="end"/>
      </w:r>
      <w:r w:rsidRPr="00B4711B">
        <w:t xml:space="preserve">. </w:t>
      </w:r>
    </w:p>
    <w:p w:rsidR="00DB0499" w:rsidRPr="00DB0499" w:rsidRDefault="00DB0499" w:rsidP="00DB0499">
      <w:pPr>
        <w:pStyle w:val="Caption"/>
      </w:pPr>
      <w:bookmarkStart w:id="244" w:name="_Ref445384013"/>
      <w:bookmarkStart w:id="245" w:name="_Ref443651335"/>
      <w:r w:rsidRPr="00C2709F">
        <w:t xml:space="preserve">Table </w:t>
      </w:r>
      <w:fldSimple w:instr=" STYLEREF 1 \s ">
        <w:r w:rsidR="00BA2E8E">
          <w:rPr>
            <w:noProof/>
          </w:rPr>
          <w:t>3</w:t>
        </w:r>
      </w:fldSimple>
      <w:r w:rsidR="000F4BC3">
        <w:noBreakHyphen/>
      </w:r>
      <w:fldSimple w:instr=" SEQ Table \* ARABIC \s 1 ">
        <w:r w:rsidR="00BA2E8E">
          <w:rPr>
            <w:noProof/>
          </w:rPr>
          <w:t>32</w:t>
        </w:r>
      </w:fldSimple>
      <w:bookmarkEnd w:id="244"/>
      <w:r w:rsidRPr="00C2709F">
        <w:t xml:space="preserve"> </w:t>
      </w:r>
      <w:r w:rsidRPr="00C2709F">
        <w:tab/>
      </w:r>
      <w:r>
        <w:t>Sensitivities in the dividend growth model</w:t>
      </w:r>
      <w:r w:rsidRPr="00C2709F">
        <w:t xml:space="preserve"> (per cent)</w:t>
      </w:r>
      <w:r w:rsidRPr="00C2709F" w:rsidDel="00184676">
        <w:t xml:space="preserve"> </w:t>
      </w:r>
      <w:bookmarkEnd w:id="245"/>
    </w:p>
    <w:tbl>
      <w:tblPr>
        <w:tblStyle w:val="AERtable-numbers"/>
        <w:tblW w:w="5000" w:type="pct"/>
        <w:tblLook w:val="04A0" w:firstRow="1" w:lastRow="0" w:firstColumn="1" w:lastColumn="0" w:noHBand="0" w:noVBand="1"/>
      </w:tblPr>
      <w:tblGrid>
        <w:gridCol w:w="4236"/>
        <w:gridCol w:w="1866"/>
        <w:gridCol w:w="2591"/>
      </w:tblGrid>
      <w:tr w:rsidR="00DB0499" w:rsidTr="00DB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DB0499" w:rsidRPr="00DB0499" w:rsidRDefault="00DB0499" w:rsidP="00EB795B">
            <w:r w:rsidRPr="00B4711B">
              <w:t>Sensitivity</w:t>
            </w:r>
          </w:p>
        </w:tc>
        <w:tc>
          <w:tcPr>
            <w:tcW w:w="1073" w:type="pct"/>
            <w:tcBorders>
              <w:top w:val="nil"/>
              <w:left w:val="nil"/>
              <w:bottom w:val="nil"/>
              <w:right w:val="nil"/>
            </w:tcBorders>
            <w:hideMark/>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pPr>
            <w:r w:rsidRPr="00B4711B">
              <w:t>Two stage model</w:t>
            </w:r>
          </w:p>
        </w:tc>
        <w:tc>
          <w:tcPr>
            <w:tcW w:w="1490" w:type="pct"/>
            <w:tcBorders>
              <w:top w:val="nil"/>
              <w:left w:val="nil"/>
              <w:bottom w:val="nil"/>
              <w:right w:val="nil"/>
            </w:tcBorders>
            <w:hideMark/>
          </w:tcPr>
          <w:p w:rsidR="00DB0499" w:rsidRPr="00DB0499" w:rsidRDefault="00DB0499" w:rsidP="00EB795B">
            <w:pPr>
              <w:cnfStyle w:val="100000000000" w:firstRow="1" w:lastRow="0" w:firstColumn="0" w:lastColumn="0" w:oddVBand="0" w:evenVBand="0" w:oddHBand="0" w:evenHBand="0" w:firstRowFirstColumn="0" w:firstRowLastColumn="0" w:lastRowFirstColumn="0" w:lastRowLastColumn="0"/>
            </w:pPr>
            <w:r w:rsidRPr="00B4711B">
              <w:t>Three stage model</w:t>
            </w:r>
          </w:p>
        </w:tc>
      </w:tr>
      <w:tr w:rsidR="00DB0499" w:rsidTr="00DB0499">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DB0499" w:rsidRPr="00DB0499" w:rsidRDefault="00DB0499" w:rsidP="00EB795B">
            <w:r w:rsidRPr="00B4711B">
              <w:t>Baseline</w:t>
            </w:r>
          </w:p>
          <w:p w:rsidR="00DB0499" w:rsidRPr="00DB0499" w:rsidRDefault="00DB0499" w:rsidP="00EB795B">
            <w:r w:rsidRPr="00B4711B">
              <w:tab/>
              <w:t xml:space="preserve">4.6% long-term growth rate </w:t>
            </w:r>
          </w:p>
          <w:p w:rsidR="00DB0499" w:rsidRPr="00DB0499" w:rsidRDefault="00DB0499" w:rsidP="00EB795B">
            <w:r w:rsidRPr="00B4711B">
              <w:tab/>
              <w:t xml:space="preserve">2 month average to end </w:t>
            </w:r>
            <w:r w:rsidRPr="00DB0499">
              <w:t>February 2016</w:t>
            </w:r>
          </w:p>
          <w:p w:rsidR="00DB0499" w:rsidRPr="00DB0499" w:rsidRDefault="00DB0499" w:rsidP="00EB795B">
            <w:r w:rsidRPr="00B4711B">
              <w:tab/>
              <w:t>unadjusted analysts' forecasts</w:t>
            </w:r>
          </w:p>
        </w:tc>
        <w:tc>
          <w:tcPr>
            <w:tcW w:w="1073"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8.43</w:t>
            </w:r>
          </w:p>
        </w:tc>
        <w:tc>
          <w:tcPr>
            <w:tcW w:w="1490"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8.47</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DB0499" w:rsidRPr="00DB0499" w:rsidRDefault="00DB0499" w:rsidP="00EB795B">
            <w:r w:rsidRPr="00B4711B">
              <w:t>5.1% long-term growth rate</w:t>
            </w:r>
          </w:p>
        </w:tc>
        <w:tc>
          <w:tcPr>
            <w:tcW w:w="1073" w:type="pct"/>
            <w:tcBorders>
              <w:top w:val="nil"/>
              <w:left w:val="nil"/>
              <w:bottom w:val="nil"/>
              <w:right w:val="nil"/>
            </w:tcBorders>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8.89</w:t>
            </w:r>
          </w:p>
        </w:tc>
        <w:tc>
          <w:tcPr>
            <w:tcW w:w="1490" w:type="pct"/>
            <w:tcBorders>
              <w:top w:val="nil"/>
              <w:left w:val="nil"/>
              <w:bottom w:val="nil"/>
              <w:right w:val="nil"/>
            </w:tcBorders>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8.85</w:t>
            </w:r>
          </w:p>
        </w:tc>
      </w:tr>
      <w:tr w:rsidR="00DB0499" w:rsidTr="00DB0499">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DB0499" w:rsidRPr="00DB0499" w:rsidRDefault="00DB0499" w:rsidP="00EB795B">
            <w:r w:rsidRPr="00B4711B">
              <w:t>3.78% long-term growth rate</w:t>
            </w:r>
          </w:p>
        </w:tc>
        <w:tc>
          <w:tcPr>
            <w:tcW w:w="1073"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7.68</w:t>
            </w:r>
          </w:p>
        </w:tc>
        <w:tc>
          <w:tcPr>
            <w:tcW w:w="1490"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7.86</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Pr>
          <w:p w:rsidR="00DB0499" w:rsidRPr="00DB0499" w:rsidRDefault="00DB0499" w:rsidP="00EB795B">
            <w:r w:rsidRPr="00B4711B">
              <w:t xml:space="preserve">6 months to end </w:t>
            </w:r>
            <w:r w:rsidRPr="00DB0499">
              <w:t>February 2016</w:t>
            </w:r>
          </w:p>
        </w:tc>
        <w:tc>
          <w:tcPr>
            <w:tcW w:w="1073" w:type="pct"/>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8.49</w:t>
            </w:r>
          </w:p>
        </w:tc>
        <w:tc>
          <w:tcPr>
            <w:tcW w:w="1490" w:type="pct"/>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8.46</w:t>
            </w:r>
          </w:p>
        </w:tc>
      </w:tr>
      <w:tr w:rsidR="00DB0499" w:rsidTr="00DB0499">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DB0499" w:rsidRPr="00DB0499" w:rsidRDefault="00DB0499" w:rsidP="00EB795B">
            <w:r w:rsidRPr="00B4711B">
              <w:t xml:space="preserve">12 months to end </w:t>
            </w:r>
            <w:r w:rsidRPr="00DB0499">
              <w:t>February 2016</w:t>
            </w:r>
          </w:p>
        </w:tc>
        <w:tc>
          <w:tcPr>
            <w:tcW w:w="1073"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8.15</w:t>
            </w:r>
          </w:p>
        </w:tc>
        <w:tc>
          <w:tcPr>
            <w:tcW w:w="1490"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8.22</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DB0499" w:rsidRPr="00DB0499" w:rsidRDefault="00DB0499" w:rsidP="00EB795B">
            <w:r w:rsidRPr="00B4711B">
              <w:t>Analysts' forecast  + 10%</w:t>
            </w:r>
          </w:p>
        </w:tc>
        <w:tc>
          <w:tcPr>
            <w:tcW w:w="1073" w:type="pct"/>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9.09</w:t>
            </w:r>
          </w:p>
        </w:tc>
        <w:tc>
          <w:tcPr>
            <w:tcW w:w="1490" w:type="pct"/>
          </w:tcPr>
          <w:p w:rsidR="00DB0499" w:rsidRPr="00DB0499" w:rsidRDefault="00DB0499" w:rsidP="00EB795B">
            <w:pPr>
              <w:cnfStyle w:val="000000010000" w:firstRow="0" w:lastRow="0" w:firstColumn="0" w:lastColumn="0" w:oddVBand="0" w:evenVBand="0" w:oddHBand="0" w:evenHBand="1" w:firstRowFirstColumn="0" w:firstRowLastColumn="0" w:lastRowFirstColumn="0" w:lastRowLastColumn="0"/>
            </w:pPr>
            <w:r>
              <w:t>9.14</w:t>
            </w:r>
          </w:p>
        </w:tc>
      </w:tr>
      <w:tr w:rsidR="00DB0499" w:rsidTr="00DB0499">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tcPr>
          <w:p w:rsidR="00DB0499" w:rsidRPr="00DB0499" w:rsidRDefault="00DB0499" w:rsidP="00EB795B">
            <w:r w:rsidRPr="00B4711B">
              <w:t>Analysts' forecast  - 10%</w:t>
            </w:r>
          </w:p>
        </w:tc>
        <w:tc>
          <w:tcPr>
            <w:tcW w:w="1073"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7.77</w:t>
            </w:r>
          </w:p>
        </w:tc>
        <w:tc>
          <w:tcPr>
            <w:tcW w:w="1490" w:type="pct"/>
            <w:tcBorders>
              <w:top w:val="nil"/>
              <w:left w:val="nil"/>
              <w:bottom w:val="single" w:sz="4" w:space="0" w:color="365F91"/>
              <w:right w:val="nil"/>
            </w:tcBorders>
          </w:tcPr>
          <w:p w:rsidR="00DB0499" w:rsidRPr="00DB0499" w:rsidRDefault="00DB0499" w:rsidP="00EB795B">
            <w:pPr>
              <w:cnfStyle w:val="000000000000" w:firstRow="0" w:lastRow="0" w:firstColumn="0" w:lastColumn="0" w:oddVBand="0" w:evenVBand="0" w:oddHBand="0" w:evenHBand="0" w:firstRowFirstColumn="0" w:firstRowLastColumn="0" w:lastRowFirstColumn="0" w:lastRowLastColumn="0"/>
            </w:pPr>
            <w:r>
              <w:t>7.81</w:t>
            </w:r>
          </w:p>
        </w:tc>
      </w:tr>
      <w:tr w:rsidR="00DB0499"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hideMark/>
          </w:tcPr>
          <w:p w:rsidR="00DB0499" w:rsidRPr="00DB0499" w:rsidRDefault="00DB0499" w:rsidP="00EB795B">
            <w:r w:rsidRPr="00B4711B">
              <w:t xml:space="preserve">Combined - </w:t>
            </w:r>
            <w:r w:rsidRPr="00DB0499">
              <w:t>low</w:t>
            </w:r>
          </w:p>
        </w:tc>
        <w:tc>
          <w:tcPr>
            <w:tcW w:w="1073" w:type="pct"/>
          </w:tcPr>
          <w:p w:rsidR="00DB0499" w:rsidRPr="00DB0499" w:rsidRDefault="00626480" w:rsidP="00EB795B">
            <w:pPr>
              <w:cnfStyle w:val="000000010000" w:firstRow="0" w:lastRow="0" w:firstColumn="0" w:lastColumn="0" w:oddVBand="0" w:evenVBand="0" w:oddHBand="0" w:evenHBand="1" w:firstRowFirstColumn="0" w:firstRowLastColumn="0" w:lastRowFirstColumn="0" w:lastRowLastColumn="0"/>
            </w:pPr>
            <w:r>
              <w:t>6.75</w:t>
            </w:r>
          </w:p>
        </w:tc>
        <w:tc>
          <w:tcPr>
            <w:tcW w:w="1490" w:type="pct"/>
          </w:tcPr>
          <w:p w:rsidR="00DB0499" w:rsidRPr="00DB0499" w:rsidRDefault="00626480" w:rsidP="00EB795B">
            <w:pPr>
              <w:cnfStyle w:val="000000010000" w:firstRow="0" w:lastRow="0" w:firstColumn="0" w:lastColumn="0" w:oddVBand="0" w:evenVBand="0" w:oddHBand="0" w:evenHBand="1" w:firstRowFirstColumn="0" w:firstRowLastColumn="0" w:lastRowFirstColumn="0" w:lastRowLastColumn="0"/>
            </w:pPr>
            <w:r>
              <w:t>6.93</w:t>
            </w:r>
          </w:p>
        </w:tc>
      </w:tr>
      <w:tr w:rsidR="00DB0499" w:rsidTr="00DB0499">
        <w:tc>
          <w:tcPr>
            <w:cnfStyle w:val="001000000000" w:firstRow="0" w:lastRow="0" w:firstColumn="1" w:lastColumn="0" w:oddVBand="0" w:evenVBand="0" w:oddHBand="0" w:evenHBand="0" w:firstRowFirstColumn="0" w:firstRowLastColumn="0" w:lastRowFirstColumn="0" w:lastRowLastColumn="0"/>
            <w:tcW w:w="2436" w:type="pct"/>
            <w:hideMark/>
          </w:tcPr>
          <w:p w:rsidR="00DB0499" w:rsidRPr="00DB0499" w:rsidRDefault="00DB0499" w:rsidP="00EB795B">
            <w:r w:rsidRPr="00B4711B">
              <w:t>Combined - high</w:t>
            </w:r>
          </w:p>
        </w:tc>
        <w:tc>
          <w:tcPr>
            <w:tcW w:w="1073" w:type="pct"/>
          </w:tcPr>
          <w:p w:rsidR="00DB0499" w:rsidRPr="00DB0499" w:rsidRDefault="00626480" w:rsidP="00EB795B">
            <w:pPr>
              <w:cnfStyle w:val="000000000000" w:firstRow="0" w:lastRow="0" w:firstColumn="0" w:lastColumn="0" w:oddVBand="0" w:evenVBand="0" w:oddHBand="0" w:evenHBand="0" w:firstRowFirstColumn="0" w:firstRowLastColumn="0" w:lastRowFirstColumn="0" w:lastRowLastColumn="0"/>
            </w:pPr>
            <w:r>
              <w:t>9.63</w:t>
            </w:r>
          </w:p>
        </w:tc>
        <w:tc>
          <w:tcPr>
            <w:tcW w:w="1490" w:type="pct"/>
          </w:tcPr>
          <w:p w:rsidR="00DB0499" w:rsidRPr="00DB0499" w:rsidRDefault="00626480" w:rsidP="00EB795B">
            <w:pPr>
              <w:cnfStyle w:val="000000000000" w:firstRow="0" w:lastRow="0" w:firstColumn="0" w:lastColumn="0" w:oddVBand="0" w:evenVBand="0" w:oddHBand="0" w:evenHBand="0" w:firstRowFirstColumn="0" w:firstRowLastColumn="0" w:lastRowFirstColumn="0" w:lastRowLastColumn="0"/>
            </w:pPr>
            <w:r>
              <w:t>9.51</w:t>
            </w:r>
          </w:p>
        </w:tc>
      </w:tr>
    </w:tbl>
    <w:p w:rsidR="00DB0499" w:rsidRPr="00B4711B" w:rsidRDefault="00DB0499" w:rsidP="00DB0499">
      <w:pPr>
        <w:pStyle w:val="AERtablesource"/>
      </w:pPr>
      <w:r w:rsidRPr="00B4711B">
        <w:t xml:space="preserve">Source: </w:t>
      </w:r>
      <w:r w:rsidRPr="00B4711B">
        <w:tab/>
        <w:t>Bloomberg, AER analysis.</w:t>
      </w:r>
    </w:p>
    <w:p w:rsidR="00DB0499" w:rsidRPr="00B4711B" w:rsidRDefault="00DB0499" w:rsidP="00DB0499">
      <w:pPr>
        <w:pStyle w:val="AERtablesource"/>
      </w:pPr>
      <w:r w:rsidRPr="00B4711B">
        <w:t>Notes:</w:t>
      </w:r>
      <w:r w:rsidRPr="00B4711B">
        <w:tab/>
        <w:t>All market risk premium estimates are based on an assumed theta of 0.6.</w:t>
      </w:r>
    </w:p>
    <w:p w:rsidR="00DB0499" w:rsidRPr="00B4711B" w:rsidRDefault="00DB0499" w:rsidP="00DB0499">
      <w:pPr>
        <w:pStyle w:val="AERtablesource"/>
      </w:pPr>
      <w:r w:rsidRPr="00B4711B">
        <w:tab/>
        <w:t>Combined - low is based on 3.78% growth, 12 month averaging, analysts' forecasts - 10%.</w:t>
      </w:r>
    </w:p>
    <w:p w:rsidR="00DB0499" w:rsidRPr="00B4711B" w:rsidRDefault="00DB0499" w:rsidP="00DB0499">
      <w:pPr>
        <w:pStyle w:val="AERtablesource"/>
      </w:pPr>
      <w:r w:rsidRPr="00B4711B">
        <w:tab/>
        <w:t xml:space="preserve">Combined - high is based on 5.1% growth, </w:t>
      </w:r>
      <w:r w:rsidR="00626480">
        <w:t>6</w:t>
      </w:r>
      <w:r w:rsidRPr="00B4711B">
        <w:t xml:space="preserve"> month averaging, analysts' forecasts + 10%.</w:t>
      </w:r>
    </w:p>
    <w:p w:rsidR="00DB0499" w:rsidRPr="0046661C" w:rsidRDefault="00DB0499" w:rsidP="00DB0499">
      <w:pPr>
        <w:pStyle w:val="TOC1"/>
      </w:pPr>
      <w:bookmarkStart w:id="246" w:name="_Toc443923209"/>
      <w:r>
        <w:t>Long-term</w:t>
      </w:r>
      <w:r w:rsidRPr="0046661C">
        <w:t xml:space="preserve"> dividend</w:t>
      </w:r>
      <w:r>
        <w:t xml:space="preserve"> growth rate</w:t>
      </w:r>
      <w:r w:rsidRPr="0046661C">
        <w:t xml:space="preserve">  </w:t>
      </w:r>
    </w:p>
    <w:p w:rsidR="00DB0499" w:rsidRDefault="00DB0499" w:rsidP="00DB0499">
      <w:r w:rsidRPr="00B4711B">
        <w:t xml:space="preserve">We have used our point estimate growth rate (4.6 per cent) as a baseline. </w:t>
      </w:r>
      <w:r>
        <w:t>T</w:t>
      </w:r>
      <w:r w:rsidRPr="00B4711B">
        <w:t xml:space="preserve">his </w:t>
      </w:r>
      <w:r>
        <w:t xml:space="preserve">is based </w:t>
      </w:r>
      <w:r w:rsidRPr="00B4711B">
        <w:t>on the mid-point of Dr Martin Lally's (Lally's) estimates.</w:t>
      </w:r>
      <w:r>
        <w:rPr>
          <w:rStyle w:val="FootnoteReference"/>
        </w:rPr>
        <w:footnoteReference w:id="910"/>
      </w:r>
      <w:r w:rsidRPr="00B4711B">
        <w:t xml:space="preserve"> </w:t>
      </w:r>
      <w:r>
        <w:t xml:space="preserve">While </w:t>
      </w:r>
      <w:r w:rsidRPr="00B4711B">
        <w:t xml:space="preserve">the top of Lally's range </w:t>
      </w:r>
      <w:r>
        <w:t xml:space="preserve">is </w:t>
      </w:r>
      <w:r w:rsidRPr="00B4711B">
        <w:t>5.1 per cent</w:t>
      </w:r>
      <w:r>
        <w:t>,</w:t>
      </w:r>
      <w:r w:rsidRPr="00B4711B">
        <w:t xml:space="preserve"> McKenzie and Partington </w:t>
      </w:r>
      <w:r>
        <w:t xml:space="preserve">have </w:t>
      </w:r>
      <w:r w:rsidRPr="00B4711B">
        <w:t>advised that a long term dividend growth rate of 4.6 per cent is on the high side.</w:t>
      </w:r>
      <w:r>
        <w:rPr>
          <w:rStyle w:val="FootnoteReference"/>
        </w:rPr>
        <w:footnoteReference w:id="911"/>
      </w:r>
      <w:r w:rsidRPr="00B4711B">
        <w:t xml:space="preserve"> McKenzie and Partington considered</w:t>
      </w:r>
      <w:r>
        <w:t xml:space="preserve"> that</w:t>
      </w:r>
      <w:r w:rsidRPr="00B4711B">
        <w:t xml:space="preserve"> the long term dividend growth rate should be 3.73 per cent—or 3.78 per cent, excluding the most extreme values.</w:t>
      </w:r>
      <w:r>
        <w:rPr>
          <w:rStyle w:val="FootnoteReference"/>
        </w:rPr>
        <w:footnoteReference w:id="912"/>
      </w:r>
    </w:p>
    <w:p w:rsidR="00DB0499" w:rsidRPr="00B4711B" w:rsidRDefault="00DB0499" w:rsidP="00DB0499">
      <w:r w:rsidRPr="00B4711B">
        <w:t xml:space="preserve">We have not changed our approach set out in the Guideline. We do not adopt a lower long term dividend growth rate. </w:t>
      </w:r>
    </w:p>
    <w:p w:rsidR="00DB0499" w:rsidRPr="0046661C" w:rsidRDefault="00DB0499" w:rsidP="00DB0499">
      <w:pPr>
        <w:pStyle w:val="TOC1"/>
        <w:numPr>
          <w:ilvl w:val="0"/>
          <w:numId w:val="24"/>
        </w:numPr>
      </w:pPr>
      <w:r>
        <w:t>Averaging period</w:t>
      </w:r>
    </w:p>
    <w:p w:rsidR="00DB0499" w:rsidRPr="00B4711B" w:rsidRDefault="00DB0499" w:rsidP="00DB0499">
      <w:pPr>
        <w:numPr>
          <w:ilvl w:val="0"/>
          <w:numId w:val="24"/>
        </w:numPr>
      </w:pPr>
      <w:r w:rsidRPr="00B4711B">
        <w:t xml:space="preserve">We have based our </w:t>
      </w:r>
      <w:r>
        <w:t>dividend growth model</w:t>
      </w:r>
      <w:r w:rsidRPr="00B4711B">
        <w:t xml:space="preserve"> estimate on data over </w:t>
      </w:r>
      <w:r>
        <w:t xml:space="preserve">the </w:t>
      </w:r>
      <w:r w:rsidRPr="00B4711B">
        <w:t>January and February 2016</w:t>
      </w:r>
      <w:r>
        <w:t xml:space="preserve"> period</w:t>
      </w:r>
      <w:r w:rsidRPr="00B4711B">
        <w:t>. Our approach is consistent with the Guideline</w:t>
      </w:r>
      <w:r>
        <w:t xml:space="preserve"> method</w:t>
      </w:r>
      <w:r w:rsidRPr="00B4711B">
        <w:t xml:space="preserve">. We do not average over several years because this would reduce the tracking ability of our </w:t>
      </w:r>
      <w:r>
        <w:t>dividend growth model</w:t>
      </w:r>
      <w:r w:rsidRPr="00B4711B">
        <w:t xml:space="preserve">. </w:t>
      </w:r>
    </w:p>
    <w:p w:rsidR="00DB0499" w:rsidRPr="00B4711B" w:rsidRDefault="00DB0499" w:rsidP="00DB0499">
      <w:pPr>
        <w:numPr>
          <w:ilvl w:val="0"/>
          <w:numId w:val="24"/>
        </w:numPr>
      </w:pPr>
      <w:r w:rsidRPr="00B4711B">
        <w:t>As seen in</w:t>
      </w:r>
      <w:r>
        <w:t xml:space="preserve"> </w:t>
      </w:r>
      <w:r>
        <w:fldChar w:fldCharType="begin"/>
      </w:r>
      <w:r>
        <w:instrText xml:space="preserve"> REF _Ref445384013 \h </w:instrText>
      </w:r>
      <w:r>
        <w:fldChar w:fldCharType="separate"/>
      </w:r>
      <w:r w:rsidR="00BA2E8E" w:rsidRPr="00C2709F">
        <w:t xml:space="preserve">Table </w:t>
      </w:r>
      <w:r w:rsidR="00BA2E8E">
        <w:rPr>
          <w:noProof/>
        </w:rPr>
        <w:t>3</w:t>
      </w:r>
      <w:r w:rsidR="00BA2E8E">
        <w:noBreakHyphen/>
      </w:r>
      <w:r w:rsidR="00BA2E8E">
        <w:rPr>
          <w:noProof/>
        </w:rPr>
        <w:t>32</w:t>
      </w:r>
      <w:r>
        <w:fldChar w:fldCharType="end"/>
      </w:r>
      <w:r w:rsidRPr="00B4711B">
        <w:t xml:space="preserve">, we use a two month averaging period as a baseline. We also consider a six month averaging period, which is consistent with SFG's </w:t>
      </w:r>
      <w:r>
        <w:t>dividend growth model</w:t>
      </w:r>
      <w:r w:rsidRPr="00B4711B">
        <w:t>.</w:t>
      </w:r>
      <w:r>
        <w:rPr>
          <w:rStyle w:val="FootnoteReference"/>
        </w:rPr>
        <w:footnoteReference w:id="913"/>
      </w:r>
      <w:r w:rsidRPr="00B4711B">
        <w:t xml:space="preserve"> Having regard to McKenzie and Partington's advice, we also consider a 12 month averaging period.</w:t>
      </w:r>
      <w:r>
        <w:rPr>
          <w:rStyle w:val="FootnoteReference"/>
        </w:rPr>
        <w:footnoteReference w:id="914"/>
      </w:r>
    </w:p>
    <w:p w:rsidR="00DB0499" w:rsidRPr="0046661C" w:rsidRDefault="00DB0499" w:rsidP="00DB0499">
      <w:pPr>
        <w:pStyle w:val="TOC1"/>
        <w:numPr>
          <w:ilvl w:val="0"/>
          <w:numId w:val="24"/>
        </w:numPr>
      </w:pPr>
      <w:r>
        <w:t>Biases in analyst forecasts</w:t>
      </w:r>
    </w:p>
    <w:p w:rsidR="00DB0499" w:rsidRPr="00B4711B" w:rsidRDefault="00DB0499" w:rsidP="00DB0499">
      <w:pPr>
        <w:numPr>
          <w:ilvl w:val="0"/>
          <w:numId w:val="24"/>
        </w:numPr>
      </w:pPr>
      <w:r w:rsidRPr="00B4711B">
        <w:t xml:space="preserve">McKenzie and Partington advised that </w:t>
      </w:r>
      <w:r>
        <w:t>dividend growth models</w:t>
      </w:r>
      <w:r w:rsidRPr="00B4711B">
        <w:t xml:space="preserve"> are often biased upwards because analysts tend to overestimate dividends in their forecasts.</w:t>
      </w:r>
      <w:r w:rsidRPr="00B4711B">
        <w:rPr>
          <w:rStyle w:val="FootnoteReference"/>
        </w:rPr>
        <w:footnoteReference w:id="915"/>
      </w:r>
      <w:r w:rsidRPr="00B4711B">
        <w:t xml:space="preserve"> To </w:t>
      </w:r>
      <w:r>
        <w:t>demonstrate the potential</w:t>
      </w:r>
      <w:r w:rsidRPr="00B4711B">
        <w:t xml:space="preserve"> impact, we have adjusted forecast dividends per share </w:t>
      </w:r>
      <w:r>
        <w:t xml:space="preserve">by </w:t>
      </w:r>
      <w:r w:rsidRPr="00B4711B">
        <w:t>10 per cent downwards</w:t>
      </w:r>
      <w:r>
        <w:t xml:space="preserve"> and </w:t>
      </w:r>
      <w:r w:rsidRPr="00B4711B">
        <w:t xml:space="preserve">upwards. </w:t>
      </w:r>
    </w:p>
    <w:p w:rsidR="00DB0499" w:rsidRPr="00B4711B" w:rsidRDefault="00DB0499" w:rsidP="00DB0499">
      <w:pPr>
        <w:pStyle w:val="Heading8"/>
      </w:pPr>
      <w:bookmarkStart w:id="247" w:name="_Ref448787515"/>
      <w:bookmarkStart w:id="248" w:name="_Toc451678653"/>
      <w:r w:rsidRPr="00B4711B">
        <w:t>Preferred construction of the dividend growth model</w:t>
      </w:r>
      <w:bookmarkEnd w:id="246"/>
      <w:bookmarkEnd w:id="247"/>
      <w:bookmarkEnd w:id="248"/>
    </w:p>
    <w:p w:rsidR="00DB0499" w:rsidRPr="00B4711B" w:rsidRDefault="00DB0499" w:rsidP="00DB0499">
      <w:r w:rsidRPr="00B4711B">
        <w:t xml:space="preserve">Our preferred construction of the </w:t>
      </w:r>
      <w:r>
        <w:t>dividend growth model</w:t>
      </w:r>
      <w:r w:rsidRPr="00B4711B">
        <w:t xml:space="preserve"> is consistent with that set out in the Guideline.</w:t>
      </w:r>
      <w:r w:rsidRPr="00B4711B">
        <w:rPr>
          <w:rStyle w:val="FootnoteReference"/>
        </w:rPr>
        <w:footnoteReference w:id="916"/>
      </w:r>
      <w:r w:rsidRPr="00B4711B">
        <w:t xml:space="preserve"> The following equation depicts this </w:t>
      </w:r>
      <w:r>
        <w:t>dividend growth</w:t>
      </w:r>
      <w:r w:rsidRPr="00B4711B">
        <w:t xml:space="preserve">, which we apply to estimate </w:t>
      </w:r>
      <w:r w:rsidRPr="00B4711B">
        <w:rPr>
          <w:rStyle w:val="AERtextitalic"/>
        </w:rPr>
        <w:t>k</w:t>
      </w:r>
      <w:r w:rsidRPr="00B4711B">
        <w:t>, the expected return on equity for the market portfolio:</w:t>
      </w:r>
    </w:p>
    <w:p w:rsidR="00DB0499" w:rsidRPr="00B4711B" w:rsidRDefault="0091035C" w:rsidP="00DB0499">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DB0499" w:rsidRPr="00B4711B" w:rsidRDefault="00DB0499" w:rsidP="00DB0499">
      <w:pPr>
        <w:pStyle w:val="AERtablesource"/>
      </w:pPr>
      <w:r w:rsidRPr="00B4711B">
        <w:t>Where:</w:t>
      </w:r>
      <w:r w:rsidRPr="00B4711B">
        <w:tab/>
        <w:t>Pc is the current price of equity, for which we use the S&amp;P/ASX 200 index as the proxy</w:t>
      </w:r>
    </w:p>
    <w:p w:rsidR="00DB0499" w:rsidRPr="00B4711B" w:rsidRDefault="00DB0499" w:rsidP="00DB0499">
      <w:pPr>
        <w:pStyle w:val="AERtablesource"/>
      </w:pPr>
      <w:r w:rsidRPr="00B4711B">
        <w:tab/>
        <w:t>E(Dc) is expected dividends per share for the current financial year</w:t>
      </w:r>
      <w:r w:rsidRPr="00B4711B">
        <w:rPr>
          <w:rStyle w:val="FootnoteReference"/>
        </w:rPr>
        <w:footnoteReference w:id="917"/>
      </w:r>
    </w:p>
    <w:p w:rsidR="00DB0499" w:rsidRPr="00B4711B" w:rsidRDefault="00DB0499" w:rsidP="00DB0499">
      <w:pPr>
        <w:pStyle w:val="AERtablesource"/>
      </w:pPr>
      <w:r w:rsidRPr="00B4711B">
        <w:tab/>
        <w:t>E(Dt) is expected dividends per share for the financial year t years after the current financial year</w:t>
      </w:r>
    </w:p>
    <w:p w:rsidR="00DB0499" w:rsidRPr="00B4711B" w:rsidRDefault="00DB0499" w:rsidP="00DB0499">
      <w:pPr>
        <w:pStyle w:val="AERtablesource"/>
      </w:pPr>
      <w:r w:rsidRPr="00B4711B">
        <w:tab/>
        <w:t>m is the fraction of the current financial year remaining, expressed as a decimal point</w:t>
      </w:r>
    </w:p>
    <w:p w:rsidR="00DB0499" w:rsidRPr="00B4711B" w:rsidRDefault="00DB0499" w:rsidP="00DB0499">
      <w:pPr>
        <w:pStyle w:val="AERtablesource"/>
      </w:pPr>
      <w:r w:rsidRPr="00B4711B">
        <w:tab/>
        <w:t>N is the time period after which dividend growth reverts to its long-term rate (for the two stage model, N = 2, for the three stage model N = 9)</w:t>
      </w:r>
    </w:p>
    <w:p w:rsidR="00DB0499" w:rsidRPr="00B4711B" w:rsidRDefault="00DB0499" w:rsidP="00DB0499">
      <w:pPr>
        <w:pStyle w:val="AERtablesource"/>
      </w:pPr>
      <w:r w:rsidRPr="00B4711B">
        <w:tab/>
        <w:t xml:space="preserve">g is the expected long term growth rate in nominal dividends per share. For this parameter, we use a range of 4.0 to 5.1 per cent, with a point estimate of 4.6 per cent. </w:t>
      </w:r>
    </w:p>
    <w:p w:rsidR="00DB0499" w:rsidRPr="00B4711B" w:rsidRDefault="00DB0499" w:rsidP="00DB0499">
      <w:pPr>
        <w:numPr>
          <w:ilvl w:val="0"/>
          <w:numId w:val="24"/>
        </w:numPr>
      </w:pPr>
      <w:r w:rsidRPr="00B4711B">
        <w:t xml:space="preserve">We adopt two versions of a simple standard </w:t>
      </w:r>
      <w:r>
        <w:t>dividend growth model</w:t>
      </w:r>
      <w:r w:rsidRPr="00B4711B">
        <w:t>:</w:t>
      </w:r>
    </w:p>
    <w:p w:rsidR="00DB0499" w:rsidRPr="00B4711B" w:rsidRDefault="00DB0499" w:rsidP="00DB0499">
      <w:pPr>
        <w:pStyle w:val="AERbulletlistfirststyle"/>
      </w:pPr>
      <w:r w:rsidRPr="00B4711B">
        <w:t xml:space="preserve">A two stage </w:t>
      </w:r>
      <w:r>
        <w:t>model</w:t>
      </w:r>
      <w:r w:rsidRPr="00B4711B">
        <w:t>, which assumes that dividends grow at the long term growth rate following the dividend forecast period.</w:t>
      </w:r>
    </w:p>
    <w:p w:rsidR="00DB0499" w:rsidRPr="00B4711B" w:rsidRDefault="00DB0499" w:rsidP="00DB0499">
      <w:pPr>
        <w:pStyle w:val="AERbulletlistfirststyle"/>
      </w:pPr>
      <w:r w:rsidRPr="00B4711B">
        <w:t xml:space="preserve">A three stage </w:t>
      </w:r>
      <w:r>
        <w:t>model</w:t>
      </w:r>
      <w:r w:rsidRPr="00B4711B">
        <w:t>, which assumes that dividend growth transitions linearly over eight years from the short term growth rate implied in the dividend forecast period to the long term growth rate.</w:t>
      </w:r>
    </w:p>
    <w:p w:rsidR="00DB0499" w:rsidRPr="00B4711B" w:rsidRDefault="00DB0499" w:rsidP="00DB0499">
      <w:r w:rsidRPr="00B4711B">
        <w:t xml:space="preserve">Our </w:t>
      </w:r>
      <w:r>
        <w:t>dividend growth models</w:t>
      </w:r>
      <w:r w:rsidRPr="00B4711B">
        <w:t xml:space="preserve"> also display the following characteristics:</w:t>
      </w:r>
    </w:p>
    <w:p w:rsidR="00DB0499" w:rsidRPr="00B4711B" w:rsidRDefault="00DB0499" w:rsidP="00DB0499">
      <w:pPr>
        <w:pStyle w:val="AERbulletlistfirststyle"/>
      </w:pPr>
      <w:r w:rsidRPr="00B4711B">
        <w:t xml:space="preserve">They use </w:t>
      </w:r>
      <w:r w:rsidRPr="00BC2FED">
        <w:t>daily</w:t>
      </w:r>
      <w:r>
        <w:t xml:space="preserve"> data of</w:t>
      </w:r>
      <w:r w:rsidRPr="00BC2FED">
        <w:t xml:space="preserve"> </w:t>
      </w:r>
      <w:r w:rsidRPr="00B4711B">
        <w:t xml:space="preserve">analysts’ </w:t>
      </w:r>
      <w:r w:rsidRPr="00BC2FED">
        <w:t>consensus dividend forecasts for the ASX 200 index</w:t>
      </w:r>
      <w:r w:rsidRPr="00B4711B">
        <w:t xml:space="preserve"> from the Bloomberg Professional Services (Bloomberg).</w:t>
      </w:r>
      <w:r>
        <w:t xml:space="preserve"> Analyst' dividend forecasts are for the current and following two financial years. </w:t>
      </w:r>
      <w:r w:rsidRPr="00BC2FED">
        <w:t xml:space="preserve">We </w:t>
      </w:r>
      <w:r>
        <w:t>take monthly averages the daily data.</w:t>
      </w:r>
    </w:p>
    <w:p w:rsidR="00DB0499" w:rsidRPr="00B4711B" w:rsidRDefault="00DB0499" w:rsidP="00DB0499">
      <w:pPr>
        <w:pStyle w:val="AERbulletlistfirststyle"/>
      </w:pPr>
      <w:r w:rsidRPr="00B4711B">
        <w:t xml:space="preserve">They </w:t>
      </w:r>
      <w:r>
        <w:t>use market prices for the ASX 200</w:t>
      </w:r>
      <w:r>
        <w:rPr>
          <w:rStyle w:val="FootnoteReference"/>
        </w:rPr>
        <w:footnoteReference w:id="918"/>
      </w:r>
      <w:r w:rsidRPr="00B4711B">
        <w:t>.</w:t>
      </w:r>
    </w:p>
    <w:p w:rsidR="00DB0499" w:rsidRPr="00B4711B" w:rsidRDefault="00DB0499" w:rsidP="00DB0499">
      <w:pPr>
        <w:pStyle w:val="AERbulletlistfirststyle"/>
      </w:pPr>
      <w:r w:rsidRPr="00B4711B">
        <w:t xml:space="preserve">They estimate a long term growth rate in dividends per share. We determine this by adjusting the long term growth rate in </w:t>
      </w:r>
      <w:r>
        <w:t xml:space="preserve">real </w:t>
      </w:r>
      <w:r w:rsidRPr="00B4711B">
        <w:t>gross domestic product (GDP) for the net creation of shares</w:t>
      </w:r>
      <w:r>
        <w:t xml:space="preserve"> and expected inflation</w:t>
      </w:r>
      <w:r w:rsidRPr="00B4711B">
        <w:t>.</w:t>
      </w:r>
      <w:r>
        <w:rPr>
          <w:rStyle w:val="FootnoteReference"/>
        </w:rPr>
        <w:footnoteReference w:id="919"/>
      </w:r>
    </w:p>
    <w:p w:rsidR="00DB0499" w:rsidRPr="00B4711B" w:rsidRDefault="00DB0499" w:rsidP="00DB0499">
      <w:r>
        <w:t>We</w:t>
      </w:r>
      <w:r w:rsidRPr="00B4711B">
        <w:t xml:space="preserve"> consider our preferred construction of the </w:t>
      </w:r>
      <w:r>
        <w:t>dividend growth model to be</w:t>
      </w:r>
      <w:r w:rsidRPr="00B4711B">
        <w:t xml:space="preserve"> reasonable. </w:t>
      </w:r>
      <w:r>
        <w:t>W</w:t>
      </w:r>
      <w:r w:rsidRPr="00B4711B">
        <w:t xml:space="preserve">e developed our preferred construction of the </w:t>
      </w:r>
      <w:r>
        <w:t>model</w:t>
      </w:r>
      <w:r w:rsidRPr="00B4711B">
        <w:t xml:space="preserve"> in close consultation with stakeholders when developing the Guideline.</w:t>
      </w:r>
      <w:r w:rsidRPr="00B4711B">
        <w:rPr>
          <w:rStyle w:val="FootnoteReference"/>
        </w:rPr>
        <w:footnoteReference w:id="920"/>
      </w:r>
      <w:r w:rsidRPr="00B4711B">
        <w:t xml:space="preserve"> We have </w:t>
      </w:r>
      <w:r>
        <w:t>analysed</w:t>
      </w:r>
      <w:r w:rsidRPr="00B4711B">
        <w:t xml:space="preserve"> a variety of submissions on our construction of the </w:t>
      </w:r>
      <w:r>
        <w:t>model</w:t>
      </w:r>
      <w:r w:rsidRPr="00B4711B">
        <w:t>,</w:t>
      </w:r>
      <w:r w:rsidRPr="00B4711B">
        <w:rPr>
          <w:rStyle w:val="FootnoteReference"/>
        </w:rPr>
        <w:footnoteReference w:id="921"/>
      </w:r>
      <w:r w:rsidRPr="00B4711B">
        <w:t xml:space="preserve"> which have not persuaded us to depart.</w:t>
      </w:r>
      <w:r w:rsidRPr="00B4711B">
        <w:rPr>
          <w:rStyle w:val="FootnoteReference"/>
        </w:rPr>
        <w:footnoteReference w:id="922"/>
      </w:r>
      <w:r w:rsidRPr="00B4711B">
        <w:t xml:space="preserve"> Further, experts have critically reviewed</w:t>
      </w:r>
      <w:r w:rsidRPr="00B4711B">
        <w:rPr>
          <w:rStyle w:val="FootnoteReference"/>
        </w:rPr>
        <w:footnoteReference w:id="923"/>
      </w:r>
      <w:r>
        <w:t xml:space="preserve"> </w:t>
      </w:r>
      <w:r w:rsidRPr="00B4711B">
        <w:t xml:space="preserve">our construction of the </w:t>
      </w:r>
      <w:r>
        <w:t>dividend growth model</w:t>
      </w:r>
      <w:r w:rsidRPr="00B4711B">
        <w:t xml:space="preserve"> </w:t>
      </w:r>
      <w:r>
        <w:t xml:space="preserve">and </w:t>
      </w:r>
      <w:r w:rsidRPr="00B4711B">
        <w:t xml:space="preserve">consider </w:t>
      </w:r>
      <w:r>
        <w:t>that</w:t>
      </w:r>
      <w:r w:rsidR="00A735CF">
        <w:t>,</w:t>
      </w:r>
      <w:r>
        <w:t xml:space="preserve"> overal</w:t>
      </w:r>
      <w:r w:rsidR="00A735CF">
        <w:t>l</w:t>
      </w:r>
      <w:r>
        <w:t xml:space="preserve">, </w:t>
      </w:r>
      <w:r w:rsidRPr="00B4711B">
        <w:t xml:space="preserve">this advice suggests our </w:t>
      </w:r>
      <w:r>
        <w:t xml:space="preserve">model </w:t>
      </w:r>
      <w:r w:rsidRPr="00B4711B">
        <w:t>construction is reasonable.</w:t>
      </w:r>
      <w:r w:rsidRPr="00B4711B">
        <w:rPr>
          <w:rStyle w:val="FootnoteReference"/>
        </w:rPr>
        <w:footnoteReference w:id="924"/>
      </w:r>
      <w:r w:rsidRPr="00B4711B">
        <w:t xml:space="preserve"> We also have sound reasons for adopting the technical specifications of our preferred construction of the </w:t>
      </w:r>
      <w:r>
        <w:t>model</w:t>
      </w:r>
      <w:r w:rsidRPr="00B4711B">
        <w:t xml:space="preserve">. </w:t>
      </w:r>
      <w:r>
        <w:t xml:space="preserve"> A detailed discussion of the reasons for our preferred construction of the dividend growth model can be found in Appendix B to Attachment 3 of CitiPower's preliminary decision.</w:t>
      </w:r>
    </w:p>
    <w:p w:rsidR="00DB0499" w:rsidRDefault="00DB0499" w:rsidP="00DB0499">
      <w:r>
        <w:t>We note that CitiPower uses the AER's construction of the dividend growth model</w:t>
      </w:r>
      <w:r>
        <w:rPr>
          <w:rStyle w:val="FootnoteReference"/>
        </w:rPr>
        <w:footnoteReference w:id="925"/>
      </w:r>
      <w:r>
        <w:t xml:space="preserve"> in its multi-model approach to estimating its proposed market risk premium.</w:t>
      </w:r>
      <w:r>
        <w:rPr>
          <w:rStyle w:val="FootnoteReference"/>
        </w:rPr>
        <w:footnoteReference w:id="926"/>
      </w:r>
      <w:r>
        <w:t xml:space="preserve"> Service providers have in the past proposed the use of SFG's dividend growth model. </w:t>
      </w:r>
    </w:p>
    <w:p w:rsidR="00DB0499" w:rsidRPr="00B4711B" w:rsidRDefault="00DB0499" w:rsidP="00DB0499">
      <w:pPr>
        <w:pStyle w:val="Heading8"/>
      </w:pPr>
      <w:bookmarkStart w:id="249" w:name="_Ref446260197"/>
      <w:bookmarkStart w:id="250" w:name="_Toc451678654"/>
      <w:r>
        <w:t>Sources of potential upward bias</w:t>
      </w:r>
      <w:bookmarkEnd w:id="249"/>
      <w:bookmarkEnd w:id="250"/>
    </w:p>
    <w:p w:rsidR="00DB0499" w:rsidRPr="00B4711B" w:rsidRDefault="00DB0499" w:rsidP="00DB0499">
      <w:r w:rsidRPr="00B4711B">
        <w:t xml:space="preserve">Evidence we have reviewed indicates that the </w:t>
      </w:r>
      <w:r>
        <w:t>market risk premium estimates from dividend growth models are</w:t>
      </w:r>
      <w:r w:rsidRPr="00B4711B">
        <w:t xml:space="preserve"> very sensitive to input assumptions and likely to show an upward bias in current market conditions.</w:t>
      </w:r>
      <w:r w:rsidRPr="00B4711B">
        <w:rPr>
          <w:rStyle w:val="FootnoteReference"/>
        </w:rPr>
        <w:footnoteReference w:id="927"/>
      </w:r>
      <w:r w:rsidRPr="00B4711B">
        <w:t xml:space="preserve"> While we still propose to use our construction of the </w:t>
      </w:r>
      <w:r>
        <w:t>dividend growth model</w:t>
      </w:r>
      <w:r w:rsidRPr="00B4711B">
        <w:t xml:space="preserve"> to inform our </w:t>
      </w:r>
      <w:r>
        <w:t>market risk premium</w:t>
      </w:r>
      <w:r w:rsidRPr="00B4711B">
        <w:t xml:space="preserve"> estimate, we consider it important to have regard to the existence of this potential bias. We discuss below </w:t>
      </w:r>
      <w:r>
        <w:t xml:space="preserve">the </w:t>
      </w:r>
      <w:r w:rsidRPr="00B4711B">
        <w:t xml:space="preserve">factors </w:t>
      </w:r>
      <w:r>
        <w:t xml:space="preserve">that </w:t>
      </w:r>
      <w:r w:rsidRPr="00B4711B">
        <w:t xml:space="preserve">we have considered. </w:t>
      </w:r>
    </w:p>
    <w:p w:rsidR="00DB0499" w:rsidRPr="0046661C" w:rsidRDefault="00DB0499" w:rsidP="00DB0499">
      <w:pPr>
        <w:pStyle w:val="TOC1"/>
      </w:pPr>
      <w:bookmarkStart w:id="251" w:name="_Toc443923219"/>
      <w:r w:rsidRPr="0046661C">
        <w:t>Slow-changing dividends</w:t>
      </w:r>
      <w:bookmarkEnd w:id="251"/>
      <w:r w:rsidRPr="0046661C">
        <w:t xml:space="preserve">  </w:t>
      </w:r>
    </w:p>
    <w:p w:rsidR="00DB0499" w:rsidRPr="0065391F" w:rsidRDefault="00DB0499" w:rsidP="00DB0499">
      <w:r w:rsidRPr="00B4711B">
        <w:t>Dividends are a smoothed version of both free cash flow to equity and profits.</w:t>
      </w:r>
      <w:r w:rsidRPr="00B4711B">
        <w:rPr>
          <w:rStyle w:val="FootnoteReference"/>
        </w:rPr>
        <w:footnoteReference w:id="928"/>
      </w:r>
      <w:r w:rsidRPr="00B4711B">
        <w:t xml:space="preserve"> Slow-changing (or 'sticky') dividends </w:t>
      </w:r>
      <w:r w:rsidRPr="0065391F">
        <w:t>are a well-understood phenomenon in financial theory and empirically supported by survey evidence, which suggests that companies are reluctant to cut dividends and increase dividends only when maintainable high earnings per share are expected.</w:t>
      </w:r>
      <w:r w:rsidRPr="0065391F">
        <w:rPr>
          <w:rStyle w:val="FootnoteReference"/>
        </w:rPr>
        <w:footnoteReference w:id="929"/>
      </w:r>
      <w:r w:rsidRPr="0065391F">
        <w:rPr>
          <w:rStyle w:val="FootnoteReference"/>
        </w:rPr>
        <w:t xml:space="preserve"> </w:t>
      </w:r>
      <w:r w:rsidRPr="0065391F">
        <w:t>McKenzie and Partington consider that there is likely to be an asymmetry in the effects because of a greater reluctance to cut dividends than increase dividends.</w:t>
      </w:r>
      <w:r w:rsidRPr="0065391F">
        <w:rPr>
          <w:rStyle w:val="FootnoteReference"/>
        </w:rPr>
        <w:footnoteReference w:id="930"/>
      </w:r>
      <w:r w:rsidRPr="0065391F">
        <w:t xml:space="preserve"> </w:t>
      </w:r>
    </w:p>
    <w:p w:rsidR="00DB0499" w:rsidRDefault="00DB0499" w:rsidP="00DB0499">
      <w:r>
        <w:t xml:space="preserve">If investors revise downwards their earnings expectations for a firm, the share price may drop significantly with the 'sticky' dividend unchanging. Together, this will cause a higher dividend yield, giving an upwardly-biased estimate of the return on equity. The reverse occurs if expectations are for profits and free cash flow to equity to rise. </w:t>
      </w:r>
    </w:p>
    <w:p w:rsidR="00DB0499" w:rsidRDefault="00DB0499" w:rsidP="00DB0499">
      <w:r>
        <w:t>Frontier submitted that this theoretical possibility is not material in current circumstances. Frontier submitted that:</w:t>
      </w:r>
      <w:r>
        <w:rPr>
          <w:rStyle w:val="FootnoteReference"/>
        </w:rPr>
        <w:footnoteReference w:id="931"/>
      </w:r>
    </w:p>
    <w:p w:rsidR="00DB0499" w:rsidRDefault="00DB0499" w:rsidP="00DB0499">
      <w:pPr>
        <w:pStyle w:val="AERquote"/>
      </w:pPr>
      <w:r>
        <w:t xml:space="preserve">An examination of the top 20 </w:t>
      </w:r>
      <w:r w:rsidRPr="00706095">
        <w:t>firms (which collectively account for approximately half of the total</w:t>
      </w:r>
      <w:r>
        <w:t xml:space="preserve"> </w:t>
      </w:r>
      <w:r w:rsidRPr="00706095">
        <w:t>ASX market capitalisation) indicates that analysts are anticipating</w:t>
      </w:r>
      <w:r>
        <w:t xml:space="preserve"> </w:t>
      </w:r>
      <w:r w:rsidRPr="00706095">
        <w:t>increasing dividends and earnings. The market capitalisation</w:t>
      </w:r>
      <w:r>
        <w:t xml:space="preserve"> </w:t>
      </w:r>
      <w:r w:rsidRPr="00706095">
        <w:t>weighted average increase in forecasted earnings per share from</w:t>
      </w:r>
      <w:r>
        <w:t xml:space="preserve"> </w:t>
      </w:r>
      <w:r w:rsidRPr="00706095">
        <w:t>2015 to 2017 is 19%.</w:t>
      </w:r>
    </w:p>
    <w:p w:rsidR="00DB0499" w:rsidRDefault="00DB0499" w:rsidP="00DB0499">
      <w:r>
        <w:t>We note that Frontier's forecast is only to 2017, and we are not satisfied that such short-term forecasts invalidate our concerns as market prices likely reflect expectations over a longer period. We note that the</w:t>
      </w:r>
      <w:r w:rsidRPr="00B4711B">
        <w:rPr>
          <w:rStyle w:val="AERbody"/>
        </w:rPr>
        <w:t xml:space="preserve"> RBA</w:t>
      </w:r>
      <w:r>
        <w:rPr>
          <w:rStyle w:val="AERbody"/>
        </w:rPr>
        <w:t xml:space="preserve"> forecast</w:t>
      </w:r>
      <w:r w:rsidRPr="00B4711B">
        <w:rPr>
          <w:rStyle w:val="AERbody"/>
        </w:rPr>
        <w:t>s growth in earnings per share to fall in the 2015</w:t>
      </w:r>
      <w:r>
        <w:t>–</w:t>
      </w:r>
      <w:r w:rsidRPr="00B4711B">
        <w:rPr>
          <w:rStyle w:val="AERbody"/>
        </w:rPr>
        <w:t>16 and 2016</w:t>
      </w:r>
      <w:r>
        <w:t>–</w:t>
      </w:r>
      <w:r w:rsidRPr="00B4711B">
        <w:rPr>
          <w:rStyle w:val="AERbody"/>
        </w:rPr>
        <w:t>17 financial years</w:t>
      </w:r>
      <w:r>
        <w:rPr>
          <w:rStyle w:val="AERbody"/>
        </w:rPr>
        <w:t>, and we do not consider it is certain that investors expect positive growth in dividends per share post-2017</w:t>
      </w:r>
      <w:r w:rsidRPr="00B4711B">
        <w:rPr>
          <w:rStyle w:val="AERbody"/>
        </w:rPr>
        <w:t>.</w:t>
      </w:r>
      <w:r w:rsidRPr="00B4711B">
        <w:rPr>
          <w:rStyle w:val="FootnoteReference"/>
        </w:rPr>
        <w:footnoteReference w:id="932"/>
      </w:r>
      <w:r>
        <w:rPr>
          <w:rStyle w:val="AERbody"/>
        </w:rPr>
        <w:t xml:space="preserve"> </w:t>
      </w:r>
    </w:p>
    <w:p w:rsidR="00DB0499" w:rsidRPr="0046661C" w:rsidRDefault="00DB0499" w:rsidP="00DB0499">
      <w:pPr>
        <w:pStyle w:val="TOC1"/>
        <w:numPr>
          <w:ilvl w:val="0"/>
          <w:numId w:val="24"/>
        </w:numPr>
      </w:pPr>
      <w:r>
        <w:t>Biases in analyst forecasts</w:t>
      </w:r>
    </w:p>
    <w:p w:rsidR="00DB0499" w:rsidRDefault="00DB0499" w:rsidP="00DB0499">
      <w:pPr>
        <w:numPr>
          <w:ilvl w:val="0"/>
          <w:numId w:val="24"/>
        </w:numPr>
      </w:pPr>
      <w:r w:rsidRPr="00B4711B">
        <w:t>Analyst forecasts are well understood to be upward</w:t>
      </w:r>
      <w:r>
        <w:t>ly</w:t>
      </w:r>
      <w:r w:rsidRPr="00B4711B">
        <w:t xml:space="preserve"> biased.</w:t>
      </w:r>
      <w:r w:rsidRPr="00B4711B">
        <w:rPr>
          <w:rStyle w:val="FootnoteReference"/>
        </w:rPr>
        <w:footnoteReference w:id="933"/>
      </w:r>
      <w:r w:rsidRPr="00B4711B">
        <w:t xml:space="preserve"> McKenzie and Partington also consider that analysts’ forecasts are slow to adjust to changing information.</w:t>
      </w:r>
      <w:r w:rsidRPr="00B4711B">
        <w:rPr>
          <w:rStyle w:val="FootnoteReference"/>
        </w:rPr>
        <w:footnoteReference w:id="934"/>
      </w:r>
      <w:r w:rsidRPr="00B4711B">
        <w:t xml:space="preserve"> This creates problems with time matching analyst dividend forecasts with prices. It also implies that </w:t>
      </w:r>
      <w:r>
        <w:t>dividend growth models</w:t>
      </w:r>
      <w:r w:rsidRPr="00B4711B">
        <w:t xml:space="preserve"> may not track changes in the return on equity accurately.</w:t>
      </w:r>
    </w:p>
    <w:p w:rsidR="00DB0499" w:rsidRDefault="00DB0499" w:rsidP="00DB0499">
      <w:pPr>
        <w:numPr>
          <w:ilvl w:val="0"/>
          <w:numId w:val="24"/>
        </w:numPr>
      </w:pPr>
      <w:r>
        <w:t>We note that Frontier has not provided any evidence that bias has not increased. Frontier submitted that:</w:t>
      </w:r>
      <w:r>
        <w:rPr>
          <w:rStyle w:val="FootnoteReference"/>
        </w:rPr>
        <w:footnoteReference w:id="935"/>
      </w:r>
      <w:r>
        <w:t xml:space="preserve"> </w:t>
      </w:r>
    </w:p>
    <w:p w:rsidR="00DB0499" w:rsidRPr="00C06A8A" w:rsidRDefault="00DB0499" w:rsidP="00DB0499">
      <w:pPr>
        <w:pStyle w:val="AERquote"/>
      </w:pPr>
      <w:r w:rsidRPr="00C06A8A">
        <w:t>No reason has been presented for why this effect would be</w:t>
      </w:r>
      <w:r>
        <w:t xml:space="preserve"> </w:t>
      </w:r>
      <w:r w:rsidRPr="00C06A8A">
        <w:t>stronger in the current market conditions than it was at the</w:t>
      </w:r>
      <w:r>
        <w:t xml:space="preserve"> </w:t>
      </w:r>
      <w:r w:rsidRPr="00C06A8A">
        <w:t>time of the Guideline. Thus, it does not explain why the</w:t>
      </w:r>
      <w:r>
        <w:t xml:space="preserve"> </w:t>
      </w:r>
      <w:r w:rsidRPr="00C06A8A">
        <w:t>AER has apparently reduced the weight it applies to its</w:t>
      </w:r>
      <w:r>
        <w:t xml:space="preserve"> DGM estimates over time.</w:t>
      </w:r>
    </w:p>
    <w:p w:rsidR="00DB0499" w:rsidRDefault="00DB0499" w:rsidP="00DB0499">
      <w:r>
        <w:t>We have no</w:t>
      </w:r>
      <w:r w:rsidRPr="00DE2857">
        <w:t>t changed</w:t>
      </w:r>
      <w:r>
        <w:t xml:space="preserve"> the weight we apply to the dividend growth model. Our</w:t>
      </w:r>
      <w:r w:rsidRPr="00DE2857">
        <w:t xml:space="preserve"> approach requires the application of judgment and our </w:t>
      </w:r>
      <w:r>
        <w:t>market risk premium</w:t>
      </w:r>
      <w:r w:rsidRPr="00DE2857">
        <w:t xml:space="preserve"> estimate does not mechanically update with changes to </w:t>
      </w:r>
      <w:r>
        <w:t>dividend growth model</w:t>
      </w:r>
      <w:r w:rsidRPr="00DE2857">
        <w:t xml:space="preserve"> estimates</w:t>
      </w:r>
      <w:r>
        <w:t xml:space="preserve">. </w:t>
      </w:r>
    </w:p>
    <w:p w:rsidR="00DB0499" w:rsidRPr="00B4711B" w:rsidRDefault="00DB0499" w:rsidP="00DB0499">
      <w:r>
        <w:t>Further, we do not hold a view either way about whether bias has increased or not. However, Frontier refers to a report by JP Morgan that notes that current price-to-earnings ratios</w:t>
      </w:r>
      <w:r>
        <w:rPr>
          <w:rStyle w:val="FootnoteReference"/>
        </w:rPr>
        <w:footnoteReference w:id="936"/>
      </w:r>
      <w:r>
        <w:t xml:space="preserve"> could be evidence that the prevailing </w:t>
      </w:r>
      <w:r w:rsidRPr="00C365B3">
        <w:t>market is now more sceptical of analysts’ forecasts than they have been in the past</w:t>
      </w:r>
      <w:r>
        <w:t>.</w:t>
      </w:r>
      <w:r>
        <w:rPr>
          <w:rStyle w:val="FootnoteReference"/>
        </w:rPr>
        <w:footnoteReference w:id="937"/>
      </w:r>
      <w:r w:rsidRPr="00D03E8B">
        <w:t xml:space="preserve"> </w:t>
      </w:r>
      <w:r>
        <w:t xml:space="preserve">That is, </w:t>
      </w:r>
      <w:r w:rsidRPr="00C365B3">
        <w:t>bias (or at least the market’s perception of bias) may have increased</w:t>
      </w:r>
      <w:r>
        <w:t xml:space="preserve">. </w:t>
      </w:r>
    </w:p>
    <w:p w:rsidR="00DB0499" w:rsidRPr="0046661C" w:rsidRDefault="00DB0499" w:rsidP="00DB0499">
      <w:pPr>
        <w:pStyle w:val="TOC1"/>
        <w:numPr>
          <w:ilvl w:val="0"/>
          <w:numId w:val="24"/>
        </w:numPr>
      </w:pPr>
      <w:r>
        <w:t>Dividends as a proxy for free cash flow to equity</w:t>
      </w:r>
    </w:p>
    <w:p w:rsidR="00DB0499" w:rsidRPr="0065391F" w:rsidRDefault="00DB0499" w:rsidP="00DB0499">
      <w:pPr>
        <w:rPr>
          <w:rStyle w:val="AERbody"/>
        </w:rPr>
      </w:pPr>
      <w:r w:rsidRPr="0065391F">
        <w:rPr>
          <w:rStyle w:val="AERbody"/>
        </w:rPr>
        <w:t>In a particular period, differences between the free cash flow to equity and the dividend may arise as a consequence of financing transactions (that is, borrowing or issuing new shares). Where there is significant financing of dividends and/or where substantial investment demand for funds is anticipated, there is a risk that dividend growth will slow or even turn negative for a period. This is likely to result in the dividend growth model producing upwardly biased estimates of the return of equity.</w:t>
      </w:r>
      <w:r>
        <w:rPr>
          <w:rStyle w:val="FootnoteReference"/>
        </w:rPr>
        <w:footnoteReference w:id="938"/>
      </w:r>
    </w:p>
    <w:p w:rsidR="00DB0499" w:rsidRPr="0046661C" w:rsidRDefault="00DB0499" w:rsidP="00DB0499">
      <w:pPr>
        <w:pStyle w:val="TOC1"/>
      </w:pPr>
      <w:r>
        <w:t>Low risk free rate and term structure for equity</w:t>
      </w:r>
    </w:p>
    <w:p w:rsidR="00DB0499" w:rsidRPr="0065391F" w:rsidRDefault="00DB0499" w:rsidP="00DB0499">
      <w:pPr>
        <w:rPr>
          <w:rStyle w:val="AERbody"/>
        </w:rPr>
      </w:pPr>
      <w:r w:rsidRPr="0065391F">
        <w:rPr>
          <w:rStyle w:val="AERbody"/>
        </w:rPr>
        <w:t>The risk free rate is currently relatively low. Lally observed that if dividend growth models do not incorporate a term structure, these will produce upwardly biased estimates when the risk free rate is low relative to its long term average, and expected to increase in a future period.</w:t>
      </w:r>
      <w:r w:rsidRPr="00F37CD8">
        <w:rPr>
          <w:rStyle w:val="FootnoteReference"/>
        </w:rPr>
        <w:footnoteReference w:id="939"/>
      </w:r>
      <w:r w:rsidRPr="0065391F">
        <w:rPr>
          <w:rStyle w:val="AERbody"/>
        </w:rPr>
        <w:t xml:space="preserve"> We consider it useful to be aware of this potential bias. This is consistent with McKenzie and Partington’s advice:</w:t>
      </w:r>
      <w:r w:rsidRPr="00F37CD8">
        <w:rPr>
          <w:rStyle w:val="FootnoteReference"/>
        </w:rPr>
        <w:footnoteReference w:id="940"/>
      </w:r>
    </w:p>
    <w:p w:rsidR="00DB0499" w:rsidRPr="00B4711B" w:rsidRDefault="00DB0499" w:rsidP="00DB0499">
      <w:pPr>
        <w:pStyle w:val="AERquote"/>
      </w:pPr>
      <w:r w:rsidRPr="00B4711B">
        <w:t>we do recommend that it be borne in mind that the existence of a term structure could materially change cost of equity estimates from the DGM.</w:t>
      </w:r>
    </w:p>
    <w:p w:rsidR="00DB0499" w:rsidRDefault="00DB0499" w:rsidP="00DB0499"/>
    <w:p w:rsidR="00DB0499" w:rsidRDefault="00DB0499" w:rsidP="00DB0499">
      <w:pPr>
        <w:pStyle w:val="Heading7"/>
      </w:pPr>
      <w:bookmarkStart w:id="252" w:name="_Ref451678201"/>
      <w:bookmarkStart w:id="253" w:name="_Toc451678655"/>
      <w:r>
        <w:t>Return on equity conditioning variables</w:t>
      </w:r>
      <w:bookmarkEnd w:id="252"/>
      <w:bookmarkEnd w:id="253"/>
    </w:p>
    <w:p w:rsidR="0014400B" w:rsidRPr="00D7763D" w:rsidRDefault="0014400B" w:rsidP="0014400B">
      <w:pPr>
        <w:numPr>
          <w:ilvl w:val="0"/>
          <w:numId w:val="24"/>
        </w:numPr>
      </w:pPr>
      <w:r w:rsidRPr="00D7763D">
        <w:t xml:space="preserve">Conditioning variables are </w:t>
      </w:r>
      <w:r>
        <w:t>market data</w:t>
      </w:r>
      <w:r w:rsidRPr="00D7763D">
        <w:t xml:space="preserve"> that can be used to </w:t>
      </w:r>
      <w:r>
        <w:t>inform (or 'condition') an initial estimate</w:t>
      </w:r>
      <w:r w:rsidRPr="00D7763D">
        <w:t>. We do not consider conditioning variables provide reliable estimates on their own.</w:t>
      </w:r>
      <w:r>
        <w:rPr>
          <w:rStyle w:val="FootnoteReference"/>
        </w:rPr>
        <w:footnoteReference w:id="941"/>
      </w:r>
      <w:r w:rsidRPr="00D7763D">
        <w:t xml:space="preserve"> However, this information is relevant and may be useful for indicating changes in </w:t>
      </w:r>
      <w:r>
        <w:t>prevailing</w:t>
      </w:r>
      <w:r w:rsidRPr="00D7763D">
        <w:t xml:space="preserve"> market conditions. </w:t>
      </w:r>
    </w:p>
    <w:p w:rsidR="0014400B" w:rsidRPr="00C4668D" w:rsidRDefault="0014400B" w:rsidP="0014400B">
      <w:pPr>
        <w:pStyle w:val="ListParagraph"/>
        <w:numPr>
          <w:ilvl w:val="0"/>
          <w:numId w:val="24"/>
        </w:numPr>
      </w:pPr>
      <w:r w:rsidRPr="00C4668D">
        <w:t>In the Guideline we stated that we would consider three types of conditioning variables</w:t>
      </w:r>
      <w:r>
        <w:t xml:space="preserve"> to inform our estimate of the market risk premium</w:t>
      </w:r>
      <w:r w:rsidRPr="00C4668D">
        <w:t xml:space="preserve">: dividend yields, </w:t>
      </w:r>
      <w:r>
        <w:t>yield</w:t>
      </w:r>
      <w:r w:rsidRPr="00C4668D">
        <w:t xml:space="preserve"> spreads and implied volatility. Service providers have also proposed the use of price</w:t>
      </w:r>
      <w:r>
        <w:t>-to-</w:t>
      </w:r>
      <w:r w:rsidRPr="00C4668D">
        <w:t>earnings ratios, and we also consider these here.</w:t>
      </w:r>
      <w:r>
        <w:t xml:space="preserve"> In the Guideline we also stated that we would use yield spreads to inform our overall return on equity estimate.</w:t>
      </w:r>
    </w:p>
    <w:p w:rsidR="0014400B" w:rsidRPr="00D7763D" w:rsidRDefault="0014400B" w:rsidP="0014400B">
      <w:r>
        <w:t>C</w:t>
      </w:r>
      <w:r w:rsidRPr="00D7763D">
        <w:t xml:space="preserve">onditioning variables </w:t>
      </w:r>
      <w:r>
        <w:t xml:space="preserve">should be considered </w:t>
      </w:r>
      <w:r w:rsidRPr="00D7763D">
        <w:t xml:space="preserve">symmetrically through time </w:t>
      </w:r>
      <w:r>
        <w:t>to</w:t>
      </w:r>
      <w:r w:rsidRPr="00D7763D">
        <w:t xml:space="preserve"> avoid bias. </w:t>
      </w:r>
      <w:r>
        <w:t>S</w:t>
      </w:r>
      <w:r w:rsidRPr="00D7763D">
        <w:t xml:space="preserve">ince the weighted average cost of capital (WACC) review in 2009, various service providers have presented this information asymmetrically. For example, in periods where the implied volatility suggested the </w:t>
      </w:r>
      <w:r>
        <w:t>market risk premium</w:t>
      </w:r>
      <w:r w:rsidRPr="00D7763D">
        <w:t xml:space="preserve"> </w:t>
      </w:r>
      <w:r>
        <w:t>may</w:t>
      </w:r>
      <w:r w:rsidRPr="00D7763D">
        <w:t xml:space="preserve"> be significantly above the long term average, service providers relied upon this evidence.</w:t>
      </w:r>
      <w:r w:rsidRPr="00D7763D">
        <w:rPr>
          <w:rStyle w:val="FootnoteReference"/>
        </w:rPr>
        <w:footnoteReference w:id="942"/>
      </w:r>
      <w:r w:rsidRPr="00D7763D">
        <w:t xml:space="preserve"> However, when implied volatility estimates fell in 2013, service providers did not propose we consider this evidence.</w:t>
      </w:r>
      <w:r w:rsidRPr="00D7763D">
        <w:rPr>
          <w:rStyle w:val="FootnoteReference"/>
        </w:rPr>
        <w:footnoteReference w:id="943"/>
      </w:r>
      <w:r w:rsidRPr="00D7763D">
        <w:t xml:space="preserve"> </w:t>
      </w:r>
    </w:p>
    <w:p w:rsidR="0014400B" w:rsidRDefault="0014400B" w:rsidP="0014400B">
      <w:r w:rsidRPr="00D7763D">
        <w:t xml:space="preserve">For the reasons set out below, we consider that, overall, the conditioning variables </w:t>
      </w:r>
      <w:r>
        <w:t>appear to have</w:t>
      </w:r>
      <w:r w:rsidR="002B4449">
        <w:t xml:space="preserve"> experienced</w:t>
      </w:r>
      <w:r>
        <w:t xml:space="preserve"> moderate short term movement. Consideration of the implied volatility approach, dividend yields and </w:t>
      </w:r>
      <w:r w:rsidR="002B4449">
        <w:t>corporate</w:t>
      </w:r>
      <w:r>
        <w:t xml:space="preserve"> bond spreads show slight increases.</w:t>
      </w:r>
      <w:r>
        <w:rPr>
          <w:rStyle w:val="FootnoteReference"/>
        </w:rPr>
        <w:footnoteReference w:id="944"/>
      </w:r>
      <w:r>
        <w:t xml:space="preserve"> T</w:t>
      </w:r>
      <w:r w:rsidRPr="00866A7A">
        <w:t>he</w:t>
      </w:r>
      <w:r>
        <w:t xml:space="preserve"> state government bond spread</w:t>
      </w:r>
      <w:r w:rsidR="00542077">
        <w:t>s</w:t>
      </w:r>
      <w:r>
        <w:t xml:space="preserve"> and the comparison between equity and debt premiums provide no clear indication that there have been any changes to conditioning variables.</w:t>
      </w:r>
      <w:r>
        <w:rPr>
          <w:rStyle w:val="FootnoteReference"/>
        </w:rPr>
        <w:footnoteReference w:id="945"/>
      </w:r>
      <w:r>
        <w:t xml:space="preserve"> Taken together, we see no significant trend to </w:t>
      </w:r>
      <w:r w:rsidRPr="00D51EE9">
        <w:t>support any further change</w:t>
      </w:r>
      <w:r>
        <w:t>s</w:t>
      </w:r>
      <w:r w:rsidR="002B4449">
        <w:t xml:space="preserve"> to our approach</w:t>
      </w:r>
      <w:r>
        <w:t xml:space="preserve">. </w:t>
      </w:r>
    </w:p>
    <w:p w:rsidR="0014400B" w:rsidRPr="00D7763D" w:rsidRDefault="0014400B" w:rsidP="0014400B">
      <w:r>
        <w:t xml:space="preserve">Moreover, it appears that </w:t>
      </w:r>
      <w:r w:rsidRPr="00D7763D">
        <w:t xml:space="preserve">conditioning variables </w:t>
      </w:r>
      <w:r>
        <w:t xml:space="preserve">are </w:t>
      </w:r>
      <w:r w:rsidRPr="00D7763D">
        <w:t>close to their long term averages. This is particularly apparent when compared with the sharp increases in these variables seen between 2008</w:t>
      </w:r>
      <w:r w:rsidRPr="00D7763D">
        <w:softHyphen/>
        <w:t>–13, which were likely associated with the height of the Global Financial Crisis and European debt crisis. We acknowledge that implied volatility and dividend</w:t>
      </w:r>
      <w:r w:rsidR="00542077">
        <w:t xml:space="preserve"> yields</w:t>
      </w:r>
      <w:r w:rsidRPr="00D7763D">
        <w:t xml:space="preserve"> increased above their long term averages towards the end of </w:t>
      </w:r>
      <w:r w:rsidR="002B4449">
        <w:t>2015</w:t>
      </w:r>
      <w:r w:rsidRPr="00D7763D">
        <w:t xml:space="preserve">. However, we consider there is </w:t>
      </w:r>
      <w:r>
        <w:t>in</w:t>
      </w:r>
      <w:r w:rsidRPr="00D7763D">
        <w:t xml:space="preserve">sufficient evidence of a sustained trend away from their long term averages. </w:t>
      </w:r>
    </w:p>
    <w:p w:rsidR="0014400B" w:rsidRPr="00D7763D" w:rsidRDefault="0014400B" w:rsidP="0014400B">
      <w:r w:rsidRPr="00D7763D">
        <w:t>It is important to n</w:t>
      </w:r>
      <w:r w:rsidR="002B4449">
        <w:t>ote that we are estimating a 10-year forward-</w:t>
      </w:r>
      <w:r w:rsidRPr="00D7763D">
        <w:t xml:space="preserve">looking </w:t>
      </w:r>
      <w:r>
        <w:t>market risk premium</w:t>
      </w:r>
      <w:r w:rsidRPr="00D7763D">
        <w:t xml:space="preserve"> with regard to prevailing conditions in the market for equity funds. In this context, prevailing conditions can be considered ‘prevailing expectations’ over the relevant forward looking timeframe, which is 10 years. Therefore, we consider short term fluctuations in conditioning variables should be treated with caution. </w:t>
      </w:r>
    </w:p>
    <w:p w:rsidR="0014400B" w:rsidRPr="0014400B" w:rsidRDefault="0014400B" w:rsidP="007B1C84">
      <w:pPr>
        <w:pStyle w:val="Heading8"/>
        <w:numPr>
          <w:ilvl w:val="1"/>
          <w:numId w:val="40"/>
        </w:numPr>
      </w:pPr>
      <w:bookmarkStart w:id="254" w:name="_Toc443923225"/>
      <w:bookmarkStart w:id="255" w:name="_Ref451416262"/>
      <w:bookmarkStart w:id="256" w:name="_Toc451678656"/>
      <w:r>
        <w:t>Implied volatility</w:t>
      </w:r>
      <w:bookmarkEnd w:id="254"/>
      <w:bookmarkEnd w:id="255"/>
      <w:bookmarkEnd w:id="256"/>
    </w:p>
    <w:p w:rsidR="0014400B" w:rsidRPr="00866A7A" w:rsidRDefault="0014400B" w:rsidP="0014400B">
      <w:pPr>
        <w:numPr>
          <w:ilvl w:val="0"/>
          <w:numId w:val="24"/>
        </w:numPr>
      </w:pPr>
      <w:r w:rsidRPr="00866A7A">
        <w:t xml:space="preserve">The implied volatility approach is based on an assumption that the </w:t>
      </w:r>
      <w:r>
        <w:t>market risk premium</w:t>
      </w:r>
      <w:r w:rsidRPr="00866A7A">
        <w:t xml:space="preserve"> is the price of risk multiplied by the volume of risk (volatility).</w:t>
      </w:r>
      <w:r w:rsidRPr="00866A7A">
        <w:rPr>
          <w:rStyle w:val="FootnoteReference"/>
        </w:rPr>
        <w:footnoteReference w:id="946"/>
      </w:r>
      <w:r w:rsidRPr="00866A7A">
        <w:t xml:space="preserve"> </w:t>
      </w:r>
      <w:r>
        <w:fldChar w:fldCharType="begin"/>
      </w:r>
      <w:r>
        <w:instrText xml:space="preserve"> REF _Ref433023909 \h </w:instrText>
      </w:r>
      <w:r>
        <w:fldChar w:fldCharType="separate"/>
      </w:r>
      <w:r w:rsidR="00BA2E8E" w:rsidRPr="00866A7A">
        <w:t xml:space="preserve">Figure </w:t>
      </w:r>
      <w:r w:rsidR="00BA2E8E">
        <w:rPr>
          <w:noProof/>
        </w:rPr>
        <w:t>3</w:t>
      </w:r>
      <w:r w:rsidR="00BA2E8E">
        <w:noBreakHyphen/>
      </w:r>
      <w:r w:rsidR="00BA2E8E">
        <w:rPr>
          <w:noProof/>
        </w:rPr>
        <w:t>7</w:t>
      </w:r>
      <w:r>
        <w:fldChar w:fldCharType="end"/>
      </w:r>
      <w:r>
        <w:t xml:space="preserve"> shows volume of risk in the market portfolio estimated using the implied volatility index.</w:t>
      </w:r>
    </w:p>
    <w:p w:rsidR="0014400B" w:rsidRDefault="0014400B" w:rsidP="0014400B">
      <w:r w:rsidRPr="00866A7A">
        <w:t xml:space="preserve">Implied volatility was high during the global financial crisis and the height of the European debt crisis. However, recent implied volatility levels have </w:t>
      </w:r>
      <w:r>
        <w:t xml:space="preserve">generally </w:t>
      </w:r>
      <w:r w:rsidRPr="00866A7A">
        <w:t>been below</w:t>
      </w:r>
      <w:r>
        <w:t xml:space="preserve"> or close to</w:t>
      </w:r>
      <w:r w:rsidRPr="00866A7A">
        <w:t xml:space="preserve"> the long run average of 18.2 per cent (measured from the start of the data series in 1997).</w:t>
      </w:r>
      <w:r>
        <w:t xml:space="preserve"> We note that implied volatility levels increased</w:t>
      </w:r>
      <w:r w:rsidRPr="00026A6C">
        <w:t xml:space="preserve"> above the long run average </w:t>
      </w:r>
      <w:r>
        <w:t>in</w:t>
      </w:r>
      <w:r w:rsidRPr="00026A6C">
        <w:t xml:space="preserve"> August 2015</w:t>
      </w:r>
      <w:r>
        <w:t>, but consider it is unclear whether this is evidence of a sharp and sustained move away from the long run average.</w:t>
      </w:r>
      <w:r w:rsidRPr="00866A7A">
        <w:t xml:space="preserve"> </w:t>
      </w:r>
    </w:p>
    <w:p w:rsidR="0014400B" w:rsidRPr="00866A7A" w:rsidRDefault="0014400B" w:rsidP="0014400B">
      <w:r>
        <w:fldChar w:fldCharType="begin"/>
      </w:r>
      <w:r>
        <w:instrText xml:space="preserve"> REF _Ref433023909 \h </w:instrText>
      </w:r>
      <w:r>
        <w:fldChar w:fldCharType="separate"/>
      </w:r>
      <w:r w:rsidR="00BA2E8E" w:rsidRPr="00866A7A">
        <w:t xml:space="preserve">Figure </w:t>
      </w:r>
      <w:r w:rsidR="00BA2E8E">
        <w:rPr>
          <w:noProof/>
        </w:rPr>
        <w:t>3</w:t>
      </w:r>
      <w:r w:rsidR="00BA2E8E">
        <w:noBreakHyphen/>
      </w:r>
      <w:r w:rsidR="00BA2E8E">
        <w:rPr>
          <w:noProof/>
        </w:rPr>
        <w:t>7</w:t>
      </w:r>
      <w:r>
        <w:fldChar w:fldCharType="end"/>
      </w:r>
      <w:r>
        <w:t xml:space="preserve"> </w:t>
      </w:r>
      <w:r w:rsidRPr="00866A7A">
        <w:t>shows the value of this measure of implied volatility relative to its long run average level since the start of the data series in 1997</w:t>
      </w:r>
      <w:r>
        <w:t xml:space="preserve"> to 26 February 2016</w:t>
      </w:r>
      <w:r w:rsidRPr="00866A7A">
        <w:rPr>
          <w:rStyle w:val="AERbody"/>
        </w:rPr>
        <w:t>.</w:t>
      </w:r>
      <w:r>
        <w:rPr>
          <w:rStyle w:val="AERbody"/>
        </w:rPr>
        <w:t xml:space="preserve"> </w:t>
      </w:r>
      <w:r w:rsidRPr="00866A7A">
        <w:t xml:space="preserve">On </w:t>
      </w:r>
      <w:r>
        <w:t>26 February 2016</w:t>
      </w:r>
      <w:r w:rsidRPr="00866A7A">
        <w:t xml:space="preserve">, the ASX200 implied volatility index was </w:t>
      </w:r>
      <w:r>
        <w:t>21.9</w:t>
      </w:r>
      <w:r w:rsidRPr="00866A7A">
        <w:t xml:space="preserve"> per cent. Using the same averaging period as the risk free rate, the </w:t>
      </w:r>
      <w:r>
        <w:t>volatility index</w:t>
      </w:r>
      <w:r w:rsidRPr="00866A7A">
        <w:t xml:space="preserve"> was</w:t>
      </w:r>
      <w:r>
        <w:t xml:space="preserve"> 23</w:t>
      </w:r>
      <w:r w:rsidRPr="00866A7A">
        <w:t>.</w:t>
      </w:r>
      <w:r>
        <w:t>7</w:t>
      </w:r>
      <w:r w:rsidRPr="00866A7A">
        <w:t xml:space="preserve"> per cent.</w:t>
      </w:r>
      <w:r w:rsidRPr="00866A7A">
        <w:rPr>
          <w:rStyle w:val="FootnoteReference"/>
        </w:rPr>
        <w:footnoteReference w:id="947"/>
      </w:r>
      <w:r w:rsidRPr="00866A7A">
        <w:t xml:space="preserve"> Over the year ending </w:t>
      </w:r>
      <w:r>
        <w:t>26 February 2016</w:t>
      </w:r>
      <w:r w:rsidRPr="00866A7A">
        <w:t xml:space="preserve">, the </w:t>
      </w:r>
      <w:r>
        <w:t>volatility index</w:t>
      </w:r>
      <w:r w:rsidRPr="00866A7A">
        <w:t xml:space="preserve"> was </w:t>
      </w:r>
      <w:r>
        <w:t>19</w:t>
      </w:r>
      <w:r w:rsidRPr="00866A7A">
        <w:t>.</w:t>
      </w:r>
      <w:r>
        <w:t>1</w:t>
      </w:r>
      <w:r w:rsidRPr="00866A7A">
        <w:t xml:space="preserve"> per cent.</w:t>
      </w:r>
      <w:r>
        <w:t xml:space="preserve"> </w:t>
      </w:r>
      <w:r>
        <w:rPr>
          <w:rStyle w:val="AERbody"/>
        </w:rPr>
        <w:t xml:space="preserve">Overall, we consider that </w:t>
      </w:r>
      <w:r>
        <w:fldChar w:fldCharType="begin"/>
      </w:r>
      <w:r>
        <w:instrText xml:space="preserve"> REF _Ref433023909 \h </w:instrText>
      </w:r>
      <w:r>
        <w:fldChar w:fldCharType="separate"/>
      </w:r>
      <w:r w:rsidR="00BA2E8E" w:rsidRPr="00866A7A">
        <w:t xml:space="preserve">Figure </w:t>
      </w:r>
      <w:r w:rsidR="00BA2E8E">
        <w:rPr>
          <w:noProof/>
        </w:rPr>
        <w:t>3</w:t>
      </w:r>
      <w:r w:rsidR="00BA2E8E">
        <w:noBreakHyphen/>
      </w:r>
      <w:r w:rsidR="00BA2E8E">
        <w:rPr>
          <w:noProof/>
        </w:rPr>
        <w:t>7</w:t>
      </w:r>
      <w:r>
        <w:fldChar w:fldCharType="end"/>
      </w:r>
      <w:r>
        <w:t xml:space="preserve"> shows implied volatility has slightly increased.</w:t>
      </w:r>
      <w:r w:rsidDel="00C41D65">
        <w:rPr>
          <w:rStyle w:val="AERbody"/>
        </w:rPr>
        <w:t xml:space="preserve"> </w:t>
      </w:r>
    </w:p>
    <w:p w:rsidR="0014400B" w:rsidRPr="00866A7A" w:rsidRDefault="0014400B" w:rsidP="0014400B">
      <w:pPr>
        <w:pStyle w:val="Caption"/>
      </w:pPr>
      <w:bookmarkStart w:id="257" w:name="_Ref433023909"/>
      <w:r w:rsidRPr="00866A7A">
        <w:t xml:space="preserve">Figure </w:t>
      </w:r>
      <w:fldSimple w:instr=" STYLEREF 1 \s ">
        <w:r w:rsidR="00BA2E8E">
          <w:rPr>
            <w:noProof/>
          </w:rPr>
          <w:t>3</w:t>
        </w:r>
      </w:fldSimple>
      <w:r w:rsidR="00A6197A">
        <w:noBreakHyphen/>
      </w:r>
      <w:fldSimple w:instr=" SEQ Figure \* ARABIC \s 1 ">
        <w:r w:rsidR="00BA2E8E">
          <w:rPr>
            <w:noProof/>
          </w:rPr>
          <w:t>7</w:t>
        </w:r>
      </w:fldSimple>
      <w:bookmarkEnd w:id="257"/>
      <w:r w:rsidRPr="00866A7A">
        <w:tab/>
        <w:t>Implied volatility (VIX) over time</w:t>
      </w:r>
    </w:p>
    <w:p w:rsidR="0014400B" w:rsidRPr="00866A7A" w:rsidRDefault="009C74CF" w:rsidP="009C74CF">
      <w:pPr>
        <w:numPr>
          <w:ilvl w:val="0"/>
          <w:numId w:val="24"/>
        </w:numPr>
      </w:pPr>
      <w:r w:rsidRPr="009C74CF">
        <w:rPr>
          <w:noProof/>
          <w:lang w:eastAsia="en-AU"/>
        </w:rPr>
        <w:drawing>
          <wp:inline distT="0" distB="0" distL="0" distR="0" wp14:anchorId="1166B6D1" wp14:editId="2C802846">
            <wp:extent cx="5372100" cy="28098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p w:rsidR="0014400B" w:rsidRDefault="0014400B" w:rsidP="0014400B">
      <w:pPr>
        <w:pStyle w:val="AERtablesource"/>
      </w:pPr>
      <w:r w:rsidRPr="00866A7A">
        <w:t xml:space="preserve">Source: </w:t>
      </w:r>
      <w:r w:rsidRPr="00866A7A">
        <w:tab/>
        <w:t>ASX200 VIX volatility index, sourced via Bloomberg co</w:t>
      </w:r>
      <w:r>
        <w:t>de</w:t>
      </w:r>
      <w:r w:rsidRPr="00866A7A">
        <w:t xml:space="preserve"> AS51VIX from 2/1/2008 and </w:t>
      </w:r>
      <w:r>
        <w:t xml:space="preserve">code </w:t>
      </w:r>
      <w:r w:rsidRPr="00866A7A">
        <w:t>CITJAVIX prior to 2/1/2008.</w:t>
      </w:r>
      <w:r>
        <w:t xml:space="preserve"> </w:t>
      </w:r>
    </w:p>
    <w:p w:rsidR="0014400B" w:rsidRDefault="0014400B" w:rsidP="0014400B">
      <w:pPr>
        <w:pStyle w:val="Heading8"/>
      </w:pPr>
      <w:bookmarkStart w:id="258" w:name="_Toc443923226"/>
      <w:bookmarkStart w:id="259" w:name="_Ref451416269"/>
      <w:bookmarkStart w:id="260" w:name="_Toc451678657"/>
      <w:r>
        <w:t>Dividend yields</w:t>
      </w:r>
      <w:bookmarkEnd w:id="258"/>
      <w:bookmarkEnd w:id="259"/>
      <w:bookmarkEnd w:id="260"/>
    </w:p>
    <w:p w:rsidR="0014400B" w:rsidRPr="00866A7A" w:rsidRDefault="0014400B" w:rsidP="0014400B">
      <w:pPr>
        <w:numPr>
          <w:ilvl w:val="0"/>
          <w:numId w:val="24"/>
        </w:numPr>
      </w:pPr>
      <w:bookmarkStart w:id="261" w:name="_Ref400009547"/>
      <w:bookmarkStart w:id="262" w:name="_Ref417224600"/>
      <w:r w:rsidRPr="00866A7A">
        <w:t xml:space="preserve">We use dividend yields as a directional indicator of the </w:t>
      </w:r>
      <w:r>
        <w:t>market risk premium</w:t>
      </w:r>
      <w:r w:rsidRPr="00866A7A">
        <w:t>.</w:t>
      </w:r>
      <w:r w:rsidRPr="00866A7A">
        <w:rPr>
          <w:rStyle w:val="FootnoteReference"/>
        </w:rPr>
        <w:footnoteReference w:id="948"/>
      </w:r>
      <w:r w:rsidRPr="00866A7A">
        <w:t xml:space="preserve"> We consider this information by comparing current dividend yields with the average dividend yield through time.</w:t>
      </w:r>
      <w:r w:rsidRPr="00866A7A">
        <w:rPr>
          <w:rStyle w:val="FootnoteReference"/>
        </w:rPr>
        <w:footnoteReference w:id="949"/>
      </w:r>
      <w:r w:rsidRPr="00866A7A">
        <w:t xml:space="preserve"> </w:t>
      </w:r>
      <w:r>
        <w:fldChar w:fldCharType="begin"/>
      </w:r>
      <w:r>
        <w:instrText xml:space="preserve"> REF _Ref433023708 \h </w:instrText>
      </w:r>
      <w:r>
        <w:fldChar w:fldCharType="separate"/>
      </w:r>
      <w:r w:rsidR="00BA2E8E" w:rsidRPr="00866A7A">
        <w:t xml:space="preserve">Figure </w:t>
      </w:r>
      <w:r w:rsidR="00BA2E8E">
        <w:rPr>
          <w:noProof/>
        </w:rPr>
        <w:t>3</w:t>
      </w:r>
      <w:r w:rsidR="00BA2E8E">
        <w:noBreakHyphen/>
      </w:r>
      <w:r w:rsidR="00BA2E8E">
        <w:rPr>
          <w:noProof/>
        </w:rPr>
        <w:t>8</w:t>
      </w:r>
      <w:r>
        <w:fldChar w:fldCharType="end"/>
      </w:r>
      <w:r>
        <w:t xml:space="preserve"> </w:t>
      </w:r>
      <w:r w:rsidRPr="00866A7A">
        <w:t>shows dividend yields against their historical average</w:t>
      </w:r>
      <w:r>
        <w:t xml:space="preserve"> up to 26 February 2016.</w:t>
      </w:r>
    </w:p>
    <w:p w:rsidR="0014400B" w:rsidRPr="00866A7A" w:rsidRDefault="0014400B" w:rsidP="0014400B">
      <w:r>
        <w:fldChar w:fldCharType="begin"/>
      </w:r>
      <w:r>
        <w:instrText xml:space="preserve"> REF _Ref433023708 \h </w:instrText>
      </w:r>
      <w:r>
        <w:fldChar w:fldCharType="separate"/>
      </w:r>
      <w:r w:rsidR="00BA2E8E" w:rsidRPr="00866A7A">
        <w:t xml:space="preserve">Figure </w:t>
      </w:r>
      <w:r w:rsidR="00BA2E8E">
        <w:rPr>
          <w:noProof/>
        </w:rPr>
        <w:t>3</w:t>
      </w:r>
      <w:r w:rsidR="00BA2E8E">
        <w:noBreakHyphen/>
      </w:r>
      <w:r w:rsidR="00BA2E8E">
        <w:rPr>
          <w:noProof/>
        </w:rPr>
        <w:t>8</w:t>
      </w:r>
      <w:r>
        <w:fldChar w:fldCharType="end"/>
      </w:r>
      <w:r>
        <w:t xml:space="preserve"> </w:t>
      </w:r>
      <w:r w:rsidRPr="00866A7A">
        <w:t xml:space="preserve">shows dividend yields are </w:t>
      </w:r>
      <w:r>
        <w:t>higher than</w:t>
      </w:r>
      <w:r w:rsidRPr="00866A7A">
        <w:t xml:space="preserve"> their long term average. </w:t>
      </w:r>
      <w:r>
        <w:t>However, prior to this increase, dividend yields were close to their long term average and have been</w:t>
      </w:r>
      <w:r w:rsidRPr="00866A7A">
        <w:t xml:space="preserve"> relatively steady over the last </w:t>
      </w:r>
      <w:r>
        <w:t>two years (approximately)</w:t>
      </w:r>
      <w:r w:rsidRPr="00866A7A">
        <w:t>.</w:t>
      </w:r>
      <w:r>
        <w:t xml:space="preserve"> It is unclear whether the recent increase in dividend yields is evidence of a sharp and sustained move away from their long term average. </w:t>
      </w:r>
    </w:p>
    <w:p w:rsidR="0014400B" w:rsidRPr="00866A7A" w:rsidRDefault="0014400B" w:rsidP="0014400B">
      <w:pPr>
        <w:pStyle w:val="Caption"/>
      </w:pPr>
      <w:bookmarkStart w:id="263" w:name="_Ref433023708"/>
      <w:bookmarkEnd w:id="261"/>
      <w:bookmarkEnd w:id="262"/>
      <w:r w:rsidRPr="00866A7A">
        <w:t xml:space="preserve">Figure </w:t>
      </w:r>
      <w:fldSimple w:instr=" STYLEREF 1 \s ">
        <w:r w:rsidR="00BA2E8E">
          <w:rPr>
            <w:noProof/>
          </w:rPr>
          <w:t>3</w:t>
        </w:r>
      </w:fldSimple>
      <w:r w:rsidR="00A6197A">
        <w:noBreakHyphen/>
      </w:r>
      <w:fldSimple w:instr=" SEQ Figure \* ARABIC \s 1 ">
        <w:r w:rsidR="00BA2E8E">
          <w:rPr>
            <w:noProof/>
          </w:rPr>
          <w:t>8</w:t>
        </w:r>
      </w:fldSimple>
      <w:bookmarkEnd w:id="263"/>
      <w:r w:rsidRPr="00866A7A">
        <w:tab/>
        <w:t>Dividend yields</w:t>
      </w:r>
    </w:p>
    <w:p w:rsidR="0014400B" w:rsidRPr="00866A7A" w:rsidRDefault="009C74CF" w:rsidP="009C74CF">
      <w:pPr>
        <w:numPr>
          <w:ilvl w:val="0"/>
          <w:numId w:val="24"/>
        </w:numPr>
      </w:pPr>
      <w:r w:rsidRPr="009C74CF">
        <w:rPr>
          <w:noProof/>
          <w:lang w:eastAsia="en-AU"/>
        </w:rPr>
        <w:drawing>
          <wp:inline distT="0" distB="0" distL="0" distR="0" wp14:anchorId="4B95CFAF" wp14:editId="4D4D46A3">
            <wp:extent cx="5381625" cy="35242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1625" cy="3524250"/>
                    </a:xfrm>
                    <a:prstGeom prst="rect">
                      <a:avLst/>
                    </a:prstGeom>
                    <a:noFill/>
                    <a:ln>
                      <a:noFill/>
                    </a:ln>
                  </pic:spPr>
                </pic:pic>
              </a:graphicData>
            </a:graphic>
          </wp:inline>
        </w:drawing>
      </w:r>
    </w:p>
    <w:p w:rsidR="0014400B" w:rsidRDefault="0014400B" w:rsidP="0014400B">
      <w:pPr>
        <w:pStyle w:val="AERtablesource"/>
      </w:pPr>
      <w:r w:rsidRPr="00866A7A">
        <w:t>Source:</w:t>
      </w:r>
      <w:r w:rsidRPr="00866A7A">
        <w:tab/>
        <w:t>Bloomberg</w:t>
      </w:r>
      <w:r>
        <w:t xml:space="preserve"> AS51 Index</w:t>
      </w:r>
      <w:r w:rsidRPr="00866A7A">
        <w:t>, AER analysis.</w:t>
      </w:r>
    </w:p>
    <w:p w:rsidR="0014400B" w:rsidRDefault="0014400B" w:rsidP="0014400B">
      <w:pPr>
        <w:pStyle w:val="Heading8"/>
      </w:pPr>
      <w:bookmarkStart w:id="264" w:name="_Toc443923227"/>
      <w:bookmarkStart w:id="265" w:name="_Ref449052987"/>
      <w:bookmarkStart w:id="266" w:name="_Ref451416273"/>
      <w:bookmarkStart w:id="267" w:name="_Ref451676313"/>
      <w:bookmarkStart w:id="268" w:name="_Toc451678658"/>
      <w:bookmarkStart w:id="269" w:name="_Ref451680092"/>
      <w:bookmarkStart w:id="270" w:name="_Ref451680137"/>
      <w:r>
        <w:t>Yield spreads</w:t>
      </w:r>
      <w:bookmarkEnd w:id="264"/>
      <w:bookmarkEnd w:id="265"/>
      <w:bookmarkEnd w:id="266"/>
      <w:bookmarkEnd w:id="267"/>
      <w:bookmarkEnd w:id="268"/>
      <w:bookmarkEnd w:id="269"/>
      <w:bookmarkEnd w:id="270"/>
    </w:p>
    <w:p w:rsidR="00846DE7" w:rsidRDefault="00846DE7" w:rsidP="00846DE7">
      <w:pPr>
        <w:numPr>
          <w:ilvl w:val="0"/>
          <w:numId w:val="24"/>
        </w:numPr>
      </w:pPr>
      <w:r>
        <w:t>Yield spreads are the difference between the yields on different assets, typically debt instruments. We examine two categories of yield spreads:</w:t>
      </w:r>
    </w:p>
    <w:p w:rsidR="00846DE7" w:rsidRDefault="00846DE7" w:rsidP="00846DE7">
      <w:pPr>
        <w:pStyle w:val="AERbulletlistfirststyle"/>
      </w:pPr>
      <w:r>
        <w:t>Credit spreads, used to inform our market risk premium estimate.</w:t>
      </w:r>
    </w:p>
    <w:p w:rsidR="00846DE7" w:rsidRDefault="00846DE7" w:rsidP="00846DE7">
      <w:pPr>
        <w:pStyle w:val="AERbulletlistfirststyle"/>
      </w:pPr>
      <w:r>
        <w:t>The spread between our equity risk premium and debt risk premium, used to inform our overall return on equity estimate.</w:t>
      </w:r>
    </w:p>
    <w:p w:rsidR="00846DE7" w:rsidRPr="00866A7A" w:rsidRDefault="00846DE7" w:rsidP="00846DE7">
      <w:pPr>
        <w:numPr>
          <w:ilvl w:val="0"/>
          <w:numId w:val="24"/>
        </w:numPr>
      </w:pPr>
      <w:r w:rsidRPr="00866A7A">
        <w:t xml:space="preserve">Credit spreads are the spreads between the risk free rate </w:t>
      </w:r>
      <w:r>
        <w:t xml:space="preserve">(the yield on Australian government securities) </w:t>
      </w:r>
      <w:r w:rsidRPr="00866A7A">
        <w:t xml:space="preserve">and the return on debt for different debt instruments. We use credit spreads as a directional indicator of the </w:t>
      </w:r>
      <w:r>
        <w:t>market risk premium</w:t>
      </w:r>
      <w:r w:rsidRPr="00866A7A">
        <w:t>.</w:t>
      </w:r>
      <w:r w:rsidRPr="00866A7A">
        <w:rPr>
          <w:rStyle w:val="FootnoteReference"/>
        </w:rPr>
        <w:footnoteReference w:id="950"/>
      </w:r>
      <w:r w:rsidRPr="00866A7A">
        <w:t xml:space="preserve"> We consider this information can be used to indicate changes in market conditions. That is, to indicate whether spreads are widening, stabilising or </w:t>
      </w:r>
      <w:r>
        <w:t>narrowing</w:t>
      </w:r>
      <w:r w:rsidRPr="00866A7A">
        <w:t>.</w:t>
      </w:r>
    </w:p>
    <w:p w:rsidR="00846DE7" w:rsidRDefault="00846DE7" w:rsidP="00846DE7">
      <w:pPr>
        <w:numPr>
          <w:ilvl w:val="0"/>
          <w:numId w:val="24"/>
        </w:numPr>
      </w:pPr>
      <w:r>
        <w:fldChar w:fldCharType="begin"/>
      </w:r>
      <w:r>
        <w:instrText xml:space="preserve"> REF _Ref433023804 \h </w:instrText>
      </w:r>
      <w:r>
        <w:fldChar w:fldCharType="separate"/>
      </w:r>
      <w:r w:rsidR="00BA2E8E" w:rsidRPr="00866A7A">
        <w:t xml:space="preserve">Figure </w:t>
      </w:r>
      <w:r w:rsidR="00BA2E8E">
        <w:rPr>
          <w:noProof/>
        </w:rPr>
        <w:t>3</w:t>
      </w:r>
      <w:r w:rsidR="00BA2E8E">
        <w:noBreakHyphen/>
      </w:r>
      <w:r w:rsidR="00BA2E8E">
        <w:rPr>
          <w:noProof/>
        </w:rPr>
        <w:t>9</w:t>
      </w:r>
      <w:r>
        <w:fldChar w:fldCharType="end"/>
      </w:r>
      <w:r>
        <w:t xml:space="preserve"> </w:t>
      </w:r>
      <w:r w:rsidRPr="00866A7A">
        <w:t xml:space="preserve">shows credit spreads for </w:t>
      </w:r>
      <w:r>
        <w:t>A-rated, AA-rated, and BBB-rated corporate</w:t>
      </w:r>
      <w:r w:rsidRPr="00866A7A">
        <w:t xml:space="preserve"> debt instruments over yields on </w:t>
      </w:r>
      <w:r>
        <w:t>Australian government securities</w:t>
      </w:r>
      <w:r w:rsidRPr="00866A7A">
        <w:t xml:space="preserve">. </w:t>
      </w:r>
      <w:r>
        <w:t xml:space="preserve">These credit spreads were showing a clear downward trend from approximately 2012 before widening slightly in recent times. </w:t>
      </w:r>
    </w:p>
    <w:p w:rsidR="00846DE7" w:rsidRPr="00866A7A" w:rsidRDefault="00846DE7" w:rsidP="00846DE7">
      <w:pPr>
        <w:numPr>
          <w:ilvl w:val="0"/>
          <w:numId w:val="24"/>
        </w:numPr>
      </w:pPr>
      <w:r w:rsidRPr="00866A7A">
        <w:t>Most credit spreads are also above their pre-2007 levels, while the swap rate spread is at or below its pre-2007 levels. In essence, lower quality debt is further from pre-2007 levels than higher quality debt. However, the credit spreads are all substantially lower than they were between 2008 and 2013.</w:t>
      </w:r>
    </w:p>
    <w:p w:rsidR="00846DE7" w:rsidRPr="00866A7A" w:rsidRDefault="00846DE7" w:rsidP="00846DE7">
      <w:pPr>
        <w:pStyle w:val="Caption"/>
        <w:rPr>
          <w:rStyle w:val="Strong"/>
        </w:rPr>
      </w:pPr>
      <w:bookmarkStart w:id="271" w:name="_Ref433023804"/>
      <w:r w:rsidRPr="00866A7A">
        <w:t xml:space="preserve">Figure </w:t>
      </w:r>
      <w:fldSimple w:instr=" STYLEREF 1 \s ">
        <w:r w:rsidR="00BA2E8E">
          <w:rPr>
            <w:noProof/>
          </w:rPr>
          <w:t>3</w:t>
        </w:r>
      </w:fldSimple>
      <w:r w:rsidR="00A6197A">
        <w:noBreakHyphen/>
      </w:r>
      <w:fldSimple w:instr=" SEQ Figure \* ARABIC \s 1 ">
        <w:r w:rsidR="00BA2E8E">
          <w:rPr>
            <w:noProof/>
          </w:rPr>
          <w:t>9</w:t>
        </w:r>
      </w:fldSimple>
      <w:bookmarkEnd w:id="271"/>
      <w:r w:rsidRPr="00866A7A">
        <w:tab/>
        <w:t>Australian bond spreads over government yields</w:t>
      </w:r>
    </w:p>
    <w:p w:rsidR="00846DE7" w:rsidRPr="00866A7A" w:rsidRDefault="00846DE7" w:rsidP="00846DE7">
      <w:pPr>
        <w:numPr>
          <w:ilvl w:val="0"/>
          <w:numId w:val="24"/>
        </w:numPr>
      </w:pPr>
      <w:r w:rsidRPr="00846DE7">
        <w:rPr>
          <w:noProof/>
          <w:lang w:eastAsia="en-AU"/>
        </w:rPr>
        <w:drawing>
          <wp:inline distT="0" distB="0" distL="0" distR="0" wp14:anchorId="289BC1CB" wp14:editId="7A6655C5">
            <wp:extent cx="3876675" cy="34870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ralian Government Bonds.PNG"/>
                    <pic:cNvPicPr/>
                  </pic:nvPicPr>
                  <pic:blipFill>
                    <a:blip r:embed="rId24">
                      <a:extLst>
                        <a:ext uri="{28A0092B-C50C-407E-A947-70E740481C1C}">
                          <a14:useLocalDpi xmlns:a14="http://schemas.microsoft.com/office/drawing/2010/main" val="0"/>
                        </a:ext>
                      </a:extLst>
                    </a:blip>
                    <a:stretch>
                      <a:fillRect/>
                    </a:stretch>
                  </pic:blipFill>
                  <pic:spPr>
                    <a:xfrm>
                      <a:off x="0" y="0"/>
                      <a:ext cx="3877216" cy="3487546"/>
                    </a:xfrm>
                    <a:prstGeom prst="rect">
                      <a:avLst/>
                    </a:prstGeom>
                  </pic:spPr>
                </pic:pic>
              </a:graphicData>
            </a:graphic>
          </wp:inline>
        </w:drawing>
      </w:r>
    </w:p>
    <w:p w:rsidR="00846DE7" w:rsidRPr="00866A7A" w:rsidRDefault="00846DE7" w:rsidP="00846DE7">
      <w:pPr>
        <w:pStyle w:val="AERtablesource"/>
        <w:rPr>
          <w:rStyle w:val="AERtexthighlight"/>
        </w:rPr>
      </w:pPr>
      <w:r w:rsidRPr="00866A7A">
        <w:t xml:space="preserve">Source: </w:t>
      </w:r>
      <w:r w:rsidRPr="00866A7A">
        <w:tab/>
        <w:t xml:space="preserve">RBA, Chart Pack, </w:t>
      </w:r>
      <w:r>
        <w:t>February</w:t>
      </w:r>
      <w:r w:rsidRPr="00866A7A">
        <w:t xml:space="preserve"> </w:t>
      </w:r>
      <w:r w:rsidR="00DE15BA">
        <w:t>2016</w:t>
      </w:r>
      <w:r w:rsidRPr="00866A7A">
        <w:t xml:space="preserve">. </w:t>
      </w:r>
    </w:p>
    <w:p w:rsidR="00846DE7" w:rsidRPr="00866A7A" w:rsidRDefault="00846DE7" w:rsidP="00846DE7">
      <w:pPr>
        <w:pStyle w:val="AERtablesource"/>
      </w:pPr>
      <w:r w:rsidRPr="00866A7A">
        <w:t>Note:</w:t>
      </w:r>
      <w:r w:rsidRPr="00866A7A">
        <w:tab/>
        <w:t>Swap spreads are for a 3 year maturity. Corporate bonds are a weighted average of senior bonds with remaining maturities of 1 to 5 years and include financial and non-financial corporates.</w:t>
      </w:r>
    </w:p>
    <w:p w:rsidR="00846DE7" w:rsidRPr="00866A7A" w:rsidRDefault="00846DE7" w:rsidP="00846DE7">
      <w:r>
        <w:fldChar w:fldCharType="begin"/>
      </w:r>
      <w:r>
        <w:instrText xml:space="preserve"> REF _Ref433023841 \h </w:instrText>
      </w:r>
      <w:r>
        <w:fldChar w:fldCharType="separate"/>
      </w:r>
      <w:r w:rsidR="00BA2E8E" w:rsidRPr="00866A7A">
        <w:t xml:space="preserve">Figure </w:t>
      </w:r>
      <w:r w:rsidR="00BA2E8E">
        <w:rPr>
          <w:noProof/>
        </w:rPr>
        <w:t>3</w:t>
      </w:r>
      <w:r w:rsidR="00BA2E8E">
        <w:noBreakHyphen/>
      </w:r>
      <w:r w:rsidR="00BA2E8E">
        <w:rPr>
          <w:noProof/>
        </w:rPr>
        <w:t>10</w:t>
      </w:r>
      <w:r>
        <w:fldChar w:fldCharType="end"/>
      </w:r>
      <w:r>
        <w:t xml:space="preserve"> </w:t>
      </w:r>
      <w:r w:rsidRPr="00866A7A">
        <w:t xml:space="preserve">shows the spread between state government debt and </w:t>
      </w:r>
      <w:r>
        <w:t>Australian government debt up to 2</w:t>
      </w:r>
      <w:r w:rsidR="001A348B">
        <w:t>4</w:t>
      </w:r>
      <w:r>
        <w:t xml:space="preserve"> February 2016</w:t>
      </w:r>
      <w:r w:rsidRPr="00866A7A">
        <w:t xml:space="preserve">. This uses maturities of three years as more data are available. </w:t>
      </w:r>
      <w:r>
        <w:fldChar w:fldCharType="begin"/>
      </w:r>
      <w:r>
        <w:instrText xml:space="preserve"> REF _Ref433023841 \h </w:instrText>
      </w:r>
      <w:r>
        <w:fldChar w:fldCharType="separate"/>
      </w:r>
      <w:r w:rsidR="00BA2E8E" w:rsidRPr="00866A7A">
        <w:t xml:space="preserve">Figure </w:t>
      </w:r>
      <w:r w:rsidR="00BA2E8E">
        <w:rPr>
          <w:noProof/>
        </w:rPr>
        <w:t>3</w:t>
      </w:r>
      <w:r w:rsidR="00BA2E8E">
        <w:noBreakHyphen/>
      </w:r>
      <w:r w:rsidR="00BA2E8E">
        <w:rPr>
          <w:noProof/>
        </w:rPr>
        <w:t>10</w:t>
      </w:r>
      <w:r>
        <w:fldChar w:fldCharType="end"/>
      </w:r>
      <w:r>
        <w:t xml:space="preserve"> </w:t>
      </w:r>
      <w:r w:rsidRPr="00FC51C7">
        <w:t xml:space="preserve">shows that credit spreads were falling since late 2012, and </w:t>
      </w:r>
      <w:r>
        <w:t>are now</w:t>
      </w:r>
      <w:r w:rsidRPr="00FC51C7">
        <w:t xml:space="preserve"> </w:t>
      </w:r>
      <w:r>
        <w:t>around their pre-2007 levels with no discernible trend</w:t>
      </w:r>
      <w:r w:rsidRPr="00866A7A">
        <w:t xml:space="preserve">. </w:t>
      </w:r>
    </w:p>
    <w:p w:rsidR="00846DE7" w:rsidRPr="00866A7A" w:rsidRDefault="00846DE7" w:rsidP="00846DE7">
      <w:pPr>
        <w:pStyle w:val="Caption"/>
      </w:pPr>
      <w:bookmarkStart w:id="272" w:name="_Ref433023841"/>
      <w:r w:rsidRPr="00866A7A">
        <w:t xml:space="preserve">Figure </w:t>
      </w:r>
      <w:fldSimple w:instr=" STYLEREF 1 \s ">
        <w:r w:rsidR="00BA2E8E">
          <w:rPr>
            <w:noProof/>
          </w:rPr>
          <w:t>3</w:t>
        </w:r>
      </w:fldSimple>
      <w:r w:rsidR="00A6197A">
        <w:noBreakHyphen/>
      </w:r>
      <w:fldSimple w:instr=" SEQ Figure \* ARABIC \s 1 ">
        <w:r w:rsidR="00BA2E8E">
          <w:rPr>
            <w:noProof/>
          </w:rPr>
          <w:t>10</w:t>
        </w:r>
      </w:fldSimple>
      <w:bookmarkEnd w:id="272"/>
      <w:r w:rsidRPr="00866A7A">
        <w:tab/>
        <w:t>State government bond spreads over government yields</w:t>
      </w:r>
    </w:p>
    <w:p w:rsidR="00846DE7" w:rsidRPr="00866A7A" w:rsidRDefault="009C74CF" w:rsidP="009C74CF">
      <w:pPr>
        <w:numPr>
          <w:ilvl w:val="0"/>
          <w:numId w:val="24"/>
        </w:numPr>
      </w:pPr>
      <w:r w:rsidRPr="009C74CF">
        <w:rPr>
          <w:noProof/>
          <w:lang w:eastAsia="en-AU"/>
        </w:rPr>
        <w:drawing>
          <wp:inline distT="0" distB="0" distL="0" distR="0" wp14:anchorId="42F55C47" wp14:editId="59E1F76B">
            <wp:extent cx="5372100" cy="32480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2100" cy="3248025"/>
                    </a:xfrm>
                    <a:prstGeom prst="rect">
                      <a:avLst/>
                    </a:prstGeom>
                    <a:noFill/>
                    <a:ln>
                      <a:noFill/>
                    </a:ln>
                  </pic:spPr>
                </pic:pic>
              </a:graphicData>
            </a:graphic>
          </wp:inline>
        </w:drawing>
      </w:r>
    </w:p>
    <w:p w:rsidR="00846DE7" w:rsidRDefault="00846DE7" w:rsidP="00846DE7">
      <w:pPr>
        <w:pStyle w:val="AERtablesource"/>
      </w:pPr>
      <w:r w:rsidRPr="00866A7A">
        <w:t xml:space="preserve">Source: </w:t>
      </w:r>
      <w:r>
        <w:tab/>
      </w:r>
      <w:r w:rsidRPr="00866A7A">
        <w:t>AER analysis</w:t>
      </w:r>
      <w:r>
        <w:t>,</w:t>
      </w:r>
      <w:r w:rsidRPr="00866A7A">
        <w:t xml:space="preserve"> RBA</w:t>
      </w:r>
      <w:r>
        <w:t xml:space="preserve"> F.2 interest rate statistics. </w:t>
      </w:r>
    </w:p>
    <w:p w:rsidR="00846DE7" w:rsidRPr="007708DA" w:rsidRDefault="00846DE7" w:rsidP="00846DE7">
      <w:pPr>
        <w:rPr>
          <w:rStyle w:val="AERbody"/>
        </w:rPr>
      </w:pPr>
      <w:r>
        <w:rPr>
          <w:rStyle w:val="AERbody"/>
        </w:rPr>
        <w:t>On</w:t>
      </w:r>
      <w:r w:rsidRPr="007708DA">
        <w:rPr>
          <w:rStyle w:val="AERbody"/>
        </w:rPr>
        <w:t xml:space="preserve"> the comparison between the retu</w:t>
      </w:r>
      <w:r>
        <w:rPr>
          <w:rStyle w:val="AERbody"/>
        </w:rPr>
        <w:t>rn on equity and return on debt, w</w:t>
      </w:r>
      <w:r w:rsidRPr="007708DA">
        <w:rPr>
          <w:rStyle w:val="AERbody"/>
        </w:rPr>
        <w:t>e consider that prevailing debt market conditions provide support for the view that:</w:t>
      </w:r>
    </w:p>
    <w:p w:rsidR="00846DE7" w:rsidRPr="00B005DF" w:rsidRDefault="00846DE7" w:rsidP="00846DE7">
      <w:pPr>
        <w:pStyle w:val="AERbulletlistfirststyle"/>
      </w:pPr>
      <w:r w:rsidRPr="00777F0A">
        <w:t>our estimated return on equity is not belo</w:t>
      </w:r>
      <w:r w:rsidRPr="00B005DF">
        <w:t>w efficient financing costs</w:t>
      </w:r>
      <w:r w:rsidRPr="00B005DF">
        <w:rPr>
          <w:rStyle w:val="FootnoteReference"/>
        </w:rPr>
        <w:footnoteReference w:id="951"/>
      </w:r>
    </w:p>
    <w:p w:rsidR="00846DE7" w:rsidRPr="00B005DF" w:rsidRDefault="00846DE7" w:rsidP="00846DE7">
      <w:pPr>
        <w:pStyle w:val="AERbulletlistfirststyle"/>
      </w:pPr>
      <w:r>
        <w:t>CitiPower's</w:t>
      </w:r>
      <w:r w:rsidRPr="00B005DF">
        <w:t xml:space="preserve"> proposed return on equity is likely to exceed efficient financing costs.</w:t>
      </w:r>
    </w:p>
    <w:p w:rsidR="00846DE7" w:rsidRDefault="00846DE7" w:rsidP="00846DE7">
      <w:pPr>
        <w:numPr>
          <w:ilvl w:val="0"/>
          <w:numId w:val="24"/>
        </w:numPr>
      </w:pPr>
      <w:r w:rsidRPr="00D41E28">
        <w:t xml:space="preserve">The current debt market </w:t>
      </w:r>
      <w:r>
        <w:t>is indicating</w:t>
      </w:r>
      <w:r w:rsidRPr="00D41E28">
        <w:t xml:space="preserve"> a premium over </w:t>
      </w:r>
      <w:r>
        <w:t>the risk free rate</w:t>
      </w:r>
      <w:r w:rsidRPr="00D41E28">
        <w:t xml:space="preserve"> </w:t>
      </w:r>
      <w:r>
        <w:t>of about 3.1</w:t>
      </w:r>
      <w:r w:rsidR="006B2D44">
        <w:t>4</w:t>
      </w:r>
      <w:r>
        <w:t xml:space="preserve"> per cent.</w:t>
      </w:r>
      <w:r>
        <w:rPr>
          <w:rStyle w:val="FootnoteReference"/>
        </w:rPr>
        <w:footnoteReference w:id="952"/>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fldChar w:fldCharType="begin"/>
      </w:r>
      <w:r>
        <w:instrText xml:space="preserve"> REF _Ref417589908 \h </w:instrText>
      </w:r>
      <w:r>
        <w:fldChar w:fldCharType="separate"/>
      </w:r>
      <w:r w:rsidR="00BA2E8E">
        <w:t xml:space="preserve">Figure </w:t>
      </w:r>
      <w:r w:rsidR="00BA2E8E">
        <w:rPr>
          <w:noProof/>
        </w:rPr>
        <w:t>3</w:t>
      </w:r>
      <w:r w:rsidR="00BA2E8E">
        <w:noBreakHyphen/>
      </w:r>
      <w:r w:rsidR="00BA2E8E">
        <w:rPr>
          <w:noProof/>
        </w:rPr>
        <w:t>11</w:t>
      </w:r>
      <w:r>
        <w:fldChar w:fldCharType="end"/>
      </w:r>
      <w:r>
        <w:t xml:space="preserve"> shows the current and historical debt risk premium and our foundation model equity risk premium. CitiPower proposed an equity risk premium of 7.</w:t>
      </w:r>
      <w:r w:rsidR="00E2025D">
        <w:t>1</w:t>
      </w:r>
      <w:r w:rsidR="006C2768">
        <w:t>4</w:t>
      </w:r>
      <w:r>
        <w:t xml:space="preserve"> per cent.</w:t>
      </w:r>
      <w:r>
        <w:rPr>
          <w:rStyle w:val="FootnoteReference"/>
        </w:rPr>
        <w:footnoteReference w:id="953"/>
      </w:r>
    </w:p>
    <w:p w:rsidR="00846DE7" w:rsidRDefault="00846DE7" w:rsidP="00846DE7">
      <w:pPr>
        <w:pStyle w:val="Caption"/>
      </w:pPr>
      <w:bookmarkStart w:id="273" w:name="_Ref417589908"/>
      <w:r>
        <w:t xml:space="preserve">Figure </w:t>
      </w:r>
      <w:fldSimple w:instr=" STYLEREF 1 \s ">
        <w:r w:rsidR="00BA2E8E">
          <w:rPr>
            <w:noProof/>
          </w:rPr>
          <w:t>3</w:t>
        </w:r>
      </w:fldSimple>
      <w:r w:rsidR="00A6197A">
        <w:noBreakHyphen/>
      </w:r>
      <w:fldSimple w:instr=" SEQ Figure \* ARABIC \s 1 ">
        <w:r w:rsidR="00BA2E8E">
          <w:rPr>
            <w:noProof/>
          </w:rPr>
          <w:t>11</w:t>
        </w:r>
      </w:fldSimple>
      <w:bookmarkEnd w:id="273"/>
      <w:r>
        <w:tab/>
        <w:t>Comparison of equity risk premium and indicative debt risk premiums</w:t>
      </w:r>
    </w:p>
    <w:p w:rsidR="00846DE7" w:rsidRDefault="009C74CF" w:rsidP="00846DE7">
      <w:pPr>
        <w:pStyle w:val="AERtablesource"/>
      </w:pPr>
      <w:r w:rsidRPr="009C74CF">
        <w:rPr>
          <w:noProof/>
          <w:lang w:eastAsia="en-AU"/>
        </w:rPr>
        <w:drawing>
          <wp:inline distT="0" distB="0" distL="0" distR="0" wp14:anchorId="4CDDA5BA" wp14:editId="6E2BB2F3">
            <wp:extent cx="5382895" cy="5040683"/>
            <wp:effectExtent l="0" t="0" r="8255"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82895" cy="5040683"/>
                    </a:xfrm>
                    <a:prstGeom prst="rect">
                      <a:avLst/>
                    </a:prstGeom>
                    <a:noFill/>
                    <a:ln>
                      <a:noFill/>
                    </a:ln>
                  </pic:spPr>
                </pic:pic>
              </a:graphicData>
            </a:graphic>
          </wp:inline>
        </w:drawing>
      </w:r>
    </w:p>
    <w:p w:rsidR="00846DE7" w:rsidRDefault="00846DE7" w:rsidP="00846DE7">
      <w:pPr>
        <w:pStyle w:val="AERtablesource"/>
      </w:pPr>
      <w:r>
        <w:t>Source:</w:t>
      </w:r>
      <w:r>
        <w:tab/>
        <w:t>AER analysis, RBA interest rates statistics, Bloomberg data.</w:t>
      </w:r>
    </w:p>
    <w:p w:rsidR="00846DE7" w:rsidRDefault="00846DE7" w:rsidP="00846DE7">
      <w:pPr>
        <w:numPr>
          <w:ilvl w:val="0"/>
          <w:numId w:val="24"/>
        </w:numPr>
      </w:pPr>
      <w:r>
        <w:t>We do not consider that the current 141 basis points difference between the equity risk premium allowed in this decision and debt risk premiums</w:t>
      </w:r>
      <w:r>
        <w:rPr>
          <w:rStyle w:val="FootnoteReference"/>
        </w:rPr>
        <w:footnoteReference w:id="954"/>
      </w:r>
      <w:r>
        <w:t xml:space="preserve"> to be too low, on the basis of:</w:t>
      </w:r>
    </w:p>
    <w:p w:rsidR="00846DE7" w:rsidRPr="00B005DF" w:rsidRDefault="00846DE7" w:rsidP="00846DE7">
      <w:pPr>
        <w:pStyle w:val="AERbulletlistfirststyle"/>
      </w:pPr>
      <w:r>
        <w:t xml:space="preserve">the low risk nature of a benchmark </w:t>
      </w:r>
      <w:r w:rsidRPr="00B005DF">
        <w:t>efficient entity as outlined above</w:t>
      </w:r>
    </w:p>
    <w:p w:rsidR="00846DE7" w:rsidRDefault="00846DE7" w:rsidP="00846DE7">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955"/>
      </w:r>
    </w:p>
    <w:p w:rsidR="00846DE7" w:rsidRPr="00BA0AFD" w:rsidRDefault="00846DE7" w:rsidP="00846DE7">
      <w:pPr>
        <w:rPr>
          <w:rStyle w:val="AERbody"/>
        </w:rPr>
      </w:pPr>
      <w:r>
        <w:rPr>
          <w:rStyle w:val="AERbody"/>
        </w:rPr>
        <w:t xml:space="preserve">In </w:t>
      </w:r>
      <w:r w:rsidRPr="00BA0AFD">
        <w:rPr>
          <w:rStyle w:val="AERbody"/>
        </w:rPr>
        <w:t>relation to our review of debt risk premiums relative to equity premiums in our April 2015 decisions, ActewAGL submitted:</w:t>
      </w:r>
      <w:r w:rsidRPr="00BA0AFD">
        <w:rPr>
          <w:rStyle w:val="FootnoteReference"/>
        </w:rPr>
        <w:footnoteReference w:id="956"/>
      </w:r>
    </w:p>
    <w:p w:rsidR="00846DE7" w:rsidRPr="00BA0AFD" w:rsidRDefault="00846DE7" w:rsidP="00846DE7">
      <w:pPr>
        <w:pStyle w:val="AERquote"/>
      </w:pPr>
      <w:r w:rsidRPr="00964A16">
        <w:t>In relation to more stable market conditions, ActewAGL Distribution does not consider that the AER provides any supporting evidence that 260 basis points is a sufficient margin. Noting that the debt risk premium for a long time has been between 2 and 4 per cent indicates that the ERP of 4.55 per cent is low when compa</w:t>
      </w:r>
      <w:r>
        <w:t>red with the last 8 years. Actew</w:t>
      </w:r>
      <w:r w:rsidRPr="00964A16">
        <w:t>AGL Distribution also considers that the ‘flight to safety’ in relation to the decreasing CGS values are very likely to have influenced the return on debt</w:t>
      </w:r>
    </w:p>
    <w:p w:rsidR="00846DE7" w:rsidRDefault="00846DE7" w:rsidP="00846DE7">
      <w:r>
        <w:t>We agree that it is difficult to derive definitive conclusions about equity premiums from data on debt premiums, which is one of the reasons why we give this material a directional role.</w:t>
      </w:r>
      <w:r>
        <w:rPr>
          <w:rStyle w:val="FootnoteReference"/>
        </w:rPr>
        <w:footnoteReference w:id="957"/>
      </w:r>
      <w:r>
        <w:t xml:space="preserve"> It is therefore unclear how ActewAGL reconciles this difficulty in extracting precision from this material with its statement that an equity risk premium of 4.55 per cent is too low. We consider that it is far from clear that a 'flight to safety' has impacted recent risk premiums. As noted by Partington, an alternative and equally plausible view is that low yields on Australian government securities may have driven investors to 'search for yield' with the result of decreasing risk premiums.</w:t>
      </w:r>
      <w:r>
        <w:rPr>
          <w:rStyle w:val="FootnoteReference"/>
        </w:rPr>
        <w:footnoteReference w:id="958"/>
      </w:r>
    </w:p>
    <w:p w:rsidR="00846DE7" w:rsidRDefault="00846DE7" w:rsidP="00846DE7">
      <w:r>
        <w:t xml:space="preserve">We note that the overall directional evidence shows </w:t>
      </w:r>
      <w:r w:rsidRPr="00BA0AFD">
        <w:t xml:space="preserve">that </w:t>
      </w:r>
      <w:r>
        <w:t>debt risk premiums have increased since around mid-2015, but remain below the levels in December 2013 (when</w:t>
      </w:r>
      <w:r w:rsidRPr="00BA0AFD">
        <w:t xml:space="preserve"> our Rate of Return Guideline was published)</w:t>
      </w:r>
      <w:r>
        <w:t xml:space="preserve">, as shown in </w:t>
      </w:r>
      <w:r>
        <w:fldChar w:fldCharType="begin"/>
      </w:r>
      <w:r>
        <w:instrText xml:space="preserve"> REF _Ref417589908 \h </w:instrText>
      </w:r>
      <w:r>
        <w:fldChar w:fldCharType="separate"/>
      </w:r>
      <w:r w:rsidR="00BA2E8E">
        <w:t xml:space="preserve">Figure </w:t>
      </w:r>
      <w:r w:rsidR="00BA2E8E">
        <w:rPr>
          <w:noProof/>
        </w:rPr>
        <w:t>3</w:t>
      </w:r>
      <w:r w:rsidR="00BA2E8E">
        <w:noBreakHyphen/>
      </w:r>
      <w:r w:rsidR="00BA2E8E">
        <w:rPr>
          <w:noProof/>
        </w:rPr>
        <w:t>11</w:t>
      </w:r>
      <w:r>
        <w:fldChar w:fldCharType="end"/>
      </w:r>
      <w:r w:rsidRPr="00BA0AFD">
        <w:t xml:space="preserve">. </w:t>
      </w:r>
    </w:p>
    <w:p w:rsidR="00846DE7" w:rsidRPr="00BA0AFD" w:rsidRDefault="00846DE7" w:rsidP="00846DE7">
      <w:r>
        <w:t xml:space="preserve">We have also examined estimates from broker reports of the spread between debt and equity risk premiums for comparable businesses (see </w:t>
      </w:r>
      <w:r>
        <w:fldChar w:fldCharType="begin"/>
      </w:r>
      <w:r>
        <w:instrText xml:space="preserve"> REF _Ref444730279 \h </w:instrText>
      </w:r>
      <w:r>
        <w:fldChar w:fldCharType="separate"/>
      </w:r>
      <w:r w:rsidR="00BA2E8E">
        <w:t xml:space="preserve">Figure </w:t>
      </w:r>
      <w:r w:rsidR="00BA2E8E">
        <w:rPr>
          <w:noProof/>
        </w:rPr>
        <w:t>3</w:t>
      </w:r>
      <w:r w:rsidR="00BA2E8E">
        <w:noBreakHyphen/>
      </w:r>
      <w:r w:rsidR="00BA2E8E">
        <w:rPr>
          <w:noProof/>
        </w:rPr>
        <w:t>12</w:t>
      </w:r>
      <w:r>
        <w:fldChar w:fldCharType="end"/>
      </w:r>
      <w:r>
        <w:t>). However, w</w:t>
      </w:r>
      <w:r w:rsidRPr="00BA0AFD">
        <w:t xml:space="preserve">e note </w:t>
      </w:r>
      <w:r>
        <w:t>that the variance</w:t>
      </w:r>
      <w:r w:rsidDel="002521C4">
        <w:t xml:space="preserve"> </w:t>
      </w:r>
      <w:r>
        <w:t xml:space="preserve">in the most recent </w:t>
      </w:r>
      <w:r w:rsidRPr="00BA0AFD">
        <w:t xml:space="preserve">broker estimates </w:t>
      </w:r>
      <w:r>
        <w:t>has increased. We consider that this data does not provide a clear indication of brokers' views on recent movements in risk premiums</w:t>
      </w:r>
      <w:r w:rsidRPr="00BA0AFD">
        <w:t>.</w:t>
      </w:r>
    </w:p>
    <w:p w:rsidR="00846DE7" w:rsidRPr="00BA0AFD" w:rsidRDefault="00846DE7" w:rsidP="00846DE7">
      <w:pPr>
        <w:pStyle w:val="Caption"/>
      </w:pPr>
      <w:bookmarkStart w:id="274" w:name="_Ref444730279"/>
      <w:r>
        <w:t xml:space="preserve">Figure </w:t>
      </w:r>
      <w:fldSimple w:instr=" STYLEREF 1 \s ">
        <w:r w:rsidR="00BA2E8E">
          <w:rPr>
            <w:noProof/>
          </w:rPr>
          <w:t>3</w:t>
        </w:r>
      </w:fldSimple>
      <w:r w:rsidR="00A6197A">
        <w:noBreakHyphen/>
      </w:r>
      <w:fldSimple w:instr=" SEQ Figure \* ARABIC \s 1 ">
        <w:r w:rsidR="00BA2E8E">
          <w:rPr>
            <w:noProof/>
          </w:rPr>
          <w:t>12</w:t>
        </w:r>
      </w:fldSimple>
      <w:bookmarkEnd w:id="274"/>
      <w:r>
        <w:tab/>
        <w:t>Difference between equity and debt premiums in broker reports</w:t>
      </w:r>
    </w:p>
    <w:p w:rsidR="00846DE7" w:rsidRPr="003E6BC3" w:rsidRDefault="009C74CF" w:rsidP="00846DE7">
      <w:r w:rsidRPr="009C74CF">
        <w:rPr>
          <w:noProof/>
          <w:lang w:eastAsia="en-AU"/>
        </w:rPr>
        <w:drawing>
          <wp:inline distT="0" distB="0" distL="0" distR="0" wp14:anchorId="1D7D0113" wp14:editId="5F9F05D9">
            <wp:extent cx="5372100" cy="384810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2100" cy="3848100"/>
                    </a:xfrm>
                    <a:prstGeom prst="rect">
                      <a:avLst/>
                    </a:prstGeom>
                    <a:noFill/>
                    <a:ln>
                      <a:noFill/>
                    </a:ln>
                  </pic:spPr>
                </pic:pic>
              </a:graphicData>
            </a:graphic>
          </wp:inline>
        </w:drawing>
      </w:r>
    </w:p>
    <w:p w:rsidR="00846DE7" w:rsidRPr="00E5005D" w:rsidRDefault="00846DE7" w:rsidP="00846DE7">
      <w:pPr>
        <w:pStyle w:val="AERtablesource"/>
      </w:pPr>
      <w:r>
        <w:t>Source:</w:t>
      </w:r>
      <w:r>
        <w:tab/>
        <w:t>AER analysis of various relevant broker reports, RBA and Bloomberg data.</w:t>
      </w:r>
    </w:p>
    <w:p w:rsidR="00846DE7" w:rsidRDefault="00846DE7" w:rsidP="00846DE7">
      <w:pPr>
        <w:pStyle w:val="AERtablesource"/>
      </w:pPr>
      <w:r>
        <w:t xml:space="preserve">Notes: </w:t>
      </w:r>
      <w:r>
        <w:tab/>
        <w:t xml:space="preserve">The broker estimate of the difference between equity and debt risk premium is calculated by deducting brokers' debt risk premium from their equity risk premium. </w:t>
      </w:r>
    </w:p>
    <w:p w:rsidR="00846DE7" w:rsidRPr="00E5005D" w:rsidRDefault="00846DE7" w:rsidP="00846DE7">
      <w:pPr>
        <w:pStyle w:val="AERtablesource"/>
      </w:pPr>
      <w:r>
        <w:tab/>
        <w:t xml:space="preserve">The indicative estimate is calculated by deducting an estimate of the indicative debt risk premium from the equity risk premium for this decision. The indicative debt risk premium is estimated as the yield on BBB-rated corporate bonds (a simple average of the RBA corporate bond data and Bloomberg BVAL curve) less the yield on 10-year CGS. </w:t>
      </w:r>
    </w:p>
    <w:p w:rsidR="00846DE7" w:rsidRPr="001562D4" w:rsidRDefault="00846DE7" w:rsidP="00846DE7"/>
    <w:p w:rsidR="00DB0499" w:rsidRDefault="00DB0499" w:rsidP="00DB0499"/>
    <w:p w:rsidR="00DB0499" w:rsidRDefault="00DB0499" w:rsidP="00DB0499"/>
    <w:p w:rsidR="00DB0499" w:rsidRDefault="00DB0499" w:rsidP="00DB0499"/>
    <w:p w:rsidR="00DB0499" w:rsidRDefault="00DB0499" w:rsidP="00DB0499">
      <w:pPr>
        <w:pStyle w:val="Heading7"/>
      </w:pPr>
      <w:bookmarkStart w:id="275" w:name="_Toc451678659"/>
      <w:bookmarkStart w:id="276" w:name="_Ref451680079"/>
      <w:r>
        <w:t>Other practitioner's return on equity estimates</w:t>
      </w:r>
      <w:bookmarkEnd w:id="275"/>
      <w:bookmarkEnd w:id="276"/>
    </w:p>
    <w:p w:rsidR="00445C3E" w:rsidRDefault="00445C3E" w:rsidP="00445C3E">
      <w:pPr>
        <w:numPr>
          <w:ilvl w:val="0"/>
          <w:numId w:val="24"/>
        </w:numPr>
      </w:pPr>
      <w:r>
        <w:t>O</w:t>
      </w:r>
      <w:r w:rsidRPr="007D5DCA">
        <w:t xml:space="preserve">ther market </w:t>
      </w:r>
      <w:r>
        <w:t>practitioners</w:t>
      </w:r>
      <w:r w:rsidRPr="007D5DCA">
        <w:t xml:space="preserve"> may, in the course of their operations, produce return on equity estimates for entities </w:t>
      </w:r>
      <w:r>
        <w:t>with a similar degree of risk as CitiPower</w:t>
      </w:r>
      <w:r w:rsidRPr="007D5DCA">
        <w:t xml:space="preserve">. </w:t>
      </w:r>
      <w:r>
        <w:t xml:space="preserve">Other practitioners may also produce estimates of input parameters required in the Sharpe-Lintner CAPM (our foundation model). These estimates may be relevant material that can inform our return on equity estimation. </w:t>
      </w:r>
    </w:p>
    <w:p w:rsidR="00445C3E" w:rsidRDefault="00445C3E" w:rsidP="00445C3E">
      <w:pPr>
        <w:numPr>
          <w:ilvl w:val="0"/>
          <w:numId w:val="24"/>
        </w:numPr>
      </w:pPr>
      <w:r>
        <w:t>Relevant estimates of other market practitioners are typically sourced from surveys, broker reports, valuation reports, and other regulators' decisions. Such estimates are discussed further in the subsections below.</w:t>
      </w:r>
    </w:p>
    <w:p w:rsidR="00445C3E" w:rsidRDefault="00445C3E" w:rsidP="00445C3E">
      <w:r>
        <w:t xml:space="preserve">We have focused on return on equity estimates for companies with a similar degree of </w:t>
      </w:r>
      <w:r w:rsidRPr="00F52B2E">
        <w:t xml:space="preserve">non-diversifiable risks </w:t>
      </w:r>
      <w:r>
        <w:t>as CitiPower in providing regulated (standard control) services</w:t>
      </w:r>
      <w:r w:rsidRPr="00F52B2E">
        <w:t xml:space="preserve">. </w:t>
      </w:r>
      <w:r w:rsidRPr="00821895">
        <w:t>This means that greater reliance is placed on electricity and gas network service providers over other types of businesses.</w:t>
      </w:r>
      <w:r>
        <w:t xml:space="preserve"> Greater reliance is also placed on businesses with revenues that are substantially regulated over businesses with less regulated revenue. We take this approach as it better reflects the degree of risk of CitiPower in relation to the provision of regulated services.</w:t>
      </w:r>
    </w:p>
    <w:p w:rsidR="00445C3E" w:rsidRDefault="00445C3E" w:rsidP="00445C3E">
      <w:pPr>
        <w:rPr>
          <w:rStyle w:val="AERtextblue"/>
        </w:rPr>
      </w:pPr>
      <w:r>
        <w:t>We have also focused on the equity risk premium rather than the overall return on equity to isolate the business-specific risk premium from movements in the risk free rate</w:t>
      </w:r>
      <w:r w:rsidRPr="00F52B2E">
        <w:rPr>
          <w:rStyle w:val="AERtextblue"/>
        </w:rPr>
        <w:t>.</w:t>
      </w:r>
      <w:r>
        <w:rPr>
          <w:rStyle w:val="FootnoteReference"/>
        </w:rPr>
        <w:footnoteReference w:id="959"/>
      </w:r>
    </w:p>
    <w:p w:rsidR="00445C3E" w:rsidRDefault="00900E51" w:rsidP="00445C3E">
      <w:r>
        <w:t>Service providers</w:t>
      </w:r>
      <w:r w:rsidR="00445C3E">
        <w:t xml:space="preserve"> stated that past decisions of other regulators should not be used as direct evidence of the required return on equity, as they are, 'at best, secondary evidence of the prevailing return on equity at previous points in time' and 'use of such decisions will be circular and self-perpetuating'.</w:t>
      </w:r>
      <w:r w:rsidR="00445C3E">
        <w:rPr>
          <w:rStyle w:val="FootnoteReference"/>
        </w:rPr>
        <w:footnoteReference w:id="960"/>
      </w:r>
      <w:r w:rsidR="00445C3E">
        <w:t xml:space="preserve"> We note that some estimates from other market practitioners—including from survey respondents, brokers and valuers—may be affected to some extent by 'herding' behaviour.</w:t>
      </w:r>
      <w:r w:rsidR="00445C3E">
        <w:rPr>
          <w:rStyle w:val="FootnoteReference"/>
        </w:rPr>
        <w:footnoteReference w:id="961"/>
      </w:r>
      <w:r w:rsidR="00445C3E">
        <w:t xml:space="preserve"> We continue to consider that it is relevant for us to have some regard to these estimates, as long as we remain aware of their limitations. </w:t>
      </w:r>
    </w:p>
    <w:p w:rsidR="007B1C84" w:rsidRPr="007B1C84" w:rsidRDefault="007B1C84" w:rsidP="007B1C84">
      <w:pPr>
        <w:pStyle w:val="Heading8"/>
        <w:numPr>
          <w:ilvl w:val="1"/>
          <w:numId w:val="41"/>
        </w:numPr>
      </w:pPr>
      <w:bookmarkStart w:id="277" w:name="_Toc443923230"/>
      <w:bookmarkStart w:id="278" w:name="_Ref446272549"/>
      <w:bookmarkStart w:id="279" w:name="_Toc451678660"/>
      <w:r>
        <w:t>Prevailing estimates: surveys</w:t>
      </w:r>
      <w:bookmarkEnd w:id="277"/>
      <w:bookmarkEnd w:id="278"/>
      <w:bookmarkEnd w:id="279"/>
    </w:p>
    <w:p w:rsidR="007B1C84" w:rsidRPr="00954DE4" w:rsidRDefault="007B1C84" w:rsidP="007B1C84">
      <w:r w:rsidRPr="00C90454">
        <w:t xml:space="preserve">Survey estimates explore investor expectations about the </w:t>
      </w:r>
      <w:r>
        <w:t>market risk premium</w:t>
      </w:r>
      <w:r w:rsidRPr="00954DE4">
        <w:t>. They achieve this by directly asking investors and market practitioners what their expectations are</w:t>
      </w:r>
      <w:r>
        <w:t xml:space="preserve"> and/or what they apply in practice</w:t>
      </w:r>
      <w:r w:rsidRPr="00954DE4">
        <w:t xml:space="preserve">. We </w:t>
      </w:r>
      <w:r>
        <w:t>place</w:t>
      </w:r>
      <w:r w:rsidRPr="00954DE4">
        <w:t xml:space="preserve"> some reliance on survey estimates in estimating the </w:t>
      </w:r>
      <w:r>
        <w:t>market risk premium</w:t>
      </w:r>
      <w:r w:rsidRPr="00954DE4">
        <w:t xml:space="preserve">. </w:t>
      </w:r>
    </w:p>
    <w:p w:rsidR="007B1C84" w:rsidRPr="00954DE4" w:rsidRDefault="007B1C84" w:rsidP="007B1C84">
      <w:r>
        <w:fldChar w:fldCharType="begin"/>
      </w:r>
      <w:r>
        <w:instrText xml:space="preserve"> REF _Ref432620068 \h </w:instrText>
      </w:r>
      <w:r>
        <w:fldChar w:fldCharType="separate"/>
      </w:r>
      <w:r w:rsidR="00BA2E8E">
        <w:t xml:space="preserve">Table </w:t>
      </w:r>
      <w:r w:rsidR="00BA2E8E">
        <w:rPr>
          <w:noProof/>
        </w:rPr>
        <w:t>3</w:t>
      </w:r>
      <w:r w:rsidR="00BA2E8E">
        <w:noBreakHyphen/>
      </w:r>
      <w:r w:rsidR="00BA2E8E">
        <w:rPr>
          <w:noProof/>
        </w:rPr>
        <w:t>33</w:t>
      </w:r>
      <w:r>
        <w:fldChar w:fldCharType="end"/>
      </w:r>
      <w:r>
        <w:t xml:space="preserve"> shows that market risk premium estimates,</w:t>
      </w:r>
      <w:r w:rsidRPr="00954DE4">
        <w:t xml:space="preserve"> from surveys published since 2013</w:t>
      </w:r>
      <w:r>
        <w:t>,</w:t>
      </w:r>
      <w:r w:rsidRPr="00954DE4">
        <w:t xml:space="preserve"> cluster around 6.0 per cent.</w:t>
      </w:r>
      <w:r>
        <w:t xml:space="preserve"> The 2015 survey estimates are generally equal to or lower than their 2013 and 2014 counterparts. This provides some evidence to suggest that investor expectations of the market risk premium have not increased, and may have eased.</w:t>
      </w:r>
    </w:p>
    <w:p w:rsidR="007B1C84" w:rsidRPr="006F371E" w:rsidRDefault="007B1C84" w:rsidP="007B1C84">
      <w:pPr>
        <w:pStyle w:val="Caption"/>
      </w:pPr>
      <w:bookmarkStart w:id="280" w:name="_Ref432620068"/>
      <w:r>
        <w:t xml:space="preserve">Table </w:t>
      </w:r>
      <w:fldSimple w:instr=" STYLEREF 1 \s ">
        <w:r w:rsidR="00BA2E8E">
          <w:rPr>
            <w:noProof/>
          </w:rPr>
          <w:t>3</w:t>
        </w:r>
      </w:fldSimple>
      <w:r w:rsidR="000F4BC3">
        <w:noBreakHyphen/>
      </w:r>
      <w:fldSimple w:instr=" SEQ Table \* ARABIC \s 1 ">
        <w:r w:rsidR="00BA2E8E">
          <w:rPr>
            <w:noProof/>
          </w:rPr>
          <w:t>33</w:t>
        </w:r>
      </w:fldSimple>
      <w:bookmarkEnd w:id="280"/>
      <w:r>
        <w:tab/>
      </w:r>
      <w:r w:rsidRPr="005F2D3F">
        <w:t xml:space="preserve">Key findings </w:t>
      </w:r>
      <w:r>
        <w:t>on market risk premium</w:t>
      </w:r>
      <w:r w:rsidRPr="005F2D3F">
        <w:t xml:space="preserve"> from recent surveys</w:t>
      </w:r>
    </w:p>
    <w:tbl>
      <w:tblPr>
        <w:tblStyle w:val="AERtable-numbers"/>
        <w:tblW w:w="0" w:type="auto"/>
        <w:tblLook w:val="04A0" w:firstRow="1" w:lastRow="0" w:firstColumn="1" w:lastColumn="0" w:noHBand="0" w:noVBand="1"/>
      </w:tblPr>
      <w:tblGrid>
        <w:gridCol w:w="2603"/>
        <w:gridCol w:w="1890"/>
        <w:gridCol w:w="1457"/>
        <w:gridCol w:w="1355"/>
        <w:gridCol w:w="1388"/>
      </w:tblGrid>
      <w:tr w:rsidR="007B1C84" w:rsidRPr="00EF7FC8" w:rsidTr="00475D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t>Survey</w:t>
            </w:r>
          </w:p>
        </w:tc>
        <w:tc>
          <w:tcPr>
            <w:tcW w:w="1890" w:type="dxa"/>
          </w:tcPr>
          <w:p w:rsidR="007B1C84" w:rsidRPr="007B1C84" w:rsidRDefault="007B1C84" w:rsidP="00EB795B">
            <w:pPr>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457" w:type="dxa"/>
          </w:tcPr>
          <w:p w:rsidR="007B1C84" w:rsidRPr="007B1C84" w:rsidRDefault="007B1C84" w:rsidP="00EB795B">
            <w:pPr>
              <w:cnfStyle w:val="100000000000" w:firstRow="1" w:lastRow="0" w:firstColumn="0" w:lastColumn="0" w:oddVBand="0" w:evenVBand="0" w:oddHBand="0" w:evenHBand="0" w:firstRowFirstColumn="0" w:firstRowLastColumn="0" w:lastRowFirstColumn="0" w:lastRowLastColumn="0"/>
            </w:pPr>
            <w:r w:rsidRPr="00EF7FC8">
              <w:t>Mean</w:t>
            </w:r>
            <w:r w:rsidRPr="007B1C84">
              <w:t xml:space="preserve"> (%)</w:t>
            </w:r>
          </w:p>
        </w:tc>
        <w:tc>
          <w:tcPr>
            <w:tcW w:w="1355" w:type="dxa"/>
          </w:tcPr>
          <w:p w:rsidR="007B1C84" w:rsidRPr="007B1C84" w:rsidRDefault="007B1C84" w:rsidP="00EB795B">
            <w:pPr>
              <w:cnfStyle w:val="100000000000" w:firstRow="1" w:lastRow="0" w:firstColumn="0" w:lastColumn="0" w:oddVBand="0" w:evenVBand="0" w:oddHBand="0" w:evenHBand="0" w:firstRowFirstColumn="0" w:firstRowLastColumn="0" w:lastRowFirstColumn="0" w:lastRowLastColumn="0"/>
            </w:pPr>
            <w:r w:rsidRPr="00EF7FC8">
              <w:t>Median</w:t>
            </w:r>
            <w:r w:rsidRPr="007B1C84">
              <w:t xml:space="preserve"> (%)</w:t>
            </w:r>
          </w:p>
        </w:tc>
        <w:tc>
          <w:tcPr>
            <w:tcW w:w="1388" w:type="dxa"/>
          </w:tcPr>
          <w:p w:rsidR="007B1C84" w:rsidRPr="007B1C84" w:rsidRDefault="007B1C84" w:rsidP="00EB795B">
            <w:pPr>
              <w:cnfStyle w:val="100000000000" w:firstRow="1" w:lastRow="0" w:firstColumn="0" w:lastColumn="0" w:oddVBand="0" w:evenVBand="0" w:oddHBand="0" w:evenHBand="0" w:firstRowFirstColumn="0" w:firstRowLastColumn="0" w:lastRowFirstColumn="0" w:lastRowLastColumn="0"/>
            </w:pPr>
            <w:r w:rsidRPr="00EF7FC8">
              <w:t>Mode</w:t>
            </w:r>
            <w:r w:rsidRPr="007B1C84">
              <w:t xml:space="preserve"> (%)</w:t>
            </w:r>
          </w:p>
        </w:tc>
      </w:tr>
      <w:tr w:rsidR="007B1C84" w:rsidRPr="00EF7FC8" w:rsidTr="00475D3A">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rsidRPr="00EF7FC8">
              <w:t>Fernandez</w:t>
            </w:r>
            <w:r w:rsidRPr="007B1C84">
              <w:t xml:space="preserve"> et al (2013)</w:t>
            </w:r>
          </w:p>
        </w:tc>
        <w:tc>
          <w:tcPr>
            <w:tcW w:w="1890"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73</w:t>
            </w:r>
          </w:p>
        </w:tc>
        <w:tc>
          <w:tcPr>
            <w:tcW w:w="1457"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5.9</w:t>
            </w:r>
          </w:p>
        </w:tc>
        <w:tc>
          <w:tcPr>
            <w:tcW w:w="1355"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6.0</w:t>
            </w:r>
          </w:p>
        </w:tc>
        <w:tc>
          <w:tcPr>
            <w:tcW w:w="1388"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N/A</w:t>
            </w:r>
          </w:p>
        </w:tc>
      </w:tr>
      <w:tr w:rsidR="007B1C84" w:rsidRPr="00EF7FC8" w:rsidTr="00475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rsidRPr="00EF7FC8">
              <w:t>KPMG (2013)</w:t>
            </w:r>
            <w:r w:rsidRPr="007B1C84">
              <w:rPr>
                <w:rStyle w:val="AERsuperscript"/>
              </w:rPr>
              <w:t>a</w:t>
            </w:r>
          </w:p>
        </w:tc>
        <w:tc>
          <w:tcPr>
            <w:tcW w:w="1890"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19</w:t>
            </w:r>
          </w:p>
        </w:tc>
        <w:tc>
          <w:tcPr>
            <w:tcW w:w="1457"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rsidRPr="00EF7FC8">
              <w:t>N/A</w:t>
            </w:r>
          </w:p>
        </w:tc>
        <w:tc>
          <w:tcPr>
            <w:tcW w:w="1355"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rsidRPr="00EF7FC8">
              <w:t>6.0</w:t>
            </w:r>
          </w:p>
        </w:tc>
        <w:tc>
          <w:tcPr>
            <w:tcW w:w="1388"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6.0</w:t>
            </w:r>
          </w:p>
        </w:tc>
      </w:tr>
      <w:tr w:rsidR="007B1C84" w:rsidRPr="00EF7FC8" w:rsidTr="00475D3A">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rsidRPr="00EF7FC8">
              <w:t>Fernandez et al (2013)</w:t>
            </w:r>
          </w:p>
        </w:tc>
        <w:tc>
          <w:tcPr>
            <w:tcW w:w="1890"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17</w:t>
            </w:r>
          </w:p>
        </w:tc>
        <w:tc>
          <w:tcPr>
            <w:tcW w:w="1457"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6.8</w:t>
            </w:r>
          </w:p>
        </w:tc>
        <w:tc>
          <w:tcPr>
            <w:tcW w:w="1355"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5.8</w:t>
            </w:r>
          </w:p>
        </w:tc>
        <w:tc>
          <w:tcPr>
            <w:tcW w:w="1388"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rsidRPr="00EF7FC8">
              <w:t>N/A</w:t>
            </w:r>
          </w:p>
        </w:tc>
      </w:tr>
      <w:tr w:rsidR="007B1C84" w:rsidRPr="00EF7FC8" w:rsidTr="00475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t>Asher and Hickling (2013)</w:t>
            </w:r>
          </w:p>
        </w:tc>
        <w:tc>
          <w:tcPr>
            <w:tcW w:w="1890"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46</w:t>
            </w:r>
          </w:p>
        </w:tc>
        <w:tc>
          <w:tcPr>
            <w:tcW w:w="1457"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4.8</w:t>
            </w:r>
          </w:p>
        </w:tc>
        <w:tc>
          <w:tcPr>
            <w:tcW w:w="1355"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5.0</w:t>
            </w:r>
          </w:p>
        </w:tc>
        <w:tc>
          <w:tcPr>
            <w:tcW w:w="1388"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6.0</w:t>
            </w:r>
          </w:p>
        </w:tc>
      </w:tr>
      <w:tr w:rsidR="007B1C84" w:rsidRPr="00EF7FC8" w:rsidTr="00475D3A">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t xml:space="preserve">Fernandez </w:t>
            </w:r>
            <w:r w:rsidRPr="007B1C84">
              <w:t>et al (2014)</w:t>
            </w:r>
            <w:r w:rsidRPr="007B1C84">
              <w:rPr>
                <w:rStyle w:val="AERsuperscript"/>
              </w:rPr>
              <w:t xml:space="preserve"> b</w:t>
            </w:r>
          </w:p>
        </w:tc>
        <w:tc>
          <w:tcPr>
            <w:tcW w:w="1890"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93</w:t>
            </w:r>
          </w:p>
        </w:tc>
        <w:tc>
          <w:tcPr>
            <w:tcW w:w="1457"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5.9</w:t>
            </w:r>
          </w:p>
        </w:tc>
        <w:tc>
          <w:tcPr>
            <w:tcW w:w="1355"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6.0</w:t>
            </w:r>
          </w:p>
        </w:tc>
        <w:tc>
          <w:tcPr>
            <w:tcW w:w="1388"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N/A</w:t>
            </w:r>
          </w:p>
        </w:tc>
      </w:tr>
      <w:tr w:rsidR="007B1C84" w:rsidRPr="00EF7FC8" w:rsidTr="00475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t>Asher and Hickling (2015)</w:t>
            </w:r>
            <w:r w:rsidRPr="007B1C84">
              <w:rPr>
                <w:rStyle w:val="AERsuperscript"/>
              </w:rPr>
              <w:t xml:space="preserve"> c</w:t>
            </w:r>
          </w:p>
        </w:tc>
        <w:tc>
          <w:tcPr>
            <w:tcW w:w="1890"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4.4</w:t>
            </w:r>
          </w:p>
        </w:tc>
        <w:tc>
          <w:tcPr>
            <w:tcW w:w="1355"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4.6</w:t>
            </w:r>
          </w:p>
        </w:tc>
        <w:tc>
          <w:tcPr>
            <w:tcW w:w="1388"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6.0</w:t>
            </w:r>
          </w:p>
        </w:tc>
      </w:tr>
      <w:tr w:rsidR="007B1C84" w:rsidRPr="00EF7FC8" w:rsidTr="00475D3A">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t>Fernandez et al (2015</w:t>
            </w:r>
            <w:r w:rsidRPr="007B1C84">
              <w:t>)</w:t>
            </w:r>
          </w:p>
        </w:tc>
        <w:tc>
          <w:tcPr>
            <w:tcW w:w="1890"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40</w:t>
            </w:r>
          </w:p>
        </w:tc>
        <w:tc>
          <w:tcPr>
            <w:tcW w:w="1457"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6.0</w:t>
            </w:r>
          </w:p>
        </w:tc>
        <w:tc>
          <w:tcPr>
            <w:tcW w:w="1355"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5.1</w:t>
            </w:r>
          </w:p>
        </w:tc>
        <w:tc>
          <w:tcPr>
            <w:tcW w:w="1388" w:type="dxa"/>
          </w:tcPr>
          <w:p w:rsidR="007B1C84" w:rsidRPr="007B1C84" w:rsidRDefault="007B1C84" w:rsidP="00EB795B">
            <w:pPr>
              <w:cnfStyle w:val="000000000000" w:firstRow="0" w:lastRow="0" w:firstColumn="0" w:lastColumn="0" w:oddVBand="0" w:evenVBand="0" w:oddHBand="0" w:evenHBand="0" w:firstRowFirstColumn="0" w:firstRowLastColumn="0" w:lastRowFirstColumn="0" w:lastRowLastColumn="0"/>
            </w:pPr>
            <w:r>
              <w:t>N/A</w:t>
            </w:r>
          </w:p>
        </w:tc>
      </w:tr>
      <w:tr w:rsidR="007B1C84" w:rsidRPr="00EF7FC8" w:rsidTr="00475D3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3" w:type="dxa"/>
          </w:tcPr>
          <w:p w:rsidR="007B1C84" w:rsidRPr="007B1C84" w:rsidRDefault="007B1C84" w:rsidP="00EB795B">
            <w:r>
              <w:t>KPMG (2015)</w:t>
            </w:r>
            <w:r w:rsidRPr="007B1C84">
              <w:rPr>
                <w:rStyle w:val="AERsuperscript"/>
              </w:rPr>
              <w:t xml:space="preserve"> d</w:t>
            </w:r>
          </w:p>
        </w:tc>
        <w:tc>
          <w:tcPr>
            <w:tcW w:w="1890"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~27</w:t>
            </w:r>
          </w:p>
        </w:tc>
        <w:tc>
          <w:tcPr>
            <w:tcW w:w="1457"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N/A</w:t>
            </w:r>
          </w:p>
        </w:tc>
        <w:tc>
          <w:tcPr>
            <w:tcW w:w="1355"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6.0</w:t>
            </w:r>
          </w:p>
        </w:tc>
        <w:tc>
          <w:tcPr>
            <w:tcW w:w="1388" w:type="dxa"/>
          </w:tcPr>
          <w:p w:rsidR="007B1C84" w:rsidRPr="007B1C84" w:rsidRDefault="007B1C84" w:rsidP="00EB795B">
            <w:pPr>
              <w:cnfStyle w:val="000000010000" w:firstRow="0" w:lastRow="0" w:firstColumn="0" w:lastColumn="0" w:oddVBand="0" w:evenVBand="0" w:oddHBand="0" w:evenHBand="1" w:firstRowFirstColumn="0" w:firstRowLastColumn="0" w:lastRowFirstColumn="0" w:lastRowLastColumn="0"/>
            </w:pPr>
            <w:r>
              <w:t>6.0</w:t>
            </w:r>
          </w:p>
        </w:tc>
      </w:tr>
    </w:tbl>
    <w:p w:rsidR="007B1C84" w:rsidRDefault="007B1C84" w:rsidP="007B1C84">
      <w:pPr>
        <w:pStyle w:val="AERtablesource"/>
      </w:pPr>
      <w:r>
        <w:t>Sources:  Several survey reports.</w:t>
      </w:r>
      <w:r>
        <w:rPr>
          <w:rStyle w:val="FootnoteReference"/>
        </w:rPr>
        <w:footnoteReference w:id="962"/>
      </w:r>
    </w:p>
    <w:p w:rsidR="007B1C84" w:rsidRDefault="007B1C84" w:rsidP="007B1C84">
      <w:pPr>
        <w:pStyle w:val="AERtablesource"/>
      </w:pPr>
      <w:r w:rsidRPr="003723C8">
        <w:t xml:space="preserve">Notes: </w:t>
      </w:r>
      <w:r w:rsidRPr="003723C8">
        <w:tab/>
      </w:r>
      <w:r>
        <w:t>a) While this survey had 23 market participants, 19 specified what market risk premium they used.</w:t>
      </w:r>
    </w:p>
    <w:p w:rsidR="007B1C84" w:rsidRDefault="007B1C84" w:rsidP="007B1C84">
      <w:pPr>
        <w:pStyle w:val="AERtablesource"/>
      </w:pPr>
      <w:r>
        <w:tab/>
        <w:t>b</w:t>
      </w:r>
      <w:r w:rsidRPr="003723C8">
        <w:t xml:space="preserve">) The 2014 survey did not report the response rate. AER staff obtained this information from Professor Fernandez via email </w:t>
      </w:r>
      <w:r>
        <w:t xml:space="preserve">correspondence on 22 July 2014. </w:t>
      </w:r>
    </w:p>
    <w:p w:rsidR="007B1C84" w:rsidRDefault="007B1C84" w:rsidP="007B1C84">
      <w:pPr>
        <w:pStyle w:val="AERtablesource"/>
      </w:pPr>
      <w:r>
        <w:tab/>
        <w:t xml:space="preserve">c) The response rate for this survey is lower than the response rate in previous Asher and Hickling surveys because the survey took place from 5 December 2014 to 14 December 2014, which was very close to Christmas. </w:t>
      </w:r>
      <w:r w:rsidRPr="003723C8">
        <w:t xml:space="preserve">AER staff obtained </w:t>
      </w:r>
      <w:r>
        <w:t>the mode</w:t>
      </w:r>
      <w:r w:rsidRPr="003723C8">
        <w:t xml:space="preserve"> from </w:t>
      </w:r>
      <w:r>
        <w:t xml:space="preserve">Associate </w:t>
      </w:r>
      <w:r w:rsidRPr="003723C8">
        <w:t xml:space="preserve">Professor </w:t>
      </w:r>
      <w:r>
        <w:t xml:space="preserve">Anthony Asher </w:t>
      </w:r>
      <w:r w:rsidRPr="003723C8">
        <w:t xml:space="preserve">via email </w:t>
      </w:r>
      <w:r>
        <w:t>correspondence on 17 September 2015.</w:t>
      </w:r>
    </w:p>
    <w:p w:rsidR="007B1C84" w:rsidRPr="00B74249" w:rsidRDefault="007B1C84" w:rsidP="007B1C84">
      <w:pPr>
        <w:pStyle w:val="AERtablesource"/>
      </w:pPr>
      <w:r>
        <w:tab/>
        <w:t>d) The KPMG (2015) survey had 29 market participants, but figure 24 indicates that not all the market participants gave a response for the market risk premium. However, visual inspection indicates that the response rate was approximately 27.</w:t>
      </w:r>
    </w:p>
    <w:p w:rsidR="007B1C84" w:rsidRDefault="007B1C84" w:rsidP="007B1C84">
      <w:pPr>
        <w:rPr>
          <w:rStyle w:val="AERbody"/>
        </w:rPr>
      </w:pPr>
      <w:r>
        <w:rPr>
          <w:rStyle w:val="AERbody"/>
        </w:rPr>
        <w:t>Several factors should be considered when examining survey evidence:</w:t>
      </w:r>
      <w:r>
        <w:rPr>
          <w:rStyle w:val="FootnoteReference"/>
        </w:rPr>
        <w:footnoteReference w:id="963"/>
      </w:r>
    </w:p>
    <w:p w:rsidR="007B1C84" w:rsidRDefault="007B1C84" w:rsidP="007B1C84">
      <w:pPr>
        <w:pStyle w:val="AERbulletlistfirststyle"/>
      </w:pPr>
      <w:r>
        <w:t>Timing of the survey—we consider the timing of each survey is clear in all but two surveys we consider. The earliest survey we consider was published in January 2013 but its questionnaires were sent out in May and June 2012.</w:t>
      </w:r>
      <w:r>
        <w:rPr>
          <w:rStyle w:val="FootnoteReference"/>
        </w:rPr>
        <w:footnoteReference w:id="964"/>
      </w:r>
      <w:r>
        <w:t xml:space="preserve">  </w:t>
      </w:r>
    </w:p>
    <w:p w:rsidR="007B1C84" w:rsidRDefault="007B1C84" w:rsidP="007B1C84">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w:t>
      </w:r>
      <w:r>
        <w:t xml:space="preserve">among </w:t>
      </w:r>
      <w:r w:rsidRPr="00A7519D">
        <w:t xml:space="preserve">the target respondents of surveys. These professionals apply the </w:t>
      </w:r>
      <w:r>
        <w:t>market risk premium</w:t>
      </w:r>
      <w:r w:rsidRPr="00A7519D">
        <w:t xml:space="preserve">, so </w:t>
      </w:r>
      <w:r>
        <w:t>we consider</w:t>
      </w:r>
      <w:r w:rsidRPr="00A7519D">
        <w:t xml:space="preserve"> the surveys' target populations can make informed judgments about the </w:t>
      </w:r>
      <w:r>
        <w:t>market risk premium</w:t>
      </w:r>
      <w:r w:rsidRPr="00A7519D">
        <w:t>.</w:t>
      </w:r>
      <w:r>
        <w:t xml:space="preserve"> Each survey also sets out the selection of the sample surveyed (or respondents).</w:t>
      </w:r>
      <w:r>
        <w:rPr>
          <w:rStyle w:val="FootnoteReference"/>
        </w:rPr>
        <w:footnoteReference w:id="965"/>
      </w:r>
    </w:p>
    <w:p w:rsidR="007B1C84" w:rsidRDefault="007B1C84" w:rsidP="007B1C84">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t xml:space="preserve"> In our sample, only the KPMG survey has not been repeated at least three times.</w:t>
      </w:r>
    </w:p>
    <w:p w:rsidR="007B1C84" w:rsidRDefault="007B1C84" w:rsidP="007B1C84">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966"/>
      </w:r>
      <w:r>
        <w:t xml:space="preserve"> </w:t>
      </w:r>
    </w:p>
    <w:p w:rsidR="007B1C84" w:rsidRDefault="007B1C84" w:rsidP="007B1C84">
      <w:r w:rsidRPr="00C563D0">
        <w:rPr>
          <w:rStyle w:val="AERbody"/>
        </w:rPr>
        <w:t xml:space="preserve">After having regard to the above factors, we consider that the survey estimates in </w:t>
      </w:r>
      <w:r>
        <w:rPr>
          <w:rStyle w:val="AERbody"/>
        </w:rPr>
        <w:fldChar w:fldCharType="begin"/>
      </w:r>
      <w:r>
        <w:rPr>
          <w:rStyle w:val="AERbody"/>
        </w:rPr>
        <w:instrText xml:space="preserve"> REF _Ref432620068 \h </w:instrText>
      </w:r>
      <w:r>
        <w:rPr>
          <w:rStyle w:val="AERbody"/>
        </w:rPr>
      </w:r>
      <w:r>
        <w:rPr>
          <w:rStyle w:val="AERbody"/>
        </w:rPr>
        <w:fldChar w:fldCharType="separate"/>
      </w:r>
      <w:r w:rsidR="00BA2E8E">
        <w:t xml:space="preserve">Table </w:t>
      </w:r>
      <w:r w:rsidR="00BA2E8E">
        <w:rPr>
          <w:noProof/>
        </w:rPr>
        <w:t>3</w:t>
      </w:r>
      <w:r w:rsidR="00BA2E8E">
        <w:noBreakHyphen/>
      </w:r>
      <w:r w:rsidR="00BA2E8E">
        <w:rPr>
          <w:noProof/>
        </w:rPr>
        <w:t>33</w:t>
      </w:r>
      <w:r>
        <w:rPr>
          <w:rStyle w:val="AERbody"/>
        </w:rPr>
        <w:fldChar w:fldCharType="end"/>
      </w:r>
      <w:r w:rsidRPr="00C563D0">
        <w:rPr>
          <w:rStyle w:val="AERbody"/>
        </w:rPr>
        <w:t xml:space="preserve"> are useful for informing our </w:t>
      </w:r>
      <w:r>
        <w:rPr>
          <w:rStyle w:val="AERbody"/>
        </w:rPr>
        <w:t>market risk premium</w:t>
      </w:r>
      <w:r w:rsidRPr="00C563D0">
        <w:rPr>
          <w:rStyle w:val="AERbody"/>
        </w:rPr>
        <w:t xml:space="preserve"> estimate.</w:t>
      </w:r>
      <w:r>
        <w:t xml:space="preserve"> We note that triangulation across surveys can reduce the limitations associated with particular survey evidence.</w:t>
      </w:r>
      <w:r>
        <w:rPr>
          <w:rStyle w:val="FootnoteReference"/>
        </w:rPr>
        <w:footnoteReference w:id="967"/>
      </w:r>
      <w:r>
        <w:t xml:space="preserve"> </w:t>
      </w:r>
    </w:p>
    <w:p w:rsidR="007B1C84" w:rsidRPr="00C852A1" w:rsidRDefault="007B1C84" w:rsidP="007B1C84">
      <w:r w:rsidRPr="00C852A1">
        <w:t xml:space="preserve">SFG submitted that survey evidence does not </w:t>
      </w:r>
      <w:r>
        <w:t>reflect expected market risk premium</w:t>
      </w:r>
      <w:r w:rsidRPr="00C852A1">
        <w:t xml:space="preserve"> because the </w:t>
      </w:r>
      <w:r>
        <w:t>respondents</w:t>
      </w:r>
      <w:r w:rsidRPr="00C852A1">
        <w:t xml:space="preserve"> are simply regurgitating historical excess returns.</w:t>
      </w:r>
      <w:r w:rsidRPr="00C852A1">
        <w:rPr>
          <w:rStyle w:val="FootnoteReference"/>
        </w:rPr>
        <w:footnoteReference w:id="968"/>
      </w:r>
      <w:r w:rsidRPr="00C852A1">
        <w:t xml:space="preserve"> We do not agree. We consider </w:t>
      </w:r>
      <w:r>
        <w:t xml:space="preserve">that the </w:t>
      </w:r>
      <w:r w:rsidRPr="00C852A1">
        <w:t xml:space="preserve">survey </w:t>
      </w:r>
      <w:r>
        <w:t xml:space="preserve">questions and responses indicate that the </w:t>
      </w:r>
      <w:r w:rsidRPr="00C852A1">
        <w:t xml:space="preserve">estimates reflect investors' expectations of the </w:t>
      </w:r>
      <w:r>
        <w:t>market risk premium</w:t>
      </w:r>
      <w:r w:rsidRPr="00C852A1">
        <w:t>. What evidence investors use to form their expectations is their choice and, in our view, does not deem these estimates irrelevant.</w:t>
      </w:r>
    </w:p>
    <w:p w:rsidR="007B1C84" w:rsidRDefault="007B1C84" w:rsidP="007B1C84">
      <w:r w:rsidRPr="00C852A1">
        <w:t xml:space="preserve">Several service providers also submitted that the surveys we use do not appear to </w:t>
      </w:r>
      <w:r>
        <w:t>comply</w:t>
      </w:r>
      <w:r w:rsidRPr="00C852A1">
        <w:t xml:space="preserve"> with the Federal Court guidelines for conducting surveys.</w:t>
      </w:r>
      <w:r w:rsidRPr="00C852A1">
        <w:rPr>
          <w:rStyle w:val="FootnoteReference"/>
        </w:rPr>
        <w:footnoteReference w:id="969"/>
      </w:r>
      <w:r w:rsidRPr="00C852A1">
        <w:t xml:space="preserve"> Market participants prepare </w:t>
      </w:r>
      <w:r>
        <w:t>survey</w:t>
      </w:r>
      <w:r w:rsidRPr="00C852A1">
        <w:t xml:space="preserve"> material for practical purposes and it would be unreasonable to expect that all material we consider would be prepared in compliance with the Federal Court guidelines. We carefully consider the merits of all of the material available to us.</w:t>
      </w:r>
    </w:p>
    <w:p w:rsidR="001823A6" w:rsidRPr="00AB7811" w:rsidRDefault="001823A6" w:rsidP="001823A6">
      <w:pPr>
        <w:pStyle w:val="Heading8"/>
      </w:pPr>
      <w:bookmarkStart w:id="281" w:name="_Toc451678661"/>
      <w:bookmarkStart w:id="282" w:name="_Ref445898024"/>
      <w:r>
        <w:t>Prevailing estimates</w:t>
      </w:r>
      <w:r w:rsidRPr="00AB7811">
        <w:t xml:space="preserve">: </w:t>
      </w:r>
      <w:r>
        <w:t>broker reports</w:t>
      </w:r>
      <w:bookmarkEnd w:id="281"/>
    </w:p>
    <w:p w:rsidR="001823A6" w:rsidRDefault="001823A6" w:rsidP="001823A6">
      <w:pPr>
        <w:numPr>
          <w:ilvl w:val="0"/>
          <w:numId w:val="24"/>
        </w:numPr>
        <w:rPr>
          <w:rStyle w:val="AERtextblue"/>
        </w:rPr>
      </w:pPr>
      <w:r w:rsidRPr="003E6BC3">
        <w:fldChar w:fldCharType="begin"/>
      </w:r>
      <w:r w:rsidRPr="003E6BC3">
        <w:instrText xml:space="preserve"> REF _Ref443644282 \h </w:instrText>
      </w:r>
      <w:r w:rsidRPr="003E6BC3">
        <w:fldChar w:fldCharType="separate"/>
      </w:r>
      <w:r w:rsidR="00BA2E8E">
        <w:t xml:space="preserve">Table </w:t>
      </w:r>
      <w:r w:rsidR="00BA2E8E">
        <w:rPr>
          <w:noProof/>
        </w:rPr>
        <w:t>3</w:t>
      </w:r>
      <w:r w:rsidR="00BA2E8E">
        <w:noBreakHyphen/>
      </w:r>
      <w:r w:rsidR="00BA2E8E">
        <w:rPr>
          <w:noProof/>
        </w:rPr>
        <w:t>34</w:t>
      </w:r>
      <w:r w:rsidRPr="003E6BC3">
        <w:fldChar w:fldCharType="end"/>
      </w:r>
      <w:r>
        <w:t xml:space="preserve"> shows the estimates of return on equity and premium above the risk free rate contained in broker reports which we have examined since our preliminary decision.</w:t>
      </w:r>
      <w:r>
        <w:rPr>
          <w:rStyle w:val="FootnoteReference"/>
        </w:rPr>
        <w:footnoteReference w:id="970"/>
      </w:r>
      <w:r>
        <w:t xml:space="preserve"> </w:t>
      </w:r>
    </w:p>
    <w:p w:rsidR="001823A6" w:rsidRPr="0081416A" w:rsidRDefault="001823A6" w:rsidP="001823A6">
      <w:pPr>
        <w:pStyle w:val="Caption"/>
        <w:numPr>
          <w:ilvl w:val="0"/>
          <w:numId w:val="24"/>
        </w:numPr>
      </w:pPr>
      <w:bookmarkStart w:id="283" w:name="_Ref443644282"/>
      <w:r>
        <w:t xml:space="preserve">Table </w:t>
      </w:r>
      <w:r w:rsidRPr="009C12E3">
        <w:fldChar w:fldCharType="begin"/>
      </w:r>
      <w:r>
        <w:instrText xml:space="preserve"> STYLEREF 1 \s </w:instrText>
      </w:r>
      <w:r w:rsidRPr="009C12E3">
        <w:fldChar w:fldCharType="separate"/>
      </w:r>
      <w:r w:rsidR="00BA2E8E">
        <w:rPr>
          <w:noProof/>
        </w:rPr>
        <w:t>3</w:t>
      </w:r>
      <w:r w:rsidRPr="009C12E3">
        <w:fldChar w:fldCharType="end"/>
      </w:r>
      <w:r>
        <w:noBreakHyphen/>
      </w:r>
      <w:r w:rsidRPr="009C12E3">
        <w:fldChar w:fldCharType="begin"/>
      </w:r>
      <w:r>
        <w:instrText xml:space="preserve"> SEQ Table \* ARABIC \s 1 </w:instrText>
      </w:r>
      <w:r w:rsidRPr="009C12E3">
        <w:fldChar w:fldCharType="separate"/>
      </w:r>
      <w:r w:rsidR="00BA2E8E">
        <w:rPr>
          <w:noProof/>
        </w:rPr>
        <w:t>34</w:t>
      </w:r>
      <w:r w:rsidRPr="009C12E3">
        <w:fldChar w:fldCharType="end"/>
      </w:r>
      <w:bookmarkEnd w:id="283"/>
      <w:r w:rsidRPr="005E550D">
        <w:tab/>
      </w:r>
      <w:r>
        <w:t>Recent broker reports</w:t>
      </w:r>
    </w:p>
    <w:tbl>
      <w:tblPr>
        <w:tblStyle w:val="AERtable-numbers"/>
        <w:tblW w:w="0" w:type="auto"/>
        <w:tblLook w:val="04A0" w:firstRow="1" w:lastRow="0" w:firstColumn="1" w:lastColumn="0" w:noHBand="0" w:noVBand="1"/>
      </w:tblPr>
      <w:tblGrid>
        <w:gridCol w:w="4503"/>
        <w:gridCol w:w="1275"/>
        <w:gridCol w:w="1418"/>
        <w:gridCol w:w="1497"/>
      </w:tblGrid>
      <w:tr w:rsidR="001823A6" w:rsidTr="00B523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1823A6" w:rsidRDefault="001823A6" w:rsidP="00EB795B"/>
        </w:tc>
        <w:tc>
          <w:tcPr>
            <w:tcW w:w="1275" w:type="dxa"/>
          </w:tcPr>
          <w:p w:rsidR="001823A6" w:rsidRDefault="001823A6" w:rsidP="00EB795B">
            <w:pPr>
              <w:cnfStyle w:val="100000000000" w:firstRow="1" w:lastRow="0" w:firstColumn="0" w:lastColumn="0" w:oddVBand="0" w:evenVBand="0" w:oddHBand="0" w:evenHBand="0" w:firstRowFirstColumn="0" w:firstRowLastColumn="0" w:lastRowFirstColumn="0" w:lastRowLastColumn="0"/>
            </w:pPr>
          </w:p>
        </w:tc>
        <w:tc>
          <w:tcPr>
            <w:tcW w:w="1418" w:type="dxa"/>
          </w:tcPr>
          <w:p w:rsidR="001823A6" w:rsidRPr="001823A6" w:rsidRDefault="001823A6" w:rsidP="00EB795B">
            <w:pPr>
              <w:cnfStyle w:val="100000000000" w:firstRow="1" w:lastRow="0" w:firstColumn="0" w:lastColumn="0" w:oddVBand="0" w:evenVBand="0" w:oddHBand="0" w:evenHBand="0" w:firstRowFirstColumn="0" w:firstRowLastColumn="0" w:lastRowFirstColumn="0" w:lastRowLastColumn="0"/>
            </w:pPr>
            <w:r>
              <w:t>Return on equity</w:t>
            </w:r>
          </w:p>
        </w:tc>
        <w:tc>
          <w:tcPr>
            <w:tcW w:w="1497" w:type="dxa"/>
          </w:tcPr>
          <w:p w:rsidR="001823A6" w:rsidRPr="001823A6" w:rsidRDefault="001823A6" w:rsidP="00EB795B">
            <w:pPr>
              <w:cnfStyle w:val="100000000000" w:firstRow="1" w:lastRow="0" w:firstColumn="0" w:lastColumn="0" w:oddVBand="0" w:evenVBand="0" w:oddHBand="0" w:evenHBand="0" w:firstRowFirstColumn="0" w:firstRowLastColumn="0" w:lastRowFirstColumn="0" w:lastRowLastColumn="0"/>
            </w:pPr>
            <w:r>
              <w:t>Equity risk premium</w:t>
            </w:r>
          </w:p>
        </w:tc>
      </w:tr>
      <w:tr w:rsidR="001823A6" w:rsidTr="00B52359">
        <w:tc>
          <w:tcPr>
            <w:cnfStyle w:val="001000000000" w:firstRow="0" w:lastRow="0" w:firstColumn="1" w:lastColumn="0" w:oddVBand="0" w:evenVBand="0" w:oddHBand="0" w:evenHBand="0" w:firstRowFirstColumn="0" w:firstRowLastColumn="0" w:lastRowFirstColumn="0" w:lastRowLastColumn="0"/>
            <w:tcW w:w="4503" w:type="dxa"/>
          </w:tcPr>
          <w:p w:rsidR="001823A6" w:rsidRPr="001823A6" w:rsidRDefault="001823A6" w:rsidP="00EB795B">
            <w:r>
              <w:t>Broker estimate—</w:t>
            </w:r>
            <w:r w:rsidRPr="001823A6">
              <w:t>no imputation adjustment</w:t>
            </w:r>
          </w:p>
        </w:tc>
        <w:tc>
          <w:tcPr>
            <w:tcW w:w="1275" w:type="dxa"/>
          </w:tcPr>
          <w:p w:rsidR="001823A6" w:rsidRPr="001823A6" w:rsidRDefault="001823A6" w:rsidP="00EB795B">
            <w:pPr>
              <w:cnfStyle w:val="000000000000" w:firstRow="0" w:lastRow="0" w:firstColumn="0" w:lastColumn="0" w:oddVBand="0" w:evenVBand="0" w:oddHBand="0" w:evenHBand="0" w:firstRowFirstColumn="0" w:firstRowLastColumn="0" w:lastRowFirstColumn="0" w:lastRowLastColumn="0"/>
            </w:pPr>
            <w:r>
              <w:t>Minimum</w:t>
            </w:r>
          </w:p>
        </w:tc>
        <w:tc>
          <w:tcPr>
            <w:tcW w:w="1418" w:type="dxa"/>
          </w:tcPr>
          <w:p w:rsidR="001823A6" w:rsidRPr="001823A6" w:rsidRDefault="001823A6" w:rsidP="00EB795B">
            <w:pPr>
              <w:cnfStyle w:val="000000000000" w:firstRow="0" w:lastRow="0" w:firstColumn="0" w:lastColumn="0" w:oddVBand="0" w:evenVBand="0" w:oddHBand="0" w:evenHBand="0" w:firstRowFirstColumn="0" w:firstRowLastColumn="0" w:lastRowFirstColumn="0" w:lastRowLastColumn="0"/>
            </w:pPr>
            <w:r>
              <w:t>6.4</w:t>
            </w:r>
          </w:p>
        </w:tc>
        <w:tc>
          <w:tcPr>
            <w:tcW w:w="1497" w:type="dxa"/>
          </w:tcPr>
          <w:p w:rsidR="001823A6" w:rsidRPr="001823A6" w:rsidRDefault="001823A6" w:rsidP="00EB795B">
            <w:pPr>
              <w:cnfStyle w:val="000000000000" w:firstRow="0" w:lastRow="0" w:firstColumn="0" w:lastColumn="0" w:oddVBand="0" w:evenVBand="0" w:oddHBand="0" w:evenHBand="0" w:firstRowFirstColumn="0" w:firstRowLastColumn="0" w:lastRowFirstColumn="0" w:lastRowLastColumn="0"/>
            </w:pPr>
            <w:r>
              <w:t>3.7</w:t>
            </w:r>
          </w:p>
        </w:tc>
      </w:tr>
      <w:tr w:rsidR="001823A6" w:rsidTr="00B52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1823A6" w:rsidRPr="001823A6" w:rsidRDefault="001823A6" w:rsidP="00EB795B">
            <w:r>
              <w:t>Broker estimate</w:t>
            </w:r>
            <w:r w:rsidRPr="001823A6">
              <w:t>—no imputation adjustment</w:t>
            </w:r>
          </w:p>
        </w:tc>
        <w:tc>
          <w:tcPr>
            <w:tcW w:w="1275" w:type="dxa"/>
          </w:tcPr>
          <w:p w:rsidR="001823A6" w:rsidRPr="001823A6" w:rsidRDefault="001823A6" w:rsidP="00EB795B">
            <w:pPr>
              <w:cnfStyle w:val="000000010000" w:firstRow="0" w:lastRow="0" w:firstColumn="0" w:lastColumn="0" w:oddVBand="0" w:evenVBand="0" w:oddHBand="0" w:evenHBand="1" w:firstRowFirstColumn="0" w:firstRowLastColumn="0" w:lastRowFirstColumn="0" w:lastRowLastColumn="0"/>
            </w:pPr>
            <w:r>
              <w:t>Maximum</w:t>
            </w:r>
          </w:p>
        </w:tc>
        <w:tc>
          <w:tcPr>
            <w:tcW w:w="1418" w:type="dxa"/>
          </w:tcPr>
          <w:p w:rsidR="001823A6" w:rsidRPr="001823A6" w:rsidRDefault="003764E8" w:rsidP="00EB795B">
            <w:pPr>
              <w:cnfStyle w:val="000000010000" w:firstRow="0" w:lastRow="0" w:firstColumn="0" w:lastColumn="0" w:oddVBand="0" w:evenVBand="0" w:oddHBand="0" w:evenHBand="1" w:firstRowFirstColumn="0" w:firstRowLastColumn="0" w:lastRowFirstColumn="0" w:lastRowLastColumn="0"/>
            </w:pPr>
            <w:r>
              <w:t>11.3</w:t>
            </w:r>
          </w:p>
        </w:tc>
        <w:tc>
          <w:tcPr>
            <w:tcW w:w="1497" w:type="dxa"/>
          </w:tcPr>
          <w:p w:rsidR="001823A6" w:rsidRPr="001823A6" w:rsidRDefault="001823A6" w:rsidP="00EB795B">
            <w:pPr>
              <w:cnfStyle w:val="000000010000" w:firstRow="0" w:lastRow="0" w:firstColumn="0" w:lastColumn="0" w:oddVBand="0" w:evenVBand="0" w:oddHBand="0" w:evenHBand="1" w:firstRowFirstColumn="0" w:firstRowLastColumn="0" w:lastRowFirstColumn="0" w:lastRowLastColumn="0"/>
            </w:pPr>
            <w:r>
              <w:t>6.5</w:t>
            </w:r>
          </w:p>
        </w:tc>
      </w:tr>
      <w:tr w:rsidR="001823A6" w:rsidTr="00B52359">
        <w:tc>
          <w:tcPr>
            <w:cnfStyle w:val="001000000000" w:firstRow="0" w:lastRow="0" w:firstColumn="1" w:lastColumn="0" w:oddVBand="0" w:evenVBand="0" w:oddHBand="0" w:evenHBand="0" w:firstRowFirstColumn="0" w:firstRowLastColumn="0" w:lastRowFirstColumn="0" w:lastRowLastColumn="0"/>
            <w:tcW w:w="4503" w:type="dxa"/>
          </w:tcPr>
          <w:p w:rsidR="001823A6" w:rsidRPr="001823A6" w:rsidRDefault="001823A6" w:rsidP="00EB795B">
            <w:r>
              <w:t>Broker estimate—</w:t>
            </w:r>
            <w:r w:rsidRPr="001823A6">
              <w:t>adjusted for imputation</w:t>
            </w:r>
          </w:p>
        </w:tc>
        <w:tc>
          <w:tcPr>
            <w:tcW w:w="1275" w:type="dxa"/>
          </w:tcPr>
          <w:p w:rsidR="001823A6" w:rsidRPr="001823A6" w:rsidRDefault="001823A6" w:rsidP="00EB795B">
            <w:pPr>
              <w:cnfStyle w:val="000000000000" w:firstRow="0" w:lastRow="0" w:firstColumn="0" w:lastColumn="0" w:oddVBand="0" w:evenVBand="0" w:oddHBand="0" w:evenHBand="0" w:firstRowFirstColumn="0" w:firstRowLastColumn="0" w:lastRowFirstColumn="0" w:lastRowLastColumn="0"/>
            </w:pPr>
            <w:r>
              <w:t>Minimum</w:t>
            </w:r>
          </w:p>
        </w:tc>
        <w:tc>
          <w:tcPr>
            <w:tcW w:w="1418" w:type="dxa"/>
          </w:tcPr>
          <w:p w:rsidR="001823A6" w:rsidRPr="001823A6" w:rsidRDefault="001823A6" w:rsidP="00EB795B">
            <w:pPr>
              <w:cnfStyle w:val="000000000000" w:firstRow="0" w:lastRow="0" w:firstColumn="0" w:lastColumn="0" w:oddVBand="0" w:evenVBand="0" w:oddHBand="0" w:evenHBand="0" w:firstRowFirstColumn="0" w:firstRowLastColumn="0" w:lastRowFirstColumn="0" w:lastRowLastColumn="0"/>
            </w:pPr>
            <w:r>
              <w:t>6.9</w:t>
            </w:r>
          </w:p>
        </w:tc>
        <w:tc>
          <w:tcPr>
            <w:tcW w:w="1497" w:type="dxa"/>
          </w:tcPr>
          <w:p w:rsidR="001823A6" w:rsidRPr="001823A6" w:rsidRDefault="001823A6" w:rsidP="00EB795B">
            <w:pPr>
              <w:cnfStyle w:val="000000000000" w:firstRow="0" w:lastRow="0" w:firstColumn="0" w:lastColumn="0" w:oddVBand="0" w:evenVBand="0" w:oddHBand="0" w:evenHBand="0" w:firstRowFirstColumn="0" w:firstRowLastColumn="0" w:lastRowFirstColumn="0" w:lastRowLastColumn="0"/>
            </w:pPr>
            <w:r>
              <w:t>4.2</w:t>
            </w:r>
          </w:p>
        </w:tc>
      </w:tr>
      <w:tr w:rsidR="001823A6" w:rsidTr="00B5235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1823A6" w:rsidRPr="001823A6" w:rsidRDefault="001823A6" w:rsidP="00EB795B">
            <w:r>
              <w:t>Broker estimate—</w:t>
            </w:r>
            <w:r w:rsidRPr="001823A6">
              <w:t>adjusted for imputation</w:t>
            </w:r>
          </w:p>
        </w:tc>
        <w:tc>
          <w:tcPr>
            <w:tcW w:w="1275" w:type="dxa"/>
          </w:tcPr>
          <w:p w:rsidR="001823A6" w:rsidRPr="001823A6" w:rsidRDefault="001823A6" w:rsidP="00EB795B">
            <w:pPr>
              <w:cnfStyle w:val="000000010000" w:firstRow="0" w:lastRow="0" w:firstColumn="0" w:lastColumn="0" w:oddVBand="0" w:evenVBand="0" w:oddHBand="0" w:evenHBand="1" w:firstRowFirstColumn="0" w:firstRowLastColumn="0" w:lastRowFirstColumn="0" w:lastRowLastColumn="0"/>
            </w:pPr>
            <w:r>
              <w:t>Maximum</w:t>
            </w:r>
          </w:p>
        </w:tc>
        <w:tc>
          <w:tcPr>
            <w:tcW w:w="1418" w:type="dxa"/>
          </w:tcPr>
          <w:p w:rsidR="001823A6" w:rsidRPr="001823A6" w:rsidRDefault="003764E8" w:rsidP="00EB795B">
            <w:pPr>
              <w:cnfStyle w:val="000000010000" w:firstRow="0" w:lastRow="0" w:firstColumn="0" w:lastColumn="0" w:oddVBand="0" w:evenVBand="0" w:oddHBand="0" w:evenHBand="1" w:firstRowFirstColumn="0" w:firstRowLastColumn="0" w:lastRowFirstColumn="0" w:lastRowLastColumn="0"/>
            </w:pPr>
            <w:r>
              <w:t>12.1</w:t>
            </w:r>
          </w:p>
        </w:tc>
        <w:tc>
          <w:tcPr>
            <w:tcW w:w="1497" w:type="dxa"/>
          </w:tcPr>
          <w:p w:rsidR="001823A6" w:rsidRPr="001823A6" w:rsidRDefault="001823A6" w:rsidP="00EB795B">
            <w:pPr>
              <w:cnfStyle w:val="000000010000" w:firstRow="0" w:lastRow="0" w:firstColumn="0" w:lastColumn="0" w:oddVBand="0" w:evenVBand="0" w:oddHBand="0" w:evenHBand="1" w:firstRowFirstColumn="0" w:firstRowLastColumn="0" w:lastRowFirstColumn="0" w:lastRowLastColumn="0"/>
            </w:pPr>
            <w:r>
              <w:t>7.</w:t>
            </w:r>
            <w:r w:rsidR="003764E8">
              <w:t>1</w:t>
            </w:r>
          </w:p>
        </w:tc>
      </w:tr>
    </w:tbl>
    <w:p w:rsidR="001823A6" w:rsidRDefault="001823A6" w:rsidP="001823A6">
      <w:pPr>
        <w:pStyle w:val="AERtablesource"/>
        <w:numPr>
          <w:ilvl w:val="0"/>
          <w:numId w:val="24"/>
        </w:numPr>
      </w:pPr>
      <w:r>
        <w:t>Source:</w:t>
      </w:r>
      <w:r>
        <w:tab/>
        <w:t>AER analysis of broker reports, dated 7 September 2015 to 26 February 2016 by Credit Suisse, JP Morgan, Morgan Stanley, and Macquarie Bank that include a valuation for AusNet Services, Spark Infrastructure, APA Group, and/or DUET Group.</w:t>
      </w:r>
    </w:p>
    <w:p w:rsidR="001823A6" w:rsidRPr="003E6BC3" w:rsidRDefault="001823A6" w:rsidP="001823A6">
      <w:r>
        <w:t>T</w:t>
      </w:r>
      <w:r w:rsidRPr="003E6BC3">
        <w:t xml:space="preserve">he equity risk premium from the AER's foundation model of 4.55 per cent is within the range of premiums recently estimated by brokers, even when these estimates are adjusted for imputation. CitiPower's proposed equity risk premium of </w:t>
      </w:r>
      <w:r>
        <w:t>7.</w:t>
      </w:r>
      <w:r w:rsidR="00D1027A">
        <w:t>14</w:t>
      </w:r>
      <w:r w:rsidRPr="003E6BC3">
        <w:t xml:space="preserve"> per cent is </w:t>
      </w:r>
      <w:r w:rsidR="00D1027A">
        <w:t>at the upper bound of</w:t>
      </w:r>
      <w:r w:rsidRPr="003E6BC3">
        <w:t xml:space="preserve"> the range of premiums recently estimated by brokers. </w:t>
      </w:r>
    </w:p>
    <w:p w:rsidR="001823A6" w:rsidRDefault="001823A6" w:rsidP="001823A6">
      <w:r>
        <w:t>Directionally,</w:t>
      </w:r>
      <w:r w:rsidRPr="003E6BC3">
        <w:t xml:space="preserve"> </w:t>
      </w:r>
      <w:r>
        <w:t xml:space="preserve">as shown in </w:t>
      </w:r>
      <w:r>
        <w:fldChar w:fldCharType="begin"/>
      </w:r>
      <w:r>
        <w:instrText xml:space="preserve"> REF _Ref444708458 \h </w:instrText>
      </w:r>
      <w:r>
        <w:fldChar w:fldCharType="separate"/>
      </w:r>
      <w:r w:rsidR="00BA2E8E" w:rsidRPr="00CF4093">
        <w:t xml:space="preserve">Figure </w:t>
      </w:r>
      <w:r w:rsidR="00BA2E8E">
        <w:rPr>
          <w:noProof/>
        </w:rPr>
        <w:t>3</w:t>
      </w:r>
      <w:r w:rsidR="00BA2E8E">
        <w:noBreakHyphen/>
      </w:r>
      <w:r w:rsidR="00BA2E8E">
        <w:rPr>
          <w:noProof/>
        </w:rPr>
        <w:t>13</w:t>
      </w:r>
      <w:r>
        <w:fldChar w:fldCharType="end"/>
      </w:r>
      <w:r>
        <w:t xml:space="preserve">, </w:t>
      </w:r>
      <w:r w:rsidRPr="003E6BC3">
        <w:t xml:space="preserve">it appears that </w:t>
      </w:r>
      <w:r>
        <w:t>both the lower and upper bound</w:t>
      </w:r>
      <w:r w:rsidRPr="003E6BC3">
        <w:t xml:space="preserve">s of equity risk premium estimates from broker reports have risen since our review in our October 2015 preliminary decision. </w:t>
      </w:r>
      <w:r>
        <w:t>Our equity risk premium estimate remains, in general, below the imputation-adjusted broker estimates and above the unadjusted broker estimates. We do not consider that the directional evidence currently supports a move away from the return on equity resulting from our Guideline approach.</w:t>
      </w:r>
    </w:p>
    <w:p w:rsidR="001823A6" w:rsidRPr="00CF4093" w:rsidRDefault="001823A6" w:rsidP="001823A6">
      <w:pPr>
        <w:pStyle w:val="Caption"/>
        <w:numPr>
          <w:ilvl w:val="0"/>
          <w:numId w:val="24"/>
        </w:numPr>
      </w:pPr>
      <w:bookmarkStart w:id="284" w:name="_Ref444708458"/>
      <w:r w:rsidRPr="00CF4093">
        <w:t xml:space="preserve">Figure </w:t>
      </w:r>
      <w:fldSimple w:instr=" STYLEREF 1 \s ">
        <w:r w:rsidR="00BA2E8E">
          <w:rPr>
            <w:noProof/>
          </w:rPr>
          <w:t>3</w:t>
        </w:r>
      </w:fldSimple>
      <w:r w:rsidR="00A6197A">
        <w:noBreakHyphen/>
      </w:r>
      <w:fldSimple w:instr=" SEQ Figure \* ARABIC \s 1 ">
        <w:r w:rsidR="00BA2E8E">
          <w:rPr>
            <w:noProof/>
          </w:rPr>
          <w:t>13</w:t>
        </w:r>
      </w:fldSimple>
      <w:bookmarkEnd w:id="284"/>
      <w:r w:rsidRPr="00CF4093">
        <w:tab/>
        <w:t>Equity risk premium estimates from broker reports</w:t>
      </w:r>
    </w:p>
    <w:p w:rsidR="001823A6" w:rsidRPr="00CF4093" w:rsidRDefault="009C74CF" w:rsidP="001823A6">
      <w:pPr>
        <w:rPr>
          <w:rStyle w:val="AERtextblue"/>
        </w:rPr>
      </w:pPr>
      <w:r w:rsidRPr="009C74CF">
        <w:rPr>
          <w:noProof/>
          <w:lang w:eastAsia="en-AU"/>
        </w:rPr>
        <w:drawing>
          <wp:inline distT="0" distB="0" distL="0" distR="0" wp14:anchorId="72B04EC3" wp14:editId="70CA957C">
            <wp:extent cx="5382895" cy="3679092"/>
            <wp:effectExtent l="0" t="0" r="8255"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2895" cy="3679092"/>
                    </a:xfrm>
                    <a:prstGeom prst="rect">
                      <a:avLst/>
                    </a:prstGeom>
                    <a:noFill/>
                    <a:ln>
                      <a:noFill/>
                    </a:ln>
                  </pic:spPr>
                </pic:pic>
              </a:graphicData>
            </a:graphic>
          </wp:inline>
        </w:drawing>
      </w:r>
    </w:p>
    <w:p w:rsidR="001823A6" w:rsidRPr="00CF4093" w:rsidRDefault="001823A6" w:rsidP="001823A6">
      <w:pPr>
        <w:pStyle w:val="AERtablesource"/>
      </w:pPr>
      <w:r w:rsidRPr="00CF4093">
        <w:t>Source:</w:t>
      </w:r>
      <w:r w:rsidRPr="00CF4093">
        <w:tab/>
        <w:t xml:space="preserve">AER analysis of broker reports by Credit Suisse, JP Morgan, </w:t>
      </w:r>
      <w:r>
        <w:t xml:space="preserve">Morgan Stanley, </w:t>
      </w:r>
      <w:r w:rsidRPr="00CF4093">
        <w:t>and Macquarie Bank that include a valuation for AusNet Services, Spark Infrastructure, APA Group, and/or DUET Group.</w:t>
      </w:r>
    </w:p>
    <w:p w:rsidR="001823A6" w:rsidRPr="00CF4093" w:rsidRDefault="001823A6" w:rsidP="001823A6">
      <w:pPr>
        <w:pStyle w:val="AERtablesource"/>
      </w:pPr>
      <w:bookmarkStart w:id="285" w:name="_Ref445926689"/>
      <w:r>
        <w:t>Notes</w:t>
      </w:r>
      <w:r w:rsidRPr="00CF4093">
        <w:t>:</w:t>
      </w:r>
      <w:r w:rsidRPr="00CF4093">
        <w:tab/>
        <w:t>A</w:t>
      </w:r>
      <w:r>
        <w:t xml:space="preserve">verage broker </w:t>
      </w:r>
      <w:r w:rsidRPr="00CF4093">
        <w:t>ER</w:t>
      </w:r>
      <w:r>
        <w:t>P is the mean of estimates from all brokers and for all businesses available at the time</w:t>
      </w:r>
      <w:r w:rsidRPr="00CF4093">
        <w:t>.</w:t>
      </w:r>
      <w:r>
        <w:t xml:space="preserve"> The </w:t>
      </w:r>
    </w:p>
    <w:p w:rsidR="001823A6" w:rsidRPr="00AB7811" w:rsidRDefault="001823A6" w:rsidP="001823A6">
      <w:pPr>
        <w:pStyle w:val="Heading8"/>
      </w:pPr>
      <w:bookmarkStart w:id="286" w:name="_Ref451416171"/>
      <w:bookmarkStart w:id="287" w:name="_Toc451678662"/>
      <w:r>
        <w:t>Prevailing estimates</w:t>
      </w:r>
      <w:r w:rsidRPr="00AB7811">
        <w:t xml:space="preserve">: </w:t>
      </w:r>
      <w:r>
        <w:t>valuation reports</w:t>
      </w:r>
      <w:bookmarkEnd w:id="285"/>
      <w:bookmarkEnd w:id="286"/>
      <w:bookmarkEnd w:id="287"/>
    </w:p>
    <w:p w:rsidR="001823A6" w:rsidRPr="000D589B" w:rsidRDefault="001823A6" w:rsidP="001823A6">
      <w:pPr>
        <w:numPr>
          <w:ilvl w:val="0"/>
          <w:numId w:val="24"/>
        </w:numPr>
      </w:pPr>
      <w:r>
        <w:rPr>
          <w:rStyle w:val="AERtextblue"/>
        </w:rPr>
        <w:fldChar w:fldCharType="begin"/>
      </w:r>
      <w:r>
        <w:rPr>
          <w:rStyle w:val="AERtextblue"/>
        </w:rPr>
        <w:instrText xml:space="preserve"> REF _Ref448176907 \h </w:instrText>
      </w:r>
      <w:r>
        <w:rPr>
          <w:rStyle w:val="AERtextblue"/>
        </w:rPr>
      </w:r>
      <w:r>
        <w:rPr>
          <w:rStyle w:val="AERtextblue"/>
        </w:rPr>
        <w:fldChar w:fldCharType="separate"/>
      </w:r>
      <w:r w:rsidR="00BA2E8E" w:rsidRPr="00553810">
        <w:t xml:space="preserve">Figure </w:t>
      </w:r>
      <w:r w:rsidR="00BA2E8E">
        <w:rPr>
          <w:noProof/>
        </w:rPr>
        <w:t>3</w:t>
      </w:r>
      <w:r w:rsidR="00BA2E8E">
        <w:noBreakHyphen/>
      </w:r>
      <w:r w:rsidR="00BA2E8E">
        <w:rPr>
          <w:noProof/>
        </w:rPr>
        <w:t>14</w:t>
      </w:r>
      <w:r>
        <w:rPr>
          <w:rStyle w:val="AERtextblue"/>
        </w:rPr>
        <w:fldChar w:fldCharType="end"/>
      </w:r>
      <w:r>
        <w:rPr>
          <w:rStyle w:val="AERtextblue"/>
        </w:rPr>
        <w:t xml:space="preserve"> </w:t>
      </w:r>
      <w:r>
        <w:t xml:space="preserve">outlines the range of return on equity and equity risk premium estimates from relevant independent valuation reports. </w:t>
      </w:r>
      <w:bookmarkStart w:id="288" w:name="_Ref417589947"/>
      <w:r w:rsidRPr="000D589B">
        <w:t>We consider that the number of reports is too low and the concentration of reports among only a few valuers is too high to be able to place significant reliance on the evidence from valuation reports.</w:t>
      </w:r>
      <w:r w:rsidRPr="000D589B">
        <w:rPr>
          <w:rStyle w:val="FootnoteReference"/>
        </w:rPr>
        <w:footnoteReference w:id="971"/>
      </w:r>
    </w:p>
    <w:p w:rsidR="001823A6" w:rsidRPr="00553810" w:rsidRDefault="001823A6" w:rsidP="001823A6">
      <w:pPr>
        <w:pStyle w:val="Caption"/>
      </w:pPr>
      <w:bookmarkStart w:id="289" w:name="_Ref448176907"/>
      <w:r w:rsidRPr="00553810">
        <w:t xml:space="preserve">Figure </w:t>
      </w:r>
      <w:fldSimple w:instr=" STYLEREF 1 \s ">
        <w:r w:rsidR="00BA2E8E">
          <w:rPr>
            <w:noProof/>
          </w:rPr>
          <w:t>3</w:t>
        </w:r>
      </w:fldSimple>
      <w:r w:rsidR="00A6197A">
        <w:noBreakHyphen/>
      </w:r>
      <w:fldSimple w:instr=" SEQ Figure \* ARABIC \s 1 ">
        <w:r w:rsidR="00BA2E8E">
          <w:rPr>
            <w:noProof/>
          </w:rPr>
          <w:t>14</w:t>
        </w:r>
      </w:fldSimple>
      <w:bookmarkEnd w:id="288"/>
      <w:bookmarkEnd w:id="289"/>
      <w:r w:rsidRPr="00553810">
        <w:tab/>
      </w:r>
      <w:r>
        <w:t>Equity</w:t>
      </w:r>
      <w:r w:rsidRPr="00553810">
        <w:t xml:space="preserve"> risk premium from relevant </w:t>
      </w:r>
      <w:r w:rsidR="00ED69AC">
        <w:t>valuation</w:t>
      </w:r>
      <w:r w:rsidRPr="00553810">
        <w:t xml:space="preserve"> reports over time</w:t>
      </w:r>
    </w:p>
    <w:p w:rsidR="001823A6" w:rsidRDefault="009C74CF" w:rsidP="001823A6">
      <w:pPr>
        <w:pStyle w:val="AERtablesource"/>
      </w:pPr>
      <w:r w:rsidRPr="009C74CF">
        <w:rPr>
          <w:noProof/>
          <w:lang w:eastAsia="en-AU"/>
        </w:rPr>
        <w:drawing>
          <wp:inline distT="0" distB="0" distL="0" distR="0" wp14:anchorId="26D59F9F" wp14:editId="6C596E0D">
            <wp:extent cx="5372100" cy="3838575"/>
            <wp:effectExtent l="0" t="0" r="0"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72100" cy="3838575"/>
                    </a:xfrm>
                    <a:prstGeom prst="rect">
                      <a:avLst/>
                    </a:prstGeom>
                    <a:noFill/>
                    <a:ln>
                      <a:noFill/>
                    </a:ln>
                  </pic:spPr>
                </pic:pic>
              </a:graphicData>
            </a:graphic>
          </wp:inline>
        </w:drawing>
      </w:r>
    </w:p>
    <w:p w:rsidR="001823A6" w:rsidRPr="00D00035" w:rsidRDefault="001823A6" w:rsidP="001823A6">
      <w:pPr>
        <w:pStyle w:val="AERtablesource"/>
      </w:pPr>
      <w:r w:rsidRPr="00D00035">
        <w:t>Source:</w:t>
      </w:r>
      <w:r w:rsidRPr="00D00035">
        <w:tab/>
        <w:t xml:space="preserve">AER analysis of reports from the Thomson Reuters Connect4 database </w:t>
      </w:r>
    </w:p>
    <w:p w:rsidR="001823A6" w:rsidRPr="00D00035" w:rsidRDefault="001823A6" w:rsidP="001823A6">
      <w:pPr>
        <w:pStyle w:val="AERtablesource"/>
      </w:pPr>
      <w:r w:rsidRPr="00D00035">
        <w:t>Notes:</w:t>
      </w:r>
      <w:r w:rsidRPr="00D00035">
        <w:tab/>
        <w:t>We have shown the equity risk premium based on a nominal vanilla WACC, expert reports using a different WACC form have been adjusted accordingly. This equity risk premium</w:t>
      </w:r>
      <w:r>
        <w:t xml:space="preserve"> ('Valuers estimate-high')</w:t>
      </w:r>
      <w:r w:rsidRPr="00D00035">
        <w:t xml:space="preserve"> also reflects the impact of any discretionary uplifts applied by the independent valuer.</w:t>
      </w:r>
    </w:p>
    <w:p w:rsidR="001823A6" w:rsidRPr="00A44C72" w:rsidRDefault="001823A6" w:rsidP="001823A6">
      <w:pPr>
        <w:pStyle w:val="ListParagraph"/>
        <w:numPr>
          <w:ilvl w:val="0"/>
          <w:numId w:val="24"/>
        </w:numPr>
      </w:pPr>
      <w:r>
        <w:t>There have been</w:t>
      </w:r>
      <w:r w:rsidRPr="00A44C72">
        <w:t xml:space="preserve"> only 18 </w:t>
      </w:r>
      <w:r>
        <w:t xml:space="preserve">relevant </w:t>
      </w:r>
      <w:r w:rsidRPr="00A44C72">
        <w:t>independent valuation reports spanning a period going back to 1991.</w:t>
      </w:r>
      <w:r w:rsidRPr="00A44C72">
        <w:rPr>
          <w:rStyle w:val="AERsuperscript"/>
        </w:rPr>
        <w:footnoteReference w:id="972"/>
      </w:r>
      <w:r w:rsidRPr="00A44C72">
        <w:t xml:space="preserve"> Only 12 reports included a discounted cash flow analysis with information on a return on equity estimate. These 12 reports were provided by only three independent valuation firms, with 9 of the 12 reports being provided by Grant Samuel &amp; Associates.</w:t>
      </w:r>
    </w:p>
    <w:p w:rsidR="001823A6" w:rsidRPr="00EF679B" w:rsidRDefault="001823A6" w:rsidP="000A52D1">
      <w:pPr>
        <w:numPr>
          <w:ilvl w:val="0"/>
          <w:numId w:val="24"/>
        </w:numPr>
      </w:pPr>
      <w:r w:rsidRPr="00EF679B">
        <w:t>We note that the ranges for return on equity and equity risk premium estimates contained in</w:t>
      </w:r>
      <w:r w:rsidR="000A52D1">
        <w:t xml:space="preserve"> </w:t>
      </w:r>
      <w:r w:rsidR="00ED69AC">
        <w:fldChar w:fldCharType="begin"/>
      </w:r>
      <w:r w:rsidR="00ED69AC">
        <w:instrText xml:space="preserve"> REF _Ref448176907 \h </w:instrText>
      </w:r>
      <w:r w:rsidR="00ED69AC">
        <w:fldChar w:fldCharType="separate"/>
      </w:r>
      <w:r w:rsidR="00BA2E8E" w:rsidRPr="00553810">
        <w:t xml:space="preserve">Figure </w:t>
      </w:r>
      <w:r w:rsidR="00BA2E8E">
        <w:rPr>
          <w:noProof/>
        </w:rPr>
        <w:t>3</w:t>
      </w:r>
      <w:r w:rsidR="00BA2E8E">
        <w:noBreakHyphen/>
      </w:r>
      <w:r w:rsidR="00BA2E8E">
        <w:rPr>
          <w:noProof/>
        </w:rPr>
        <w:t>14</w:t>
      </w:r>
      <w:r w:rsidR="00ED69AC">
        <w:fldChar w:fldCharType="end"/>
      </w:r>
      <w:r w:rsidR="00ED69AC">
        <w:t xml:space="preserve"> </w:t>
      </w:r>
      <w:r w:rsidRPr="00EF679B">
        <w:t xml:space="preserve">include the final values used in the independent valuation reports and reflect any uplifts applied. However, as noted in </w:t>
      </w:r>
      <w:r>
        <w:fldChar w:fldCharType="begin"/>
      </w:r>
      <w:r>
        <w:instrText xml:space="preserve"> REF _Ref445927856 \h </w:instrText>
      </w:r>
      <w:r>
        <w:fldChar w:fldCharType="separate"/>
      </w:r>
      <w:r w:rsidR="00BA2E8E">
        <w:t xml:space="preserve">Table </w:t>
      </w:r>
      <w:r w:rsidR="00BA2E8E">
        <w:rPr>
          <w:noProof/>
        </w:rPr>
        <w:t>3</w:t>
      </w:r>
      <w:r w:rsidR="00BA2E8E">
        <w:noBreakHyphen/>
      </w:r>
      <w:r w:rsidR="00BA2E8E">
        <w:rPr>
          <w:noProof/>
        </w:rPr>
        <w:t>7</w:t>
      </w:r>
      <w:r>
        <w:fldChar w:fldCharType="end"/>
      </w:r>
      <w:r>
        <w:t>,</w:t>
      </w:r>
      <w:r w:rsidRPr="00EF679B">
        <w:t xml:space="preserve"> we have concerns about the applicability of these uplifts to the allowed rate of return objective.</w:t>
      </w:r>
      <w:r w:rsidRPr="00EF679B">
        <w:rPr>
          <w:rStyle w:val="FootnoteReference"/>
        </w:rPr>
        <w:footnoteReference w:id="973"/>
      </w:r>
      <w:r w:rsidRPr="00EF679B">
        <w:t xml:space="preserve"> </w:t>
      </w:r>
      <w:r>
        <w:t>W</w:t>
      </w:r>
      <w:r w:rsidRPr="00536D41">
        <w:t xml:space="preserve">e </w:t>
      </w:r>
      <w:r>
        <w:t>also</w:t>
      </w:r>
      <w:r w:rsidRPr="00536D41">
        <w:t xml:space="preserve"> have concerns that the adjustment for dividend imputation may not be appropriate (</w:t>
      </w:r>
      <w:r>
        <w:t xml:space="preserve">see </w:t>
      </w:r>
      <w:r>
        <w:fldChar w:fldCharType="begin"/>
      </w:r>
      <w:r>
        <w:instrText xml:space="preserve"> REF _Ref445927856 \h </w:instrText>
      </w:r>
      <w:r>
        <w:fldChar w:fldCharType="separate"/>
      </w:r>
      <w:r w:rsidR="00BA2E8E">
        <w:t xml:space="preserve">Table </w:t>
      </w:r>
      <w:r w:rsidR="00BA2E8E">
        <w:rPr>
          <w:noProof/>
        </w:rPr>
        <w:t>3</w:t>
      </w:r>
      <w:r w:rsidR="00BA2E8E">
        <w:noBreakHyphen/>
      </w:r>
      <w:r w:rsidR="00BA2E8E">
        <w:rPr>
          <w:noProof/>
        </w:rPr>
        <w:t>7</w:t>
      </w:r>
      <w:r>
        <w:fldChar w:fldCharType="end"/>
      </w:r>
      <w:r w:rsidRPr="00536D41">
        <w:t>). The risk premium appropriately reflecting dividend imputation is likely somewhere between the adjusted and unadjusted premiums, but we are unable to distil a precise estimate due to a lack of transparency in valuation reports.</w:t>
      </w:r>
    </w:p>
    <w:p w:rsidR="001823A6" w:rsidRDefault="001823A6" w:rsidP="001823A6">
      <w:pPr>
        <w:numPr>
          <w:ilvl w:val="0"/>
          <w:numId w:val="24"/>
        </w:numPr>
      </w:pPr>
      <w:r>
        <w:t>The most recent report for a regulated energy network business is Grant Samuel’s report for Envestra on 4 March 2014. We find that this evidence does not support a move away from our foundation model estimate of 4.55 per cent. We note that:</w:t>
      </w:r>
    </w:p>
    <w:p w:rsidR="001823A6" w:rsidRDefault="001823A6" w:rsidP="001823A6">
      <w:pPr>
        <w:pStyle w:val="AERbulletlistfirststyle"/>
      </w:pPr>
      <w:r>
        <w:t xml:space="preserve">Grant Samuel’s initial Sharpe-Lintner CAPM-based return on equity estimate provides an equity risk premium range of 3.6 to 4.2 per cent (without adjustment for dividend imputation, 4.1 to 4.8 per cent including our estimated adjustment for dividend imputation). </w:t>
      </w:r>
    </w:p>
    <w:p w:rsidR="001823A6" w:rsidRPr="00B005DF" w:rsidRDefault="001823A6" w:rsidP="001823A6">
      <w:pPr>
        <w:pStyle w:val="AERbulletlistfirststyle"/>
      </w:pPr>
      <w:r>
        <w:t>Grant Samuel outlined four separate uplift scenarios that supported its discretionary uplift to its rate of return above the initial Sharpe-Lintner CAPM-based estimate.</w:t>
      </w:r>
      <w:r w:rsidRPr="00B005DF">
        <w:rPr>
          <w:rStyle w:val="FootnoteReference"/>
        </w:rPr>
        <w:footnoteReference w:id="974"/>
      </w:r>
      <w:r w:rsidRPr="00B005DF">
        <w:t xml:space="preserve"> Although we have concerns with the applicability of these uplifts to </w:t>
      </w:r>
      <w:r>
        <w:t xml:space="preserve">the allowed </w:t>
      </w:r>
      <w:r w:rsidRPr="00B005DF">
        <w:t>rate of return objective</w:t>
      </w:r>
      <w:r>
        <w:t>,</w:t>
      </w:r>
      <w:r w:rsidRPr="00B005DF">
        <w:t xml:space="preserve"> our foundation model premium is </w:t>
      </w:r>
      <w:r>
        <w:t>above</w:t>
      </w:r>
      <w:r w:rsidRPr="00B005DF">
        <w:t xml:space="preserve"> </w:t>
      </w:r>
      <w:r>
        <w:t xml:space="preserve">or within </w:t>
      </w:r>
      <w:r w:rsidRPr="00B005DF">
        <w:t>the equity risk premium range in three of the four scenarios</w:t>
      </w:r>
      <w:r>
        <w:t xml:space="preserve"> if no adjustments are made for dividend imputation.</w:t>
      </w:r>
      <w:r>
        <w:rPr>
          <w:rStyle w:val="FootnoteReference"/>
        </w:rPr>
        <w:footnoteReference w:id="975"/>
      </w:r>
    </w:p>
    <w:p w:rsidR="001823A6" w:rsidRPr="000D589B" w:rsidRDefault="00ED69AC" w:rsidP="001823A6">
      <w:pPr>
        <w:pStyle w:val="ListParagraph"/>
        <w:numPr>
          <w:ilvl w:val="0"/>
          <w:numId w:val="24"/>
        </w:numPr>
        <w:rPr>
          <w:rStyle w:val="AERtextblue"/>
        </w:rPr>
      </w:pPr>
      <w:r>
        <w:t>In response to our preliminary decision, service providers</w:t>
      </w:r>
      <w:r w:rsidR="001823A6" w:rsidRPr="000D589B">
        <w:t xml:space="preserve"> </w:t>
      </w:r>
      <w:r w:rsidR="001823A6">
        <w:t>submitted</w:t>
      </w:r>
      <w:r w:rsidR="001823A6" w:rsidRPr="000D589B">
        <w:t xml:space="preserve"> that it is not clear how we arrived at </w:t>
      </w:r>
      <w:r w:rsidR="001823A6">
        <w:t>our</w:t>
      </w:r>
      <w:r w:rsidR="001823A6" w:rsidRPr="000D589B">
        <w:t xml:space="preserve"> imputation-adjusted </w:t>
      </w:r>
      <w:r w:rsidR="001823A6">
        <w:t>equity risk premium</w:t>
      </w:r>
      <w:r w:rsidR="001823A6" w:rsidRPr="000D589B">
        <w:t xml:space="preserve"> range.</w:t>
      </w:r>
      <w:r w:rsidR="001823A6" w:rsidRPr="000D589B">
        <w:rPr>
          <w:rStyle w:val="FootnoteReference"/>
        </w:rPr>
        <w:footnoteReference w:id="976"/>
      </w:r>
      <w:r w:rsidR="001823A6" w:rsidRPr="000D589B">
        <w:t xml:space="preserve"> This range was calculated using the </w:t>
      </w:r>
      <w:r w:rsidR="001823A6">
        <w:t>premiums</w:t>
      </w:r>
      <w:r w:rsidR="001823A6" w:rsidRPr="000D589B">
        <w:t xml:space="preserve"> implied by the low (high) equity beta estimate given by the independent valuer for the bottom (top) of the range for each independent valuation report. </w:t>
      </w:r>
    </w:p>
    <w:p w:rsidR="001823A6" w:rsidRPr="00AB7811" w:rsidRDefault="001823A6" w:rsidP="001823A6">
      <w:pPr>
        <w:pStyle w:val="Heading8"/>
      </w:pPr>
      <w:bookmarkStart w:id="290" w:name="_Ref451416189"/>
      <w:bookmarkStart w:id="291" w:name="_Toc451678663"/>
      <w:bookmarkStart w:id="292" w:name="_Toc443923234"/>
      <w:r>
        <w:t>Prevailing estimates</w:t>
      </w:r>
      <w:r w:rsidRPr="00AB7811">
        <w:t xml:space="preserve">: </w:t>
      </w:r>
      <w:r>
        <w:t>other regulators</w:t>
      </w:r>
      <w:bookmarkEnd w:id="290"/>
      <w:bookmarkEnd w:id="291"/>
    </w:p>
    <w:p w:rsidR="001823A6" w:rsidRPr="00F54E5E" w:rsidRDefault="001823A6" w:rsidP="001823A6">
      <w:pPr>
        <w:numPr>
          <w:ilvl w:val="0"/>
          <w:numId w:val="24"/>
        </w:numPr>
      </w:pPr>
      <w:r>
        <w:t>T</w:t>
      </w:r>
      <w:r w:rsidRPr="00821895">
        <w:t xml:space="preserve">he estimates of return on equity from other regulators' decisions </w:t>
      </w:r>
      <w:r>
        <w:t xml:space="preserve">(dated </w:t>
      </w:r>
      <w:r w:rsidRPr="00821895">
        <w:t xml:space="preserve">between </w:t>
      </w:r>
      <w:r>
        <w:t>August 2015</w:t>
      </w:r>
      <w:r w:rsidRPr="00821895">
        <w:t xml:space="preserve"> and </w:t>
      </w:r>
      <w:r>
        <w:t>February 2016) range from 6.96 to 12.55 per cent</w:t>
      </w:r>
      <w:r w:rsidRPr="00821895">
        <w:t>.</w:t>
      </w:r>
      <w:r w:rsidRPr="003E6478">
        <w:t xml:space="preserve"> </w:t>
      </w:r>
      <w:r>
        <w:t>T</w:t>
      </w:r>
      <w:r w:rsidRPr="00821895">
        <w:t xml:space="preserve">he premium above the risk free rate from </w:t>
      </w:r>
      <w:r>
        <w:t>these</w:t>
      </w:r>
      <w:r w:rsidRPr="00821895">
        <w:t xml:space="preserve"> return on equity estimates decisions </w:t>
      </w:r>
      <w:r>
        <w:t>ranges from 4.20 to 9.</w:t>
      </w:r>
      <w:r w:rsidR="00B36519">
        <w:t>4</w:t>
      </w:r>
      <w:r>
        <w:t>9 per cent</w:t>
      </w:r>
      <w:r w:rsidRPr="00821895">
        <w:t>.</w:t>
      </w:r>
      <w:r w:rsidRPr="00821895">
        <w:rPr>
          <w:rStyle w:val="FootnoteReference"/>
        </w:rPr>
        <w:footnoteReference w:id="977"/>
      </w:r>
      <w:r w:rsidRPr="00821895">
        <w:t xml:space="preserve"> </w:t>
      </w:r>
    </w:p>
    <w:p w:rsidR="001823A6" w:rsidRPr="00904748" w:rsidRDefault="001823A6" w:rsidP="001823A6">
      <w:pPr>
        <w:numPr>
          <w:ilvl w:val="0"/>
          <w:numId w:val="24"/>
        </w:numPr>
      </w:pPr>
      <w:r>
        <w:t>T</w:t>
      </w:r>
      <w:r w:rsidRPr="008C4432">
        <w:t xml:space="preserve">he equity risk premium from </w:t>
      </w:r>
      <w:r>
        <w:t>our</w:t>
      </w:r>
      <w:r w:rsidRPr="008C4432">
        <w:t xml:space="preserve"> foundation model of 4.55 per cent is within the range of premiums recently estimated by other regulators. </w:t>
      </w:r>
      <w:r w:rsidRPr="00904748">
        <w:t>Directionally, the range of equity risk premium estimates appears broadly consistent with those examined in our previous decisions</w:t>
      </w:r>
      <w:r w:rsidRPr="00904748">
        <w:rPr>
          <w:rStyle w:val="FootnoteReference"/>
        </w:rPr>
        <w:footnoteReference w:id="978"/>
      </w:r>
      <w:r w:rsidRPr="00904748">
        <w:t xml:space="preserve"> as shown in </w:t>
      </w:r>
      <w:r w:rsidRPr="00904748">
        <w:fldChar w:fldCharType="begin"/>
      </w:r>
      <w:r w:rsidRPr="00904748">
        <w:instrText xml:space="preserve"> REF _Ref444707385 \h </w:instrText>
      </w:r>
      <w:r w:rsidRPr="00904748">
        <w:fldChar w:fldCharType="separate"/>
      </w:r>
      <w:r w:rsidR="00BA2E8E">
        <w:t xml:space="preserve">Figure </w:t>
      </w:r>
      <w:r w:rsidR="00BA2E8E">
        <w:rPr>
          <w:noProof/>
        </w:rPr>
        <w:t>3</w:t>
      </w:r>
      <w:r w:rsidR="00BA2E8E">
        <w:noBreakHyphen/>
      </w:r>
      <w:r w:rsidR="00BA2E8E">
        <w:rPr>
          <w:noProof/>
        </w:rPr>
        <w:t>15</w:t>
      </w:r>
      <w:r w:rsidRPr="00904748">
        <w:fldChar w:fldCharType="end"/>
      </w:r>
      <w:r w:rsidRPr="00904748">
        <w:t>.</w:t>
      </w:r>
      <w:r w:rsidRPr="00904748">
        <w:rPr>
          <w:rStyle w:val="FootnoteReference"/>
        </w:rPr>
        <w:footnoteReference w:id="979"/>
      </w:r>
      <w:r w:rsidRPr="00904748">
        <w:t xml:space="preserve"> </w:t>
      </w:r>
    </w:p>
    <w:p w:rsidR="001823A6" w:rsidRDefault="001823A6" w:rsidP="001823A6">
      <w:pPr>
        <w:pStyle w:val="Caption"/>
        <w:numPr>
          <w:ilvl w:val="0"/>
          <w:numId w:val="24"/>
        </w:numPr>
      </w:pPr>
      <w:bookmarkStart w:id="293" w:name="_Ref444707385"/>
      <w:r>
        <w:t xml:space="preserve">Figure </w:t>
      </w:r>
      <w:fldSimple w:instr=" STYLEREF 1 \s ">
        <w:r w:rsidR="00BA2E8E">
          <w:rPr>
            <w:noProof/>
          </w:rPr>
          <w:t>3</w:t>
        </w:r>
      </w:fldSimple>
      <w:r w:rsidR="00A6197A">
        <w:noBreakHyphen/>
      </w:r>
      <w:fldSimple w:instr=" SEQ Figure \* ARABIC \s 1 ">
        <w:r w:rsidR="00BA2E8E">
          <w:rPr>
            <w:noProof/>
          </w:rPr>
          <w:t>15</w:t>
        </w:r>
      </w:fldSimple>
      <w:bookmarkEnd w:id="293"/>
      <w:r>
        <w:tab/>
        <w:t>Equity risk premium estimates from other regulators' decisions</w:t>
      </w:r>
    </w:p>
    <w:p w:rsidR="001823A6" w:rsidRDefault="001823A6" w:rsidP="001823A6">
      <w:r w:rsidRPr="001823A6">
        <w:rPr>
          <w:noProof/>
          <w:lang w:eastAsia="en-AU"/>
        </w:rPr>
        <mc:AlternateContent>
          <mc:Choice Requires="wps">
            <w:drawing>
              <wp:anchor distT="0" distB="0" distL="114300" distR="114300" simplePos="0" relativeHeight="251663360" behindDoc="0" locked="0" layoutInCell="1" allowOverlap="1" wp14:anchorId="3DDFDA04" wp14:editId="4FBB9781">
                <wp:simplePos x="0" y="0"/>
                <wp:positionH relativeFrom="column">
                  <wp:posOffset>4337050</wp:posOffset>
                </wp:positionH>
                <wp:positionV relativeFrom="paragraph">
                  <wp:posOffset>1924685</wp:posOffset>
                </wp:positionV>
                <wp:extent cx="1045845" cy="4241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845" cy="424180"/>
                        </a:xfrm>
                        <a:prstGeom prst="rect">
                          <a:avLst/>
                        </a:prstGeom>
                        <a:noFill/>
                        <a:ln w="9525">
                          <a:noFill/>
                          <a:miter lim="800000"/>
                          <a:headEnd/>
                          <a:tailEnd/>
                        </a:ln>
                      </wps:spPr>
                      <wps:txbx>
                        <w:txbxContent>
                          <w:p w:rsidR="006345FD" w:rsidRDefault="006345FD" w:rsidP="001823A6">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1.5pt;margin-top:151.55pt;width:82.35pt;height:3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" filled="f" stroked="f">
                <v:textbox>
                  <w:txbxContent>
                    <w:p w:rsidR="006345FD" w:rsidRDefault="006345FD" w:rsidP="001823A6">
                      <w:pPr>
                        <w:pStyle w:val="Header"/>
                      </w:pPr>
                      <w:r>
                        <w:rPr>
                          <w:rStyle w:val="AERsubscript"/>
                        </w:rPr>
                        <w:t xml:space="preserve">IPART </w:t>
                      </w:r>
                      <w:r w:rsidRPr="00DE62A7">
                        <w:rPr>
                          <w:rStyle w:val="AERsubscript"/>
                        </w:rPr>
                        <w:t>Retail</w:t>
                      </w:r>
                      <w:r>
                        <w:t xml:space="preserve"> </w:t>
                      </w:r>
                      <w:r w:rsidRPr="00DE62A7">
                        <w:rPr>
                          <w:rStyle w:val="AERsubscript"/>
                        </w:rPr>
                        <w:t>gas</w:t>
                      </w:r>
                      <w:r>
                        <w:t xml:space="preserve"> </w:t>
                      </w:r>
                      <w:r w:rsidRPr="00DE62A7">
                        <w:rPr>
                          <w:rStyle w:val="AERsubscript"/>
                        </w:rPr>
                        <w:t>decision</w:t>
                      </w:r>
                    </w:p>
                  </w:txbxContent>
                </v:textbox>
              </v:shape>
            </w:pict>
          </mc:Fallback>
        </mc:AlternateContent>
      </w:r>
      <w:r w:rsidR="009C74CF" w:rsidRPr="009C74CF">
        <w:t xml:space="preserve"> </w:t>
      </w:r>
      <w:r w:rsidR="009C74CF" w:rsidRPr="009C74CF">
        <w:rPr>
          <w:noProof/>
          <w:lang w:eastAsia="en-AU"/>
        </w:rPr>
        <w:drawing>
          <wp:inline distT="0" distB="0" distL="0" distR="0" wp14:anchorId="6AB017B6" wp14:editId="008A97E2">
            <wp:extent cx="5372100" cy="5095875"/>
            <wp:effectExtent l="0" t="0" r="0"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72100" cy="5095875"/>
                    </a:xfrm>
                    <a:prstGeom prst="rect">
                      <a:avLst/>
                    </a:prstGeom>
                    <a:noFill/>
                    <a:ln>
                      <a:noFill/>
                    </a:ln>
                  </pic:spPr>
                </pic:pic>
              </a:graphicData>
            </a:graphic>
          </wp:inline>
        </w:drawing>
      </w:r>
    </w:p>
    <w:p w:rsidR="001823A6" w:rsidRPr="001823A6" w:rsidRDefault="001823A6" w:rsidP="001823A6">
      <w:r w:rsidRPr="001823A6">
        <w:rPr>
          <w:noProof/>
          <w:lang w:eastAsia="en-AU"/>
        </w:rPr>
        <w:drawing>
          <wp:inline distT="0" distB="0" distL="0" distR="0" wp14:anchorId="5FF168C1" wp14:editId="4B4CA209">
            <wp:extent cx="5382895" cy="172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172700"/>
                    </a:xfrm>
                    <a:prstGeom prst="rect">
                      <a:avLst/>
                    </a:prstGeom>
                  </pic:spPr>
                </pic:pic>
              </a:graphicData>
            </a:graphic>
          </wp:inline>
        </w:drawing>
      </w:r>
    </w:p>
    <w:p w:rsidR="001823A6" w:rsidRPr="001823A6" w:rsidRDefault="001823A6" w:rsidP="001823A6">
      <w:r>
        <w:t>T</w:t>
      </w:r>
      <w:r w:rsidRPr="001823A6">
        <w:t>he estimates of the market risk premium from other regulators' decisions (dated between August 2015 and February 2016) range from 6 to 7.6 per cent.</w:t>
      </w:r>
      <w:r w:rsidRPr="001823A6">
        <w:rPr>
          <w:rStyle w:val="FootnoteReference"/>
        </w:rPr>
        <w:footnoteReference w:id="980"/>
      </w:r>
      <w:r w:rsidRPr="001823A6">
        <w:t xml:space="preserve"> </w:t>
      </w:r>
      <w:r w:rsidRPr="001823A6">
        <w:fldChar w:fldCharType="begin"/>
      </w:r>
      <w:r w:rsidRPr="001823A6">
        <w:instrText xml:space="preserve"> REF _Ref449019545 \h </w:instrText>
      </w:r>
      <w:r w:rsidRPr="001823A6">
        <w:fldChar w:fldCharType="separate"/>
      </w:r>
      <w:r w:rsidR="00BA2E8E" w:rsidRPr="00CF4093">
        <w:t xml:space="preserve">Figure </w:t>
      </w:r>
      <w:r w:rsidR="00BA2E8E">
        <w:rPr>
          <w:noProof/>
        </w:rPr>
        <w:t>3</w:t>
      </w:r>
      <w:r w:rsidR="00BA2E8E">
        <w:noBreakHyphen/>
      </w:r>
      <w:r w:rsidR="00BA2E8E">
        <w:rPr>
          <w:noProof/>
        </w:rPr>
        <w:t>16</w:t>
      </w:r>
      <w:r w:rsidRPr="001823A6">
        <w:fldChar w:fldCharType="end"/>
      </w:r>
      <w:r w:rsidRPr="001823A6">
        <w:t xml:space="preserve"> shows that our estimate (6.5 per cent) of the market risk premium is consistent with the range of estimates from other regulators over time.</w:t>
      </w:r>
    </w:p>
    <w:p w:rsidR="001823A6" w:rsidRPr="00CF4093" w:rsidRDefault="001823A6" w:rsidP="001823A6">
      <w:pPr>
        <w:pStyle w:val="Caption"/>
        <w:numPr>
          <w:ilvl w:val="0"/>
          <w:numId w:val="24"/>
        </w:numPr>
      </w:pPr>
      <w:bookmarkStart w:id="294" w:name="_Ref449019545"/>
      <w:r w:rsidRPr="00CF4093">
        <w:t xml:space="preserve">Figure </w:t>
      </w:r>
      <w:fldSimple w:instr=" STYLEREF 1 \s ">
        <w:r w:rsidR="00BA2E8E">
          <w:rPr>
            <w:noProof/>
          </w:rPr>
          <w:t>3</w:t>
        </w:r>
      </w:fldSimple>
      <w:r w:rsidR="00A6197A">
        <w:noBreakHyphen/>
      </w:r>
      <w:fldSimple w:instr=" SEQ Figure \* ARABIC \s 1 ">
        <w:r w:rsidR="00BA2E8E">
          <w:rPr>
            <w:noProof/>
          </w:rPr>
          <w:t>16</w:t>
        </w:r>
      </w:fldSimple>
      <w:bookmarkEnd w:id="294"/>
      <w:r w:rsidRPr="00CF4093">
        <w:tab/>
      </w:r>
      <w:r>
        <w:t>Market</w:t>
      </w:r>
      <w:r w:rsidRPr="00CF4093">
        <w:t xml:space="preserve"> risk premium estimates from </w:t>
      </w:r>
      <w:r>
        <w:t>other regulators' decisions</w:t>
      </w:r>
    </w:p>
    <w:p w:rsidR="001823A6" w:rsidRPr="001823A6" w:rsidRDefault="009C74CF" w:rsidP="001823A6">
      <w:r w:rsidRPr="009C74CF">
        <w:rPr>
          <w:noProof/>
          <w:lang w:eastAsia="en-AU"/>
        </w:rPr>
        <w:drawing>
          <wp:inline distT="0" distB="0" distL="0" distR="0" wp14:anchorId="55F1041E" wp14:editId="1A37CC5E">
            <wp:extent cx="5372100" cy="5114925"/>
            <wp:effectExtent l="0" t="0" r="0"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72100" cy="5114925"/>
                    </a:xfrm>
                    <a:prstGeom prst="rect">
                      <a:avLst/>
                    </a:prstGeom>
                    <a:noFill/>
                    <a:ln>
                      <a:noFill/>
                    </a:ln>
                  </pic:spPr>
                </pic:pic>
              </a:graphicData>
            </a:graphic>
          </wp:inline>
        </w:drawing>
      </w:r>
      <w:r w:rsidR="001823A6" w:rsidRPr="001823A6">
        <w:tab/>
      </w:r>
    </w:p>
    <w:p w:rsidR="007B1C84" w:rsidRDefault="007B1C84" w:rsidP="006345FD">
      <w:pPr>
        <w:pStyle w:val="Heading8"/>
        <w:keepNext/>
      </w:pPr>
      <w:bookmarkStart w:id="295" w:name="_Toc443923237"/>
      <w:bookmarkStart w:id="296" w:name="_Ref445933050"/>
      <w:bookmarkStart w:id="297" w:name="_Ref446278671"/>
      <w:bookmarkStart w:id="298" w:name="_Ref446280177"/>
      <w:bookmarkStart w:id="299" w:name="_Ref449020986"/>
      <w:bookmarkStart w:id="300" w:name="_Toc451678664"/>
      <w:bookmarkEnd w:id="282"/>
      <w:bookmarkEnd w:id="292"/>
      <w:r>
        <w:t>Relationship between risk free rate and market risk premium in valuation reports</w:t>
      </w:r>
      <w:bookmarkEnd w:id="295"/>
      <w:bookmarkEnd w:id="296"/>
      <w:bookmarkEnd w:id="297"/>
      <w:bookmarkEnd w:id="298"/>
      <w:bookmarkEnd w:id="299"/>
      <w:bookmarkEnd w:id="300"/>
    </w:p>
    <w:p w:rsidR="00B52359" w:rsidRDefault="00B52359" w:rsidP="006345FD">
      <w:pPr>
        <w:keepNext/>
        <w:numPr>
          <w:ilvl w:val="0"/>
          <w:numId w:val="24"/>
        </w:numPr>
      </w:pPr>
      <w:r>
        <w:rPr>
          <w:rStyle w:val="AERbody"/>
        </w:rPr>
        <w:t>CitiPower</w:t>
      </w:r>
      <w:r>
        <w:t xml:space="preserve"> submitted reports from Incenta Economic Consulting, NERA, and Houston Kemp that claimed that there is evidence of an inverse relationship between the risk free rate and the market risk premium in recent estimates by independent valuers. </w:t>
      </w:r>
    </w:p>
    <w:p w:rsidR="00B52359" w:rsidRDefault="00B52359" w:rsidP="00B52359">
      <w:pPr>
        <w:numPr>
          <w:ilvl w:val="0"/>
          <w:numId w:val="24"/>
        </w:numPr>
      </w:pPr>
      <w:r>
        <w:t>We considered the submissions by Incenta and NERA in our preliminary decision, with our overall assessment being that there is not sufficient evidence to establish the existence of such a relationship in valuers' estimates.</w:t>
      </w:r>
      <w:r>
        <w:rPr>
          <w:rStyle w:val="FootnoteReference"/>
        </w:rPr>
        <w:footnoteReference w:id="981"/>
      </w:r>
      <w:r>
        <w:t xml:space="preserve"> This is because:</w:t>
      </w:r>
    </w:p>
    <w:p w:rsidR="00B52359" w:rsidRDefault="00B52359" w:rsidP="00B52359">
      <w:pPr>
        <w:pStyle w:val="AERbulletlistfirststyle"/>
      </w:pPr>
      <w:r>
        <w:t>Incenta's sample is too small to support a reliable inference.</w:t>
      </w:r>
    </w:p>
    <w:p w:rsidR="00B52359" w:rsidRDefault="00B52359" w:rsidP="00B52359">
      <w:pPr>
        <w:pStyle w:val="AERbulletlistfirststyle"/>
      </w:pPr>
      <w:r>
        <w:t>NERA's regression results are driven by its unsupported assumption that any difference between a valuer's stated risk free rate and the prevailing yield on Commonwealth government securities is to be taken as part of their adopted market risk premium.</w:t>
      </w:r>
    </w:p>
    <w:p w:rsidR="00B52359" w:rsidRDefault="00B52359" w:rsidP="00B52359">
      <w:pPr>
        <w:rPr>
          <w:rStyle w:val="AERbody"/>
        </w:rPr>
      </w:pPr>
      <w:r>
        <w:t xml:space="preserve">As HoustonKemp's analysis uses the same methods to that of NERA, our criticisms of NERA's analysis in our preliminary decision are equally applicable to it. </w:t>
      </w:r>
      <w:r>
        <w:rPr>
          <w:rStyle w:val="AERbody"/>
        </w:rPr>
        <w:t>These reasons were supported by Partington and Satchell.</w:t>
      </w:r>
      <w:r>
        <w:rPr>
          <w:rStyle w:val="FootnoteReference"/>
        </w:rPr>
        <w:footnoteReference w:id="982"/>
      </w:r>
      <w:r>
        <w:rPr>
          <w:rStyle w:val="AERbody"/>
        </w:rPr>
        <w:t xml:space="preserve"> We discuss our reasons for not accepting the submissions by Incenta, NERA, and Houston Kemp further in the following sections. We do not consider that there is sufficient evidence before us to depart from our original assessment.</w:t>
      </w:r>
    </w:p>
    <w:p w:rsidR="00B52359" w:rsidRPr="00B52359" w:rsidRDefault="00B52359" w:rsidP="00B52359">
      <w:pPr>
        <w:pStyle w:val="Heading9"/>
        <w:rPr>
          <w:rStyle w:val="AERbody"/>
        </w:rPr>
      </w:pPr>
      <w:bookmarkStart w:id="301" w:name="_Toc451678665"/>
      <w:r w:rsidRPr="001464C7">
        <w:t>Our assessment of Incenta's submission</w:t>
      </w:r>
      <w:bookmarkEnd w:id="301"/>
    </w:p>
    <w:p w:rsidR="00B52359" w:rsidRDefault="00B52359" w:rsidP="00B52359">
      <w:pPr>
        <w:numPr>
          <w:ilvl w:val="0"/>
          <w:numId w:val="24"/>
        </w:numPr>
      </w:pPr>
      <w:r>
        <w:rPr>
          <w:rStyle w:val="AERbody"/>
        </w:rPr>
        <w:t>We continue to consider our criticisms of Incenta's submission in our preliminary decision to be justified.</w:t>
      </w:r>
      <w:r w:rsidRPr="006B51BD">
        <w:t xml:space="preserve"> Incenta </w:t>
      </w:r>
      <w:r>
        <w:t>plotted the</w:t>
      </w:r>
      <w:r w:rsidRPr="006B51BD" w:rsidDel="008860FD">
        <w:t xml:space="preserve"> </w:t>
      </w:r>
      <w:r w:rsidRPr="006B51BD">
        <w:t>equity risk premium</w:t>
      </w:r>
      <w:r>
        <w:t xml:space="preserve"> estimates in 13 independent valuation reports for regulated infrastructure business</w:t>
      </w:r>
      <w:r w:rsidRPr="006B51BD">
        <w:t xml:space="preserve"> against the</w:t>
      </w:r>
      <w:r>
        <w:t xml:space="preserve"> prevailing</w:t>
      </w:r>
      <w:r w:rsidRPr="006B51BD">
        <w:t xml:space="preserve"> risk free rate</w:t>
      </w:r>
      <w:r>
        <w:t>,</w:t>
      </w:r>
      <w:r w:rsidRPr="006B51BD">
        <w:t xml:space="preserve"> stat</w:t>
      </w:r>
      <w:r>
        <w:t>ing</w:t>
      </w:r>
      <w:r w:rsidRPr="006B51BD">
        <w:t xml:space="preserve"> that </w:t>
      </w:r>
      <w:r>
        <w:t>'</w:t>
      </w:r>
      <w:r w:rsidRPr="006B51BD">
        <w:t>it would be incorrect to assume that the total risk premium is independent of the risk free rate, but rather that there is a clear inverse relationship</w:t>
      </w:r>
      <w:r>
        <w:t>'</w:t>
      </w:r>
      <w:r w:rsidRPr="006B51BD">
        <w:t>.</w:t>
      </w:r>
      <w:r w:rsidRPr="006B51BD">
        <w:rPr>
          <w:rStyle w:val="FootnoteReference"/>
        </w:rPr>
        <w:footnoteReference w:id="983"/>
      </w:r>
    </w:p>
    <w:p w:rsidR="00B52359" w:rsidRDefault="00B52359" w:rsidP="00B52359">
      <w:r w:rsidRPr="006B51BD">
        <w:t xml:space="preserve">We do not consider that </w:t>
      </w:r>
      <w:r>
        <w:t>Incenta's</w:t>
      </w:r>
      <w:r w:rsidRPr="006B51BD">
        <w:t xml:space="preserve"> evidence supports the view that there is any clear relationship between the risk free rate and risk premiums.</w:t>
      </w:r>
      <w:r>
        <w:t xml:space="preserve"> This is because:</w:t>
      </w:r>
    </w:p>
    <w:p w:rsidR="00B52359" w:rsidRDefault="00B52359" w:rsidP="00B52359">
      <w:pPr>
        <w:pStyle w:val="AERbulletlistfirststyle"/>
      </w:pPr>
      <w:r>
        <w:t>As Partington states with reference to Incenta's plot of equity risk premium estimates, '</w:t>
      </w:r>
      <w:r w:rsidRPr="00B466AF">
        <w:t>making</w:t>
      </w:r>
      <w:r>
        <w:t xml:space="preserve"> [a]</w:t>
      </w:r>
      <w:r w:rsidRPr="00B466AF">
        <w:t xml:space="preserve"> reliable inference in a sample of 13 observations is extremely difficult</w:t>
      </w:r>
      <w:r>
        <w:t>' and 'the inference in the report is highly speculative at best'.</w:t>
      </w:r>
      <w:r>
        <w:rPr>
          <w:rStyle w:val="FootnoteReference"/>
        </w:rPr>
        <w:footnoteReference w:id="984"/>
      </w:r>
    </w:p>
    <w:p w:rsidR="00B52359" w:rsidRDefault="00B52359" w:rsidP="00B52359">
      <w:pPr>
        <w:pStyle w:val="AERbulletlistfirststyle"/>
      </w:pPr>
      <w:r>
        <w:t>I</w:t>
      </w:r>
      <w:r w:rsidRPr="006B51BD">
        <w:t>t is not clear</w:t>
      </w:r>
      <w:r>
        <w:t xml:space="preserve"> to us</w:t>
      </w:r>
      <w:r w:rsidRPr="006B51BD">
        <w:t xml:space="preserve"> </w:t>
      </w:r>
      <w:r>
        <w:t>that</w:t>
      </w:r>
      <w:r w:rsidRPr="006B51BD">
        <w:t xml:space="preserve"> </w:t>
      </w:r>
      <w:r>
        <w:t>any</w:t>
      </w:r>
      <w:r w:rsidRPr="006B51BD">
        <w:t xml:space="preserve"> inverse correlation between</w:t>
      </w:r>
      <w:r>
        <w:t xml:space="preserve"> the</w:t>
      </w:r>
      <w:r w:rsidRPr="006B51BD">
        <w:t xml:space="preserve"> risk free rate and</w:t>
      </w:r>
      <w:r>
        <w:t xml:space="preserve"> valuers'</w:t>
      </w:r>
      <w:r w:rsidRPr="006B51BD">
        <w:t xml:space="preserve"> equity risk premium</w:t>
      </w:r>
      <w:r>
        <w:t xml:space="preserve"> estimates</w:t>
      </w:r>
      <w:r w:rsidRPr="006B51BD">
        <w:t xml:space="preserve"> is </w:t>
      </w:r>
      <w:r>
        <w:t xml:space="preserve">not just </w:t>
      </w:r>
      <w:r w:rsidRPr="006B51BD">
        <w:t>reflecting a positive correlation between</w:t>
      </w:r>
      <w:r>
        <w:t xml:space="preserve"> the</w:t>
      </w:r>
      <w:r w:rsidRPr="006B51BD">
        <w:t xml:space="preserve"> equity</w:t>
      </w:r>
      <w:r>
        <w:t xml:space="preserve"> and debt</w:t>
      </w:r>
      <w:r w:rsidRPr="006B51BD">
        <w:t xml:space="preserve"> risk premium</w:t>
      </w:r>
      <w:r>
        <w:t>s</w:t>
      </w:r>
      <w:r w:rsidRPr="006B51BD">
        <w:t>.</w:t>
      </w:r>
    </w:p>
    <w:p w:rsidR="00B52359" w:rsidRDefault="00B52359" w:rsidP="00B52359">
      <w:pPr>
        <w:pStyle w:val="AERbulletlistfirststyle"/>
      </w:pPr>
      <w:r w:rsidRPr="006B51BD">
        <w:t xml:space="preserve">We note </w:t>
      </w:r>
      <w:r>
        <w:t>each valuation report in Incenta's sample</w:t>
      </w:r>
      <w:r w:rsidRPr="006B51BD">
        <w:t xml:space="preserve"> is for a different business. Therefore, differences in the valuers</w:t>
      </w:r>
      <w:r>
        <w:t>'</w:t>
      </w:r>
      <w:r w:rsidRPr="006B51BD">
        <w:t xml:space="preserve"> equity beta estimate</w:t>
      </w:r>
      <w:r>
        <w:t>s</w:t>
      </w:r>
      <w:r w:rsidRPr="006B51BD">
        <w:t xml:space="preserve"> could</w:t>
      </w:r>
      <w:r>
        <w:t xml:space="preserve"> be</w:t>
      </w:r>
      <w:r w:rsidRPr="006B51BD">
        <w:t xml:space="preserve"> driv</w:t>
      </w:r>
      <w:r>
        <w:t>ing the</w:t>
      </w:r>
      <w:r w:rsidRPr="006B51BD">
        <w:t xml:space="preserve"> differences in</w:t>
      </w:r>
      <w:r>
        <w:t xml:space="preserve"> their</w:t>
      </w:r>
      <w:r w:rsidRPr="006B51BD">
        <w:t xml:space="preserve"> equity risk premium</w:t>
      </w:r>
      <w:r>
        <w:t xml:space="preserve"> estimates,</w:t>
      </w:r>
      <w:r w:rsidRPr="006B51BD">
        <w:t xml:space="preserve"> </w:t>
      </w:r>
      <w:r>
        <w:t>as opposed to</w:t>
      </w:r>
      <w:r w:rsidRPr="006B51BD">
        <w:t xml:space="preserve"> movements in the risk free rate</w:t>
      </w:r>
      <w:r>
        <w:t xml:space="preserve"> as Incenta claims</w:t>
      </w:r>
      <w:r w:rsidRPr="006B51BD">
        <w:t>.</w:t>
      </w:r>
      <w:r>
        <w:t xml:space="preserve"> </w:t>
      </w:r>
      <w:r w:rsidRPr="006B51BD">
        <w:t>.</w:t>
      </w:r>
      <w:r>
        <w:t xml:space="preserve"> We compared the equity risk premium, debt risk premium and risk free rate for comparable firms in the preliminary decision.</w:t>
      </w:r>
      <w:r>
        <w:rPr>
          <w:rStyle w:val="FootnoteReference"/>
        </w:rPr>
        <w:footnoteReference w:id="985"/>
      </w:r>
      <w:r>
        <w:t xml:space="preserve"> </w:t>
      </w:r>
      <w:r>
        <w:fldChar w:fldCharType="begin"/>
      </w:r>
      <w:r>
        <w:instrText xml:space="preserve"> REF _Ref449019854 \h </w:instrText>
      </w:r>
      <w:r>
        <w:fldChar w:fldCharType="separate"/>
      </w:r>
      <w:r w:rsidR="00BA2E8E" w:rsidRPr="00553810">
        <w:t xml:space="preserve">Figure </w:t>
      </w:r>
      <w:r w:rsidR="00BA2E8E">
        <w:rPr>
          <w:noProof/>
        </w:rPr>
        <w:t>3</w:t>
      </w:r>
      <w:r w:rsidR="00BA2E8E">
        <w:noBreakHyphen/>
      </w:r>
      <w:r w:rsidR="00BA2E8E">
        <w:rPr>
          <w:noProof/>
        </w:rPr>
        <w:t>17</w:t>
      </w:r>
      <w:r>
        <w:fldChar w:fldCharType="end"/>
      </w:r>
      <w:r>
        <w:t xml:space="preserve"> shows that the market risk premium remains relatively stable which indicates that it is the choice of equity beta that is driving movement in the equity risk premium. </w:t>
      </w:r>
    </w:p>
    <w:p w:rsidR="00B52359" w:rsidRDefault="00B52359" w:rsidP="00B52359">
      <w:pPr>
        <w:pStyle w:val="Caption"/>
      </w:pPr>
    </w:p>
    <w:p w:rsidR="00B52359" w:rsidRPr="00553810" w:rsidRDefault="00B52359" w:rsidP="00B52359">
      <w:pPr>
        <w:pStyle w:val="Caption"/>
      </w:pPr>
      <w:bookmarkStart w:id="302" w:name="_Ref449019854"/>
      <w:r w:rsidRPr="00553810">
        <w:t xml:space="preserve">Figure </w:t>
      </w:r>
      <w:fldSimple w:instr=" STYLEREF 1 \s ">
        <w:r w:rsidR="00BA2E8E">
          <w:rPr>
            <w:noProof/>
          </w:rPr>
          <w:t>3</w:t>
        </w:r>
      </w:fldSimple>
      <w:r w:rsidR="00A6197A">
        <w:noBreakHyphen/>
      </w:r>
      <w:fldSimple w:instr=" SEQ Figure \* ARABIC \s 1 ">
        <w:r w:rsidR="00BA2E8E">
          <w:rPr>
            <w:noProof/>
          </w:rPr>
          <w:t>17</w:t>
        </w:r>
      </w:fldSimple>
      <w:bookmarkEnd w:id="302"/>
      <w:r w:rsidRPr="00553810">
        <w:tab/>
      </w:r>
      <w:r w:rsidRPr="00DE62A7">
        <w:t xml:space="preserve">Comparison of </w:t>
      </w:r>
      <w:r w:rsidR="0039019C">
        <w:t>parameter estimates</w:t>
      </w:r>
      <w:r w:rsidRPr="00DE62A7">
        <w:t xml:space="preserve"> from relevant </w:t>
      </w:r>
      <w:r>
        <w:t xml:space="preserve">valuation </w:t>
      </w:r>
      <w:r w:rsidRPr="00DE62A7">
        <w:t>reports</w:t>
      </w:r>
      <w:r w:rsidRPr="00553810">
        <w:t xml:space="preserve"> </w:t>
      </w:r>
    </w:p>
    <w:p w:rsidR="00B52359" w:rsidRPr="00AA77E8" w:rsidRDefault="009C74CF" w:rsidP="00B52359">
      <w:r w:rsidRPr="009C74CF">
        <w:rPr>
          <w:noProof/>
          <w:lang w:eastAsia="en-AU"/>
        </w:rPr>
        <w:drawing>
          <wp:inline distT="0" distB="0" distL="0" distR="0" wp14:anchorId="69A7E0FA" wp14:editId="686EC4D0">
            <wp:extent cx="5372100" cy="4276725"/>
            <wp:effectExtent l="0" t="0" r="0"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72100" cy="4276725"/>
                    </a:xfrm>
                    <a:prstGeom prst="rect">
                      <a:avLst/>
                    </a:prstGeom>
                    <a:noFill/>
                    <a:ln>
                      <a:noFill/>
                    </a:ln>
                  </pic:spPr>
                </pic:pic>
              </a:graphicData>
            </a:graphic>
          </wp:inline>
        </w:drawing>
      </w:r>
    </w:p>
    <w:p w:rsidR="00B52359" w:rsidRPr="00D00035" w:rsidRDefault="00B52359" w:rsidP="00B52359">
      <w:pPr>
        <w:pStyle w:val="AERtablesource"/>
      </w:pPr>
      <w:r w:rsidRPr="00D00035">
        <w:t>Source:</w:t>
      </w:r>
      <w:r w:rsidRPr="00D00035">
        <w:tab/>
        <w:t xml:space="preserve">AER analysis of reports from the Thomson Reuters Connect4 database </w:t>
      </w:r>
    </w:p>
    <w:p w:rsidR="00B52359" w:rsidRDefault="00B52359" w:rsidP="00B52359">
      <w:r w:rsidRPr="006B51BD">
        <w:t>Incenta</w:t>
      </w:r>
      <w:r>
        <w:t xml:space="preserve"> also</w:t>
      </w:r>
      <w:r w:rsidRPr="006B51BD">
        <w:t xml:space="preserve"> submit</w:t>
      </w:r>
      <w:r>
        <w:t>ted</w:t>
      </w:r>
      <w:r w:rsidRPr="006B51BD">
        <w:t xml:space="preserve"> that there is merit in examining directional evidence on the return on the market estimates from valuation reports.</w:t>
      </w:r>
      <w:r w:rsidRPr="006B51BD">
        <w:rPr>
          <w:rStyle w:val="FootnoteReference"/>
        </w:rPr>
        <w:footnoteReference w:id="986"/>
      </w:r>
      <w:r w:rsidRPr="006B51BD">
        <w:t xml:space="preserve"> </w:t>
      </w:r>
      <w:r>
        <w:t>We consider that e</w:t>
      </w:r>
      <w:r w:rsidRPr="006B51BD">
        <w:t xml:space="preserv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w:t>
      </w:r>
      <w:r>
        <w:t>Partington also noted the need for caution in drawing time-trend inferences from valuation reports, stating:</w:t>
      </w:r>
      <w:r>
        <w:rPr>
          <w:rStyle w:val="FootnoteReference"/>
        </w:rPr>
        <w:footnoteReference w:id="987"/>
      </w:r>
    </w:p>
    <w:p w:rsidR="00B52359" w:rsidRPr="006B51BD" w:rsidRDefault="00B52359" w:rsidP="00B52359">
      <w:pPr>
        <w:pStyle w:val="AERquote"/>
      </w:pPr>
      <w:r w:rsidRPr="00234188">
        <w:t>Variation through time, however, needs to be interpreted with caution given our comments about the size of year by year samples below and possible changes in the representativeness of the sample through time.</w:t>
      </w:r>
    </w:p>
    <w:p w:rsidR="00B52359" w:rsidRPr="006B51BD" w:rsidRDefault="00B52359" w:rsidP="00B52359">
      <w:r>
        <w:t>In any case, we consider that the analysis in our preliminary decision indicated</w:t>
      </w:r>
      <w:r w:rsidRPr="006B51BD">
        <w:t xml:space="preserve"> that the market return estimated by the </w:t>
      </w:r>
      <w:r>
        <w:t>Sharpe-Lintner CAPM</w:t>
      </w:r>
      <w:r w:rsidRPr="006B51BD">
        <w:t xml:space="preserve"> using </w:t>
      </w:r>
      <w:r>
        <w:t>our</w:t>
      </w:r>
      <w:r w:rsidRPr="006B51BD">
        <w:t xml:space="preserve"> point estimate </w:t>
      </w:r>
      <w:r>
        <w:t xml:space="preserve">of the market risk premium </w:t>
      </w:r>
      <w:r w:rsidRPr="006B51BD">
        <w:t>is not inconsistent with the market returns estimated in valuation reports.</w:t>
      </w:r>
      <w:r w:rsidRPr="006B51BD">
        <w:rPr>
          <w:rStyle w:val="FootnoteReference"/>
        </w:rPr>
        <w:footnoteReference w:id="988"/>
      </w:r>
    </w:p>
    <w:p w:rsidR="00B52359" w:rsidRDefault="00B52359" w:rsidP="00B52359">
      <w:pPr>
        <w:pStyle w:val="Heading9"/>
      </w:pPr>
      <w:bookmarkStart w:id="303" w:name="_Toc451678666"/>
      <w:r>
        <w:t>Regression analyses by NERA and HoustonKemp</w:t>
      </w:r>
      <w:bookmarkEnd w:id="303"/>
    </w:p>
    <w:p w:rsidR="00B52359" w:rsidRDefault="00B52359" w:rsidP="00B52359">
      <w:r>
        <w:t>We do not consider that, on the whole, there is sufficient evidence in the submissions by NERA and HoustonKemp to establish that the return on equity estimates in recent valuation reports support either:</w:t>
      </w:r>
    </w:p>
    <w:p w:rsidR="00B52359" w:rsidRDefault="00B52359" w:rsidP="00B52359">
      <w:pPr>
        <w:pStyle w:val="AERbulletlistfirststyle"/>
      </w:pPr>
      <w:r>
        <w:t>the use of a risk free rate in excess of the prevailing yield on Australian government securities; or</w:t>
      </w:r>
    </w:p>
    <w:p w:rsidR="00B52359" w:rsidRDefault="00B52359" w:rsidP="00B52359">
      <w:pPr>
        <w:pStyle w:val="AERbulletlistfirststyle"/>
      </w:pPr>
      <w:r>
        <w:t>an increased market risk premium when the yield on Australian government securities is relatively low (that is, an negative relationship between market risk premium and yields on Australian government securities).</w:t>
      </w:r>
    </w:p>
    <w:p w:rsidR="00B52359" w:rsidRDefault="00B52359" w:rsidP="00B52359">
      <w:r>
        <w:t>Although we acknowledge that a number of valuation reports have used a risk free rate estimate in excess of the yield on Australian government securities, it is not clear that this is a widespread and persistent practice. As shown in Figure 4.1 of NERA's report and Figure 7 of HoustonKemp's report,</w:t>
      </w:r>
      <w:r w:rsidRPr="00E34F49">
        <w:rPr>
          <w:rStyle w:val="FootnoteReference"/>
        </w:rPr>
        <w:footnoteReference w:id="989"/>
      </w:r>
      <w:r>
        <w:t xml:space="preserve"> valuer's estimates of the risk free rate have generally been in line with the yield on Australian government securities up until about late 2011. After this time, a considerable number of valuation reports continued to use risk free rate estimates commensurate with Australian government security yields</w:t>
      </w:r>
      <w:r w:rsidDel="005C404F">
        <w:t xml:space="preserve"> </w:t>
      </w:r>
      <w:r>
        <w:t>while some valuation reports used risk free rate estimates materially different from these yields.</w:t>
      </w:r>
      <w:r w:rsidRPr="00B14BB6">
        <w:rPr>
          <w:rStyle w:val="FootnoteReference"/>
        </w:rPr>
        <w:footnoteReference w:id="990"/>
      </w:r>
      <w:r>
        <w:t xml:space="preserve"> As noted by Partington &amp; Satchell:</w:t>
      </w:r>
      <w:r>
        <w:rPr>
          <w:rStyle w:val="FootnoteReference"/>
        </w:rPr>
        <w:footnoteReference w:id="991"/>
      </w:r>
    </w:p>
    <w:p w:rsidR="00B52359" w:rsidRDefault="00B52359" w:rsidP="00B52359">
      <w:pPr>
        <w:pStyle w:val="AERquote"/>
      </w:pPr>
      <w:r w:rsidRPr="00002E4F">
        <w:t>Some of the experts clearly have a view that the risk free rate is substantially above the CGS rate, but on the basis of evidence it cannot be said that this is a consensus view.</w:t>
      </w:r>
    </w:p>
    <w:p w:rsidR="00B52359" w:rsidRDefault="00B52359" w:rsidP="00B52359">
      <w:r>
        <w:t>We note that HoustonKemp's observation of an uplifted risk free rate (above the CGS yield) by expert reports is largely driven by the use of a 'substantially increased risk free rate by some experts'.</w:t>
      </w:r>
      <w:r>
        <w:rPr>
          <w:rStyle w:val="FootnoteReference"/>
        </w:rPr>
        <w:footnoteReference w:id="992"/>
      </w:r>
      <w:r>
        <w:t xml:space="preserve"> </w:t>
      </w:r>
    </w:p>
    <w:p w:rsidR="00B52359" w:rsidRDefault="00B52359" w:rsidP="00B52359">
      <w:r>
        <w:t>Partington and Satchell noted that the concern is 'what weighting should be given to each expert firm': based on the number of reports or number of firms.</w:t>
      </w:r>
      <w:r>
        <w:rPr>
          <w:rStyle w:val="FootnoteReference"/>
        </w:rPr>
        <w:footnoteReference w:id="993"/>
      </w:r>
      <w:r>
        <w:t xml:space="preserve"> For example, if we construct the standard error based on the number of reports rather than two observations we form an erroneous belief in the accuracy of our estimates.</w:t>
      </w:r>
      <w:r>
        <w:rPr>
          <w:rStyle w:val="FootnoteReference"/>
        </w:rPr>
        <w:footnoteReference w:id="994"/>
      </w:r>
    </w:p>
    <w:p w:rsidR="00B52359" w:rsidRDefault="00B52359" w:rsidP="00B52359">
      <w:r>
        <w:t>Partington and Satchell advised that 'given the split of expert opinions on whether the risk free rate should be increased or not and given uncertainty over the appropriate weighting of observations, we consider that the case for an increase in the risk free rate is quite weak.'</w:t>
      </w:r>
      <w:r>
        <w:rPr>
          <w:rStyle w:val="FootnoteReference"/>
        </w:rPr>
        <w:footnoteReference w:id="995"/>
      </w:r>
      <w:r w:rsidRPr="00026E6B">
        <w:t xml:space="preserve"> </w:t>
      </w:r>
    </w:p>
    <w:p w:rsidR="00B52359" w:rsidRDefault="00B52359" w:rsidP="00B52359">
      <w:r>
        <w:t>Partington and Satchell has noted that it is the difference between the valuers' risk free rate estimates and prevailing yields on Australian government securities that drive the results of NERA's regressions.</w:t>
      </w:r>
      <w:r>
        <w:rPr>
          <w:rStyle w:val="FootnoteReference"/>
        </w:rPr>
        <w:footnoteReference w:id="996"/>
      </w:r>
      <w:r>
        <w:t xml:space="preserve"> They noted that HoustonKemp's analysis faces the same issue.</w:t>
      </w:r>
      <w:r>
        <w:rPr>
          <w:rStyle w:val="FootnoteReference"/>
        </w:rPr>
        <w:footnoteReference w:id="997"/>
      </w:r>
      <w:r>
        <w:t xml:space="preserve"> Partington and Satchell added that HoustonKemp's observation of a negative relationship between the risk free rate and the market risk premium from its regression is</w:t>
      </w:r>
      <w:r w:rsidRPr="00D62537">
        <w:t xml:space="preserve"> </w:t>
      </w:r>
      <w:r>
        <w:t>'</w:t>
      </w:r>
      <w:r w:rsidRPr="00D62537">
        <w:t>quite weak</w:t>
      </w:r>
      <w:r>
        <w:t>' for the following reason:</w:t>
      </w:r>
      <w:r>
        <w:rPr>
          <w:rStyle w:val="FootnoteReference"/>
        </w:rPr>
        <w:footnoteReference w:id="998"/>
      </w:r>
    </w:p>
    <w:p w:rsidR="00B52359" w:rsidRDefault="00B52359" w:rsidP="00B52359">
      <w:pPr>
        <w:pStyle w:val="AERquote"/>
      </w:pPr>
      <w:r>
        <w:t>…</w:t>
      </w:r>
      <w:r w:rsidRPr="00CD4324">
        <w:t>the relation between the government bond yield and the risk premium used in experts reports is significant in some cases, but only when the NERA or Ernst &amp; Young adjusted estimates of the market risk premium are used and the results are not significant even in these cases for the random effects models and the effect where it is significant is small. We conclude that this evidence is quite weak, the more so when the problem of biased parameters introduced by potentially inc</w:t>
      </w:r>
      <w:r>
        <w:t>orrect weighting is considered.</w:t>
      </w:r>
    </w:p>
    <w:p w:rsidR="00B52359" w:rsidRDefault="00B52359" w:rsidP="00B52359">
      <w:r>
        <w:t xml:space="preserve">Partington and Satchell also advised that </w:t>
      </w:r>
      <w:r w:rsidRPr="002A3D69">
        <w:t>Houston Kemp</w:t>
      </w:r>
      <w:r>
        <w:t>'s regression</w:t>
      </w:r>
      <w:r w:rsidRPr="002A3D69">
        <w:t xml:space="preserve"> </w:t>
      </w:r>
      <w:r>
        <w:t>actually shows there is:</w:t>
      </w:r>
      <w:r>
        <w:rPr>
          <w:rStyle w:val="FootnoteReference"/>
        </w:rPr>
        <w:footnoteReference w:id="999"/>
      </w:r>
      <w:r w:rsidRPr="002A3D69">
        <w:t xml:space="preserve"> </w:t>
      </w:r>
    </w:p>
    <w:p w:rsidR="00B52359" w:rsidRDefault="00AD55C1" w:rsidP="00B52359">
      <w:pPr>
        <w:pStyle w:val="AERquote"/>
      </w:pPr>
      <w:r w:rsidRPr="00AD55C1">
        <w:t>no relation between the risk premium that experts use and the return on ten year bonds. What the expert reports actually show is that post 2010 about half the expert reports use a rate higher than the government bond rate as their proxy for the risk free rate. This is what drives the result in HoustonKemp's report, rather than an increase in the risk premium that the experts were using.</w:t>
      </w:r>
      <w:r w:rsidR="00B52359" w:rsidRPr="002A3D69">
        <w:t>.</w:t>
      </w:r>
    </w:p>
    <w:p w:rsidR="00B52359" w:rsidRDefault="00B52359" w:rsidP="00B52359">
      <w:r>
        <w:t xml:space="preserve">We continue to consider, in the first instance, that a valuer's estimate of market risk premium is the valuer's best estimate of the market risk premium. It is not clear that a difference between the valuer's risk free rate estimate and prevailing yields on Australian government securities reflects an uplift to market risk premium, given that the valuer had the opportunity to directly increase its market risk premium estimate. </w:t>
      </w:r>
    </w:p>
    <w:p w:rsidR="00B52359" w:rsidRPr="001562D4" w:rsidRDefault="00B52359" w:rsidP="00B52359">
      <w:r>
        <w:t>Further, it is not clear that uplifts separately applied to an initial return on equity or rate of return estimate (in contrast to an increased risk free rate estimate) should be attributed to the market risk premium or market return. In Table 4.2 of its report,</w:t>
      </w:r>
      <w:r w:rsidRPr="00E34F49">
        <w:rPr>
          <w:rStyle w:val="FootnoteReference"/>
        </w:rPr>
        <w:footnoteReference w:id="1000"/>
      </w:r>
      <w:r w:rsidRPr="00264D56">
        <w:t xml:space="preserve"> </w:t>
      </w:r>
      <w:r>
        <w:t>NERA lists the uplifts found in its sample period that it considers are attributable to market-wide factors (rather than firm-specific factors). We note that nine out of the ten uplifts in Table 4.2 are from a single valuer. It is not clear the extent to which these nine uplifts reflect an uplift to the risk free rate ('low interest rates') or market risk premium. The same issue applies to HoustonKemp's report: 13 of the 14 uplifts it considered to be due to market-wide factors were from the same valuer (Grant Samuel).</w:t>
      </w:r>
      <w:r>
        <w:rPr>
          <w:rStyle w:val="FootnoteReference"/>
        </w:rPr>
        <w:footnoteReference w:id="1001"/>
      </w:r>
      <w:r>
        <w:t xml:space="preserve"> We are not convinced that reliable </w:t>
      </w:r>
      <w:r w:rsidR="007022DC">
        <w:t>inferences</w:t>
      </w:r>
      <w:r>
        <w:t xml:space="preserve"> can be drawn from such highly-concentrated samples. As noted in </w:t>
      </w:r>
      <w:r>
        <w:fldChar w:fldCharType="begin"/>
      </w:r>
      <w:r>
        <w:instrText xml:space="preserve"> REF _Ref445927856 \h </w:instrText>
      </w:r>
      <w:r>
        <w:fldChar w:fldCharType="separate"/>
      </w:r>
      <w:r w:rsidR="00BA2E8E">
        <w:t xml:space="preserve">Table </w:t>
      </w:r>
      <w:r w:rsidR="00BA2E8E">
        <w:rPr>
          <w:noProof/>
        </w:rPr>
        <w:t>3</w:t>
      </w:r>
      <w:r w:rsidR="00BA2E8E">
        <w:noBreakHyphen/>
      </w:r>
      <w:r w:rsidR="00BA2E8E">
        <w:rPr>
          <w:noProof/>
        </w:rPr>
        <w:t>7</w:t>
      </w:r>
      <w:r>
        <w:fldChar w:fldCharType="end"/>
      </w:r>
      <w:r>
        <w:t>, it is not clear that uplifts to the risk free rate reflect efficient financing costs for a benchmark efficient entity.</w:t>
      </w:r>
      <w:r>
        <w:rPr>
          <w:rStyle w:val="FootnoteReference"/>
        </w:rPr>
        <w:footnoteReference w:id="1002"/>
      </w:r>
      <w:r>
        <w:t xml:space="preserve"> </w:t>
      </w:r>
    </w:p>
    <w:p w:rsidR="007B1C84" w:rsidRDefault="007B1C84" w:rsidP="00DB0499"/>
    <w:p w:rsidR="00DB0499" w:rsidRDefault="00DB0499" w:rsidP="00DB0499"/>
    <w:p w:rsidR="00DB0499" w:rsidRDefault="00DB0499" w:rsidP="00DB0499"/>
    <w:p w:rsidR="00B42AC6" w:rsidRDefault="00B42AC6" w:rsidP="00B42AC6">
      <w:pPr>
        <w:pStyle w:val="Heading7"/>
      </w:pPr>
      <w:bookmarkStart w:id="304" w:name="_Ref451675978"/>
      <w:bookmarkStart w:id="305" w:name="_Ref451677205"/>
      <w:bookmarkStart w:id="306" w:name="_Ref451678590"/>
      <w:bookmarkStart w:id="307" w:name="_Toc451678667"/>
      <w:r>
        <w:t>E</w:t>
      </w:r>
      <w:r w:rsidR="00DB0499">
        <w:t>mpirical estimates of e</w:t>
      </w:r>
      <w:r>
        <w:t>quity beta</w:t>
      </w:r>
      <w:bookmarkEnd w:id="304"/>
      <w:bookmarkEnd w:id="305"/>
      <w:bookmarkEnd w:id="306"/>
      <w:bookmarkEnd w:id="307"/>
    </w:p>
    <w:p w:rsidR="00AC3F76" w:rsidRDefault="00AC3F76" w:rsidP="00AC3F76">
      <w:pPr>
        <w:numPr>
          <w:ilvl w:val="0"/>
          <w:numId w:val="24"/>
        </w:numPr>
      </w:pPr>
      <w:r w:rsidRPr="003A198B">
        <w:t xml:space="preserve">The equity beta </w:t>
      </w:r>
      <w:r>
        <w:t xml:space="preserve">is a key input parameter in </w:t>
      </w:r>
      <w:r w:rsidRPr="003A198B">
        <w:t>the Sharpe–Lintn</w:t>
      </w:r>
      <w:r>
        <w:t>er capital asset pricing model (</w:t>
      </w:r>
      <w:r w:rsidRPr="003A198B">
        <w:t>CAPM</w:t>
      </w:r>
      <w:r>
        <w:t xml:space="preserve">). Equity beta measures </w:t>
      </w:r>
      <w:r w:rsidRPr="003A198B">
        <w:t>the sensitivity of an asset or business</w:t>
      </w:r>
      <w:r>
        <w:t>'s returns</w:t>
      </w:r>
      <w:r w:rsidRPr="003A198B">
        <w:t xml:space="preserve"> to movements in the </w:t>
      </w:r>
      <w:r>
        <w:t xml:space="preserve">overall </w:t>
      </w:r>
      <w:r w:rsidRPr="003A198B">
        <w:t>market</w:t>
      </w:r>
      <w:r>
        <w:t xml:space="preserve"> returns (systematic or market risk).</w:t>
      </w:r>
      <w:r>
        <w:rPr>
          <w:rStyle w:val="FootnoteReference"/>
        </w:rPr>
        <w:footnoteReference w:id="1003"/>
      </w:r>
      <w:r>
        <w:t xml:space="preserve"> </w:t>
      </w:r>
    </w:p>
    <w:p w:rsidR="00AC3F76" w:rsidRDefault="00AC3F76" w:rsidP="00AC3F76">
      <w:pPr>
        <w:numPr>
          <w:ilvl w:val="0"/>
          <w:numId w:val="24"/>
        </w:numPr>
      </w:pPr>
      <w:r>
        <w:t xml:space="preserve">This appendix focusses on empirical estimates of equity beta. </w:t>
      </w:r>
      <w:r w:rsidRPr="00D42DD7">
        <w:t>Empirical estimates of equity beta are based on regressions that relate the returns on a set of comparator firms to the return on the market.</w:t>
      </w:r>
    </w:p>
    <w:p w:rsidR="00AC3F76" w:rsidRDefault="00D51D30" w:rsidP="00AC3F76">
      <w:pPr>
        <w:numPr>
          <w:ilvl w:val="0"/>
          <w:numId w:val="24"/>
        </w:numPr>
      </w:pPr>
      <w:r>
        <w:t xml:space="preserve">As discussed in section </w:t>
      </w:r>
      <w:r>
        <w:fldChar w:fldCharType="begin"/>
      </w:r>
      <w:r>
        <w:instrText xml:space="preserve"> REF _Ref430958591 \r \h </w:instrText>
      </w:r>
      <w:r>
        <w:fldChar w:fldCharType="separate"/>
      </w:r>
      <w:r>
        <w:t>3.4.1</w:t>
      </w:r>
      <w:r>
        <w:fldChar w:fldCharType="end"/>
      </w:r>
      <w:r w:rsidR="00AC3F76">
        <w:t>, empirical estimates using a comparator set of listed Australian energy network firms from Henry's 2014 report are the main determinants of our equity beta estimate for a benchmark efficient entity with a similar degree of risk as CitiPower in providing regulated services. Henry's 2014 report is one of a number of Australian empirical studies showing a consistent pattern of equity beta estimates that is robust to the use of different econometric techniques and time periods. We have regard to these other Australian empirical studies. We consider this information supports an equity beta range of 0.4 to 0.7.</w:t>
      </w:r>
    </w:p>
    <w:p w:rsidR="00AC3F76" w:rsidRDefault="00AC3F76" w:rsidP="00AC3F76">
      <w:pPr>
        <w:numPr>
          <w:ilvl w:val="0"/>
          <w:numId w:val="24"/>
        </w:numPr>
      </w:pPr>
      <w:r>
        <w:t>We also have regard to empirical estimates</w:t>
      </w:r>
      <w:r w:rsidRPr="00345FC0">
        <w:t xml:space="preserve"> </w:t>
      </w:r>
      <w:r>
        <w:t>of equity beta for international energy firms. However, we place only limited reliance on this evidence as we do not consider the international firms are sufficiently comparable to a benchmark efficient entity with a similar degree of risk as CitiPower in providing regulated services. We consider this information provides some support for an equity beta point estimate towards the upper end of the range.</w:t>
      </w:r>
    </w:p>
    <w:p w:rsidR="00AC3F76" w:rsidRDefault="00AC3F76" w:rsidP="00AC3F76">
      <w:pPr>
        <w:numPr>
          <w:ilvl w:val="0"/>
          <w:numId w:val="24"/>
        </w:numPr>
      </w:pPr>
      <w:r>
        <w:t>This appendix sets out:</w:t>
      </w:r>
    </w:p>
    <w:p w:rsidR="00AC3F76" w:rsidRDefault="00AC3F76" w:rsidP="00AC3F76">
      <w:pPr>
        <w:pStyle w:val="AERbulletlistfirststyle"/>
        <w:rPr>
          <w:rStyle w:val="AERbody"/>
        </w:rPr>
      </w:pPr>
      <w:r>
        <w:rPr>
          <w:rStyle w:val="AERbody"/>
        </w:rPr>
        <w:t>the Australian and international empirical estimates we consider in this decision</w:t>
      </w:r>
    </w:p>
    <w:p w:rsidR="00AC3F76" w:rsidRDefault="00AC3F76" w:rsidP="00AC3F76">
      <w:pPr>
        <w:pStyle w:val="AERbulletlistfirststyle"/>
        <w:rPr>
          <w:rStyle w:val="AERbody"/>
        </w:rPr>
      </w:pPr>
      <w:r>
        <w:rPr>
          <w:rStyle w:val="AERbody"/>
        </w:rPr>
        <w:t>the comparator set we use for our empirical analysis and our reasons for using this comparator set.</w:t>
      </w:r>
    </w:p>
    <w:p w:rsidR="00AC3F76" w:rsidRPr="00AC3F76" w:rsidRDefault="00AC3F76" w:rsidP="008F271D">
      <w:pPr>
        <w:pStyle w:val="Heading8"/>
        <w:numPr>
          <w:ilvl w:val="1"/>
          <w:numId w:val="43"/>
        </w:numPr>
      </w:pPr>
      <w:bookmarkStart w:id="308" w:name="_Ref446255169"/>
      <w:bookmarkStart w:id="309" w:name="_Toc451678668"/>
      <w:r>
        <w:t>Australian e</w:t>
      </w:r>
      <w:r w:rsidRPr="00AC3F76">
        <w:t>mpirical estimates from Henry's 2014 report</w:t>
      </w:r>
      <w:bookmarkEnd w:id="308"/>
      <w:bookmarkEnd w:id="309"/>
    </w:p>
    <w:p w:rsidR="00AC3F76" w:rsidRDefault="00AC3F76" w:rsidP="00AC3F76">
      <w:pPr>
        <w:numPr>
          <w:ilvl w:val="0"/>
          <w:numId w:val="24"/>
        </w:numPr>
      </w:pPr>
      <w:r>
        <w:t>For our Australian empirical analysis we commissioned an expert report from Professor Olan Henry (Henry), which provided an update on his 2009 econometric analysis of equity beta.</w:t>
      </w:r>
      <w:r>
        <w:rPr>
          <w:rStyle w:val="FootnoteReference"/>
        </w:rPr>
        <w:footnoteReference w:id="1004"/>
      </w:r>
      <w:r>
        <w:t xml:space="preserve">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005"/>
      </w:r>
    </w:p>
    <w:p w:rsidR="00AC3F76" w:rsidRPr="00C01E61" w:rsidRDefault="00AC3F76" w:rsidP="00AC3F76">
      <w:pPr>
        <w:numPr>
          <w:ilvl w:val="0"/>
          <w:numId w:val="24"/>
        </w:numPr>
      </w:pPr>
      <w:r>
        <w:t xml:space="preserve">Henry's 2014 report presented </w:t>
      </w:r>
      <w:r w:rsidRPr="00C01E61">
        <w:t xml:space="preserve">empirical </w:t>
      </w:r>
      <w:r>
        <w:t>estimates of</w:t>
      </w:r>
      <w:r w:rsidRPr="00C01E61">
        <w:t xml:space="preserve"> equity beta for our comparator set of nine Australian energy network firms</w:t>
      </w:r>
      <w:r>
        <w:t xml:space="preserve"> (see section </w:t>
      </w:r>
      <w:r>
        <w:fldChar w:fldCharType="begin"/>
      </w:r>
      <w:r>
        <w:instrText xml:space="preserve"> REF _Ref447740508 \r \h </w:instrText>
      </w:r>
      <w:r>
        <w:fldChar w:fldCharType="separate"/>
      </w:r>
      <w:r w:rsidR="00BA2E8E">
        <w:t>G.4.1</w:t>
      </w:r>
      <w:r>
        <w:fldChar w:fldCharType="end"/>
      </w:r>
      <w:r>
        <w:t>)</w:t>
      </w:r>
      <w:r w:rsidRPr="00C01E61">
        <w:t xml:space="preserve">, using </w:t>
      </w:r>
      <w:r>
        <w:t xml:space="preserve">available </w:t>
      </w:r>
      <w:r w:rsidRPr="00C01E61">
        <w:t>data from 29 May 1992 to 28 June 2013.</w:t>
      </w:r>
      <w:r>
        <w:rPr>
          <w:rStyle w:val="FootnoteReference"/>
        </w:rPr>
        <w:footnoteReference w:id="1006"/>
      </w:r>
      <w:r w:rsidRPr="00C01E61">
        <w:t xml:space="preserve"> </w:t>
      </w:r>
      <w:r>
        <w:t>Based on our detailed discussion of methodological choices in recent decisions,</w:t>
      </w:r>
      <w:r>
        <w:rPr>
          <w:rStyle w:val="FootnoteReference"/>
        </w:rPr>
        <w:footnoteReference w:id="1007"/>
      </w:r>
      <w:r>
        <w:t xml:space="preserve"> w</w:t>
      </w:r>
      <w:r w:rsidRPr="00C01E61">
        <w:t>e consider the most useful empirical estimates:</w:t>
      </w:r>
    </w:p>
    <w:p w:rsidR="00AC3F76" w:rsidRPr="001F00F1" w:rsidRDefault="00AC3F76" w:rsidP="00AC3F76">
      <w:pPr>
        <w:pStyle w:val="AERbulletlistfirststyle"/>
      </w:pPr>
      <w:r>
        <w:t>use the Ordinary Least Squares (OLS)</w:t>
      </w:r>
      <w:r w:rsidRPr="001F00F1">
        <w:t xml:space="preserve"> estimator (with the </w:t>
      </w:r>
      <w:r>
        <w:t>Least Absolute Deviation (</w:t>
      </w:r>
      <w:r w:rsidRPr="001F00F1">
        <w:t>LAD</w:t>
      </w:r>
      <w:r>
        <w:t>)</w:t>
      </w:r>
      <w:r w:rsidRPr="001F00F1">
        <w:t xml:space="preserve"> estimator used as a robustness check for outliers in the underlying data)</w:t>
      </w:r>
    </w:p>
    <w:p w:rsidR="00AC3F76" w:rsidRPr="001F00F1" w:rsidRDefault="00AC3F76" w:rsidP="00AC3F76">
      <w:pPr>
        <w:pStyle w:val="AERbulletlistfirststyle"/>
      </w:pPr>
      <w:r w:rsidRPr="00517D1B">
        <w:t>are measured over multiple estimation periods</w:t>
      </w:r>
      <w:r>
        <w:t xml:space="preserve"> </w:t>
      </w:r>
    </w:p>
    <w:p w:rsidR="00AC3F76" w:rsidRDefault="00AC3F76" w:rsidP="00AC3F76">
      <w:pPr>
        <w:pStyle w:val="AERbulletlistfirststyle"/>
      </w:pPr>
      <w:r w:rsidRPr="00517D1B">
        <w:t>use weekly return intervals (with monthly returns used as a robustness check)</w:t>
      </w:r>
    </w:p>
    <w:p w:rsidR="00AC3F76" w:rsidRPr="001F00F1" w:rsidRDefault="00AC3F76" w:rsidP="00AC3F76">
      <w:pPr>
        <w:pStyle w:val="AERbulletlistfirststyle"/>
      </w:pPr>
      <w:r>
        <w:t>use the Brealey–Myers formula</w:t>
      </w:r>
      <w:r w:rsidRPr="00517D1B">
        <w:t xml:space="preserve"> </w:t>
      </w:r>
      <w:r>
        <w:t>to de- and re-lever raw</w:t>
      </w:r>
      <w:r>
        <w:rPr>
          <w:rStyle w:val="FootnoteReference"/>
        </w:rPr>
        <w:footnoteReference w:id="1008"/>
      </w:r>
      <w:r>
        <w:t xml:space="preserve"> estimates to a benchmark gearing of 60 per cent, although we consider both raw and re-levered estimates </w:t>
      </w:r>
    </w:p>
    <w:p w:rsidR="00AC3F76" w:rsidRPr="001F00F1" w:rsidRDefault="00AC3F76" w:rsidP="00AC3F76">
      <w:pPr>
        <w:pStyle w:val="AERbulletlistfirststyle"/>
      </w:pPr>
      <w:r w:rsidRPr="00517D1B">
        <w:t>are based on averages of individual firm estimates and fixed weight portfolios (equal weighting and value weighting)</w:t>
      </w:r>
    </w:p>
    <w:p w:rsidR="00AC3F76" w:rsidRDefault="00AC3F76" w:rsidP="00AC3F76">
      <w:pPr>
        <w:pStyle w:val="AERbulletlistfirststyle"/>
      </w:pPr>
      <w:r w:rsidRPr="00517D1B">
        <w:t>do not apply a Blume or Vasicek adjustment</w:t>
      </w:r>
      <w:r w:rsidRPr="001F00F1">
        <w:t>.</w:t>
      </w:r>
      <w:r w:rsidRPr="001F00F1">
        <w:rPr>
          <w:rStyle w:val="FootnoteReference"/>
        </w:rPr>
        <w:footnoteReference w:id="1009"/>
      </w:r>
    </w:p>
    <w:p w:rsidR="00AC3F76" w:rsidRPr="00D70AB3" w:rsidRDefault="00AC3F76" w:rsidP="00AC3F76">
      <w:pPr>
        <w:numPr>
          <w:ilvl w:val="0"/>
          <w:numId w:val="24"/>
        </w:numPr>
      </w:pPr>
      <w:r>
        <w:t>We consider the equity beta estimates presented in Henry's empirical analysis</w:t>
      </w:r>
      <w:r w:rsidRPr="00137096">
        <w:t xml:space="preserve"> </w:t>
      </w:r>
      <w:r>
        <w:t xml:space="preserve">support a range of 0.4 to 0.7. </w:t>
      </w:r>
      <w:r>
        <w:fldChar w:fldCharType="begin"/>
      </w:r>
      <w:r>
        <w:instrText xml:space="preserve"> REF _Ref446197185 \h </w:instrText>
      </w:r>
      <w:r>
        <w:fldChar w:fldCharType="separate"/>
      </w:r>
      <w:r w:rsidR="00BA2E8E">
        <w:t xml:space="preserve">Table </w:t>
      </w:r>
      <w:r w:rsidR="00BA2E8E">
        <w:rPr>
          <w:noProof/>
        </w:rPr>
        <w:t>3</w:t>
      </w:r>
      <w:r w:rsidR="00BA2E8E">
        <w:noBreakHyphen/>
      </w:r>
      <w:r w:rsidR="00BA2E8E">
        <w:rPr>
          <w:noProof/>
        </w:rPr>
        <w:t>35</w:t>
      </w:r>
      <w:r>
        <w:fldChar w:fldCharType="end"/>
      </w:r>
      <w:r>
        <w:t xml:space="preserve"> and </w:t>
      </w:r>
      <w:r>
        <w:fldChar w:fldCharType="begin"/>
      </w:r>
      <w:r>
        <w:instrText xml:space="preserve"> REF  _Ref446197176 \* Lower \h </w:instrText>
      </w:r>
      <w:r>
        <w:fldChar w:fldCharType="separate"/>
      </w:r>
      <w:r w:rsidR="00BA2E8E">
        <w:t xml:space="preserve">table </w:t>
      </w:r>
      <w:r w:rsidR="00BA2E8E">
        <w:rPr>
          <w:noProof/>
        </w:rPr>
        <w:t>3</w:t>
      </w:r>
      <w:r w:rsidR="00BA2E8E">
        <w:noBreakHyphen/>
      </w:r>
      <w:r w:rsidR="00BA2E8E">
        <w:rPr>
          <w:noProof/>
        </w:rPr>
        <w:t>36</w:t>
      </w:r>
      <w:r>
        <w:fldChar w:fldCharType="end"/>
      </w:r>
      <w:r>
        <w:t xml:space="preserve"> set out </w:t>
      </w:r>
      <w:r w:rsidRPr="00D70AB3">
        <w:t>Henry's re-levered OLS equity beta estimates for the individual comparator firms (averaged across firms) and fixed weight portfolios respectively. The results show that:</w:t>
      </w:r>
    </w:p>
    <w:p w:rsidR="00AC3F76" w:rsidRPr="001F00F1" w:rsidRDefault="00AC3F76" w:rsidP="00AC3F76">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010"/>
      </w:r>
      <w:r w:rsidRPr="001F00F1">
        <w:t xml:space="preserve"> </w:t>
      </w:r>
    </w:p>
    <w:p w:rsidR="00AC3F76" w:rsidRPr="001F00F1" w:rsidRDefault="00AC3F76" w:rsidP="00AC3F76">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011"/>
      </w:r>
    </w:p>
    <w:p w:rsidR="00AC3F76" w:rsidRDefault="00AC3F76" w:rsidP="00AC3F76">
      <w:pPr>
        <w:pStyle w:val="Caption"/>
      </w:pPr>
      <w:bookmarkStart w:id="310" w:name="_Ref446197185"/>
      <w:r>
        <w:t xml:space="preserve">Table </w:t>
      </w:r>
      <w:fldSimple w:instr=" STYLEREF 1 \s ">
        <w:r w:rsidR="00BA2E8E">
          <w:rPr>
            <w:noProof/>
          </w:rPr>
          <w:t>3</w:t>
        </w:r>
      </w:fldSimple>
      <w:r w:rsidR="000F4BC3">
        <w:noBreakHyphen/>
      </w:r>
      <w:fldSimple w:instr=" SEQ Table \* ARABIC \s 1 ">
        <w:r w:rsidR="00BA2E8E">
          <w:rPr>
            <w:noProof/>
          </w:rPr>
          <w:t>35</w:t>
        </w:r>
      </w:fldSimple>
      <w:bookmarkEnd w:id="310"/>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text0"/>
        <w:tblW w:w="0" w:type="auto"/>
        <w:tblLook w:val="04A0" w:firstRow="1" w:lastRow="0" w:firstColumn="1" w:lastColumn="0" w:noHBand="0" w:noVBand="1"/>
      </w:tblPr>
      <w:tblGrid>
        <w:gridCol w:w="2093"/>
        <w:gridCol w:w="2360"/>
        <w:gridCol w:w="2459"/>
        <w:gridCol w:w="1781"/>
      </w:tblGrid>
      <w:tr w:rsidR="00AC3F76" w:rsidTr="00AC3F76">
        <w:trPr>
          <w:cnfStyle w:val="100000000000" w:firstRow="1" w:lastRow="0" w:firstColumn="0" w:lastColumn="0" w:oddVBand="0" w:evenVBand="0" w:oddHBand="0" w:evenHBand="0" w:firstRowFirstColumn="0" w:firstRowLastColumn="0" w:lastRowFirstColumn="0" w:lastRowLastColumn="0"/>
        </w:trPr>
        <w:tc>
          <w:tcPr>
            <w:tcW w:w="2093" w:type="dxa"/>
          </w:tcPr>
          <w:p w:rsidR="00AC3F76" w:rsidRPr="00AC3F76" w:rsidRDefault="00AC3F76" w:rsidP="00AC3F76">
            <w:r>
              <w:t>Issue</w:t>
            </w:r>
          </w:p>
        </w:tc>
        <w:tc>
          <w:tcPr>
            <w:tcW w:w="2360" w:type="dxa"/>
          </w:tcPr>
          <w:p w:rsidR="00AC3F76" w:rsidRPr="00AC3F76" w:rsidRDefault="00AC3F76" w:rsidP="00AC3F76">
            <w:r>
              <w:t>Longest available period</w:t>
            </w:r>
          </w:p>
        </w:tc>
        <w:tc>
          <w:tcPr>
            <w:tcW w:w="2459" w:type="dxa"/>
          </w:tcPr>
          <w:p w:rsidR="00AC3F76" w:rsidRPr="00AC3F76" w:rsidRDefault="00AC3F76" w:rsidP="00AC3F76">
            <w:r>
              <w:t>2002 to 2013 (excluding GFC)</w:t>
            </w:r>
          </w:p>
        </w:tc>
        <w:tc>
          <w:tcPr>
            <w:tcW w:w="1781" w:type="dxa"/>
          </w:tcPr>
          <w:p w:rsidR="00AC3F76" w:rsidRPr="00AC3F76" w:rsidRDefault="00AC3F76" w:rsidP="00AC3F76">
            <w:r>
              <w:t xml:space="preserve">Last five years </w:t>
            </w:r>
            <w:r w:rsidRPr="00AC3F76">
              <w:rPr>
                <w:rStyle w:val="FootnoteReference"/>
              </w:rPr>
              <w:t>(a)</w:t>
            </w:r>
          </w:p>
        </w:tc>
      </w:tr>
      <w:tr w:rsidR="00AC3F76" w:rsidTr="00AC3F76">
        <w:tc>
          <w:tcPr>
            <w:tcW w:w="2093" w:type="dxa"/>
          </w:tcPr>
          <w:p w:rsidR="00AC3F76" w:rsidRPr="00AC3F76" w:rsidRDefault="00AC3F76" w:rsidP="00AC3F76">
            <w:r>
              <w:t>Re-levered OLS estimates</w:t>
            </w:r>
          </w:p>
        </w:tc>
        <w:tc>
          <w:tcPr>
            <w:tcW w:w="2360" w:type="dxa"/>
          </w:tcPr>
          <w:p w:rsidR="00AC3F76" w:rsidRPr="00AC3F76" w:rsidRDefault="00AC3F76" w:rsidP="00AC3F76">
            <w:r>
              <w:t>0.52</w:t>
            </w:r>
          </w:p>
        </w:tc>
        <w:tc>
          <w:tcPr>
            <w:tcW w:w="2459" w:type="dxa"/>
          </w:tcPr>
          <w:p w:rsidR="00AC3F76" w:rsidRPr="00AC3F76" w:rsidRDefault="00AC3F76" w:rsidP="00AC3F76">
            <w:r>
              <w:t>0.56</w:t>
            </w:r>
          </w:p>
        </w:tc>
        <w:tc>
          <w:tcPr>
            <w:tcW w:w="1781" w:type="dxa"/>
          </w:tcPr>
          <w:p w:rsidR="00AC3F76" w:rsidRPr="00AC3F76" w:rsidRDefault="00AC3F76" w:rsidP="00AC3F76">
            <w:r>
              <w:t>0.46</w:t>
            </w:r>
          </w:p>
        </w:tc>
      </w:tr>
    </w:tbl>
    <w:p w:rsidR="00AC3F76" w:rsidRPr="00EB6387" w:rsidRDefault="00AC3F76" w:rsidP="00AC3F76">
      <w:pPr>
        <w:pStyle w:val="AERtablesource"/>
      </w:pPr>
      <w:r w:rsidRPr="00C01E61">
        <w:t>Source:</w:t>
      </w:r>
      <w:r w:rsidRPr="00C01E61">
        <w:tab/>
      </w:r>
      <w:r w:rsidRPr="00EB6387">
        <w:t xml:space="preserve">AER analysis; Henry, </w:t>
      </w:r>
      <w:r w:rsidRPr="00EB6387">
        <w:rPr>
          <w:rStyle w:val="AERtextitalic"/>
        </w:rPr>
        <w:t>Estimating β: An update</w:t>
      </w:r>
      <w:r w:rsidRPr="00EB6387">
        <w:t>, April 2014.</w:t>
      </w:r>
    </w:p>
    <w:p w:rsidR="00AC3F76" w:rsidRDefault="00AC3F76" w:rsidP="00AC3F76">
      <w:pPr>
        <w:pStyle w:val="AERtablesource"/>
      </w:pPr>
      <w:r w:rsidRPr="00C01E61">
        <w:t>(</w:t>
      </w:r>
      <w:r w:rsidRPr="00EB6387">
        <w:t>a)</w:t>
      </w:r>
      <w:r w:rsidRPr="00EB6387">
        <w:tab/>
        <w:t xml:space="preserve">AAN, AGL and GAS were not used for this estimation period because Henry only uses data up to 2006 or 2007 for these firms. See: Henry, </w:t>
      </w:r>
      <w:r w:rsidRPr="00EB6387">
        <w:rPr>
          <w:rStyle w:val="AERtextitalic"/>
        </w:rPr>
        <w:t>Estimating β: An update</w:t>
      </w:r>
      <w:r w:rsidRPr="00EB6387">
        <w:t>, April 2014, p. 17.</w:t>
      </w:r>
    </w:p>
    <w:p w:rsidR="00AC3F76" w:rsidRDefault="00AC3F76" w:rsidP="00AC3F76">
      <w:pPr>
        <w:pStyle w:val="Caption"/>
      </w:pPr>
      <w:bookmarkStart w:id="311" w:name="_Ref446197176"/>
      <w:r>
        <w:t xml:space="preserve">Table </w:t>
      </w:r>
      <w:fldSimple w:instr=" STYLEREF 1 \s ">
        <w:r w:rsidR="00BA2E8E">
          <w:rPr>
            <w:noProof/>
          </w:rPr>
          <w:t>3</w:t>
        </w:r>
      </w:fldSimple>
      <w:r w:rsidR="000F4BC3">
        <w:noBreakHyphen/>
      </w:r>
      <w:fldSimple w:instr=" SEQ Table \* ARABIC \s 1 ">
        <w:r w:rsidR="00BA2E8E">
          <w:rPr>
            <w:noProof/>
          </w:rPr>
          <w:t>36</w:t>
        </w:r>
      </w:fldSimple>
      <w:bookmarkEnd w:id="311"/>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3"/>
        <w:gridCol w:w="1320"/>
        <w:gridCol w:w="1320"/>
        <w:gridCol w:w="1320"/>
        <w:gridCol w:w="1320"/>
        <w:gridCol w:w="1320"/>
      </w:tblGrid>
      <w:tr w:rsidR="00AC3F76" w:rsidTr="00AC3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C3F76" w:rsidRPr="009279A1" w:rsidRDefault="00AC3F76" w:rsidP="00AC3F76"/>
        </w:tc>
        <w:tc>
          <w:tcPr>
            <w:tcW w:w="1320" w:type="dxa"/>
          </w:tcPr>
          <w:p w:rsidR="00AC3F76" w:rsidRPr="00AC3F76" w:rsidRDefault="00AC3F76" w:rsidP="00AC3F76">
            <w:pPr>
              <w:cnfStyle w:val="100000000000" w:firstRow="1" w:lastRow="0" w:firstColumn="0" w:lastColumn="0" w:oddVBand="0" w:evenVBand="0" w:oddHBand="0" w:evenHBand="0" w:firstRowFirstColumn="0" w:firstRowLastColumn="0" w:lastRowFirstColumn="0" w:lastRowLastColumn="0"/>
            </w:pPr>
            <w:r>
              <w:t>P1</w:t>
            </w:r>
          </w:p>
        </w:tc>
        <w:tc>
          <w:tcPr>
            <w:tcW w:w="1320" w:type="dxa"/>
          </w:tcPr>
          <w:p w:rsidR="00AC3F76" w:rsidRPr="00AC3F76" w:rsidRDefault="00AC3F76" w:rsidP="00AC3F76">
            <w:pPr>
              <w:cnfStyle w:val="100000000000" w:firstRow="1" w:lastRow="0" w:firstColumn="0" w:lastColumn="0" w:oddVBand="0" w:evenVBand="0" w:oddHBand="0" w:evenHBand="0" w:firstRowFirstColumn="0" w:firstRowLastColumn="0" w:lastRowFirstColumn="0" w:lastRowLastColumn="0"/>
            </w:pPr>
            <w:r>
              <w:t>P2</w:t>
            </w:r>
          </w:p>
        </w:tc>
        <w:tc>
          <w:tcPr>
            <w:tcW w:w="1320" w:type="dxa"/>
          </w:tcPr>
          <w:p w:rsidR="00AC3F76" w:rsidRPr="00AC3F76" w:rsidRDefault="00AC3F76" w:rsidP="00AC3F76">
            <w:pPr>
              <w:cnfStyle w:val="100000000000" w:firstRow="1" w:lastRow="0" w:firstColumn="0" w:lastColumn="0" w:oddVBand="0" w:evenVBand="0" w:oddHBand="0" w:evenHBand="0" w:firstRowFirstColumn="0" w:firstRowLastColumn="0" w:lastRowFirstColumn="0" w:lastRowLastColumn="0"/>
            </w:pPr>
            <w:r>
              <w:t>P3</w:t>
            </w:r>
          </w:p>
        </w:tc>
        <w:tc>
          <w:tcPr>
            <w:tcW w:w="1320" w:type="dxa"/>
          </w:tcPr>
          <w:p w:rsidR="00AC3F76" w:rsidRPr="00AC3F76" w:rsidRDefault="00AC3F76" w:rsidP="00AC3F76">
            <w:pPr>
              <w:cnfStyle w:val="100000000000" w:firstRow="1" w:lastRow="0" w:firstColumn="0" w:lastColumn="0" w:oddVBand="0" w:evenVBand="0" w:oddHBand="0" w:evenHBand="0" w:firstRowFirstColumn="0" w:firstRowLastColumn="0" w:lastRowFirstColumn="0" w:lastRowLastColumn="0"/>
            </w:pPr>
            <w:r>
              <w:t>P4</w:t>
            </w:r>
          </w:p>
        </w:tc>
        <w:tc>
          <w:tcPr>
            <w:tcW w:w="1320" w:type="dxa"/>
          </w:tcPr>
          <w:p w:rsidR="00AC3F76" w:rsidRPr="00AC3F76" w:rsidRDefault="00AC3F76" w:rsidP="00AC3F76">
            <w:pPr>
              <w:cnfStyle w:val="100000000000" w:firstRow="1" w:lastRow="0" w:firstColumn="0" w:lastColumn="0" w:oddVBand="0" w:evenVBand="0" w:oddHBand="0" w:evenHBand="0" w:firstRowFirstColumn="0" w:firstRowLastColumn="0" w:lastRowFirstColumn="0" w:lastRowLastColumn="0"/>
            </w:pPr>
            <w:r>
              <w:t>P5</w:t>
            </w:r>
          </w:p>
        </w:tc>
      </w:tr>
      <w:tr w:rsidR="00AC3F76" w:rsidTr="00AC3F76">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r>
              <w:t>Firms</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APA, ENV</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AAN, AGL, APA, ENV, GAS</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APA, DUE, ENV, HDF, SPN</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APA, DUE, ENV, HDF, SKI, SPN</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APA, DUE, ENV, SKI, SPN</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pPr>
              <w:rPr>
                <w:rStyle w:val="AERtextitalic"/>
              </w:rPr>
            </w:pPr>
            <w:r w:rsidRPr="00514842">
              <w:rPr>
                <w:rStyle w:val="AERtextitalic"/>
              </w:rPr>
              <w:t>Equal weighted</w:t>
            </w:r>
          </w:p>
        </w:tc>
        <w:tc>
          <w:tcPr>
            <w:tcW w:w="1320" w:type="dxa"/>
          </w:tcPr>
          <w:p w:rsidR="00AC3F76" w:rsidRPr="009279A1" w:rsidRDefault="00AC3F76" w:rsidP="00AC3F76">
            <w:pPr>
              <w:cnfStyle w:val="000000010000" w:firstRow="0" w:lastRow="0" w:firstColumn="0" w:lastColumn="0" w:oddVBand="0" w:evenVBand="0" w:oddHBand="0" w:evenHBand="1" w:firstRowFirstColumn="0" w:firstRowLastColumn="0" w:lastRowFirstColumn="0" w:lastRowLastColumn="0"/>
            </w:pPr>
          </w:p>
        </w:tc>
        <w:tc>
          <w:tcPr>
            <w:tcW w:w="1320" w:type="dxa"/>
          </w:tcPr>
          <w:p w:rsidR="00AC3F76" w:rsidRPr="009279A1" w:rsidRDefault="00AC3F76" w:rsidP="00AC3F76">
            <w:pPr>
              <w:cnfStyle w:val="000000010000" w:firstRow="0" w:lastRow="0" w:firstColumn="0" w:lastColumn="0" w:oddVBand="0" w:evenVBand="0" w:oddHBand="0" w:evenHBand="1" w:firstRowFirstColumn="0" w:firstRowLastColumn="0" w:lastRowFirstColumn="0" w:lastRowLastColumn="0"/>
            </w:pPr>
          </w:p>
        </w:tc>
        <w:tc>
          <w:tcPr>
            <w:tcW w:w="1320" w:type="dxa"/>
          </w:tcPr>
          <w:p w:rsidR="00AC3F76" w:rsidRPr="009279A1" w:rsidRDefault="00AC3F76" w:rsidP="00AC3F76">
            <w:pPr>
              <w:cnfStyle w:val="000000010000" w:firstRow="0" w:lastRow="0" w:firstColumn="0" w:lastColumn="0" w:oddVBand="0" w:evenVBand="0" w:oddHBand="0" w:evenHBand="1" w:firstRowFirstColumn="0" w:firstRowLastColumn="0" w:lastRowFirstColumn="0" w:lastRowLastColumn="0"/>
            </w:pPr>
          </w:p>
        </w:tc>
        <w:tc>
          <w:tcPr>
            <w:tcW w:w="1320" w:type="dxa"/>
          </w:tcPr>
          <w:p w:rsidR="00AC3F76" w:rsidRPr="009279A1" w:rsidRDefault="00AC3F76" w:rsidP="00AC3F76">
            <w:pPr>
              <w:cnfStyle w:val="000000010000" w:firstRow="0" w:lastRow="0" w:firstColumn="0" w:lastColumn="0" w:oddVBand="0" w:evenVBand="0" w:oddHBand="0" w:evenHBand="1" w:firstRowFirstColumn="0" w:firstRowLastColumn="0" w:lastRowFirstColumn="0" w:lastRowLastColumn="0"/>
            </w:pPr>
          </w:p>
        </w:tc>
        <w:tc>
          <w:tcPr>
            <w:tcW w:w="1320" w:type="dxa"/>
          </w:tcPr>
          <w:p w:rsidR="00AC3F76" w:rsidRPr="009279A1" w:rsidRDefault="00AC3F76" w:rsidP="00AC3F76">
            <w:pPr>
              <w:cnfStyle w:val="000000010000" w:firstRow="0" w:lastRow="0" w:firstColumn="0" w:lastColumn="0" w:oddVBand="0" w:evenVBand="0" w:oddHBand="0" w:evenHBand="1" w:firstRowFirstColumn="0" w:firstRowLastColumn="0" w:lastRowFirstColumn="0" w:lastRowLastColumn="0"/>
            </w:pPr>
          </w:p>
        </w:tc>
      </w:tr>
      <w:tr w:rsidR="00AC3F76" w:rsidTr="00AC3F76">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r w:rsidRPr="00D20501">
              <w:t xml:space="preserve">Longest available </w:t>
            </w:r>
            <w:r w:rsidRPr="00AC3F76">
              <w:t>period</w:t>
            </w:r>
            <w:r w:rsidRPr="00AC3F76">
              <w:rPr>
                <w:rStyle w:val="AERsuperscript"/>
              </w:rPr>
              <w:t>(a)</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0.46</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0.48</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0.39</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r>
              <w:t>Longest peri</w:t>
            </w:r>
            <w:r w:rsidRPr="00AC3F76">
              <w:t>od available (excl. tech boom &amp; GFC)</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0.49</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0.52</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0.5</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0.53</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0.45</w:t>
            </w:r>
          </w:p>
        </w:tc>
      </w:tr>
      <w:tr w:rsidR="00AC3F76" w:rsidTr="00AC3F76">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pPr>
              <w:rPr>
                <w:rStyle w:val="AERtextitalic"/>
              </w:rPr>
            </w:pPr>
            <w:r w:rsidRPr="00514842">
              <w:rPr>
                <w:rStyle w:val="AERtextitalic"/>
              </w:rPr>
              <w:t>Value weighted</w:t>
            </w:r>
          </w:p>
        </w:tc>
        <w:tc>
          <w:tcPr>
            <w:tcW w:w="1320" w:type="dxa"/>
          </w:tcPr>
          <w:p w:rsidR="00AC3F76" w:rsidRPr="009279A1" w:rsidRDefault="00AC3F76" w:rsidP="00AC3F76">
            <w:pPr>
              <w:cnfStyle w:val="000000000000" w:firstRow="0" w:lastRow="0" w:firstColumn="0" w:lastColumn="0" w:oddVBand="0" w:evenVBand="0" w:oddHBand="0" w:evenHBand="0" w:firstRowFirstColumn="0" w:firstRowLastColumn="0" w:lastRowFirstColumn="0" w:lastRowLastColumn="0"/>
            </w:pPr>
          </w:p>
        </w:tc>
        <w:tc>
          <w:tcPr>
            <w:tcW w:w="1320" w:type="dxa"/>
          </w:tcPr>
          <w:p w:rsidR="00AC3F76" w:rsidRPr="009279A1" w:rsidRDefault="00AC3F76" w:rsidP="00AC3F76">
            <w:pPr>
              <w:cnfStyle w:val="000000000000" w:firstRow="0" w:lastRow="0" w:firstColumn="0" w:lastColumn="0" w:oddVBand="0" w:evenVBand="0" w:oddHBand="0" w:evenHBand="0" w:firstRowFirstColumn="0" w:firstRowLastColumn="0" w:lastRowFirstColumn="0" w:lastRowLastColumn="0"/>
            </w:pPr>
          </w:p>
        </w:tc>
        <w:tc>
          <w:tcPr>
            <w:tcW w:w="1320" w:type="dxa"/>
          </w:tcPr>
          <w:p w:rsidR="00AC3F76" w:rsidRPr="009279A1" w:rsidRDefault="00AC3F76" w:rsidP="00AC3F76">
            <w:pPr>
              <w:cnfStyle w:val="000000000000" w:firstRow="0" w:lastRow="0" w:firstColumn="0" w:lastColumn="0" w:oddVBand="0" w:evenVBand="0" w:oddHBand="0" w:evenHBand="0" w:firstRowFirstColumn="0" w:firstRowLastColumn="0" w:lastRowFirstColumn="0" w:lastRowLastColumn="0"/>
            </w:pPr>
          </w:p>
        </w:tc>
        <w:tc>
          <w:tcPr>
            <w:tcW w:w="1320" w:type="dxa"/>
          </w:tcPr>
          <w:p w:rsidR="00AC3F76" w:rsidRPr="009279A1" w:rsidRDefault="00AC3F76" w:rsidP="00AC3F76">
            <w:pPr>
              <w:cnfStyle w:val="000000000000" w:firstRow="0" w:lastRow="0" w:firstColumn="0" w:lastColumn="0" w:oddVBand="0" w:evenVBand="0" w:oddHBand="0" w:evenHBand="0" w:firstRowFirstColumn="0" w:firstRowLastColumn="0" w:lastRowFirstColumn="0" w:lastRowLastColumn="0"/>
            </w:pPr>
          </w:p>
        </w:tc>
        <w:tc>
          <w:tcPr>
            <w:tcW w:w="1320" w:type="dxa"/>
          </w:tcPr>
          <w:p w:rsidR="00AC3F76" w:rsidRPr="009279A1" w:rsidRDefault="00AC3F76" w:rsidP="00AC3F76">
            <w:pPr>
              <w:cnfStyle w:val="000000000000" w:firstRow="0" w:lastRow="0" w:firstColumn="0" w:lastColumn="0" w:oddVBand="0" w:evenVBand="0" w:oddHBand="0" w:evenHBand="0" w:firstRowFirstColumn="0" w:firstRowLastColumn="0" w:lastRowFirstColumn="0" w:lastRowLastColumn="0"/>
            </w:pPr>
          </w:p>
        </w:tc>
      </w:tr>
      <w:tr w:rsidR="00AC3F76" w:rsidTr="00AC3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r w:rsidRPr="00D20501">
              <w:t>Longest available period</w:t>
            </w:r>
            <w:r w:rsidRPr="00AC3F76">
              <w:rPr>
                <w:rStyle w:val="AERsuperscript"/>
              </w:rPr>
              <w:t>(a)</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0.50</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0.70</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0.44</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0.42</w:t>
            </w:r>
          </w:p>
        </w:tc>
        <w:tc>
          <w:tcPr>
            <w:tcW w:w="1320" w:type="dxa"/>
          </w:tcPr>
          <w:p w:rsidR="00AC3F76" w:rsidRPr="00AC3F76" w:rsidRDefault="00AC3F76" w:rsidP="00AC3F76">
            <w:pPr>
              <w:cnfStyle w:val="000000010000" w:firstRow="0" w:lastRow="0" w:firstColumn="0" w:lastColumn="0" w:oddVBand="0" w:evenVBand="0" w:oddHBand="0" w:evenHBand="1" w:firstRowFirstColumn="0" w:firstRowLastColumn="0" w:lastRowFirstColumn="0" w:lastRowLastColumn="0"/>
            </w:pPr>
            <w:r>
              <w:t>0.39</w:t>
            </w:r>
          </w:p>
        </w:tc>
      </w:tr>
      <w:tr w:rsidR="00AC3F76" w:rsidTr="00AC3F76">
        <w:tc>
          <w:tcPr>
            <w:cnfStyle w:val="001000000000" w:firstRow="0" w:lastRow="0" w:firstColumn="1" w:lastColumn="0" w:oddVBand="0" w:evenVBand="0" w:oddHBand="0" w:evenHBand="0" w:firstRowFirstColumn="0" w:firstRowLastColumn="0" w:lastRowFirstColumn="0" w:lastRowLastColumn="0"/>
            <w:tcW w:w="2093" w:type="dxa"/>
          </w:tcPr>
          <w:p w:rsidR="00AC3F76" w:rsidRPr="00AC3F76" w:rsidRDefault="00AC3F76" w:rsidP="00AC3F76">
            <w:r>
              <w:t>Longest peri</w:t>
            </w:r>
            <w:r w:rsidRPr="00AC3F76">
              <w:t>od available (excl. tech boom &amp; GFC)</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0.54</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0.70</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0.52</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0.50</w:t>
            </w:r>
          </w:p>
        </w:tc>
        <w:tc>
          <w:tcPr>
            <w:tcW w:w="1320" w:type="dxa"/>
          </w:tcPr>
          <w:p w:rsidR="00AC3F76" w:rsidRPr="00AC3F76" w:rsidRDefault="00AC3F76" w:rsidP="00AC3F76">
            <w:pPr>
              <w:cnfStyle w:val="000000000000" w:firstRow="0" w:lastRow="0" w:firstColumn="0" w:lastColumn="0" w:oddVBand="0" w:evenVBand="0" w:oddHBand="0" w:evenHBand="0" w:firstRowFirstColumn="0" w:firstRowLastColumn="0" w:lastRowFirstColumn="0" w:lastRowLastColumn="0"/>
            </w:pPr>
            <w:r>
              <w:t>0.48</w:t>
            </w:r>
          </w:p>
        </w:tc>
      </w:tr>
    </w:tbl>
    <w:p w:rsidR="00AC3F76" w:rsidRPr="00C01E61" w:rsidRDefault="00AC3F76" w:rsidP="00AC3F76">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AC3F76" w:rsidRPr="006460A6" w:rsidRDefault="00AC3F76" w:rsidP="00AC3F76">
      <w:pPr>
        <w:pStyle w:val="AERtablesource"/>
      </w:pPr>
      <w:r w:rsidRPr="006460A6">
        <w:t>Note:</w:t>
      </w:r>
      <w:r w:rsidRPr="006460A6">
        <w:tab/>
        <w:t>Henry's 2014 report also presented time varying portfolio estimates of equity beta</w:t>
      </w:r>
      <w:r>
        <w:t xml:space="preserve"> (which range from 0.39 to 0.53, see </w:t>
      </w:r>
      <w:r w:rsidRPr="006460A6">
        <w:t xml:space="preserve">Henry, </w:t>
      </w:r>
      <w:r w:rsidRPr="006460A6">
        <w:rPr>
          <w:rStyle w:val="AERtextitalic"/>
        </w:rPr>
        <w:t>Estimating β: An update</w:t>
      </w:r>
      <w:r w:rsidRPr="006460A6">
        <w:t>, April 2014, p. 56</w:t>
      </w:r>
      <w:r>
        <w:t>)</w:t>
      </w:r>
      <w:r w:rsidRPr="006460A6">
        <w:t xml:space="preserve">. We </w:t>
      </w:r>
      <w:r>
        <w:t xml:space="preserve">do not place any material </w:t>
      </w:r>
      <w:r w:rsidRPr="006460A6">
        <w:t xml:space="preserve">reliance on these estimates for reasons discussed </w:t>
      </w:r>
      <w:r>
        <w:t>in</w:t>
      </w:r>
      <w:r w:rsidRPr="006460A6">
        <w:t xml:space="preserve"> section</w:t>
      </w:r>
      <w:r>
        <w:t xml:space="preserve"> D.2.2 of Attachment 3 to CitiPower's preliminary decision</w:t>
      </w:r>
      <w:r w:rsidRPr="006460A6">
        <w:t>.</w:t>
      </w:r>
    </w:p>
    <w:p w:rsidR="00AC3F76" w:rsidRPr="006460A6" w:rsidRDefault="00AC3F76" w:rsidP="00AC3F76">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AC3F76" w:rsidRDefault="00AC3F76" w:rsidP="00AC3F76">
      <w:pPr>
        <w:numPr>
          <w:ilvl w:val="0"/>
          <w:numId w:val="24"/>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012"/>
      </w:r>
      <w:r>
        <w:t xml:space="preserve"> The results are as follows:</w:t>
      </w:r>
      <w:r>
        <w:rPr>
          <w:rStyle w:val="FootnoteReference"/>
        </w:rPr>
        <w:footnoteReference w:id="1013"/>
      </w:r>
    </w:p>
    <w:p w:rsidR="00AC3F76" w:rsidRPr="001F00F1" w:rsidRDefault="00AC3F76" w:rsidP="00AC3F76">
      <w:pPr>
        <w:pStyle w:val="AERbulletlistfirststyle"/>
      </w:pPr>
      <w:r w:rsidRPr="00CA72A5">
        <w:t>the re-levered LAD estimates range from 0.38 to 0.58 and the raw LAD estimates range from 0.31 to 0.60.</w:t>
      </w:r>
      <w:r w:rsidRPr="001F00F1">
        <w:rPr>
          <w:rStyle w:val="FootnoteReference"/>
        </w:rPr>
        <w:footnoteReference w:id="1014"/>
      </w:r>
    </w:p>
    <w:p w:rsidR="00AC3F76" w:rsidRPr="001F00F1" w:rsidRDefault="00AC3F76" w:rsidP="00AC3F76">
      <w:pPr>
        <w:pStyle w:val="AERbulletlistfirststyle"/>
      </w:pPr>
      <w:r w:rsidRPr="00CA72A5">
        <w:t>the OLS estimates using monthly return intervals range from 0.37 to 0.58.</w:t>
      </w:r>
      <w:r w:rsidRPr="001F00F1">
        <w:rPr>
          <w:rStyle w:val="FootnoteReference"/>
        </w:rPr>
        <w:footnoteReference w:id="1015"/>
      </w:r>
      <w:r w:rsidRPr="001F00F1">
        <w:t xml:space="preserve"> </w:t>
      </w:r>
    </w:p>
    <w:p w:rsidR="00AC3F76" w:rsidRDefault="00AC3F76" w:rsidP="00AC3F76">
      <w:pPr>
        <w:numPr>
          <w:ilvl w:val="0"/>
          <w:numId w:val="24"/>
        </w:numPr>
      </w:pPr>
      <w:r>
        <w:t xml:space="preserve">Henry also performed </w:t>
      </w:r>
      <w:r w:rsidRPr="00CA72A5">
        <w:t xml:space="preserve">various robustness and sensitivity tests on the equity beta estimates. These included the Dimson adjustment for thin trading, as well as recursive 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016"/>
      </w:r>
      <w:r w:rsidRPr="00CA72A5">
        <w:t xml:space="preserve"> Therefore, we are satisfied the estimates presented in Henry's </w:t>
      </w:r>
      <w:r>
        <w:t xml:space="preserve">2014 </w:t>
      </w:r>
      <w:r w:rsidRPr="00CA72A5">
        <w:t xml:space="preserve">report are reasonably stable and not significantly affected by thin trading. </w:t>
      </w:r>
      <w:r>
        <w:t>We also note Associate Professor Graham Partington stated that:</w:t>
      </w:r>
      <w:r>
        <w:rPr>
          <w:rStyle w:val="FootnoteReference"/>
        </w:rPr>
        <w:footnoteReference w:id="1017"/>
      </w:r>
    </w:p>
    <w:p w:rsidR="00AC3F76" w:rsidRDefault="00AC3F76" w:rsidP="00AC3F76">
      <w:pPr>
        <w:pStyle w:val="AERquote"/>
      </w:pPr>
      <w:r w:rsidRPr="00FC3F67">
        <w:t xml:space="preserve">A final comment may be made with reference to a number of the reports that allege instability in the estimates of </w:t>
      </w:r>
      <w:r w:rsidRPr="00597424">
        <w:t>β</w:t>
      </w:r>
      <w:r w:rsidRPr="00FC3F67">
        <w:t xml:space="preserve">. Henry (2008, 2009, 2014) provides a range of evidence demonstrating the stability of the estimates. </w:t>
      </w:r>
    </w:p>
    <w:p w:rsidR="00AC3F76" w:rsidRDefault="00AC3F76" w:rsidP="00AC3F76">
      <w:pPr>
        <w:numPr>
          <w:ilvl w:val="0"/>
          <w:numId w:val="24"/>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a benchmark efficient entity. This is because most of the estimates</w:t>
      </w:r>
      <w:r w:rsidRPr="009E6804">
        <w:t xml:space="preserve"> </w:t>
      </w:r>
      <w:r>
        <w:t xml:space="preserve">are clustered around 0.5, as shown in </w:t>
      </w:r>
      <w:r>
        <w:fldChar w:fldCharType="begin"/>
      </w:r>
      <w:r>
        <w:instrText xml:space="preserve"> REF  _Ref446243940 \* Lower \h </w:instrText>
      </w:r>
      <w:r>
        <w:fldChar w:fldCharType="separate"/>
      </w:r>
      <w:r w:rsidR="00BA2E8E">
        <w:t xml:space="preserve">figure </w:t>
      </w:r>
      <w:r w:rsidR="00BA2E8E">
        <w:rPr>
          <w:noProof/>
        </w:rPr>
        <w:t>3</w:t>
      </w:r>
      <w:r w:rsidR="00BA2E8E">
        <w:noBreakHyphen/>
      </w:r>
      <w:r w:rsidR="00BA2E8E">
        <w:rPr>
          <w:noProof/>
        </w:rPr>
        <w:t>18</w:t>
      </w:r>
      <w:r>
        <w:fldChar w:fldCharType="end"/>
      </w:r>
      <w:r>
        <w:t>.</w:t>
      </w:r>
    </w:p>
    <w:p w:rsidR="00AC3F76" w:rsidRDefault="00AC3F76" w:rsidP="00AC3F76">
      <w:pPr>
        <w:pStyle w:val="Caption"/>
      </w:pPr>
      <w:bookmarkStart w:id="312" w:name="_Ref446243940"/>
      <w:r>
        <w:t xml:space="preserve">Figure </w:t>
      </w:r>
      <w:fldSimple w:instr=" STYLEREF 1 \s ">
        <w:r w:rsidR="00BA2E8E">
          <w:rPr>
            <w:noProof/>
          </w:rPr>
          <w:t>3</w:t>
        </w:r>
      </w:fldSimple>
      <w:r w:rsidR="00A6197A">
        <w:noBreakHyphen/>
      </w:r>
      <w:fldSimple w:instr=" SEQ Figure \* ARABIC \s 1 ">
        <w:r w:rsidR="00BA2E8E">
          <w:rPr>
            <w:noProof/>
          </w:rPr>
          <w:t>18</w:t>
        </w:r>
      </w:fldSimple>
      <w:bookmarkEnd w:id="312"/>
      <w:r>
        <w:tab/>
        <w:t>Equity beta estimates from Henry's 2014 report (average of individual firm estimates and fixed weight portfolio estimates)</w:t>
      </w:r>
    </w:p>
    <w:p w:rsidR="00AC3F76" w:rsidRDefault="009C74CF" w:rsidP="009C74CF">
      <w:pPr>
        <w:numPr>
          <w:ilvl w:val="0"/>
          <w:numId w:val="24"/>
        </w:numPr>
      </w:pPr>
      <w:r w:rsidRPr="009C74CF">
        <w:rPr>
          <w:noProof/>
          <w:lang w:eastAsia="en-AU"/>
        </w:rPr>
        <w:drawing>
          <wp:inline distT="0" distB="0" distL="0" distR="0" wp14:anchorId="7C815246" wp14:editId="083E4B28">
            <wp:extent cx="5382895" cy="3231616"/>
            <wp:effectExtent l="0" t="0" r="8255" b="698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82895" cy="3231616"/>
                    </a:xfrm>
                    <a:prstGeom prst="rect">
                      <a:avLst/>
                    </a:prstGeom>
                    <a:noFill/>
                    <a:ln>
                      <a:noFill/>
                    </a:ln>
                  </pic:spPr>
                </pic:pic>
              </a:graphicData>
            </a:graphic>
          </wp:inline>
        </w:drawing>
      </w:r>
    </w:p>
    <w:p w:rsidR="00AC3F76" w:rsidRPr="00812C81" w:rsidRDefault="00AC3F76" w:rsidP="00AC3F76">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AC3F76" w:rsidRDefault="00AC3F76" w:rsidP="00AC3F76">
      <w:pPr>
        <w:pStyle w:val="AERtablesource"/>
      </w:pPr>
      <w:r w:rsidRPr="00812C81">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AC3F76" w:rsidRPr="00345FC0" w:rsidRDefault="00AC3F76" w:rsidP="00AC3F76">
      <w:pPr>
        <w:pStyle w:val="Heading8"/>
      </w:pPr>
      <w:bookmarkStart w:id="313" w:name="_Ref446255164"/>
      <w:bookmarkStart w:id="314" w:name="_Toc451678669"/>
      <w:bookmarkStart w:id="315" w:name="_Ref401311140"/>
      <w:bookmarkStart w:id="316" w:name="_Toc401315943"/>
      <w:bookmarkStart w:id="317" w:name="_Toc403990360"/>
      <w:bookmarkStart w:id="318" w:name="_Toc404643523"/>
      <w:bookmarkStart w:id="319" w:name="_Toc415561729"/>
      <w:bookmarkStart w:id="320" w:name="_Toc417396119"/>
      <w:bookmarkStart w:id="321" w:name="_Toc418006918"/>
      <w:bookmarkStart w:id="322" w:name="_Toc431206901"/>
      <w:bookmarkStart w:id="323" w:name="_Toc443584848"/>
      <w:r>
        <w:t>Australian e</w:t>
      </w:r>
      <w:r w:rsidRPr="00345FC0">
        <w:t>mpirical estimates</w:t>
      </w:r>
      <w:r>
        <w:t xml:space="preserve"> from other studies</w:t>
      </w:r>
      <w:bookmarkEnd w:id="313"/>
      <w:bookmarkEnd w:id="314"/>
    </w:p>
    <w:bookmarkEnd w:id="315"/>
    <w:bookmarkEnd w:id="316"/>
    <w:bookmarkEnd w:id="317"/>
    <w:bookmarkEnd w:id="318"/>
    <w:bookmarkEnd w:id="319"/>
    <w:bookmarkEnd w:id="320"/>
    <w:bookmarkEnd w:id="321"/>
    <w:bookmarkEnd w:id="322"/>
    <w:bookmarkEnd w:id="323"/>
    <w:p w:rsidR="00AC3F76" w:rsidRDefault="00AC3F76" w:rsidP="00AC3F76">
      <w:pPr>
        <w:numPr>
          <w:ilvl w:val="0"/>
          <w:numId w:val="24"/>
        </w:numPr>
      </w:pPr>
      <w:r>
        <w:t xml:space="preserve">We consider the equity beta estimates presented in Henry's 2014 report are generally consistent with other empirical studies based on Australian energy network firms, as set out in </w:t>
      </w:r>
      <w:r>
        <w:fldChar w:fldCharType="begin"/>
      </w:r>
      <w:r>
        <w:instrText xml:space="preserve"> REF  _Ref446197667 \* Lower \h </w:instrText>
      </w:r>
      <w:r>
        <w:fldChar w:fldCharType="separate"/>
      </w:r>
      <w:r w:rsidR="00BA2E8E">
        <w:t xml:space="preserve">table </w:t>
      </w:r>
      <w:r w:rsidR="00BA2E8E">
        <w:rPr>
          <w:noProof/>
        </w:rPr>
        <w:t>3</w:t>
      </w:r>
      <w:r w:rsidR="00BA2E8E">
        <w:noBreakHyphen/>
      </w:r>
      <w:r w:rsidR="00BA2E8E">
        <w:rPr>
          <w:noProof/>
        </w:rPr>
        <w:t>37</w:t>
      </w:r>
      <w:r>
        <w:fldChar w:fldCharType="end"/>
      </w:r>
      <w:r>
        <w:t>. These other empirical studies use different econometric techniques and/or comparator sets to our empirical analysis, some of which are not necessarily consistent with our methodological choices.</w:t>
      </w:r>
      <w:r>
        <w:rPr>
          <w:rStyle w:val="FootnoteReference"/>
        </w:rPr>
        <w:footnoteReference w:id="1018"/>
      </w:r>
      <w:r>
        <w:t xml:space="preserve"> Nonetheless, the empirical estimates presented give us confidence that there is an extensive pattern of support for an empirical equity beta within a range of 0.4 to 0.7.</w:t>
      </w:r>
    </w:p>
    <w:p w:rsidR="00AC3F76" w:rsidRDefault="00AC3F76" w:rsidP="001B4217">
      <w:pPr>
        <w:pStyle w:val="Caption"/>
      </w:pPr>
      <w:bookmarkStart w:id="324" w:name="_Ref446197667"/>
      <w:r>
        <w:t xml:space="preserve">Table </w:t>
      </w:r>
      <w:fldSimple w:instr=" STYLEREF 1 \s ">
        <w:r w:rsidR="00BA2E8E">
          <w:rPr>
            <w:noProof/>
          </w:rPr>
          <w:t>3</w:t>
        </w:r>
      </w:fldSimple>
      <w:r w:rsidR="000F4BC3">
        <w:noBreakHyphen/>
      </w:r>
      <w:fldSimple w:instr=" SEQ Table \* ARABIC \s 1 ">
        <w:r w:rsidR="00BA2E8E">
          <w:rPr>
            <w:noProof/>
          </w:rPr>
          <w:t>37</w:t>
        </w:r>
      </w:fldSimple>
      <w:bookmarkEnd w:id="324"/>
      <w:r>
        <w:tab/>
        <w:t>Equity beta estimates for Australian energy network firms</w:t>
      </w:r>
    </w:p>
    <w:tbl>
      <w:tblPr>
        <w:tblStyle w:val="AERtable-text0"/>
        <w:tblW w:w="0" w:type="auto"/>
        <w:tblLook w:val="04A0" w:firstRow="1" w:lastRow="0" w:firstColumn="1" w:lastColumn="0" w:noHBand="0" w:noVBand="1"/>
      </w:tblPr>
      <w:tblGrid>
        <w:gridCol w:w="1101"/>
        <w:gridCol w:w="850"/>
        <w:gridCol w:w="992"/>
        <w:gridCol w:w="993"/>
        <w:gridCol w:w="992"/>
        <w:gridCol w:w="3765"/>
      </w:tblGrid>
      <w:tr w:rsidR="00AC3F76" w:rsidTr="00AC3F76">
        <w:trPr>
          <w:cnfStyle w:val="100000000000" w:firstRow="1" w:lastRow="0" w:firstColumn="0" w:lastColumn="0" w:oddVBand="0" w:evenVBand="0" w:oddHBand="0" w:evenHBand="0" w:firstRowFirstColumn="0" w:firstRowLastColumn="0" w:lastRowFirstColumn="0" w:lastRowLastColumn="0"/>
        </w:trPr>
        <w:tc>
          <w:tcPr>
            <w:tcW w:w="1101" w:type="dxa"/>
          </w:tcPr>
          <w:p w:rsidR="00AC3F76" w:rsidRPr="00AC3F76" w:rsidRDefault="00AC3F76" w:rsidP="001B4217">
            <w:pPr>
              <w:keepNext/>
            </w:pPr>
            <w:r>
              <w:t>Source</w:t>
            </w:r>
          </w:p>
        </w:tc>
        <w:tc>
          <w:tcPr>
            <w:tcW w:w="850" w:type="dxa"/>
          </w:tcPr>
          <w:p w:rsidR="00AC3F76" w:rsidRPr="00AC3F76" w:rsidRDefault="00AC3F76" w:rsidP="001B4217">
            <w:pPr>
              <w:keepNext/>
            </w:pPr>
            <w:r>
              <w:t xml:space="preserve">Time </w:t>
            </w:r>
            <w:r w:rsidRPr="00AC3F76">
              <w:t>period</w:t>
            </w:r>
          </w:p>
        </w:tc>
        <w:tc>
          <w:tcPr>
            <w:tcW w:w="992" w:type="dxa"/>
          </w:tcPr>
          <w:p w:rsidR="00AC3F76" w:rsidRPr="00AC3F76" w:rsidRDefault="00AC3F76" w:rsidP="001B4217">
            <w:pPr>
              <w:keepNext/>
            </w:pPr>
            <w:r>
              <w:t>Individual firm averages</w:t>
            </w:r>
          </w:p>
        </w:tc>
        <w:tc>
          <w:tcPr>
            <w:tcW w:w="993" w:type="dxa"/>
          </w:tcPr>
          <w:p w:rsidR="00AC3F76" w:rsidRPr="00AC3F76" w:rsidRDefault="00AC3F76" w:rsidP="001B4217">
            <w:pPr>
              <w:keepNext/>
            </w:pPr>
            <w:r>
              <w:t>Fixed portfolios</w:t>
            </w:r>
          </w:p>
        </w:tc>
        <w:tc>
          <w:tcPr>
            <w:tcW w:w="992" w:type="dxa"/>
          </w:tcPr>
          <w:p w:rsidR="00AC3F76" w:rsidRPr="00AC3F76" w:rsidRDefault="00AC3F76" w:rsidP="001B4217">
            <w:pPr>
              <w:keepNext/>
            </w:pPr>
            <w:r>
              <w:t>Varying portfolios</w:t>
            </w:r>
          </w:p>
        </w:tc>
        <w:tc>
          <w:tcPr>
            <w:tcW w:w="3765" w:type="dxa"/>
          </w:tcPr>
          <w:p w:rsidR="00AC3F76" w:rsidRPr="00AC3F76" w:rsidRDefault="00AC3F76" w:rsidP="001B4217">
            <w:pPr>
              <w:keepNext/>
            </w:pPr>
            <w:r>
              <w:t>Summary of regression permutations</w:t>
            </w:r>
          </w:p>
        </w:tc>
      </w:tr>
      <w:tr w:rsidR="00AC3F76" w:rsidTr="00AC3F76">
        <w:tc>
          <w:tcPr>
            <w:tcW w:w="1101" w:type="dxa"/>
          </w:tcPr>
          <w:p w:rsidR="00AC3F76" w:rsidRPr="00AC3F76" w:rsidRDefault="00AC3F76" w:rsidP="001B4217">
            <w:pPr>
              <w:keepNext/>
            </w:pPr>
            <w:r>
              <w:t>Henry 2014</w:t>
            </w:r>
          </w:p>
        </w:tc>
        <w:tc>
          <w:tcPr>
            <w:tcW w:w="850" w:type="dxa"/>
          </w:tcPr>
          <w:p w:rsidR="00AC3F76" w:rsidRPr="00AC3F76" w:rsidRDefault="00AC3F76" w:rsidP="001B4217">
            <w:pPr>
              <w:keepNext/>
            </w:pPr>
            <w:r>
              <w:t>1992–2013</w:t>
            </w:r>
          </w:p>
        </w:tc>
        <w:tc>
          <w:tcPr>
            <w:tcW w:w="992" w:type="dxa"/>
          </w:tcPr>
          <w:p w:rsidR="00AC3F76" w:rsidRPr="00AC3F76" w:rsidRDefault="00AC3F76" w:rsidP="001B4217">
            <w:pPr>
              <w:keepNext/>
            </w:pPr>
            <w:r>
              <w:t>0.37–0.56</w:t>
            </w:r>
          </w:p>
        </w:tc>
        <w:tc>
          <w:tcPr>
            <w:tcW w:w="993" w:type="dxa"/>
          </w:tcPr>
          <w:p w:rsidR="00AC3F76" w:rsidRPr="00AC3F76" w:rsidRDefault="00AC3F76" w:rsidP="001B4217">
            <w:pPr>
              <w:keepNext/>
            </w:pPr>
            <w:r>
              <w:t>0.31–0.70</w:t>
            </w:r>
            <w:r w:rsidRPr="00AC3F76">
              <w:rPr>
                <w:rStyle w:val="AERsuperscript"/>
              </w:rPr>
              <w:t>(b)</w:t>
            </w:r>
          </w:p>
        </w:tc>
        <w:tc>
          <w:tcPr>
            <w:tcW w:w="992" w:type="dxa"/>
          </w:tcPr>
          <w:p w:rsidR="00AC3F76" w:rsidRPr="00AC3F76" w:rsidRDefault="00AC3F76" w:rsidP="001B4217">
            <w:pPr>
              <w:keepNext/>
            </w:pPr>
            <w:r>
              <w:t>0.39–0.53</w:t>
            </w:r>
          </w:p>
        </w:tc>
        <w:tc>
          <w:tcPr>
            <w:tcW w:w="3765" w:type="dxa"/>
          </w:tcPr>
          <w:p w:rsidR="00AC3F76" w:rsidRPr="00AC3F76" w:rsidRDefault="00AC3F76" w:rsidP="001B4217">
            <w:pPr>
              <w:keepNext/>
            </w:pPr>
            <w:r w:rsidRPr="001F00F1">
              <w:t xml:space="preserve">weekly/monthly return intervals, multiple estimation periods, OLS/LAD regressions, value/equal weight fixed portfolios, average/median varying portfolios, </w:t>
            </w:r>
            <w:r w:rsidRPr="00AC3F76">
              <w:t>raw/re-levered estimates, 9 comparators</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101" w:type="dxa"/>
          </w:tcPr>
          <w:p w:rsidR="00AC3F76" w:rsidRPr="00AC3F76" w:rsidRDefault="00AC3F76" w:rsidP="001B4217">
            <w:pPr>
              <w:keepNext/>
            </w:pPr>
            <w:r>
              <w:t>Grant Samuel 2014</w:t>
            </w:r>
          </w:p>
        </w:tc>
        <w:tc>
          <w:tcPr>
            <w:tcW w:w="850" w:type="dxa"/>
          </w:tcPr>
          <w:p w:rsidR="00AC3F76" w:rsidRPr="00AC3F76" w:rsidRDefault="00AC3F76" w:rsidP="001B4217">
            <w:pPr>
              <w:keepNext/>
            </w:pPr>
            <w:r>
              <w:t>2009–2014</w:t>
            </w:r>
            <w:r w:rsidRPr="00AC3F76">
              <w:rPr>
                <w:rStyle w:val="AERsuperscript"/>
              </w:rPr>
              <w:t>(c)</w:t>
            </w:r>
          </w:p>
        </w:tc>
        <w:tc>
          <w:tcPr>
            <w:tcW w:w="992" w:type="dxa"/>
          </w:tcPr>
          <w:p w:rsidR="00AC3F76" w:rsidRPr="00AC3F76" w:rsidRDefault="00AC3F76" w:rsidP="001B4217">
            <w:pPr>
              <w:keepNext/>
            </w:pPr>
            <w:r>
              <w:t>0.42–0.64</w:t>
            </w:r>
          </w:p>
        </w:tc>
        <w:tc>
          <w:tcPr>
            <w:tcW w:w="993" w:type="dxa"/>
          </w:tcPr>
          <w:p w:rsidR="00AC3F76" w:rsidRPr="00AC3F76" w:rsidRDefault="00AC3F76" w:rsidP="001B4217">
            <w:pPr>
              <w:keepNext/>
            </w:pPr>
            <w:r>
              <w:t>n/a</w:t>
            </w:r>
          </w:p>
        </w:tc>
        <w:tc>
          <w:tcPr>
            <w:tcW w:w="992" w:type="dxa"/>
          </w:tcPr>
          <w:p w:rsidR="00AC3F76" w:rsidRPr="00AC3F76" w:rsidRDefault="00AC3F76" w:rsidP="001B4217">
            <w:pPr>
              <w:keepNext/>
            </w:pPr>
            <w:r>
              <w:t>n/a</w:t>
            </w:r>
          </w:p>
        </w:tc>
        <w:tc>
          <w:tcPr>
            <w:tcW w:w="3765" w:type="dxa"/>
          </w:tcPr>
          <w:p w:rsidR="00AC3F76" w:rsidRPr="00AC3F76" w:rsidRDefault="00AC3F76" w:rsidP="001B4217">
            <w:pPr>
              <w:keepNext/>
            </w:pPr>
            <w:r w:rsidRPr="001F00F1">
              <w:t xml:space="preserve">weekly/monthly </w:t>
            </w:r>
            <w:r w:rsidRPr="00AC3F76">
              <w:t>return intervals, multiple estimation periods, OLS regressions, Bloomberg adjusted betas, raw estimates, 5 comparators</w:t>
            </w:r>
          </w:p>
        </w:tc>
      </w:tr>
      <w:tr w:rsidR="00AC3F76" w:rsidTr="00AC3F76">
        <w:tc>
          <w:tcPr>
            <w:tcW w:w="1101" w:type="dxa"/>
          </w:tcPr>
          <w:p w:rsidR="00AC3F76" w:rsidRPr="00AC3F76" w:rsidRDefault="00AC3F76" w:rsidP="001B4217">
            <w:pPr>
              <w:keepNext/>
            </w:pPr>
            <w:r>
              <w:t>ERA 2013</w:t>
            </w:r>
          </w:p>
        </w:tc>
        <w:tc>
          <w:tcPr>
            <w:tcW w:w="850" w:type="dxa"/>
          </w:tcPr>
          <w:p w:rsidR="00AC3F76" w:rsidRPr="00AC3F76" w:rsidRDefault="00AC3F76" w:rsidP="001B4217">
            <w:pPr>
              <w:keepNext/>
            </w:pPr>
            <w:r>
              <w:t>2002–2013</w:t>
            </w:r>
          </w:p>
        </w:tc>
        <w:tc>
          <w:tcPr>
            <w:tcW w:w="992" w:type="dxa"/>
          </w:tcPr>
          <w:p w:rsidR="00AC3F76" w:rsidRPr="00AC3F76" w:rsidRDefault="00AC3F76" w:rsidP="001B4217">
            <w:pPr>
              <w:keepNext/>
            </w:pPr>
            <w:r>
              <w:t>0.48–0.52</w:t>
            </w:r>
          </w:p>
        </w:tc>
        <w:tc>
          <w:tcPr>
            <w:tcW w:w="993" w:type="dxa"/>
          </w:tcPr>
          <w:p w:rsidR="00AC3F76" w:rsidRPr="00AC3F76" w:rsidRDefault="00AC3F76" w:rsidP="001B4217">
            <w:pPr>
              <w:keepNext/>
            </w:pPr>
            <w:r>
              <w:t>0.39–0.59</w:t>
            </w:r>
          </w:p>
        </w:tc>
        <w:tc>
          <w:tcPr>
            <w:tcW w:w="992" w:type="dxa"/>
          </w:tcPr>
          <w:p w:rsidR="00AC3F76" w:rsidRPr="00AC3F76" w:rsidRDefault="00AC3F76" w:rsidP="001B4217">
            <w:pPr>
              <w:keepNext/>
            </w:pPr>
            <w:r>
              <w:t>n/a</w:t>
            </w:r>
          </w:p>
        </w:tc>
        <w:tc>
          <w:tcPr>
            <w:tcW w:w="3765" w:type="dxa"/>
          </w:tcPr>
          <w:p w:rsidR="00AC3F76" w:rsidRPr="00AC3F76" w:rsidRDefault="00AC3F76" w:rsidP="001B4217">
            <w:pPr>
              <w:keepNext/>
            </w:pPr>
            <w:r w:rsidRPr="001F00F1">
              <w:t xml:space="preserve">weekly return intervals, OLS/LAD/MM/TS regressions, value/equal weight fixed portfolios, </w:t>
            </w:r>
            <w:r w:rsidRPr="00AC3F76">
              <w:t>multiple estimation periods, re-levered estimates, 6 comparators</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101" w:type="dxa"/>
          </w:tcPr>
          <w:p w:rsidR="00AC3F76" w:rsidRPr="00AC3F76" w:rsidRDefault="00AC3F76" w:rsidP="001B4217">
            <w:pPr>
              <w:keepNext/>
            </w:pPr>
            <w:r>
              <w:t>SFG 2013</w:t>
            </w:r>
          </w:p>
        </w:tc>
        <w:tc>
          <w:tcPr>
            <w:tcW w:w="850" w:type="dxa"/>
          </w:tcPr>
          <w:p w:rsidR="00AC3F76" w:rsidRPr="00AC3F76" w:rsidRDefault="00AC3F76" w:rsidP="001B4217">
            <w:pPr>
              <w:keepNext/>
            </w:pPr>
            <w:r>
              <w:t>2002–2013</w:t>
            </w:r>
          </w:p>
        </w:tc>
        <w:tc>
          <w:tcPr>
            <w:tcW w:w="992" w:type="dxa"/>
          </w:tcPr>
          <w:p w:rsidR="00AC3F76" w:rsidRPr="00AC3F76" w:rsidRDefault="00AC3F76" w:rsidP="001B4217">
            <w:pPr>
              <w:keepNext/>
            </w:pPr>
            <w:r>
              <w:t>0.60</w:t>
            </w:r>
          </w:p>
        </w:tc>
        <w:tc>
          <w:tcPr>
            <w:tcW w:w="993" w:type="dxa"/>
          </w:tcPr>
          <w:p w:rsidR="00AC3F76" w:rsidRPr="00AC3F76" w:rsidRDefault="00AC3F76" w:rsidP="001B4217">
            <w:pPr>
              <w:keepNext/>
            </w:pPr>
            <w:r>
              <w:t>n/a</w:t>
            </w:r>
          </w:p>
        </w:tc>
        <w:tc>
          <w:tcPr>
            <w:tcW w:w="992" w:type="dxa"/>
          </w:tcPr>
          <w:p w:rsidR="00AC3F76" w:rsidRPr="00AC3F76" w:rsidRDefault="00AC3F76" w:rsidP="001B4217">
            <w:pPr>
              <w:keepNext/>
            </w:pPr>
            <w:r>
              <w:t>0.55</w:t>
            </w:r>
          </w:p>
        </w:tc>
        <w:tc>
          <w:tcPr>
            <w:tcW w:w="3765" w:type="dxa"/>
          </w:tcPr>
          <w:p w:rsidR="00AC3F76" w:rsidRPr="00AC3F76" w:rsidRDefault="00AC3F76" w:rsidP="001B4217">
            <w:pPr>
              <w:keepNext/>
            </w:pPr>
            <w:r w:rsidRPr="001F00F1">
              <w:t>OLS regressions, four weekly repeat sampling, Vasicek</w:t>
            </w:r>
            <w:r w:rsidRPr="00AC3F76">
              <w:t xml:space="preserve"> adjustment, re-levered estimates, 9 comparators</w:t>
            </w:r>
          </w:p>
        </w:tc>
      </w:tr>
      <w:tr w:rsidR="00AC3F76" w:rsidTr="00AC3F76">
        <w:tc>
          <w:tcPr>
            <w:tcW w:w="1101" w:type="dxa"/>
          </w:tcPr>
          <w:p w:rsidR="00AC3F76" w:rsidRPr="00AC3F76" w:rsidRDefault="00AC3F76" w:rsidP="001B4217">
            <w:pPr>
              <w:keepNext/>
            </w:pPr>
            <w:r>
              <w:t>ERA 2012</w:t>
            </w:r>
          </w:p>
        </w:tc>
        <w:tc>
          <w:tcPr>
            <w:tcW w:w="850" w:type="dxa"/>
          </w:tcPr>
          <w:p w:rsidR="00AC3F76" w:rsidRPr="00AC3F76" w:rsidRDefault="00AC3F76" w:rsidP="001B4217">
            <w:pPr>
              <w:keepNext/>
            </w:pPr>
            <w:r>
              <w:t>2002–2011</w:t>
            </w:r>
          </w:p>
        </w:tc>
        <w:tc>
          <w:tcPr>
            <w:tcW w:w="992" w:type="dxa"/>
          </w:tcPr>
          <w:p w:rsidR="00AC3F76" w:rsidRPr="00AC3F76" w:rsidRDefault="00AC3F76" w:rsidP="001B4217">
            <w:pPr>
              <w:keepNext/>
            </w:pPr>
            <w:r>
              <w:t>0.44–0.60</w:t>
            </w:r>
          </w:p>
        </w:tc>
        <w:tc>
          <w:tcPr>
            <w:tcW w:w="993" w:type="dxa"/>
          </w:tcPr>
          <w:p w:rsidR="00AC3F76" w:rsidRPr="00AC3F76" w:rsidRDefault="00AC3F76" w:rsidP="001B4217">
            <w:pPr>
              <w:keepNext/>
            </w:pPr>
            <w:r>
              <w:t>n/a</w:t>
            </w:r>
          </w:p>
        </w:tc>
        <w:tc>
          <w:tcPr>
            <w:tcW w:w="992" w:type="dxa"/>
          </w:tcPr>
          <w:p w:rsidR="00AC3F76" w:rsidRPr="00AC3F76" w:rsidRDefault="00AC3F76" w:rsidP="001B4217">
            <w:pPr>
              <w:keepNext/>
            </w:pPr>
            <w:r>
              <w:t>n/a</w:t>
            </w:r>
          </w:p>
        </w:tc>
        <w:tc>
          <w:tcPr>
            <w:tcW w:w="3765" w:type="dxa"/>
          </w:tcPr>
          <w:p w:rsidR="00AC3F76" w:rsidRPr="00AC3F76" w:rsidRDefault="00AC3F76" w:rsidP="001B4217">
            <w:pPr>
              <w:keepNext/>
            </w:pPr>
            <w:r w:rsidRPr="001F00F1">
              <w:t xml:space="preserve">weekly/monthly </w:t>
            </w:r>
            <w:r w:rsidRPr="00AC3F76">
              <w:t>return intervals, OLS/LAD regressions, re-levered estimates, 9 comparators</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101" w:type="dxa"/>
          </w:tcPr>
          <w:p w:rsidR="00AC3F76" w:rsidRPr="00AC3F76" w:rsidRDefault="00AC3F76" w:rsidP="001B4217">
            <w:pPr>
              <w:keepNext/>
            </w:pPr>
            <w:r>
              <w:t>Henry 2009</w:t>
            </w:r>
          </w:p>
        </w:tc>
        <w:tc>
          <w:tcPr>
            <w:tcW w:w="850" w:type="dxa"/>
          </w:tcPr>
          <w:p w:rsidR="00AC3F76" w:rsidRPr="00AC3F76" w:rsidRDefault="00AC3F76" w:rsidP="001B4217">
            <w:pPr>
              <w:keepNext/>
            </w:pPr>
            <w:r>
              <w:t>2002–2008</w:t>
            </w:r>
          </w:p>
        </w:tc>
        <w:tc>
          <w:tcPr>
            <w:tcW w:w="992" w:type="dxa"/>
          </w:tcPr>
          <w:p w:rsidR="00AC3F76" w:rsidRPr="00AC3F76" w:rsidRDefault="00AC3F76" w:rsidP="001B4217">
            <w:pPr>
              <w:keepNext/>
            </w:pPr>
            <w:r>
              <w:t>0.45–0.71</w:t>
            </w:r>
          </w:p>
        </w:tc>
        <w:tc>
          <w:tcPr>
            <w:tcW w:w="993" w:type="dxa"/>
          </w:tcPr>
          <w:p w:rsidR="00AC3F76" w:rsidRPr="00AC3F76" w:rsidRDefault="00AC3F76" w:rsidP="001B4217">
            <w:pPr>
              <w:keepNext/>
            </w:pPr>
            <w:r>
              <w:t>0.35–0.94</w:t>
            </w:r>
            <w:r w:rsidRPr="00AC3F76">
              <w:rPr>
                <w:rStyle w:val="AERsuperscript"/>
              </w:rPr>
              <w:t>(d)</w:t>
            </w:r>
          </w:p>
        </w:tc>
        <w:tc>
          <w:tcPr>
            <w:tcW w:w="992" w:type="dxa"/>
          </w:tcPr>
          <w:p w:rsidR="00AC3F76" w:rsidRPr="00AC3F76" w:rsidRDefault="00AC3F76" w:rsidP="001B4217">
            <w:pPr>
              <w:keepNext/>
            </w:pPr>
            <w:r>
              <w:t>0.41</w:t>
            </w:r>
            <w:r>
              <w:softHyphen/>
              <w:t>–0.78</w:t>
            </w:r>
          </w:p>
        </w:tc>
        <w:tc>
          <w:tcPr>
            <w:tcW w:w="3765" w:type="dxa"/>
          </w:tcPr>
          <w:p w:rsidR="00AC3F76" w:rsidRPr="00AC3F76" w:rsidRDefault="00AC3F76" w:rsidP="001B4217">
            <w:pPr>
              <w:keepNext/>
            </w:pPr>
            <w:r w:rsidRPr="001F00F1">
              <w:t xml:space="preserve">weekly/monthly return </w:t>
            </w:r>
            <w:r w:rsidRPr="00AC3F76">
              <w:t>intervals, various estimation periods, OLS/LAD regressions, value/equal weight fixed portfolios, average/median varying portfolios, re-levered estimates, 9 comparators</w:t>
            </w:r>
          </w:p>
        </w:tc>
      </w:tr>
      <w:tr w:rsidR="00AC3F76" w:rsidTr="00AC3F76">
        <w:tc>
          <w:tcPr>
            <w:tcW w:w="1101" w:type="dxa"/>
          </w:tcPr>
          <w:p w:rsidR="00AC3F76" w:rsidRPr="00AC3F76" w:rsidRDefault="00AC3F76" w:rsidP="001B4217">
            <w:pPr>
              <w:keepNext/>
            </w:pPr>
            <w:r>
              <w:t>ACG 2009</w:t>
            </w:r>
          </w:p>
        </w:tc>
        <w:tc>
          <w:tcPr>
            <w:tcW w:w="850" w:type="dxa"/>
          </w:tcPr>
          <w:p w:rsidR="00AC3F76" w:rsidRPr="00AC3F76" w:rsidRDefault="00AC3F76" w:rsidP="001B4217">
            <w:pPr>
              <w:keepNext/>
            </w:pPr>
            <w:r>
              <w:t>1990–2008</w:t>
            </w:r>
          </w:p>
        </w:tc>
        <w:tc>
          <w:tcPr>
            <w:tcW w:w="992" w:type="dxa"/>
          </w:tcPr>
          <w:p w:rsidR="00AC3F76" w:rsidRPr="00AC3F76" w:rsidRDefault="00AC3F76" w:rsidP="001B4217">
            <w:pPr>
              <w:keepNext/>
            </w:pPr>
            <w:r>
              <w:t>0.50–0.58</w:t>
            </w:r>
          </w:p>
        </w:tc>
        <w:tc>
          <w:tcPr>
            <w:tcW w:w="993" w:type="dxa"/>
          </w:tcPr>
          <w:p w:rsidR="00AC3F76" w:rsidRPr="00AC3F76" w:rsidRDefault="00AC3F76" w:rsidP="001B4217">
            <w:pPr>
              <w:keepNext/>
            </w:pPr>
            <w:r>
              <w:t>n/a</w:t>
            </w:r>
          </w:p>
        </w:tc>
        <w:tc>
          <w:tcPr>
            <w:tcW w:w="992" w:type="dxa"/>
          </w:tcPr>
          <w:p w:rsidR="00AC3F76" w:rsidRPr="00AC3F76" w:rsidRDefault="00AC3F76" w:rsidP="001B4217">
            <w:pPr>
              <w:keepNext/>
            </w:pPr>
            <w:r>
              <w:t>0.69–0.91</w:t>
            </w:r>
          </w:p>
        </w:tc>
        <w:tc>
          <w:tcPr>
            <w:tcW w:w="3765" w:type="dxa"/>
          </w:tcPr>
          <w:p w:rsidR="00AC3F76" w:rsidRPr="00AC3F76" w:rsidRDefault="00AC3F76" w:rsidP="001B4217">
            <w:pPr>
              <w:keepNext/>
            </w:pPr>
            <w:r w:rsidRPr="001F00F1">
              <w:t>monthly return intervals, OLS/LAD regressions, multiple estimation periods, raw/re-levered estimates, average/median varying portfolios, 9 comparators</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101" w:type="dxa"/>
          </w:tcPr>
          <w:p w:rsidR="00AC3F76" w:rsidRPr="00AC3F76" w:rsidRDefault="00AC3F76" w:rsidP="001B4217">
            <w:pPr>
              <w:keepNext/>
            </w:pPr>
            <w:r>
              <w:t>Henry 2008</w:t>
            </w:r>
          </w:p>
        </w:tc>
        <w:tc>
          <w:tcPr>
            <w:tcW w:w="850" w:type="dxa"/>
          </w:tcPr>
          <w:p w:rsidR="00AC3F76" w:rsidRPr="00AC3F76" w:rsidRDefault="00AC3F76" w:rsidP="001B4217">
            <w:pPr>
              <w:keepNext/>
            </w:pPr>
            <w:r>
              <w:t>2002–2008</w:t>
            </w:r>
          </w:p>
        </w:tc>
        <w:tc>
          <w:tcPr>
            <w:tcW w:w="992" w:type="dxa"/>
          </w:tcPr>
          <w:p w:rsidR="00AC3F76" w:rsidRPr="00AC3F76" w:rsidRDefault="00AC3F76" w:rsidP="001B4217">
            <w:pPr>
              <w:keepNext/>
            </w:pPr>
            <w:r>
              <w:t>0.35–0.67</w:t>
            </w:r>
          </w:p>
        </w:tc>
        <w:tc>
          <w:tcPr>
            <w:tcW w:w="993" w:type="dxa"/>
          </w:tcPr>
          <w:p w:rsidR="00AC3F76" w:rsidRPr="00AC3F76" w:rsidRDefault="00AC3F76" w:rsidP="001B4217">
            <w:pPr>
              <w:keepNext/>
            </w:pPr>
            <w:r>
              <w:t>0.31–0.77</w:t>
            </w:r>
            <w:r w:rsidRPr="00AC3F76">
              <w:rPr>
                <w:rStyle w:val="AERsuperscript"/>
              </w:rPr>
              <w:t>(e)</w:t>
            </w:r>
          </w:p>
        </w:tc>
        <w:tc>
          <w:tcPr>
            <w:tcW w:w="992" w:type="dxa"/>
          </w:tcPr>
          <w:p w:rsidR="00AC3F76" w:rsidRPr="00AC3F76" w:rsidRDefault="00AC3F76" w:rsidP="001B4217">
            <w:pPr>
              <w:keepNext/>
            </w:pPr>
            <w:r>
              <w:t>n/a</w:t>
            </w:r>
          </w:p>
        </w:tc>
        <w:tc>
          <w:tcPr>
            <w:tcW w:w="3765" w:type="dxa"/>
          </w:tcPr>
          <w:p w:rsidR="00AC3F76" w:rsidRPr="00AC3F76" w:rsidRDefault="00AC3F76" w:rsidP="001B4217">
            <w:pPr>
              <w:keepNext/>
            </w:pPr>
            <w:r w:rsidRPr="001F00F1">
              <w:t xml:space="preserve">daily/weekly/monthly return intervals, discrete/continuous returns, various estimation periods, OLS/LAD regressions, value/equal weight portfolios, raw/re-levered estimates, no adjustment/Vasicek/Blume, 10 comparators </w:t>
            </w:r>
          </w:p>
        </w:tc>
      </w:tr>
    </w:tbl>
    <w:p w:rsidR="00AC3F76" w:rsidRPr="00EB6387" w:rsidRDefault="00AC3F76" w:rsidP="001B4217">
      <w:pPr>
        <w:pStyle w:val="AERtablesource"/>
        <w:keepNext/>
      </w:pPr>
      <w:r w:rsidRPr="00660C1E">
        <w:t>Source:</w:t>
      </w:r>
      <w:r w:rsidRPr="00660C1E">
        <w:tab/>
        <w:t>AER analysis</w:t>
      </w:r>
      <w:r w:rsidRPr="00EB6387">
        <w:t>.</w:t>
      </w:r>
      <w:r w:rsidRPr="00EB6387">
        <w:rPr>
          <w:rStyle w:val="FootnoteReference"/>
        </w:rPr>
        <w:footnoteReference w:id="1019"/>
      </w:r>
    </w:p>
    <w:p w:rsidR="00AC3F76" w:rsidRPr="00EB6387" w:rsidRDefault="00AC3F76" w:rsidP="00AC3F76">
      <w:pPr>
        <w:pStyle w:val="AERtablesource"/>
      </w:pPr>
      <w:r w:rsidRPr="00660C1E">
        <w:t>(a)</w:t>
      </w:r>
      <w:r w:rsidRPr="00660C1E">
        <w:tab/>
        <w:t xml:space="preserve">We place </w:t>
      </w:r>
      <w:r w:rsidRPr="00EB6387">
        <w:t xml:space="preserve">no material reliance on the estimates from time varying portfolios as they are not grounded in financial theory and are prone to measurement error. See: Henry, </w:t>
      </w:r>
      <w:r w:rsidRPr="00EB6387">
        <w:rPr>
          <w:rStyle w:val="AERtextitalic"/>
        </w:rPr>
        <w:t>Estimating β: An update</w:t>
      </w:r>
      <w:r w:rsidRPr="00EB6387">
        <w:t>, April 2014, p. 52.</w:t>
      </w:r>
    </w:p>
    <w:p w:rsidR="00AC3F76" w:rsidRPr="00660C1E" w:rsidRDefault="00AC3F76" w:rsidP="00AC3F76">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AC3F76" w:rsidRPr="00660C1E" w:rsidRDefault="00AC3F76" w:rsidP="00AC3F76">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AC3F76" w:rsidRPr="00660C1E" w:rsidRDefault="00AC3F76" w:rsidP="00AC3F76">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AC3F76" w:rsidRPr="00660C1E" w:rsidRDefault="00AC3F76" w:rsidP="00AC3F76">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AC3F76" w:rsidRDefault="00AC3F76" w:rsidP="00AC3F76">
      <w:pPr>
        <w:pStyle w:val="AERtablesource"/>
        <w:rPr>
          <w:rStyle w:val="AERbody"/>
        </w:rPr>
      </w:pPr>
      <w:r w:rsidRPr="00660C1E">
        <w:t>(f)</w:t>
      </w:r>
      <w:r w:rsidRPr="00660C1E">
        <w:tab/>
        <w:t>ACG did not make it clear what time period its data covered. However, it noted that equity beta estimates were only used where there were more than 20 observations.</w:t>
      </w:r>
    </w:p>
    <w:p w:rsidR="00AC3F76" w:rsidRPr="00345FC0" w:rsidRDefault="00AC3F76" w:rsidP="00AC3F76">
      <w:pPr>
        <w:pStyle w:val="Heading8"/>
      </w:pPr>
      <w:bookmarkStart w:id="325" w:name="_Toc451678670"/>
      <w:r>
        <w:t>International e</w:t>
      </w:r>
      <w:r w:rsidRPr="00345FC0">
        <w:t>mpirical estimates</w:t>
      </w:r>
      <w:bookmarkEnd w:id="325"/>
      <w:r>
        <w:t xml:space="preserve"> </w:t>
      </w:r>
    </w:p>
    <w:p w:rsidR="00AC3F76" w:rsidRDefault="00AC3F76" w:rsidP="00AC3F76">
      <w:r>
        <w:t xml:space="preserve">The international empirical estimates we consider in this decision are set out in </w:t>
      </w:r>
      <w:r>
        <w:fldChar w:fldCharType="begin"/>
      </w:r>
      <w:r>
        <w:instrText xml:space="preserve"> REF  _Ref446238074 \* Lower \h </w:instrText>
      </w:r>
      <w:r>
        <w:fldChar w:fldCharType="separate"/>
      </w:r>
      <w:r w:rsidR="00BA2E8E">
        <w:t xml:space="preserve">table </w:t>
      </w:r>
      <w:r w:rsidR="00BA2E8E">
        <w:rPr>
          <w:noProof/>
        </w:rPr>
        <w:t>3</w:t>
      </w:r>
      <w:r w:rsidR="00BA2E8E">
        <w:noBreakHyphen/>
      </w:r>
      <w:r w:rsidR="00BA2E8E">
        <w:rPr>
          <w:noProof/>
        </w:rPr>
        <w:t>38</w:t>
      </w:r>
      <w:r>
        <w:fldChar w:fldCharType="end"/>
      </w:r>
      <w:r>
        <w:t xml:space="preserve"> and range from 0.3 to 1.0.</w:t>
      </w:r>
      <w:r>
        <w:rPr>
          <w:rStyle w:val="FootnoteReference"/>
        </w:rPr>
        <w:footnoteReference w:id="1020"/>
      </w:r>
      <w:r>
        <w:t xml:space="preserve"> </w:t>
      </w:r>
      <w:r w:rsidRPr="00CD578C">
        <w:t>We consider this evidence provides some limited support for an equity beta point estimate towards the upper end of our empirical range.</w:t>
      </w:r>
      <w:r w:rsidRPr="003E21FD">
        <w:t xml:space="preserve"> </w:t>
      </w:r>
      <w:r>
        <w:t xml:space="preserve">We do not include these firms in our comparator set (for our primary empirical analysis) because we do not consider they are sufficiently comparable to a benchmark efficient entity with a similar degree of risk as CitiPower in providing regulated services (see section </w:t>
      </w:r>
      <w:r>
        <w:fldChar w:fldCharType="begin"/>
      </w:r>
      <w:r>
        <w:instrText xml:space="preserve"> REF _Ref446254445 \r \h </w:instrText>
      </w:r>
      <w:r>
        <w:fldChar w:fldCharType="separate"/>
      </w:r>
      <w:r w:rsidR="00BA2E8E">
        <w:t>G.4.3</w:t>
      </w:r>
      <w:r>
        <w:fldChar w:fldCharType="end"/>
      </w:r>
      <w:r>
        <w:t>).</w:t>
      </w:r>
    </w:p>
    <w:p w:rsidR="00AC3F76" w:rsidRDefault="00AC3F76" w:rsidP="00AC3F76">
      <w:pPr>
        <w:pStyle w:val="Caption"/>
      </w:pPr>
      <w:bookmarkStart w:id="326" w:name="_Ref446238074"/>
      <w:r>
        <w:t xml:space="preserve">Table </w:t>
      </w:r>
      <w:fldSimple w:instr=" STYLEREF 1 \s ">
        <w:r w:rsidR="00BA2E8E">
          <w:rPr>
            <w:noProof/>
          </w:rPr>
          <w:t>3</w:t>
        </w:r>
      </w:fldSimple>
      <w:r w:rsidR="000F4BC3">
        <w:noBreakHyphen/>
      </w:r>
      <w:fldSimple w:instr=" SEQ Table \* ARABIC \s 1 ">
        <w:r w:rsidR="00BA2E8E">
          <w:rPr>
            <w:noProof/>
          </w:rPr>
          <w:t>38</w:t>
        </w:r>
      </w:fldSimple>
      <w:bookmarkEnd w:id="326"/>
      <w:r>
        <w:tab/>
        <w:t>International empirical estimates of equity beta</w:t>
      </w:r>
    </w:p>
    <w:tbl>
      <w:tblPr>
        <w:tblStyle w:val="AERtable-text0"/>
        <w:tblW w:w="0" w:type="auto"/>
        <w:tblLayout w:type="fixed"/>
        <w:tblLook w:val="04A0" w:firstRow="1" w:lastRow="0" w:firstColumn="1" w:lastColumn="0" w:noHBand="0" w:noVBand="1"/>
      </w:tblPr>
      <w:tblGrid>
        <w:gridCol w:w="1809"/>
        <w:gridCol w:w="3969"/>
        <w:gridCol w:w="1418"/>
        <w:gridCol w:w="1497"/>
      </w:tblGrid>
      <w:tr w:rsidR="00AC3F76" w:rsidTr="00AC3F76">
        <w:trPr>
          <w:cnfStyle w:val="100000000000" w:firstRow="1" w:lastRow="0" w:firstColumn="0" w:lastColumn="0" w:oddVBand="0" w:evenVBand="0" w:oddHBand="0" w:evenHBand="0" w:firstRowFirstColumn="0" w:firstRowLastColumn="0" w:lastRowFirstColumn="0" w:lastRowLastColumn="0"/>
        </w:trPr>
        <w:tc>
          <w:tcPr>
            <w:tcW w:w="1809" w:type="dxa"/>
          </w:tcPr>
          <w:p w:rsidR="00AC3F76" w:rsidRPr="00AC3F76" w:rsidRDefault="00AC3F76" w:rsidP="00AC3F76">
            <w:r>
              <w:t>Report</w:t>
            </w:r>
          </w:p>
        </w:tc>
        <w:tc>
          <w:tcPr>
            <w:tcW w:w="3969" w:type="dxa"/>
          </w:tcPr>
          <w:p w:rsidR="00AC3F76" w:rsidRPr="00AC3F76" w:rsidRDefault="00AC3F76" w:rsidP="00AC3F76">
            <w:r>
              <w:t>Details</w:t>
            </w:r>
          </w:p>
        </w:tc>
        <w:tc>
          <w:tcPr>
            <w:tcW w:w="1418" w:type="dxa"/>
          </w:tcPr>
          <w:p w:rsidR="00AC3F76" w:rsidRPr="00AC3F76" w:rsidRDefault="00AC3F76" w:rsidP="00AC3F76">
            <w:r>
              <w:t>Raw estimate</w:t>
            </w:r>
          </w:p>
        </w:tc>
        <w:tc>
          <w:tcPr>
            <w:tcW w:w="1497" w:type="dxa"/>
          </w:tcPr>
          <w:p w:rsidR="00AC3F76" w:rsidRPr="00AC3F76" w:rsidRDefault="00AC3F76" w:rsidP="00AC3F76">
            <w:r>
              <w:t xml:space="preserve">Re-levered estimate (to 60 per </w:t>
            </w:r>
            <w:r w:rsidRPr="00AC3F76">
              <w:t>cent gearing)</w:t>
            </w:r>
          </w:p>
        </w:tc>
      </w:tr>
      <w:tr w:rsidR="00AC3F76" w:rsidTr="00AC3F76">
        <w:tc>
          <w:tcPr>
            <w:tcW w:w="1809" w:type="dxa"/>
          </w:tcPr>
          <w:p w:rsidR="00AC3F76" w:rsidRPr="00AC3F76" w:rsidRDefault="00AC3F76" w:rsidP="00AC3F76">
            <w:r>
              <w:t xml:space="preserve">SFG, </w:t>
            </w:r>
            <w:r w:rsidRPr="00AC3F76">
              <w:rPr>
                <w:rStyle w:val="AERtextitalic"/>
              </w:rPr>
              <w:t>Regression-based estimates of risk parameters</w:t>
            </w:r>
            <w:r w:rsidRPr="00AC3F76">
              <w:t>, June 2013, pp. 15, 19</w:t>
            </w:r>
          </w:p>
          <w:p w:rsidR="00AC3F76" w:rsidRPr="00AC3F76" w:rsidRDefault="00AC3F76" w:rsidP="00AC3F76">
            <w:pPr>
              <w:rPr>
                <w:rStyle w:val="AERtextsize8"/>
              </w:rPr>
            </w:pPr>
            <w:r w:rsidRPr="00707ABA">
              <w:t xml:space="preserve">CEG, </w:t>
            </w:r>
            <w:r w:rsidRPr="00AC3F76">
              <w:rPr>
                <w:rStyle w:val="AERtextitalic"/>
              </w:rPr>
              <w:t>Information on equity beta from US companies</w:t>
            </w:r>
            <w:r w:rsidRPr="00AC3F76">
              <w:t>, June 2013</w:t>
            </w:r>
          </w:p>
        </w:tc>
        <w:tc>
          <w:tcPr>
            <w:tcW w:w="3969" w:type="dxa"/>
          </w:tcPr>
          <w:p w:rsidR="00AC3F76" w:rsidRPr="00AC3F76" w:rsidRDefault="00AC3F76" w:rsidP="00AC3F76">
            <w:pPr>
              <w:rPr>
                <w:rStyle w:val="AERtextsize8"/>
              </w:rPr>
            </w:pPr>
            <w:r w:rsidRPr="00707ABA">
              <w:t xml:space="preserve">The CEG report prepared as a part of the ENA submission to </w:t>
            </w:r>
            <w:r w:rsidRPr="00AC3F76">
              <w:t>the Guideline process suggested a sample of 56 US–listed energy network companies to be included in our comparator set of Australian–listed energy network firms. Based on the comparator sample provided by CEG, SFG computed OLS equity beta estimates over an 11 year period from 2 January 2002 to 19 November 2012. SFG's results incorporate a Vasicek adjustment to its OLS equity beta estimates.</w:t>
            </w:r>
          </w:p>
        </w:tc>
        <w:tc>
          <w:tcPr>
            <w:tcW w:w="1418" w:type="dxa"/>
          </w:tcPr>
          <w:p w:rsidR="00AC3F76" w:rsidRPr="00AC3F76" w:rsidRDefault="00AC3F76" w:rsidP="00AC3F76">
            <w:r>
              <w:t>0.68</w:t>
            </w:r>
            <w:r w:rsidRPr="00AC3F76">
              <w:t xml:space="preserve">—average of individual firm estimates (0.67 without a </w:t>
            </w:r>
            <w:r w:rsidR="001355DE" w:rsidRPr="00AC3F76">
              <w:t>Vasicek</w:t>
            </w:r>
            <w:r w:rsidRPr="00AC3F76">
              <w:t xml:space="preserve"> adjustment)</w:t>
            </w:r>
          </w:p>
        </w:tc>
        <w:tc>
          <w:tcPr>
            <w:tcW w:w="1497" w:type="dxa"/>
          </w:tcPr>
          <w:p w:rsidR="00AC3F76" w:rsidRPr="00AC3F76" w:rsidRDefault="00AC3F76" w:rsidP="00AC3F76">
            <w:r>
              <w:t>0.88</w:t>
            </w:r>
            <w:r w:rsidRPr="00AC3F76">
              <w:t>—average of individual firm estimates</w:t>
            </w:r>
          </w:p>
          <w:p w:rsidR="00AC3F76" w:rsidRPr="00AC3F76" w:rsidRDefault="00AC3F76" w:rsidP="00AC3F76">
            <w:r>
              <w:t>0.91</w:t>
            </w:r>
            <w:r w:rsidRPr="00AC3F76">
              <w:t>—average equity beta of an equal–weighted index of firm returns</w:t>
            </w:r>
            <w:r w:rsidRPr="00AC3F76">
              <w:rPr>
                <w:rStyle w:val="FootnoteReference"/>
              </w:rPr>
              <w:footnoteReference w:id="1021"/>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809" w:type="dxa"/>
          </w:tcPr>
          <w:p w:rsidR="00AC3F76" w:rsidRPr="00AC3F76" w:rsidRDefault="00AC3F76" w:rsidP="00AC3F76">
            <w:pPr>
              <w:rPr>
                <w:rStyle w:val="AERtextsize8"/>
              </w:rPr>
            </w:pPr>
            <w:r w:rsidRPr="00E518CC">
              <w:t>Damodaran,</w:t>
            </w:r>
            <w:r w:rsidRPr="00AC3F76">
              <w:t xml:space="preserve"> </w:t>
            </w:r>
            <w:r w:rsidRPr="00AC3F76">
              <w:rPr>
                <w:rStyle w:val="AERtextitalic"/>
              </w:rPr>
              <w:t>Updated data: The Data page</w:t>
            </w:r>
            <w:r w:rsidRPr="00AC3F76">
              <w:t xml:space="preserve">, </w:t>
            </w:r>
            <w:r w:rsidRPr="00AC3F76">
              <w:rPr>
                <w:rStyle w:val="AERtextitalic"/>
              </w:rPr>
              <w:t>Levered and Unlevered Betas by Industry: Download detail</w:t>
            </w:r>
            <w:r w:rsidRPr="00AC3F76">
              <w:t>, Stern school of Business New York University, last updated 5 January 2016, viewed 18 March 2016</w:t>
            </w:r>
          </w:p>
        </w:tc>
        <w:tc>
          <w:tcPr>
            <w:tcW w:w="3969" w:type="dxa"/>
          </w:tcPr>
          <w:p w:rsidR="00AC3F76" w:rsidRPr="00AC3F76" w:rsidRDefault="00AC3F76" w:rsidP="00AC3F76">
            <w:pPr>
              <w:rPr>
                <w:rStyle w:val="AERtextsize8"/>
              </w:rPr>
            </w:pPr>
            <w:r w:rsidRPr="00900624">
              <w:rPr>
                <w:rStyle w:val="AERtextsize8"/>
              </w:rPr>
              <w:t xml:space="preserve">The Damodaran equity beta estimates </w:t>
            </w:r>
            <w:r w:rsidRPr="00AC3F76">
              <w:rPr>
                <w:rStyle w:val="AERtextsize8"/>
              </w:rPr>
              <w:t>for US industry groups have been updated for 2015 market data. However, Damodaran has changed his industry classifications since 2013. The only industry that reports energy network firms is 'Utility (general)'. It contains electricity and gas network businesses, as well as vertically integrated businesses. Damodaran uses OLS estimation, weekly return intervals and a five year estimation period (up to 2015 year–end).</w:t>
            </w:r>
          </w:p>
        </w:tc>
        <w:tc>
          <w:tcPr>
            <w:tcW w:w="1418" w:type="dxa"/>
          </w:tcPr>
          <w:p w:rsidR="00AC3F76" w:rsidRPr="00AC3F76" w:rsidRDefault="00AC3F76" w:rsidP="00AC3F76">
            <w:pPr>
              <w:rPr>
                <w:rStyle w:val="AERtextsize8"/>
              </w:rPr>
            </w:pPr>
            <w:r>
              <w:rPr>
                <w:rStyle w:val="AERtextsize8"/>
              </w:rPr>
              <w:t>0.55</w:t>
            </w:r>
          </w:p>
        </w:tc>
        <w:tc>
          <w:tcPr>
            <w:tcW w:w="1497" w:type="dxa"/>
          </w:tcPr>
          <w:p w:rsidR="00AC3F76" w:rsidRPr="00AC3F76" w:rsidRDefault="00AC3F76" w:rsidP="00AC3F76">
            <w:pPr>
              <w:rPr>
                <w:rStyle w:val="AERtextsize8"/>
              </w:rPr>
            </w:pPr>
            <w:r>
              <w:rPr>
                <w:rStyle w:val="AERtextsize8"/>
              </w:rPr>
              <w:t>0.81</w:t>
            </w:r>
            <w:r w:rsidRPr="00AC3F76">
              <w:rPr>
                <w:rStyle w:val="AERtextsize8"/>
              </w:rPr>
              <w:t>*</w:t>
            </w:r>
          </w:p>
        </w:tc>
      </w:tr>
      <w:tr w:rsidR="00AC3F76" w:rsidTr="00AC3F76">
        <w:tc>
          <w:tcPr>
            <w:tcW w:w="1809" w:type="dxa"/>
          </w:tcPr>
          <w:p w:rsidR="00AC3F76" w:rsidRPr="00AC3F76" w:rsidRDefault="00AC3F76" w:rsidP="00AC3F76">
            <w:pPr>
              <w:rPr>
                <w:rStyle w:val="AERtextsize8"/>
              </w:rPr>
            </w:pPr>
            <w:r>
              <w:t xml:space="preserve">FTI Consulting, </w:t>
            </w:r>
            <w:r w:rsidRPr="00AC3F76">
              <w:rPr>
                <w:rStyle w:val="AERtextitalic"/>
              </w:rPr>
              <w:t>Cost of capital study for the RIIO-T1 and GD1 price controls</w:t>
            </w:r>
            <w:r w:rsidRPr="00AC3F76">
              <w:t>, July 2012, p. 42</w:t>
            </w:r>
          </w:p>
        </w:tc>
        <w:tc>
          <w:tcPr>
            <w:tcW w:w="3969" w:type="dxa"/>
          </w:tcPr>
          <w:p w:rsidR="00AC3F76" w:rsidRPr="00AC3F76" w:rsidRDefault="00AC3F76" w:rsidP="00AC3F76">
            <w:pPr>
              <w:rPr>
                <w:rStyle w:val="AERtextsize8"/>
              </w:rPr>
            </w:pPr>
            <w:r>
              <w:t xml:space="preserve">This </w:t>
            </w:r>
            <w:r w:rsidRPr="00AC3F76">
              <w:t>report for Ofgem provided equity beta estimates for three UK–listed energy network firms. FTI Consulting used OLS estimation, daily return intervals and calculated the average daily returns for the sector as the market–capitalisation weighted average of the returns for National Grid, Scottish and Southern Energy and Scottish Power.</w:t>
            </w:r>
          </w:p>
        </w:tc>
        <w:tc>
          <w:tcPr>
            <w:tcW w:w="1418" w:type="dxa"/>
          </w:tcPr>
          <w:p w:rsidR="00AC3F76" w:rsidRPr="00AC3F76" w:rsidRDefault="00AC3F76" w:rsidP="00AC3F76">
            <w:r>
              <w:t>0.45—over 10 May 2011 to 9 May 2012</w:t>
            </w:r>
          </w:p>
          <w:p w:rsidR="00AC3F76" w:rsidRPr="00AC3F76" w:rsidRDefault="00AC3F76" w:rsidP="00AC3F76">
            <w:pPr>
              <w:rPr>
                <w:rStyle w:val="AERtextsize8"/>
              </w:rPr>
            </w:pPr>
            <w:r>
              <w:t>0.48—</w:t>
            </w:r>
            <w:r w:rsidRPr="00AC3F76">
              <w:t>over 10 May 2010 to 9 May 2012</w:t>
            </w:r>
          </w:p>
        </w:tc>
        <w:tc>
          <w:tcPr>
            <w:tcW w:w="1497" w:type="dxa"/>
          </w:tcPr>
          <w:p w:rsidR="00AC3F76" w:rsidRPr="00AC3F76" w:rsidRDefault="00AC3F76" w:rsidP="00AC3F76">
            <w:pPr>
              <w:rPr>
                <w:rStyle w:val="AERtextsize8"/>
              </w:rPr>
            </w:pPr>
            <w:r>
              <w:t xml:space="preserve">We are not able to provide re-levered equity beta estimates because the report does </w:t>
            </w:r>
            <w:r w:rsidRPr="00AC3F76">
              <w:t>not provide the appropriate gearing data.</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809" w:type="dxa"/>
          </w:tcPr>
          <w:p w:rsidR="00AC3F76" w:rsidRPr="00AC3F76" w:rsidRDefault="00AC3F76" w:rsidP="00AC3F76">
            <w:pPr>
              <w:rPr>
                <w:rStyle w:val="AERtextsize8"/>
              </w:rPr>
            </w:pPr>
            <w:r>
              <w:t xml:space="preserve">Alberta Utilities Commission, </w:t>
            </w:r>
            <w:r w:rsidRPr="00AC3F76">
              <w:rPr>
                <w:rStyle w:val="AERtextitalic"/>
              </w:rPr>
              <w:t>2013 Generic Cost of Capital</w:t>
            </w:r>
            <w:r w:rsidRPr="00AC3F76">
              <w:t>, 23 March 2015, pp. 1, 24–26</w:t>
            </w:r>
          </w:p>
        </w:tc>
        <w:tc>
          <w:tcPr>
            <w:tcW w:w="3969" w:type="dxa"/>
          </w:tcPr>
          <w:p w:rsidR="00AC3F76" w:rsidRPr="00AC3F76" w:rsidRDefault="00AC3F76" w:rsidP="00AC3F76">
            <w:r>
              <w:t xml:space="preserve">This </w:t>
            </w:r>
            <w:r w:rsidRPr="00AC3F76">
              <w:t>2013 Generic Cost of Capital report sets out the AUC's approved return on equity for several utilities for the years 2013, 2014, and 2015. The AUC considered advice from the following experts on the equity beta based on estimates of Canadian utilities:</w:t>
            </w:r>
          </w:p>
          <w:p w:rsidR="00AC3F76" w:rsidRPr="00AC3F76" w:rsidRDefault="00AC3F76" w:rsidP="00AC3F76">
            <w:pPr>
              <w:pStyle w:val="AERbulletlistfirststyle"/>
            </w:pPr>
            <w:r w:rsidRPr="00FF0D9F">
              <w:t xml:space="preserve">Dr Sean Cleary of Queens University recommended an equity beta range of 0.3 to 0.6. He calculated an average beta of 0.29 using monthly returns over the 1988–2012 period. He also calculated an average beta of 0.25 using 60 months of returns up to 20 December 2013. </w:t>
            </w:r>
          </w:p>
          <w:p w:rsidR="00AC3F76" w:rsidRPr="00AC3F76" w:rsidRDefault="00AC3F76" w:rsidP="00AC3F76">
            <w:pPr>
              <w:pStyle w:val="AERbulletlistfirststyle"/>
            </w:pPr>
            <w:r w:rsidRPr="00FF0D9F">
              <w:t xml:space="preserve">Dr Laurence Booth of the University of Toronto recommended an equity beta range of 0.45 to 0.55 for Canadian stand-alone utilities based on long run beta estimates. </w:t>
            </w:r>
          </w:p>
          <w:p w:rsidR="00AC3F76" w:rsidRPr="00AC3F76" w:rsidRDefault="00AC3F76" w:rsidP="00AC3F76">
            <w:pPr>
              <w:pStyle w:val="AERbulletlistfirststyle"/>
              <w:rPr>
                <w:rStyle w:val="AERtextsize8"/>
              </w:rPr>
            </w:pPr>
            <w:r w:rsidRPr="00FF0D9F">
              <w:t>Ms Kathleen McShane (president and senior consultant with Foster Associates Inc.) was critical of historical equity betas, but used beta estimates from Bloomberg and Value Line. These betas range from 0.65 to 0.7. These betas also incorporate an adjustment towards 1.0 (Blume or Vasicek).</w:t>
            </w:r>
          </w:p>
        </w:tc>
        <w:tc>
          <w:tcPr>
            <w:tcW w:w="1418" w:type="dxa"/>
          </w:tcPr>
          <w:p w:rsidR="00AC3F76" w:rsidRPr="00AC3F76" w:rsidRDefault="00AC3F76" w:rsidP="00AC3F76">
            <w:pPr>
              <w:rPr>
                <w:rStyle w:val="AERtextsize8"/>
              </w:rPr>
            </w:pPr>
            <w:r>
              <w:rPr>
                <w:rStyle w:val="AERtextsize8"/>
              </w:rPr>
              <w:t>0.3</w:t>
            </w:r>
            <w:r w:rsidRPr="00AC3F76">
              <w:rPr>
                <w:rStyle w:val="AERtextsize8"/>
              </w:rPr>
              <w:t>–0.7</w:t>
            </w:r>
          </w:p>
        </w:tc>
        <w:tc>
          <w:tcPr>
            <w:tcW w:w="1497" w:type="dxa"/>
          </w:tcPr>
          <w:p w:rsidR="00AC3F76" w:rsidRPr="00AC3F76" w:rsidRDefault="00AC3F76" w:rsidP="00AC3F76">
            <w:pPr>
              <w:rPr>
                <w:rStyle w:val="AERtextsize8"/>
              </w:rPr>
            </w:pPr>
            <w:r>
              <w:t>This report did not specify whether the equity betas were raw or re-levered to a benchmark gearing.</w:t>
            </w:r>
          </w:p>
        </w:tc>
      </w:tr>
      <w:tr w:rsidR="00AC3F76" w:rsidTr="00AC3F76">
        <w:tc>
          <w:tcPr>
            <w:tcW w:w="1809" w:type="dxa"/>
          </w:tcPr>
          <w:p w:rsidR="00AC3F76" w:rsidRPr="00AC3F76" w:rsidRDefault="00AC3F76" w:rsidP="00AC3F76">
            <w:pPr>
              <w:rPr>
                <w:rStyle w:val="AERtextsize8"/>
              </w:rPr>
            </w:pPr>
            <w:r>
              <w:t xml:space="preserve">PwC, </w:t>
            </w:r>
            <w:r w:rsidRPr="00AC3F76">
              <w:rPr>
                <w:rStyle w:val="AERtextitalic"/>
              </w:rPr>
              <w:t>Appreciating Value New Zealand, Edition six</w:t>
            </w:r>
            <w:r w:rsidRPr="00AC3F76">
              <w:t>, March 2015, p. 20 (See also: http://www.pwc.co.nz/appreciating-value/pwc-wacc-formula)</w:t>
            </w:r>
            <w:r w:rsidRPr="00AC3F76">
              <w:rPr>
                <w:rStyle w:val="AERtextsize8"/>
              </w:rPr>
              <w:t xml:space="preserve"> </w:t>
            </w:r>
          </w:p>
        </w:tc>
        <w:tc>
          <w:tcPr>
            <w:tcW w:w="3969" w:type="dxa"/>
          </w:tcPr>
          <w:p w:rsidR="00AC3F76" w:rsidRPr="00AC3F76" w:rsidRDefault="00AC3F76" w:rsidP="00AC3F76">
            <w:pPr>
              <w:rPr>
                <w:rStyle w:val="AERtextsize8"/>
              </w:rPr>
            </w:pPr>
            <w:r w:rsidRPr="001738B6">
              <w:t>An annual report on the cost of capital (and equity beta) for a number of New Zealand companies classified by industry. The equity beta estimates are based on an average of monthly returns over (up to) five years</w:t>
            </w:r>
            <w:r w:rsidRPr="00AC3F76">
              <w:t xml:space="preserve"> for two comparable firms (Horizon Energy Distribution Limited and Vector Limited). PwC's March 2015 report presents estimates as at 31 December 2014.</w:t>
            </w:r>
          </w:p>
        </w:tc>
        <w:tc>
          <w:tcPr>
            <w:tcW w:w="1418" w:type="dxa"/>
          </w:tcPr>
          <w:p w:rsidR="00AC3F76" w:rsidRPr="00AC3F76" w:rsidRDefault="00AC3F76" w:rsidP="00AC3F76">
            <w:pPr>
              <w:rPr>
                <w:rStyle w:val="AERtextsize8"/>
              </w:rPr>
            </w:pPr>
            <w:r w:rsidRPr="00217E7D">
              <w:t>0.6</w:t>
            </w:r>
            <w:r w:rsidRPr="00AC3F76">
              <w:t>—average of individual form estimates</w:t>
            </w:r>
          </w:p>
        </w:tc>
        <w:tc>
          <w:tcPr>
            <w:tcW w:w="1497" w:type="dxa"/>
          </w:tcPr>
          <w:p w:rsidR="00AC3F76" w:rsidRPr="00AC3F76" w:rsidRDefault="00AC3F76" w:rsidP="00AC3F76">
            <w:pPr>
              <w:rPr>
                <w:rStyle w:val="AERtextsize8"/>
              </w:rPr>
            </w:pPr>
            <w:r>
              <w:t>0.8</w:t>
            </w:r>
            <w:r w:rsidRPr="00AC3F76">
              <w:t>8—average of individual firm estimates*</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1809" w:type="dxa"/>
          </w:tcPr>
          <w:p w:rsidR="00AC3F76" w:rsidRPr="00AC3F76" w:rsidRDefault="00AC3F76" w:rsidP="00AC3F76">
            <w:pPr>
              <w:rPr>
                <w:rStyle w:val="AERtextsize8"/>
              </w:rPr>
            </w:pPr>
            <w:r>
              <w:t xml:space="preserve">The Brattle Group, </w:t>
            </w:r>
            <w:r w:rsidRPr="00AC3F76">
              <w:rPr>
                <w:rStyle w:val="AERtextitalic"/>
              </w:rPr>
              <w:t>The WACC for the Dutch TSOs, DSOs, water companies and the Dutch pilotage organisation</w:t>
            </w:r>
            <w:r w:rsidRPr="00AC3F76">
              <w:t>, March 2013, pp. 16–18</w:t>
            </w:r>
          </w:p>
        </w:tc>
        <w:tc>
          <w:tcPr>
            <w:tcW w:w="3969" w:type="dxa"/>
          </w:tcPr>
          <w:p w:rsidR="00AC3F76" w:rsidRPr="00AC3F76" w:rsidRDefault="00AC3F76" w:rsidP="00AC3F76">
            <w:pPr>
              <w:rPr>
                <w:rStyle w:val="AERtextsize8"/>
              </w:rPr>
            </w:pPr>
            <w:r>
              <w:t xml:space="preserve">This </w:t>
            </w:r>
            <w:r w:rsidRPr="00AC3F76">
              <w:t>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sidRPr="00AC3F76">
              <w:rPr>
                <w:rStyle w:val="FootnoteReference"/>
              </w:rPr>
              <w:footnoteReference w:id="1022"/>
            </w:r>
          </w:p>
        </w:tc>
        <w:tc>
          <w:tcPr>
            <w:tcW w:w="1418" w:type="dxa"/>
          </w:tcPr>
          <w:p w:rsidR="00AC3F76" w:rsidRPr="00AC3F76" w:rsidRDefault="00AC3F76" w:rsidP="00AC3F76">
            <w:r>
              <w:t>0.58</w:t>
            </w:r>
            <w:r w:rsidRPr="00AC3F76">
              <w:t>—average of European individual firm estimates</w:t>
            </w:r>
          </w:p>
          <w:p w:rsidR="00AC3F76" w:rsidRPr="00AC3F76" w:rsidRDefault="00AC3F76" w:rsidP="00AC3F76">
            <w:r>
              <w:t>0.60</w:t>
            </w:r>
            <w:r w:rsidRPr="00AC3F76">
              <w:t>—average of US individual firm estimates</w:t>
            </w:r>
          </w:p>
          <w:p w:rsidR="00AC3F76" w:rsidRPr="00AC3F76" w:rsidRDefault="00AC3F76" w:rsidP="00AC3F76">
            <w:pPr>
              <w:rPr>
                <w:rStyle w:val="AERtextsize8"/>
              </w:rPr>
            </w:pPr>
            <w:r>
              <w:t>0.5</w:t>
            </w:r>
            <w:r w:rsidRPr="00AC3F76">
              <w:t>8—average of European and US individual firm estimates</w:t>
            </w:r>
          </w:p>
        </w:tc>
        <w:tc>
          <w:tcPr>
            <w:tcW w:w="1497" w:type="dxa"/>
          </w:tcPr>
          <w:p w:rsidR="00AC3F76" w:rsidRPr="00AC3F76" w:rsidRDefault="00AC3F76" w:rsidP="00AC3F76">
            <w:r>
              <w:t>0.71</w:t>
            </w:r>
            <w:r w:rsidRPr="00AC3F76">
              <w:t>—average of European individual firm estimates*</w:t>
            </w:r>
          </w:p>
          <w:p w:rsidR="00AC3F76" w:rsidRPr="00AC3F76" w:rsidRDefault="00AC3F76" w:rsidP="00AC3F76">
            <w:r>
              <w:t>1.01</w:t>
            </w:r>
            <w:r w:rsidRPr="00AC3F76">
              <w:t>—average of US individual firm estimates*</w:t>
            </w:r>
          </w:p>
          <w:p w:rsidR="00AC3F76" w:rsidRPr="00AC3F76" w:rsidRDefault="00AC3F76" w:rsidP="00AC3F76">
            <w:pPr>
              <w:rPr>
                <w:rStyle w:val="AERtextsize8"/>
              </w:rPr>
            </w:pPr>
            <w:r>
              <w:t>0.80</w:t>
            </w:r>
            <w:r w:rsidRPr="00AC3F76">
              <w:t>—average of European and US individual firm estimates*</w:t>
            </w:r>
          </w:p>
        </w:tc>
      </w:tr>
      <w:tr w:rsidR="00AC3F76" w:rsidTr="00AC3F76">
        <w:tc>
          <w:tcPr>
            <w:tcW w:w="1809" w:type="dxa"/>
          </w:tcPr>
          <w:p w:rsidR="00AC3F76" w:rsidRPr="00900624" w:rsidRDefault="00AC3F76" w:rsidP="00AC3F76">
            <w:pPr>
              <w:rPr>
                <w:rStyle w:val="AERtextsize8"/>
              </w:rPr>
            </w:pPr>
          </w:p>
        </w:tc>
        <w:tc>
          <w:tcPr>
            <w:tcW w:w="3969" w:type="dxa"/>
          </w:tcPr>
          <w:p w:rsidR="00AC3F76" w:rsidRDefault="00AC3F76" w:rsidP="00AC3F76">
            <w:pPr>
              <w:rPr>
                <w:rStyle w:val="AERtextsize8"/>
              </w:rPr>
            </w:pPr>
          </w:p>
        </w:tc>
        <w:tc>
          <w:tcPr>
            <w:tcW w:w="1418" w:type="dxa"/>
          </w:tcPr>
          <w:p w:rsidR="00AC3F76" w:rsidRDefault="00AC3F76" w:rsidP="00AC3F76">
            <w:pPr>
              <w:rPr>
                <w:rStyle w:val="AERtextsize8"/>
              </w:rPr>
            </w:pPr>
          </w:p>
        </w:tc>
        <w:tc>
          <w:tcPr>
            <w:tcW w:w="1497" w:type="dxa"/>
          </w:tcPr>
          <w:p w:rsidR="00AC3F76" w:rsidRDefault="00AC3F76" w:rsidP="00AC3F76">
            <w:pPr>
              <w:rPr>
                <w:rStyle w:val="AERtextsize8"/>
              </w:rPr>
            </w:pPr>
          </w:p>
        </w:tc>
      </w:tr>
    </w:tbl>
    <w:p w:rsidR="00AC3F76" w:rsidRPr="0078508E" w:rsidRDefault="00AC3F76" w:rsidP="00AC3F76">
      <w:pPr>
        <w:pStyle w:val="AERtablesource"/>
        <w:numPr>
          <w:ilvl w:val="0"/>
          <w:numId w:val="24"/>
        </w:numPr>
      </w:pPr>
      <w:r>
        <w:t>Notes:</w:t>
      </w:r>
      <w:r>
        <w:tab/>
        <w:t>*</w:t>
      </w:r>
      <w:r>
        <w:tab/>
      </w:r>
      <w:r w:rsidRPr="0078508E">
        <w:t>We have de-levered and re-levered the</w:t>
      </w:r>
      <w:r>
        <w:t>se</w:t>
      </w:r>
      <w:r w:rsidRPr="0078508E">
        <w:t xml:space="preserve"> raw equity beta estimates</w:t>
      </w:r>
      <w:r>
        <w:t>.</w:t>
      </w:r>
    </w:p>
    <w:p w:rsidR="00AC3F76" w:rsidRPr="00F87EA9" w:rsidRDefault="00AC3F76" w:rsidP="00AC3F76">
      <w:pPr>
        <w:pStyle w:val="Heading8"/>
      </w:pPr>
      <w:bookmarkStart w:id="327" w:name="_Ref446255536"/>
      <w:bookmarkStart w:id="328" w:name="_Toc451678671"/>
      <w:r>
        <w:t>Choice of comparator set</w:t>
      </w:r>
      <w:bookmarkEnd w:id="327"/>
      <w:bookmarkEnd w:id="328"/>
    </w:p>
    <w:p w:rsidR="00AC3F76" w:rsidRDefault="00AC3F76" w:rsidP="00AC3F76">
      <w:pPr>
        <w:numPr>
          <w:ilvl w:val="0"/>
          <w:numId w:val="24"/>
        </w:numPr>
      </w:pPr>
      <w:r>
        <w:t>Since 2014, we have received numerous submissions from service providers (and their consultants) expressing concern over the reliability of Henry's (2014) equity beta estimates.</w:t>
      </w:r>
      <w:r>
        <w:rPr>
          <w:rStyle w:val="FootnoteReference"/>
        </w:rPr>
        <w:footnoteReference w:id="1023"/>
      </w:r>
      <w:r>
        <w:t xml:space="preserve"> These concerns flow from their view that our comparator set of Australian energy network firms is too small to produce reliable equity beta estimates. These service providers and their consultants submitted that:</w:t>
      </w:r>
    </w:p>
    <w:p w:rsidR="00AC3F76" w:rsidRDefault="00AC3F76" w:rsidP="00AC3F76">
      <w:pPr>
        <w:pStyle w:val="AERbulletlistfirststyle"/>
      </w:pPr>
      <w:r>
        <w:t>equity beta estimates based on this comparator set are imprecise and unstable</w:t>
      </w:r>
    </w:p>
    <w:p w:rsidR="00AC3F76" w:rsidRDefault="00AC3F76" w:rsidP="00AC3F76">
      <w:pPr>
        <w:pStyle w:val="AERbulletlistfirststyle"/>
      </w:pPr>
      <w:r>
        <w:t>the estimates could be improved by including international energy firms in the comparator set</w:t>
      </w:r>
    </w:p>
    <w:p w:rsidR="00AC3F76" w:rsidRDefault="00AC3F76" w:rsidP="00AC3F76">
      <w:pPr>
        <w:pStyle w:val="AERbulletlistfirststyle"/>
      </w:pPr>
      <w:r>
        <w:t>the estimates could be improved by including</w:t>
      </w:r>
      <w:r w:rsidRPr="00E52036">
        <w:t xml:space="preserve"> </w:t>
      </w:r>
      <w:r>
        <w:t xml:space="preserve">Australian non-energy infrastructure firms in the comparator set—partly because they consider </w:t>
      </w:r>
      <w:r w:rsidRPr="00E52036">
        <w:t>our comparator set should not be restricted to regulated energy network firms</w:t>
      </w:r>
      <w:r>
        <w:t>.</w:t>
      </w:r>
      <w:r>
        <w:rPr>
          <w:rStyle w:val="FootnoteReference"/>
        </w:rPr>
        <w:footnoteReference w:id="1024"/>
      </w:r>
    </w:p>
    <w:p w:rsidR="00AC3F76" w:rsidRDefault="00AC3F76" w:rsidP="00AC3F76">
      <w:pPr>
        <w:numPr>
          <w:ilvl w:val="0"/>
          <w:numId w:val="24"/>
        </w:numPr>
      </w:pPr>
      <w:r>
        <w:t>We responded to many of these submissions in detail in our recent decisions.</w:t>
      </w:r>
      <w:r>
        <w:rPr>
          <w:rStyle w:val="FootnoteReference"/>
        </w:rPr>
        <w:footnoteReference w:id="1025"/>
      </w:r>
      <w:r>
        <w:t xml:space="preserve"> However, we reproduce our key conclusions in sections </w:t>
      </w:r>
      <w:r>
        <w:fldChar w:fldCharType="begin"/>
      </w:r>
      <w:r>
        <w:instrText xml:space="preserve"> REF _Ref446254453 \r \h </w:instrText>
      </w:r>
      <w:r>
        <w:fldChar w:fldCharType="separate"/>
      </w:r>
      <w:r w:rsidR="00BA2E8E">
        <w:t>G.4.2</w:t>
      </w:r>
      <w:r>
        <w:fldChar w:fldCharType="end"/>
      </w:r>
      <w:r>
        <w:t xml:space="preserve">, </w:t>
      </w:r>
      <w:r>
        <w:fldChar w:fldCharType="begin"/>
      </w:r>
      <w:r>
        <w:instrText xml:space="preserve"> REF _Ref446254445 \r \h </w:instrText>
      </w:r>
      <w:r>
        <w:fldChar w:fldCharType="separate"/>
      </w:r>
      <w:r w:rsidR="00BA2E8E">
        <w:t>G.4.3</w:t>
      </w:r>
      <w:r>
        <w:fldChar w:fldCharType="end"/>
      </w:r>
      <w:r>
        <w:t xml:space="preserve">, and </w:t>
      </w:r>
      <w:r>
        <w:fldChar w:fldCharType="begin"/>
      </w:r>
      <w:r>
        <w:instrText xml:space="preserve"> REF _Ref446254437 \r \h </w:instrText>
      </w:r>
      <w:r>
        <w:fldChar w:fldCharType="separate"/>
      </w:r>
      <w:r w:rsidR="00BA2E8E">
        <w:t>G.4.4</w:t>
      </w:r>
      <w:r>
        <w:fldChar w:fldCharType="end"/>
      </w:r>
      <w:r>
        <w:t>, in response to new submissions and analysis.</w:t>
      </w:r>
    </w:p>
    <w:p w:rsidR="00AC3F76" w:rsidRDefault="00AC3F76" w:rsidP="00AC3F76">
      <w:pPr>
        <w:numPr>
          <w:ilvl w:val="0"/>
          <w:numId w:val="24"/>
        </w:numPr>
      </w:pPr>
      <w:r>
        <w:t>Ultimately, we consider there is a trade-off between the increased statistical precision from a larger comparator set and the comparability of the firms in the comparator set to a benchmark efficient entity with a similar degree of risk as CitiPower in providing regulated services.</w:t>
      </w:r>
      <w:r>
        <w:rPr>
          <w:rStyle w:val="FootnoteReference"/>
        </w:rPr>
        <w:footnoteReference w:id="1026"/>
      </w:r>
      <w:r>
        <w:t xml:space="preserve"> This necessarily requires a degree of regulatory judgement in determining a reasonable comparator set. We are satisfied, at this time, that our comparator set is sufficiently reflective of a benchmark efficient entity, given this trade-off. We are also satisfied, at this time, that our comparator set produces reliable equity beta estimates.</w:t>
      </w:r>
    </w:p>
    <w:p w:rsidR="00AC3F76" w:rsidRPr="0006373F" w:rsidRDefault="00AC3F76" w:rsidP="00AC3F76">
      <w:pPr>
        <w:pStyle w:val="Heading9"/>
      </w:pPr>
      <w:bookmarkStart w:id="329" w:name="_Ref447740508"/>
      <w:bookmarkStart w:id="330" w:name="_Toc451678672"/>
      <w:r w:rsidRPr="0006373F">
        <w:t>Comparator set for Australian empirical analysis</w:t>
      </w:r>
      <w:bookmarkEnd w:id="329"/>
      <w:bookmarkEnd w:id="330"/>
    </w:p>
    <w:p w:rsidR="00AC3F76" w:rsidRPr="0048317B" w:rsidRDefault="00AC3F76" w:rsidP="00AC3F76">
      <w:pPr>
        <w:numPr>
          <w:ilvl w:val="0"/>
          <w:numId w:val="24"/>
        </w:numPr>
      </w:pPr>
      <w:r w:rsidRPr="0048317B">
        <w:t xml:space="preserve">We define </w:t>
      </w:r>
      <w:r>
        <w:t>a</w:t>
      </w:r>
      <w:r w:rsidRPr="0048317B">
        <w:t xml:space="preserve"> benchmark efficient entity </w:t>
      </w:r>
      <w:r>
        <w:t>with a similar degree of risk as CitiPower in providing regulated services</w:t>
      </w:r>
      <w:r w:rsidRPr="0048317B">
        <w:t xml:space="preserve"> as 'a pure play, regulated energy network business operating within Australia'.</w:t>
      </w:r>
      <w:r>
        <w:rPr>
          <w:rStyle w:val="FootnoteReference"/>
        </w:rPr>
        <w:footnoteReference w:id="1027"/>
      </w:r>
      <w:r w:rsidRPr="0048317B">
        <w:t xml:space="preserve"> We would, ideally, use firms that share all or most of the key characteristics of th</w:t>
      </w:r>
      <w:r>
        <w:t>is</w:t>
      </w:r>
      <w:r w:rsidRPr="0048317B">
        <w:t xml:space="preserv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AC3F76" w:rsidRDefault="00AC3F76" w:rsidP="00AC3F76">
      <w:pPr>
        <w:numPr>
          <w:ilvl w:val="0"/>
          <w:numId w:val="24"/>
        </w:numPr>
      </w:pPr>
      <w:r w:rsidRPr="0048317B">
        <w:t xml:space="preserve">In the </w:t>
      </w:r>
      <w:r>
        <w:t>G</w:t>
      </w:r>
      <w:r w:rsidRPr="0048317B">
        <w:t xml:space="preserve">uideline we identified nine firms that may be considered as reasonable comparators to </w:t>
      </w:r>
      <w:r>
        <w:t>a</w:t>
      </w:r>
      <w:r w:rsidRPr="0048317B">
        <w:t xml:space="preserve"> benchmark efficient entity</w:t>
      </w:r>
      <w:r>
        <w:t xml:space="preserve"> (as we have defined it)</w:t>
      </w:r>
      <w:r w:rsidRPr="0048317B">
        <w:t xml:space="preserve">, and these remain relevant. They are ASX listed firms that provide regulated electricity and/or gas network services </w:t>
      </w:r>
      <w:r>
        <w:t xml:space="preserve">and are </w:t>
      </w:r>
      <w:r w:rsidRPr="0048317B">
        <w:t xml:space="preserve">operating within Australia. </w:t>
      </w:r>
      <w:r>
        <w:fldChar w:fldCharType="begin"/>
      </w:r>
      <w:r>
        <w:instrText xml:space="preserve"> REF _Ref446240160 \h </w:instrText>
      </w:r>
      <w:r>
        <w:fldChar w:fldCharType="separate"/>
      </w:r>
      <w:r w:rsidR="00BA2E8E">
        <w:t xml:space="preserve">Table </w:t>
      </w:r>
      <w:r w:rsidR="00BA2E8E">
        <w:rPr>
          <w:noProof/>
        </w:rPr>
        <w:t>3</w:t>
      </w:r>
      <w:r w:rsidR="00BA2E8E">
        <w:noBreakHyphen/>
      </w:r>
      <w:r w:rsidR="00BA2E8E">
        <w:rPr>
          <w:noProof/>
        </w:rPr>
        <w:t>39</w:t>
      </w:r>
      <w:r>
        <w:fldChar w:fldCharType="end"/>
      </w:r>
      <w:r>
        <w:t xml:space="preserve"> </w:t>
      </w:r>
      <w:r w:rsidRPr="0048317B">
        <w:t>sets out the details of these nine firms.</w:t>
      </w:r>
      <w:r>
        <w:rPr>
          <w:rStyle w:val="FootnoteReference"/>
        </w:rPr>
        <w:footnoteReference w:id="1028"/>
      </w:r>
      <w:r w:rsidRPr="0048317B">
        <w:t xml:space="preserve"> </w:t>
      </w:r>
    </w:p>
    <w:p w:rsidR="00AC3F76" w:rsidRDefault="00AC3F76" w:rsidP="00AC3F76">
      <w:pPr>
        <w:numPr>
          <w:ilvl w:val="0"/>
          <w:numId w:val="24"/>
        </w:numPr>
      </w:pPr>
      <w:r w:rsidRPr="0048317B">
        <w:t xml:space="preserve">It is important to note that three of these firms </w:t>
      </w:r>
      <w:r>
        <w:t>were</w:t>
      </w:r>
      <w:r w:rsidRPr="0048317B">
        <w:t xml:space="preserve"> no longer trading</w:t>
      </w:r>
      <w:r>
        <w:t xml:space="preserve"> by June 2013</w:t>
      </w:r>
      <w:r w:rsidRPr="0048317B">
        <w:t xml:space="preserve">. Another firm, AGL Energy Limited, has changed its operations such that it no longer closely represents </w:t>
      </w:r>
      <w:r>
        <w:t>a benchmark efficient entity</w:t>
      </w:r>
      <w:r w:rsidRPr="0048317B">
        <w:t>.</w:t>
      </w:r>
      <w:r w:rsidRPr="0048317B">
        <w:rPr>
          <w:rStyle w:val="FootnoteReference"/>
        </w:rPr>
        <w:footnoteReference w:id="1029"/>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030"/>
      </w:r>
      <w:r w:rsidRPr="006558B8">
        <w:t xml:space="preserve"> </w:t>
      </w:r>
      <w:r>
        <w:t>We note that Envestra Ltd was delisted on 17 October 2014.</w:t>
      </w:r>
      <w:r>
        <w:rPr>
          <w:rStyle w:val="FootnoteReference"/>
        </w:rPr>
        <w:footnoteReference w:id="1031"/>
      </w:r>
      <w:r>
        <w:t xml:space="preserve"> </w:t>
      </w:r>
    </w:p>
    <w:p w:rsidR="00AC3F76" w:rsidRDefault="00AC3F76" w:rsidP="001B4217">
      <w:pPr>
        <w:pStyle w:val="Caption"/>
      </w:pPr>
      <w:bookmarkStart w:id="331" w:name="_Ref446240160"/>
      <w:r>
        <w:t xml:space="preserve">Table </w:t>
      </w:r>
      <w:fldSimple w:instr=" STYLEREF 1 \s ">
        <w:r w:rsidR="00BA2E8E">
          <w:rPr>
            <w:noProof/>
          </w:rPr>
          <w:t>3</w:t>
        </w:r>
      </w:fldSimple>
      <w:r w:rsidR="000F4BC3">
        <w:noBreakHyphen/>
      </w:r>
      <w:fldSimple w:instr=" SEQ Table \* ARABIC \s 1 ">
        <w:r w:rsidR="00BA2E8E">
          <w:rPr>
            <w:noProof/>
          </w:rPr>
          <w:t>39</w:t>
        </w:r>
      </w:fldSimple>
      <w:bookmarkEnd w:id="331"/>
      <w:r>
        <w:tab/>
        <w:t>Listed</w:t>
      </w:r>
      <w:r w:rsidRPr="009F0E1B">
        <w:t xml:space="preserve"> entities providing regulated electricity and gas network services operating in Australia</w:t>
      </w:r>
    </w:p>
    <w:tbl>
      <w:tblPr>
        <w:tblStyle w:val="AERtable-text0"/>
        <w:tblW w:w="8613" w:type="dxa"/>
        <w:tblLayout w:type="fixed"/>
        <w:tblLook w:val="04A0" w:firstRow="1" w:lastRow="0" w:firstColumn="1" w:lastColumn="0" w:noHBand="0" w:noVBand="1"/>
      </w:tblPr>
      <w:tblGrid>
        <w:gridCol w:w="4077"/>
        <w:gridCol w:w="2835"/>
        <w:gridCol w:w="1701"/>
      </w:tblGrid>
      <w:tr w:rsidR="00AC3F76" w:rsidTr="00AC3F76">
        <w:trPr>
          <w:cnfStyle w:val="100000000000" w:firstRow="1" w:lastRow="0" w:firstColumn="0" w:lastColumn="0" w:oddVBand="0" w:evenVBand="0" w:oddHBand="0" w:evenHBand="0" w:firstRowFirstColumn="0" w:firstRowLastColumn="0" w:lastRowFirstColumn="0" w:lastRowLastColumn="0"/>
        </w:trPr>
        <w:tc>
          <w:tcPr>
            <w:tcW w:w="4077" w:type="dxa"/>
          </w:tcPr>
          <w:p w:rsidR="00AC3F76" w:rsidRPr="00AC3F76" w:rsidRDefault="00AC3F76" w:rsidP="001B4217">
            <w:pPr>
              <w:keepNext/>
            </w:pPr>
            <w:r>
              <w:t>Firm (ASX ticker)</w:t>
            </w:r>
          </w:p>
        </w:tc>
        <w:tc>
          <w:tcPr>
            <w:tcW w:w="2835" w:type="dxa"/>
          </w:tcPr>
          <w:p w:rsidR="00AC3F76" w:rsidRPr="00AC3F76" w:rsidRDefault="00AC3F76" w:rsidP="001B4217">
            <w:pPr>
              <w:keepNext/>
            </w:pPr>
            <w:r>
              <w:t>Time / trading period</w:t>
            </w:r>
          </w:p>
        </w:tc>
        <w:tc>
          <w:tcPr>
            <w:tcW w:w="1701" w:type="dxa"/>
          </w:tcPr>
          <w:p w:rsidR="00AC3F76" w:rsidRPr="00AC3F76" w:rsidRDefault="00AC3F76" w:rsidP="001B4217">
            <w:pPr>
              <w:keepNext/>
            </w:pPr>
            <w:r>
              <w:t>Sectors</w:t>
            </w:r>
          </w:p>
        </w:tc>
      </w:tr>
      <w:tr w:rsidR="00AC3F76" w:rsidTr="00AC3F76">
        <w:tc>
          <w:tcPr>
            <w:tcW w:w="4077" w:type="dxa"/>
          </w:tcPr>
          <w:p w:rsidR="00AC3F76" w:rsidRPr="00AC3F76" w:rsidRDefault="00AC3F76" w:rsidP="001B4217">
            <w:pPr>
              <w:keepNext/>
              <w:rPr>
                <w:rStyle w:val="AERtextsize8"/>
              </w:rPr>
            </w:pPr>
            <w:r w:rsidRPr="0047344A">
              <w:t>AGL</w:t>
            </w:r>
            <w:r w:rsidRPr="00AC3F76">
              <w:t xml:space="preserve"> Energy Limited (AGK)</w:t>
            </w:r>
          </w:p>
        </w:tc>
        <w:tc>
          <w:tcPr>
            <w:tcW w:w="2835" w:type="dxa"/>
          </w:tcPr>
          <w:p w:rsidR="00AC3F76" w:rsidRPr="00AC3F76" w:rsidRDefault="00AC3F76" w:rsidP="001B4217">
            <w:pPr>
              <w:keepNext/>
              <w:rPr>
                <w:rStyle w:val="AERtextsize8"/>
              </w:rPr>
            </w:pPr>
            <w:r w:rsidRPr="0047344A">
              <w:t xml:space="preserve">January 1990 – October 2006 </w:t>
            </w:r>
          </w:p>
        </w:tc>
        <w:tc>
          <w:tcPr>
            <w:tcW w:w="1701" w:type="dxa"/>
          </w:tcPr>
          <w:p w:rsidR="00AC3F76" w:rsidRPr="00AC3F76" w:rsidRDefault="00AC3F76" w:rsidP="001B4217">
            <w:pPr>
              <w:keepNext/>
            </w:pPr>
            <w:r>
              <w:t>Electricity</w:t>
            </w:r>
            <w:r w:rsidRPr="00AC3F76">
              <w:t xml:space="preserve">, Gas </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4077" w:type="dxa"/>
          </w:tcPr>
          <w:p w:rsidR="00AC3F76" w:rsidRPr="00AC3F76" w:rsidRDefault="00AC3F76" w:rsidP="001B4217">
            <w:pPr>
              <w:keepNext/>
              <w:rPr>
                <w:rStyle w:val="AERtextsize8"/>
              </w:rPr>
            </w:pPr>
            <w:r w:rsidRPr="0047344A">
              <w:t>Alinta (AAN)</w:t>
            </w:r>
          </w:p>
        </w:tc>
        <w:tc>
          <w:tcPr>
            <w:tcW w:w="2835" w:type="dxa"/>
          </w:tcPr>
          <w:p w:rsidR="00AC3F76" w:rsidRPr="00AC3F76" w:rsidRDefault="00AC3F76" w:rsidP="001B4217">
            <w:pPr>
              <w:keepNext/>
              <w:rPr>
                <w:rStyle w:val="AERtextsize8"/>
              </w:rPr>
            </w:pPr>
            <w:r w:rsidRPr="0047344A">
              <w:t xml:space="preserve">October 2000 – </w:t>
            </w:r>
            <w:r w:rsidRPr="00AC3F76">
              <w:t>August 2007</w:t>
            </w:r>
          </w:p>
        </w:tc>
        <w:tc>
          <w:tcPr>
            <w:tcW w:w="1701" w:type="dxa"/>
          </w:tcPr>
          <w:p w:rsidR="00AC3F76" w:rsidRPr="00AC3F76" w:rsidRDefault="00AC3F76" w:rsidP="001B4217">
            <w:pPr>
              <w:keepNext/>
            </w:pPr>
            <w:r w:rsidRPr="0047344A">
              <w:t xml:space="preserve">Gas </w:t>
            </w:r>
          </w:p>
        </w:tc>
      </w:tr>
      <w:tr w:rsidR="00AC3F76" w:rsidTr="00AC3F76">
        <w:tc>
          <w:tcPr>
            <w:tcW w:w="4077" w:type="dxa"/>
          </w:tcPr>
          <w:p w:rsidR="00AC3F76" w:rsidRPr="00AC3F76" w:rsidRDefault="00AC3F76" w:rsidP="001B4217">
            <w:pPr>
              <w:keepNext/>
              <w:rPr>
                <w:rStyle w:val="AERtextsize8"/>
              </w:rPr>
            </w:pPr>
            <w:r>
              <w:t>APA Group</w:t>
            </w:r>
            <w:r w:rsidRPr="00AC3F76">
              <w:t xml:space="preserve"> (APA)</w:t>
            </w:r>
          </w:p>
        </w:tc>
        <w:tc>
          <w:tcPr>
            <w:tcW w:w="2835" w:type="dxa"/>
          </w:tcPr>
          <w:p w:rsidR="00AC3F76" w:rsidRPr="00AC3F76" w:rsidRDefault="00AC3F76" w:rsidP="001B4217">
            <w:pPr>
              <w:keepNext/>
              <w:rPr>
                <w:rStyle w:val="AERtextsize8"/>
              </w:rPr>
            </w:pPr>
            <w:r w:rsidRPr="0047344A">
              <w:t xml:space="preserve">June </w:t>
            </w:r>
            <w:r w:rsidRPr="00AC3F76">
              <w:t>2000 – present</w:t>
            </w:r>
          </w:p>
        </w:tc>
        <w:tc>
          <w:tcPr>
            <w:tcW w:w="1701" w:type="dxa"/>
          </w:tcPr>
          <w:p w:rsidR="00AC3F76" w:rsidRPr="00AC3F76" w:rsidRDefault="00AC3F76" w:rsidP="001B4217">
            <w:pPr>
              <w:keepNext/>
            </w:pPr>
            <w:r>
              <w:t>Gas</w:t>
            </w:r>
            <w:r w:rsidRPr="00AC3F76">
              <w:t>, Minority interest in other energy infrastructure</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4077" w:type="dxa"/>
          </w:tcPr>
          <w:p w:rsidR="00AC3F76" w:rsidRPr="00AC3F76" w:rsidRDefault="00AC3F76" w:rsidP="001B4217">
            <w:pPr>
              <w:keepNext/>
              <w:rPr>
                <w:rStyle w:val="AERtextsize8"/>
              </w:rPr>
            </w:pPr>
            <w:r w:rsidRPr="0047344A">
              <w:t>DUET Group (DUE)</w:t>
            </w:r>
          </w:p>
        </w:tc>
        <w:tc>
          <w:tcPr>
            <w:tcW w:w="2835" w:type="dxa"/>
          </w:tcPr>
          <w:p w:rsidR="00AC3F76" w:rsidRPr="00AC3F76" w:rsidRDefault="00AC3F76" w:rsidP="001B4217">
            <w:pPr>
              <w:keepNext/>
              <w:rPr>
                <w:rStyle w:val="AERtextsize8"/>
              </w:rPr>
            </w:pPr>
            <w:r w:rsidRPr="0047344A">
              <w:t>August 2004</w:t>
            </w:r>
            <w:r w:rsidRPr="00AC3F76">
              <w:t xml:space="preserve"> – present</w:t>
            </w:r>
          </w:p>
        </w:tc>
        <w:tc>
          <w:tcPr>
            <w:tcW w:w="1701" w:type="dxa"/>
          </w:tcPr>
          <w:p w:rsidR="00AC3F76" w:rsidRPr="00AC3F76" w:rsidRDefault="00AC3F76" w:rsidP="001B4217">
            <w:pPr>
              <w:keepNext/>
            </w:pPr>
            <w:r>
              <w:t>Electricity</w:t>
            </w:r>
            <w:r w:rsidRPr="00AC3F76">
              <w:t xml:space="preserve">, Gas </w:t>
            </w:r>
          </w:p>
        </w:tc>
      </w:tr>
      <w:tr w:rsidR="00AC3F76" w:rsidTr="00AC3F76">
        <w:tc>
          <w:tcPr>
            <w:tcW w:w="4077" w:type="dxa"/>
          </w:tcPr>
          <w:p w:rsidR="00AC3F76" w:rsidRPr="00AC3F76" w:rsidRDefault="00AC3F76" w:rsidP="001B4217">
            <w:pPr>
              <w:keepNext/>
              <w:rPr>
                <w:rStyle w:val="AERtextsize8"/>
              </w:rPr>
            </w:pPr>
            <w:r w:rsidRPr="0047344A">
              <w:t>Envestra Ltd. (ENV)</w:t>
            </w:r>
          </w:p>
        </w:tc>
        <w:tc>
          <w:tcPr>
            <w:tcW w:w="2835" w:type="dxa"/>
          </w:tcPr>
          <w:p w:rsidR="00AC3F76" w:rsidRPr="00AC3F76" w:rsidRDefault="00AC3F76" w:rsidP="001B4217">
            <w:pPr>
              <w:keepNext/>
              <w:rPr>
                <w:rStyle w:val="AERtextsize8"/>
              </w:rPr>
            </w:pPr>
            <w:r w:rsidRPr="0047344A">
              <w:t xml:space="preserve">August 1997 – </w:t>
            </w:r>
            <w:r w:rsidRPr="00AC3F76">
              <w:t>October 2014</w:t>
            </w:r>
          </w:p>
        </w:tc>
        <w:tc>
          <w:tcPr>
            <w:tcW w:w="1701" w:type="dxa"/>
          </w:tcPr>
          <w:p w:rsidR="00AC3F76" w:rsidRPr="00AC3F76" w:rsidRDefault="00AC3F76" w:rsidP="001B4217">
            <w:pPr>
              <w:keepNext/>
            </w:pPr>
            <w:r w:rsidRPr="0047344A">
              <w:t xml:space="preserve">Gas </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4077" w:type="dxa"/>
          </w:tcPr>
          <w:p w:rsidR="00AC3F76" w:rsidRPr="00AC3F76" w:rsidRDefault="00AC3F76" w:rsidP="001B4217">
            <w:pPr>
              <w:keepNext/>
              <w:rPr>
                <w:rStyle w:val="AERtextsize8"/>
              </w:rPr>
            </w:pPr>
            <w:r w:rsidRPr="0047344A">
              <w:t>GasNet (GAS)</w:t>
            </w:r>
          </w:p>
        </w:tc>
        <w:tc>
          <w:tcPr>
            <w:tcW w:w="2835" w:type="dxa"/>
          </w:tcPr>
          <w:p w:rsidR="00AC3F76" w:rsidRPr="00AC3F76" w:rsidRDefault="00AC3F76" w:rsidP="001B4217">
            <w:pPr>
              <w:keepNext/>
              <w:rPr>
                <w:rStyle w:val="AERtextsize8"/>
              </w:rPr>
            </w:pPr>
            <w:r w:rsidRPr="0047344A">
              <w:t xml:space="preserve">December 2001 – November </w:t>
            </w:r>
            <w:r w:rsidRPr="00AC3F76">
              <w:t>2006</w:t>
            </w:r>
          </w:p>
        </w:tc>
        <w:tc>
          <w:tcPr>
            <w:tcW w:w="1701" w:type="dxa"/>
          </w:tcPr>
          <w:p w:rsidR="00AC3F76" w:rsidRPr="00AC3F76" w:rsidRDefault="00AC3F76" w:rsidP="001B4217">
            <w:pPr>
              <w:keepNext/>
            </w:pPr>
            <w:r w:rsidRPr="0047344A">
              <w:t xml:space="preserve">Gas </w:t>
            </w:r>
          </w:p>
        </w:tc>
      </w:tr>
      <w:tr w:rsidR="00AC3F76" w:rsidTr="00AC3F76">
        <w:tc>
          <w:tcPr>
            <w:tcW w:w="4077" w:type="dxa"/>
          </w:tcPr>
          <w:p w:rsidR="00AC3F76" w:rsidRPr="00AC3F76" w:rsidRDefault="00AC3F76" w:rsidP="001B4217">
            <w:pPr>
              <w:keepNext/>
              <w:rPr>
                <w:rStyle w:val="AERtextsize8"/>
              </w:rPr>
            </w:pPr>
            <w:r w:rsidRPr="0047344A">
              <w:t xml:space="preserve">Hastings </w:t>
            </w:r>
            <w:r w:rsidRPr="00AC3F76">
              <w:t>Diversified Utilities Fund (HDF)</w:t>
            </w:r>
          </w:p>
        </w:tc>
        <w:tc>
          <w:tcPr>
            <w:tcW w:w="2835" w:type="dxa"/>
          </w:tcPr>
          <w:p w:rsidR="00AC3F76" w:rsidRPr="00AC3F76" w:rsidRDefault="00AC3F76" w:rsidP="001B4217">
            <w:pPr>
              <w:keepNext/>
              <w:rPr>
                <w:rStyle w:val="AERtextsize8"/>
              </w:rPr>
            </w:pPr>
            <w:r w:rsidRPr="0047344A">
              <w:t xml:space="preserve">December </w:t>
            </w:r>
            <w:r w:rsidRPr="00AC3F76">
              <w:t>2004– November 2012</w:t>
            </w:r>
          </w:p>
        </w:tc>
        <w:tc>
          <w:tcPr>
            <w:tcW w:w="1701" w:type="dxa"/>
          </w:tcPr>
          <w:p w:rsidR="00AC3F76" w:rsidRPr="00AC3F76" w:rsidRDefault="00AC3F76" w:rsidP="001B4217">
            <w:pPr>
              <w:keepNext/>
            </w:pPr>
            <w:r w:rsidRPr="0047344A">
              <w:t>Gas</w:t>
            </w:r>
          </w:p>
        </w:tc>
      </w:tr>
      <w:tr w:rsidR="00AC3F76" w:rsidTr="00AC3F76">
        <w:trPr>
          <w:cnfStyle w:val="000000010000" w:firstRow="0" w:lastRow="0" w:firstColumn="0" w:lastColumn="0" w:oddVBand="0" w:evenVBand="0" w:oddHBand="0" w:evenHBand="1" w:firstRowFirstColumn="0" w:firstRowLastColumn="0" w:lastRowFirstColumn="0" w:lastRowLastColumn="0"/>
        </w:trPr>
        <w:tc>
          <w:tcPr>
            <w:tcW w:w="4077" w:type="dxa"/>
          </w:tcPr>
          <w:p w:rsidR="00AC3F76" w:rsidRPr="00AC3F76" w:rsidRDefault="00AC3F76" w:rsidP="001B4217">
            <w:pPr>
              <w:keepNext/>
              <w:rPr>
                <w:rStyle w:val="AERtextsize8"/>
              </w:rPr>
            </w:pPr>
            <w:r w:rsidRPr="0047344A">
              <w:t>Spark Infrastructure Group (SKI)</w:t>
            </w:r>
          </w:p>
        </w:tc>
        <w:tc>
          <w:tcPr>
            <w:tcW w:w="2835" w:type="dxa"/>
          </w:tcPr>
          <w:p w:rsidR="00AC3F76" w:rsidRPr="00AC3F76" w:rsidRDefault="00AC3F76" w:rsidP="001B4217">
            <w:pPr>
              <w:keepNext/>
              <w:rPr>
                <w:rStyle w:val="AERtextsize8"/>
              </w:rPr>
            </w:pPr>
            <w:r w:rsidRPr="0047344A">
              <w:t>March 2007</w:t>
            </w:r>
            <w:r w:rsidRPr="00AC3F76">
              <w:rPr>
                <w:rStyle w:val="FootnoteReference"/>
              </w:rPr>
              <w:footnoteReference w:id="1032"/>
            </w:r>
            <w:r w:rsidRPr="00AC3F76">
              <w:t xml:space="preserve"> – present</w:t>
            </w:r>
          </w:p>
        </w:tc>
        <w:tc>
          <w:tcPr>
            <w:tcW w:w="1701" w:type="dxa"/>
          </w:tcPr>
          <w:p w:rsidR="00AC3F76" w:rsidRPr="00AC3F76" w:rsidRDefault="00AC3F76" w:rsidP="001B4217">
            <w:pPr>
              <w:keepNext/>
            </w:pPr>
            <w:r>
              <w:t>Electricity</w:t>
            </w:r>
            <w:r w:rsidRPr="00AC3F76">
              <w:t xml:space="preserve">, Gas </w:t>
            </w:r>
          </w:p>
        </w:tc>
      </w:tr>
      <w:tr w:rsidR="00AC3F76" w:rsidTr="00AC3F76">
        <w:tc>
          <w:tcPr>
            <w:tcW w:w="4077" w:type="dxa"/>
          </w:tcPr>
          <w:p w:rsidR="00AC3F76" w:rsidRPr="00AC3F76" w:rsidRDefault="00AC3F76" w:rsidP="001B4217">
            <w:pPr>
              <w:keepNext/>
              <w:rPr>
                <w:rStyle w:val="AERtextsize8"/>
              </w:rPr>
            </w:pPr>
            <w:r>
              <w:t xml:space="preserve">AusNet Services (AST), formerly </w:t>
            </w:r>
            <w:r w:rsidRPr="00AC3F76">
              <w:t>SP AusNet (SPN)</w:t>
            </w:r>
          </w:p>
        </w:tc>
        <w:tc>
          <w:tcPr>
            <w:tcW w:w="2835" w:type="dxa"/>
          </w:tcPr>
          <w:p w:rsidR="00AC3F76" w:rsidRPr="00AC3F76" w:rsidRDefault="00AC3F76" w:rsidP="001B4217">
            <w:pPr>
              <w:keepNext/>
              <w:rPr>
                <w:rStyle w:val="AERtextsize8"/>
              </w:rPr>
            </w:pPr>
            <w:r w:rsidRPr="0047344A">
              <w:t>December 2005 – present</w:t>
            </w:r>
          </w:p>
        </w:tc>
        <w:tc>
          <w:tcPr>
            <w:tcW w:w="1701" w:type="dxa"/>
          </w:tcPr>
          <w:p w:rsidR="00AC3F76" w:rsidRPr="00AC3F76" w:rsidRDefault="00AC3F76" w:rsidP="001B4217">
            <w:pPr>
              <w:keepNext/>
            </w:pPr>
            <w:r>
              <w:t>Electricity</w:t>
            </w:r>
            <w:r w:rsidRPr="00AC3F76">
              <w:t xml:space="preserve">, Gas </w:t>
            </w:r>
          </w:p>
        </w:tc>
      </w:tr>
    </w:tbl>
    <w:p w:rsidR="00AC3F76" w:rsidRPr="0048317B" w:rsidRDefault="00AC3F76" w:rsidP="001B4217">
      <w:pPr>
        <w:pStyle w:val="AERtablesource"/>
        <w:keepNext/>
      </w:pPr>
      <w:r w:rsidRPr="00D054AD">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AC3F76" w:rsidRDefault="00AC3F76" w:rsidP="00AC3F76">
      <w:pPr>
        <w:numPr>
          <w:ilvl w:val="0"/>
          <w:numId w:val="24"/>
        </w:numPr>
      </w:pPr>
      <w:r>
        <w:t xml:space="preserve">While we consider the firms in </w:t>
      </w:r>
      <w:r>
        <w:fldChar w:fldCharType="begin"/>
      </w:r>
      <w:r>
        <w:instrText xml:space="preserve"> REF  _Ref446240160 \* Lower \h </w:instrText>
      </w:r>
      <w:r>
        <w:fldChar w:fldCharType="separate"/>
      </w:r>
      <w:r w:rsidR="00BA2E8E">
        <w:t xml:space="preserve">table </w:t>
      </w:r>
      <w:r w:rsidR="00BA2E8E">
        <w:rPr>
          <w:noProof/>
        </w:rPr>
        <w:t>3</w:t>
      </w:r>
      <w:r w:rsidR="00BA2E8E">
        <w:noBreakHyphen/>
      </w:r>
      <w:r w:rsidR="00BA2E8E">
        <w:rPr>
          <w:noProof/>
        </w:rPr>
        <w:t>39</w:t>
      </w:r>
      <w:r>
        <w:fldChar w:fldCharType="end"/>
      </w:r>
      <w:r>
        <w:t xml:space="preserve"> are reasonably comparable to a</w:t>
      </w:r>
      <w:r w:rsidRPr="009E5AA0">
        <w:t xml:space="preserve"> benchmark efficient entity</w:t>
      </w:r>
      <w:r>
        <w:t xml:space="preserve"> with a similar degree of risk as CitiPower in providing regulated services</w:t>
      </w:r>
      <w:r w:rsidRPr="009E5AA0">
        <w:t xml:space="preserve">, they </w:t>
      </w:r>
      <w:r>
        <w:t xml:space="preserve">differ to some degree as they </w:t>
      </w:r>
      <w:r w:rsidRPr="009E5AA0">
        <w:t>provide</w:t>
      </w:r>
      <w:r>
        <w:t xml:space="preserve"> some</w:t>
      </w:r>
      <w:r w:rsidRPr="009E5AA0">
        <w:t xml:space="preserve"> non</w:t>
      </w:r>
      <w:r>
        <w:t>–</w:t>
      </w:r>
      <w:r w:rsidRPr="009E5AA0">
        <w:t>regulated electricity and/or gas services</w:t>
      </w:r>
      <w:r>
        <w:t xml:space="preserve"> and this may affect their risk profile</w:t>
      </w:r>
      <w:r w:rsidRPr="009E5AA0">
        <w:t xml:space="preserve">. </w:t>
      </w:r>
      <w:r>
        <w:t>Examples of this include:</w:t>
      </w:r>
    </w:p>
    <w:p w:rsidR="00AC3F76" w:rsidRPr="001F00F1" w:rsidRDefault="00AC3F76" w:rsidP="00AC3F76">
      <w:pPr>
        <w:pStyle w:val="AERbulletlistfirststyle"/>
      </w:pPr>
      <w:r>
        <w:t>Approximately 21 per cent of APA Group's revenue in the 2015 financial year (excluding pass–through revenue) was subject to prices determined under full regulation. APA generates a large part of the remaining 79 per cent of its revenue from contracts which have set terms, including negotiated pricing for the life of the contract.</w:t>
      </w:r>
      <w:r w:rsidRPr="001F00F1">
        <w:rPr>
          <w:rStyle w:val="FootnoteReference"/>
        </w:rPr>
        <w:footnoteReference w:id="1033"/>
      </w:r>
    </w:p>
    <w:p w:rsidR="00AC3F76" w:rsidRPr="001F00F1" w:rsidRDefault="00AC3F76" w:rsidP="00AC3F76">
      <w:pPr>
        <w:pStyle w:val="AERbulletlistfirststyle"/>
      </w:pPr>
      <w:r>
        <w:t>DUET</w:t>
      </w:r>
      <w:r w:rsidRPr="001F00F1">
        <w:t xml:space="preserve"> Group's assets receive </w:t>
      </w:r>
      <w:r>
        <w:t xml:space="preserve">limited </w:t>
      </w:r>
      <w:r w:rsidRPr="001F00F1">
        <w:t>unregulated revenue—Dampier Bunbury Pipeline (</w:t>
      </w:r>
      <w:r>
        <w:t>4</w:t>
      </w:r>
      <w:r w:rsidRPr="001F00F1">
        <w:t xml:space="preserve"> per cent unregulated), United Energy (8 per cent unregulated), Multinet Gas (</w:t>
      </w:r>
      <w:r>
        <w:t>5</w:t>
      </w:r>
      <w:r w:rsidRPr="001F00F1">
        <w:t xml:space="preserve"> per cent unregulated) in the 201</w:t>
      </w:r>
      <w:r>
        <w:t>5</w:t>
      </w:r>
      <w:r w:rsidRPr="001F00F1">
        <w:t xml:space="preserve"> financial year.</w:t>
      </w:r>
      <w:r w:rsidRPr="001F00F1">
        <w:rPr>
          <w:rStyle w:val="FootnoteReference"/>
        </w:rPr>
        <w:footnoteReference w:id="1034"/>
      </w:r>
    </w:p>
    <w:p w:rsidR="00AC3F76" w:rsidRPr="001F00F1" w:rsidRDefault="00AC3F76" w:rsidP="00AC3F76">
      <w:pPr>
        <w:pStyle w:val="AERbulletlistfirststyle"/>
      </w:pPr>
      <w:r>
        <w:t>Approximately 86 per cent of AusNet Services' revenues are regulated, as at</w:t>
      </w:r>
      <w:r w:rsidRPr="001F00F1">
        <w:t xml:space="preserve"> </w:t>
      </w:r>
      <w:r>
        <w:t>29</w:t>
      </w:r>
      <w:r w:rsidRPr="001F00F1">
        <w:t xml:space="preserve"> May 201</w:t>
      </w:r>
      <w:r>
        <w:t>5</w:t>
      </w:r>
      <w:r w:rsidRPr="001F00F1">
        <w:t>.</w:t>
      </w:r>
      <w:r w:rsidRPr="001F00F1">
        <w:rPr>
          <w:rStyle w:val="FootnoteReference"/>
        </w:rPr>
        <w:footnoteReference w:id="1035"/>
      </w:r>
    </w:p>
    <w:p w:rsidR="00AC3F76" w:rsidRPr="001F00F1" w:rsidRDefault="00AC3F76" w:rsidP="00AC3F76">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036"/>
      </w:r>
      <w:r w:rsidRPr="001F00F1">
        <w:t xml:space="preserve"> </w:t>
      </w:r>
    </w:p>
    <w:p w:rsidR="00AC3F76" w:rsidRPr="001F00F1" w:rsidRDefault="00AC3F76" w:rsidP="00AC3F76">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037"/>
      </w:r>
    </w:p>
    <w:p w:rsidR="00AC3F76" w:rsidRDefault="00AC3F76" w:rsidP="00AC3F76">
      <w:pPr>
        <w:numPr>
          <w:ilvl w:val="0"/>
          <w:numId w:val="24"/>
        </w:numPr>
      </w:pPr>
      <w:r w:rsidRPr="00E6101A">
        <w:t xml:space="preserve">Generally, with the exception of </w:t>
      </w:r>
      <w:r>
        <w:t>APA Group and HDF</w:t>
      </w:r>
      <w:r w:rsidRPr="00E6101A">
        <w:t>, these non</w:t>
      </w:r>
      <w:r>
        <w:t>–</w:t>
      </w:r>
      <w:r w:rsidRPr="00E6101A">
        <w:t>regulated activities only constitute a small portion of the revenue earned by the firms in this comparator set. Therefore, when we consider the impact of these unregulated activities, we expect the net impact would be sufficiently minor such that our equity beta estimates for the comparators are reasonable</w:t>
      </w:r>
      <w:r>
        <w:t xml:space="preserve"> and reflect an entity that has a similar degree of risk in the provision of regulated services as CitiPower</w:t>
      </w:r>
      <w:r w:rsidRPr="00E6101A">
        <w:t>.</w:t>
      </w:r>
      <w:r>
        <w:rPr>
          <w:rStyle w:val="FootnoteReference"/>
        </w:rPr>
        <w:footnoteReference w:id="1038"/>
      </w:r>
      <w:r>
        <w:t xml:space="preserve"> If unregulated activities were to have a non–minor impact on the comparator firms' equity beta estimates, we consider it would</w:t>
      </w:r>
      <w:r w:rsidRPr="00D74EDB">
        <w:t xml:space="preserve"> </w:t>
      </w:r>
      <w:r>
        <w:t>more likely overstate than understate the 'true' equity beta because unregulated activities are likely to result in greater systematic risk for the firm.</w:t>
      </w:r>
      <w:r>
        <w:rPr>
          <w:rStyle w:val="FootnoteReference"/>
        </w:rPr>
        <w:footnoteReference w:id="1039"/>
      </w:r>
    </w:p>
    <w:p w:rsidR="00AC3F76" w:rsidRPr="00D332F8" w:rsidRDefault="00AC3F76" w:rsidP="00AC3F76">
      <w:pPr>
        <w:pStyle w:val="Heading9"/>
      </w:pPr>
      <w:bookmarkStart w:id="332" w:name="_Ref446254453"/>
      <w:bookmarkStart w:id="333" w:name="_Toc451678673"/>
      <w:r>
        <w:t>Precision and stability of Australian empirical estimates</w:t>
      </w:r>
      <w:bookmarkEnd w:id="332"/>
      <w:bookmarkEnd w:id="333"/>
    </w:p>
    <w:p w:rsidR="00AC3F76" w:rsidRDefault="00AC3F76" w:rsidP="00AC3F76">
      <w:pPr>
        <w:numPr>
          <w:ilvl w:val="0"/>
          <w:numId w:val="24"/>
        </w:numPr>
      </w:pPr>
      <w:r>
        <w:t>We do not consider our empirical equity beta estimates of listed Australian energy businesses are unreliable. The service providers' consultants appear to have taken a narrow definition of what is reliable in this context. They measure reliability by considering precision and stability of equity beta estimates over time.</w:t>
      </w:r>
      <w:r>
        <w:rPr>
          <w:rStyle w:val="FootnoteReference"/>
        </w:rPr>
        <w:footnoteReference w:id="1040"/>
      </w:r>
      <w:r>
        <w:t xml:space="preserve"> They find that these statistical properties improve as the comparator set increases.</w:t>
      </w:r>
      <w:r>
        <w:rPr>
          <w:rStyle w:val="FootnoteReference"/>
        </w:rPr>
        <w:footnoteReference w:id="1041"/>
      </w:r>
      <w:r>
        <w:t xml:space="preserve"> However, a larger dataset is not an end in itself. Decreasing the dispersion of estimates by increasing the size of the comparator set may not be helpful if that comparator set is less representative of what we are trying to estimate.</w:t>
      </w:r>
      <w:r w:rsidRPr="00A97AB8">
        <w:t xml:space="preserve"> </w:t>
      </w:r>
      <w:r>
        <w:t>In such cases, t</w:t>
      </w:r>
      <w:r w:rsidRPr="00A97AB8">
        <w:t xml:space="preserve">he mean </w:t>
      </w:r>
      <w:r>
        <w:t xml:space="preserve">that </w:t>
      </w:r>
      <w:r w:rsidRPr="00A97AB8">
        <w:t xml:space="preserve">the estimates </w:t>
      </w:r>
      <w:r>
        <w:t>are clustered around will be less</w:t>
      </w:r>
      <w:r w:rsidRPr="00A97AB8">
        <w:t xml:space="preserve"> representative of the 'true' </w:t>
      </w:r>
      <w:r>
        <w:t xml:space="preserve">equity </w:t>
      </w:r>
      <w:r w:rsidRPr="00A97AB8">
        <w:t xml:space="preserve">beta </w:t>
      </w:r>
      <w:r>
        <w:t>(that is, biased). We do not consider this constitutes reliability. We agree with Associate Professor Graham Partington and Professor Stephen Satchell's (Partington and Satchell's) statement that, '</w:t>
      </w:r>
      <w:r w:rsidRPr="00E33D70">
        <w:t>The critical issue is how appropriate are the additional firms selected as comparators and how much improvement is obtained</w:t>
      </w:r>
      <w:r>
        <w:t>'.</w:t>
      </w:r>
      <w:r>
        <w:rPr>
          <w:rStyle w:val="FootnoteReference"/>
        </w:rPr>
        <w:footnoteReference w:id="1042"/>
      </w:r>
    </w:p>
    <w:p w:rsidR="00AC3F76" w:rsidRDefault="00AC3F76" w:rsidP="00AC3F76">
      <w:pPr>
        <w:numPr>
          <w:ilvl w:val="0"/>
          <w:numId w:val="24"/>
        </w:numPr>
      </w:pPr>
      <w:r>
        <w:t>It is also useful to note that Henry performed a separate time series regression for each comparator firm and various portfolios of comparator firms.</w:t>
      </w:r>
      <w:r>
        <w:rPr>
          <w:rStyle w:val="FootnoteReference"/>
        </w:rPr>
        <w:footnoteReference w:id="1043"/>
      </w:r>
      <w:r>
        <w:t xml:space="preserve"> The weekly returns for each firm are regressed against the weekly returns on the market over a period of time (the estimation period).</w:t>
      </w:r>
      <w:r>
        <w:rPr>
          <w:rStyle w:val="FootnoteReference"/>
        </w:rPr>
        <w:footnoteReference w:id="1044"/>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045"/>
      </w:r>
      <w:r>
        <w:t xml:space="preserve"> In addition, we place most reliance on averages of individual firm estimates and fixed weight portfolio estimates, which cluster around 0.5 (see </w:t>
      </w:r>
      <w:r>
        <w:fldChar w:fldCharType="begin"/>
      </w:r>
      <w:r>
        <w:instrText xml:space="preserve"> REF  _Ref446243940 \* Lower \h </w:instrText>
      </w:r>
      <w:r>
        <w:fldChar w:fldCharType="separate"/>
      </w:r>
      <w:r w:rsidR="00BA2E8E">
        <w:t xml:space="preserve">figure </w:t>
      </w:r>
      <w:r w:rsidR="00BA2E8E">
        <w:rPr>
          <w:noProof/>
        </w:rPr>
        <w:t>3</w:t>
      </w:r>
      <w:r w:rsidR="00BA2E8E">
        <w:noBreakHyphen/>
      </w:r>
      <w:r w:rsidR="00BA2E8E">
        <w:rPr>
          <w:noProof/>
        </w:rPr>
        <w:t>18</w:t>
      </w:r>
      <w:r>
        <w:fldChar w:fldCharType="end"/>
      </w:r>
      <w:r>
        <w:t>). This focus on average and portfolio equity beta estimates further reduces any residual uncertainty associated with individual firm estimates.</w:t>
      </w:r>
    </w:p>
    <w:p w:rsidR="00AC3F76" w:rsidRDefault="00AC3F76" w:rsidP="00AC3F76">
      <w:pPr>
        <w:numPr>
          <w:ilvl w:val="0"/>
          <w:numId w:val="24"/>
        </w:numPr>
      </w:pPr>
      <w:r>
        <w:t xml:space="preserve">Frontier Economics submitted graphs of 10 year rolling beta estimates with confidence interval bands to provide support for its view that </w:t>
      </w:r>
      <w:r w:rsidRPr="00176251">
        <w:t xml:space="preserve">empirical equity beta estimates </w:t>
      </w:r>
      <w:r>
        <w:t>based only on Australian energy network firms are imprecise and unstable.</w:t>
      </w:r>
      <w:r>
        <w:rPr>
          <w:rStyle w:val="FootnoteReference"/>
        </w:rPr>
        <w:footnoteReference w:id="1046"/>
      </w:r>
      <w:r>
        <w:t xml:space="preserve"> We have assessed this material and consider it is, in substance, the same evidence that has been previously submitted to us on this issue.</w:t>
      </w:r>
      <w:r>
        <w:rPr>
          <w:rStyle w:val="FootnoteReference"/>
        </w:rPr>
        <w:footnoteReference w:id="1047"/>
      </w:r>
      <w:r>
        <w:t xml:space="preserve"> Nevertheless, Partington and Satchell have analysed the graphs of 10 year rolling beta estimates.</w:t>
      </w:r>
      <w:r>
        <w:rPr>
          <w:rStyle w:val="FootnoteReference"/>
        </w:rPr>
        <w:footnoteReference w:id="1048"/>
      </w:r>
      <w:r>
        <w:t xml:space="preserve"> They conclude that:</w:t>
      </w:r>
      <w:r>
        <w:rPr>
          <w:rStyle w:val="FootnoteReference"/>
        </w:rPr>
        <w:footnoteReference w:id="1049"/>
      </w:r>
    </w:p>
    <w:p w:rsidR="00AC3F76" w:rsidRDefault="00AC3F76" w:rsidP="00AC3F76">
      <w:pPr>
        <w:pStyle w:val="AERquote"/>
      </w:pPr>
      <w:r>
        <w:t>…</w:t>
      </w:r>
      <w:r w:rsidRPr="003B03A8">
        <w:t xml:space="preserve"> for the portfolio estimates of beta, any improvements in the precision of the estimates appear to be modest as are any improvements in stability</w:t>
      </w:r>
      <w:r>
        <w:t>.</w:t>
      </w:r>
      <w:r w:rsidRPr="002F785B">
        <w:t xml:space="preserve"> Since portfolio estimates would be our preferred way to estimate an industry beta, we conclude that the improved statistical properties are modest and come at the cost of potentially biased estimates from comparators that may be inappropriate.</w:t>
      </w:r>
    </w:p>
    <w:p w:rsidR="00AC3F76" w:rsidRDefault="00AC3F76" w:rsidP="00AC3F76">
      <w:pPr>
        <w:pStyle w:val="AERquote"/>
      </w:pPr>
      <w:r w:rsidRPr="003B03A8">
        <w:t>.</w:t>
      </w:r>
      <w:r>
        <w:t>...</w:t>
      </w:r>
      <w:r w:rsidRPr="003B03A8">
        <w:t xml:space="preserve"> and in the time series of rolling portfolio beta estimates the US betas appear to be less stable than the Australian betas.</w:t>
      </w:r>
    </w:p>
    <w:p w:rsidR="00AC3F76" w:rsidRDefault="00AC3F76" w:rsidP="00AC3F76">
      <w:pPr>
        <w:numPr>
          <w:ilvl w:val="0"/>
          <w:numId w:val="24"/>
        </w:numPr>
      </w:pPr>
      <w:r>
        <w:t>Frontier Economics also considered it is unsurprising that our estimates tend to cluster together because they are effectively a regurgitation of the same estimate, based on slight variations of the same dataset.</w:t>
      </w:r>
      <w:r>
        <w:rPr>
          <w:rStyle w:val="FootnoteReference"/>
        </w:rPr>
        <w:footnoteReference w:id="1050"/>
      </w:r>
      <w:r>
        <w:t xml:space="preserve"> We disagree with this view. Our estimates are based on data from a comparator set of Australian energy network firms because we consider these firms are most reflective of a benchmark efficient entity</w:t>
      </w:r>
      <w:r w:rsidRPr="00001F3E">
        <w:t xml:space="preserve"> </w:t>
      </w:r>
      <w:r>
        <w:t>with a similar degree of risk as CitiPower in providing regulated services. It is well known that estimates can vary based on changes in the estimation method or period, or variations to the dataset (such as the construction of different portfolios). This is why empirical analyses include sensitivity and/or robustness checks based on such variations.</w:t>
      </w:r>
      <w:r>
        <w:rPr>
          <w:rStyle w:val="FootnoteReference"/>
        </w:rPr>
        <w:footnoteReference w:id="1051"/>
      </w:r>
      <w:r>
        <w:t xml:space="preserve"> Even Frontier performs regressions based on a five year estimation period as a robustness check on its estimates from a 10 year estimation period.</w:t>
      </w:r>
      <w:r>
        <w:rPr>
          <w:rStyle w:val="FootnoteReference"/>
        </w:rPr>
        <w:footnoteReference w:id="1052"/>
      </w:r>
      <w:r>
        <w:t xml:space="preserve"> We do not consider the robustness of our equity beta estimates to different estimation choices is invalidated by the fact that the estimates are based on the same underlying comparator set of firms (or a subset of these firms).</w:t>
      </w:r>
    </w:p>
    <w:p w:rsidR="00AC3F76" w:rsidRDefault="00AC3F76" w:rsidP="00AC3F76">
      <w:r>
        <w:t xml:space="preserve">Based on the available evidence and submissions, we do not consider our Australian empirical equity beta estimates are unreliable. </w:t>
      </w:r>
      <w:r w:rsidRPr="009C1524">
        <w:t>We consider the data from our comparator set of Australian energy network firms is sufficient for us to form an equity beta estimate that will contribute to the achievement of the allowed rate of return objective.</w:t>
      </w:r>
      <w:r>
        <w:rPr>
          <w:rStyle w:val="FootnoteReference"/>
        </w:rPr>
        <w:footnoteReference w:id="1053"/>
      </w:r>
      <w:r w:rsidRPr="009C1524">
        <w:t xml:space="preserve"> This comparator set is reflective of </w:t>
      </w:r>
      <w:r>
        <w:t>a</w:t>
      </w:r>
      <w:r w:rsidRPr="009C1524">
        <w:t xml:space="preserve"> benchmark efficient entity and generates a consistent pattern of empirical equity beta estimates that is robust across econometric techniques, time periods and different combinations of comparator firms. </w:t>
      </w:r>
      <w:r w:rsidRPr="00671960">
        <w:t>This is demonstrated in</w:t>
      </w:r>
      <w:r>
        <w:t xml:space="preserve"> sections </w:t>
      </w:r>
      <w:r>
        <w:fldChar w:fldCharType="begin"/>
      </w:r>
      <w:r>
        <w:instrText xml:space="preserve"> REF _Ref446255169 \r \h </w:instrText>
      </w:r>
      <w:r>
        <w:fldChar w:fldCharType="separate"/>
      </w:r>
      <w:r w:rsidR="00BA2E8E">
        <w:t>G.1</w:t>
      </w:r>
      <w:r>
        <w:fldChar w:fldCharType="end"/>
      </w:r>
      <w:r>
        <w:t xml:space="preserve"> and </w:t>
      </w:r>
      <w:r>
        <w:fldChar w:fldCharType="begin"/>
      </w:r>
      <w:r>
        <w:instrText xml:space="preserve"> REF _Ref446255164 \r \h </w:instrText>
      </w:r>
      <w:r>
        <w:fldChar w:fldCharType="separate"/>
      </w:r>
      <w:r w:rsidR="00BA2E8E">
        <w:t>G.2</w:t>
      </w:r>
      <w:r>
        <w:fldChar w:fldCharType="end"/>
      </w:r>
      <w:r>
        <w:t>.</w:t>
      </w:r>
    </w:p>
    <w:p w:rsidR="00AC3F76" w:rsidRPr="00D332F8" w:rsidRDefault="00AC3F76" w:rsidP="00AC3F76">
      <w:pPr>
        <w:pStyle w:val="Heading9"/>
      </w:pPr>
      <w:bookmarkStart w:id="334" w:name="_Ref446254445"/>
      <w:bookmarkStart w:id="335" w:name="_Toc451678674"/>
      <w:r>
        <w:t>Use of international energy firms</w:t>
      </w:r>
      <w:bookmarkEnd w:id="334"/>
      <w:bookmarkEnd w:id="335"/>
    </w:p>
    <w:p w:rsidR="00AC3F76" w:rsidRDefault="00AC3F76" w:rsidP="00AC3F76">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CitiPower in relation to the provision of its regulated services. We do not include international energy network firms in our comparator set for empirical analysis. We consider international energy firms are not suitable comparators in this case, for the following reasons:</w:t>
      </w:r>
    </w:p>
    <w:p w:rsidR="00AC3F76" w:rsidRPr="001F00F1" w:rsidRDefault="00AC3F76" w:rsidP="00AC3F76">
      <w:pPr>
        <w:pStyle w:val="AERbulletlistfirststyle"/>
      </w:pPr>
      <w:r>
        <w:t>They deviate from our definition of a benchmark efficient entity definition because they do not operate within Australia.</w:t>
      </w:r>
      <w:r w:rsidRPr="005F2073">
        <w:t xml:space="preserve"> </w:t>
      </w:r>
      <w:r>
        <w:t>D</w:t>
      </w:r>
      <w:r w:rsidRPr="001F00F1">
        <w:t>ifferences in regulation of businesses, the domestic economy, geography, business cycles, weather and a number of different factors are likely to result in differences between equity beta estimates for similar businesses between countries.</w:t>
      </w:r>
      <w:r>
        <w:rPr>
          <w:rStyle w:val="FootnoteReference"/>
        </w:rPr>
        <w:footnoteReference w:id="1054"/>
      </w:r>
      <w:r w:rsidRPr="001F00F1">
        <w:t xml:space="preserve"> It is difficult to assign quantitative impacts to these qualitative factors.</w:t>
      </w:r>
    </w:p>
    <w:p w:rsidR="00AC3F76" w:rsidRPr="001F00F1" w:rsidRDefault="00AC3F76" w:rsidP="00AC3F76">
      <w:pPr>
        <w:pStyle w:val="AERbulletlistfirststyle"/>
      </w:pPr>
      <w:r>
        <w:t>W</w:t>
      </w:r>
      <w:r w:rsidRPr="001F00F1">
        <w:t>e discuss equity beta estimates in the context of our foundation model, which is the domestic S</w:t>
      </w:r>
      <w:r>
        <w:t>harpe-</w:t>
      </w:r>
      <w:r w:rsidRPr="001F00F1">
        <w:t>L</w:t>
      </w:r>
      <w:r>
        <w:t xml:space="preserve">intner </w:t>
      </w:r>
      <w:r w:rsidRPr="001F00F1">
        <w:t>CAPM.</w:t>
      </w:r>
      <w:r w:rsidRPr="001F00F1">
        <w:rPr>
          <w:rStyle w:val="FootnoteReference"/>
        </w:rPr>
        <w:footnoteReference w:id="1055"/>
      </w:r>
      <w:r w:rsidRPr="001F00F1">
        <w:t xml:space="preserve"> This provides a strong rationale for estimating the equity beta using Australian data. If we included international energy firms in our comparator set, it may be more appropriate to use an international</w:t>
      </w:r>
      <w:r>
        <w:t xml:space="preserve"> or global</w:t>
      </w:r>
      <w:r w:rsidRPr="001F00F1">
        <w:t xml:space="preserve"> CAPM.</w:t>
      </w:r>
      <w:r>
        <w:rPr>
          <w:rStyle w:val="FootnoteReference"/>
        </w:rPr>
        <w:footnoteReference w:id="1056"/>
      </w:r>
      <w:r w:rsidRPr="001F00F1">
        <w:t xml:space="preserve"> </w:t>
      </w:r>
    </w:p>
    <w:p w:rsidR="00AC3F76" w:rsidRDefault="00AC3F76" w:rsidP="00AC3F76">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057"/>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058"/>
      </w:r>
      <w:r>
        <w:t xml:space="preserve"> As Associate Professor John Handley (Handley) stated:</w:t>
      </w:r>
      <w:r>
        <w:rPr>
          <w:rStyle w:val="FootnoteReference"/>
        </w:rPr>
        <w:footnoteReference w:id="1059"/>
      </w:r>
    </w:p>
    <w:p w:rsidR="00AC3F76" w:rsidRPr="006048D2" w:rsidRDefault="00AC3F76" w:rsidP="00AC3F76">
      <w:pPr>
        <w:pStyle w:val="AERquote"/>
      </w:pPr>
      <w:r w:rsidRPr="006C31CF">
        <w:t>In general, domestic betas and international betas measure different things and are not comparable due to potential differences in the covariance structure and level of systematic risk in the respective markets. This is purely a definitional difference.</w:t>
      </w:r>
    </w:p>
    <w:p w:rsidR="00AC3F76" w:rsidRPr="001F00F1" w:rsidRDefault="00AC3F76" w:rsidP="00AC3F76">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060"/>
      </w:r>
      <w:r w:rsidRPr="001F00F1">
        <w:t xml:space="preserve"> They engage in energy generation, wholesale and retail of energy, as well as other activities distinct from energy distribution and transmission. Some of the firms even engage in telecommunications, real estate development and manufacturing activities.</w:t>
      </w:r>
      <w:r w:rsidRPr="001F00F1">
        <w:rPr>
          <w:rStyle w:val="FootnoteReference"/>
        </w:rPr>
        <w:footnoteReference w:id="1061"/>
      </w:r>
      <w:r w:rsidRPr="001F00F1">
        <w:t xml:space="preserve"> These activities are very different from</w:t>
      </w:r>
      <w:r>
        <w:t xml:space="preserve"> our definition of</w:t>
      </w:r>
      <w:r w:rsidRPr="001F00F1">
        <w:t xml:space="preserve"> </w:t>
      </w:r>
      <w:r>
        <w:t>a</w:t>
      </w:r>
      <w:r w:rsidRPr="001F00F1">
        <w:t xml:space="preserv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062"/>
      </w:r>
    </w:p>
    <w:p w:rsidR="00AC3F76" w:rsidRPr="001F00F1" w:rsidRDefault="00AC3F76" w:rsidP="00AC3F76">
      <w:pPr>
        <w:pStyle w:val="AERbulletlistfirststyle"/>
      </w:pPr>
      <w:r>
        <w:t>W</w:t>
      </w:r>
      <w:r w:rsidRPr="001F00F1">
        <w:t xml:space="preserve">e consider the available Australian data is sufficient for us to form a reasonable equity beta range that is reflective of the equity beta for </w:t>
      </w:r>
      <w:r>
        <w:t xml:space="preserve">a </w:t>
      </w:r>
      <w:r w:rsidRPr="001F00F1">
        <w:t>benchmark efficient entity.</w:t>
      </w:r>
    </w:p>
    <w:p w:rsidR="00AC3F76" w:rsidRDefault="00AC3F76" w:rsidP="00AC3F76">
      <w:pPr>
        <w:numPr>
          <w:ilvl w:val="0"/>
          <w:numId w:val="24"/>
        </w:numPr>
      </w:pPr>
      <w:r>
        <w:t>These factors are discussed in more detail in the Guideline and 2009 WACC review.</w:t>
      </w:r>
      <w:r>
        <w:rPr>
          <w:rStyle w:val="FootnoteReference"/>
        </w:rPr>
        <w:footnoteReference w:id="1063"/>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material submitted by the relevant service providers present us with such evidence. </w:t>
      </w:r>
    </w:p>
    <w:p w:rsidR="00AC3F76" w:rsidRPr="00F241AB" w:rsidRDefault="00AC3F76" w:rsidP="00AC3F76">
      <w:pPr>
        <w:numPr>
          <w:ilvl w:val="0"/>
          <w:numId w:val="24"/>
        </w:numPr>
      </w:pPr>
      <w:r>
        <w:t>The service providers' consultants appear to recognise</w:t>
      </w:r>
      <w:r w:rsidRPr="00AA15E3">
        <w:t xml:space="preserve"> </w:t>
      </w:r>
      <w:r>
        <w:t>international energy network firms are less comparable to a benchmark efficient entity than Australian energy network firms. However, they also consider our comparator set of Australian energy network firms is too small and produces unreliable equity beta estimates.</w:t>
      </w:r>
      <w:r>
        <w:rPr>
          <w:rStyle w:val="FootnoteReference"/>
        </w:rPr>
        <w:footnoteReference w:id="1064"/>
      </w:r>
      <w:r>
        <w:t xml:space="preserve"> In analysing these competing considerations, the service providers and their consultants concluded that</w:t>
      </w:r>
      <w:r w:rsidRPr="00FE01B4">
        <w:t xml:space="preserve"> </w:t>
      </w:r>
      <w:r>
        <w:t>the 56 US energy firms identified by CEG during the Guideline process are sufficiently comparable to</w:t>
      </w:r>
      <w:r w:rsidRPr="00296D0B">
        <w:t xml:space="preserve"> </w:t>
      </w:r>
      <w:r>
        <w:t>a benchmark efficient entity. Therefore, they should be included in our comparator set for empirical analysis, albeit with less weight than the domestic comparators.</w:t>
      </w:r>
      <w:r w:rsidRPr="00F241AB">
        <w:rPr>
          <w:rStyle w:val="FootnoteReference"/>
        </w:rPr>
        <w:footnoteReference w:id="1065"/>
      </w:r>
    </w:p>
    <w:p w:rsidR="00AC3F76" w:rsidRDefault="00AC3F76" w:rsidP="00AC3F76">
      <w:pPr>
        <w:numPr>
          <w:ilvl w:val="0"/>
          <w:numId w:val="24"/>
        </w:numPr>
      </w:pPr>
      <w:r>
        <w:t>W</w:t>
      </w:r>
      <w:r w:rsidRPr="00F241AB">
        <w:t xml:space="preserve">e do not consider </w:t>
      </w:r>
      <w:r>
        <w:t>the service providers currently under assessment have</w:t>
      </w:r>
      <w:r w:rsidRPr="00F241AB">
        <w:t xml:space="preserve"> provided satisfactory evidence that the suggested sample of 56 US energy firms are sufficiently comparable to </w:t>
      </w:r>
      <w:r>
        <w:t>a</w:t>
      </w:r>
      <w:r w:rsidRPr="00F241AB">
        <w:t xml:space="preserve"> benchmark efficient entity</w:t>
      </w:r>
      <w:r w:rsidRPr="00E07D19">
        <w:t xml:space="preserve"> </w:t>
      </w:r>
      <w:r>
        <w:t>with a similar degree of risk as CitiPower in providing regulated services</w:t>
      </w:r>
      <w:r w:rsidRPr="00F241AB">
        <w:t>.</w:t>
      </w:r>
      <w:r>
        <w:rPr>
          <w:rStyle w:val="FootnoteReference"/>
        </w:rPr>
        <w:footnoteReference w:id="1066"/>
      </w:r>
      <w:r w:rsidRPr="00F241AB">
        <w:t xml:space="preserve"> Handley supports this </w:t>
      </w:r>
      <w:r>
        <w:t>view</w:t>
      </w:r>
      <w:r w:rsidRPr="00F241AB">
        <w:t>.</w:t>
      </w:r>
      <w:r w:rsidRPr="00F241AB">
        <w:rPr>
          <w:rStyle w:val="FootnoteReference"/>
        </w:rPr>
        <w:footnoteReference w:id="1067"/>
      </w:r>
      <w:r>
        <w:t xml:space="preserve"> We provided detailed reasoning for this view in our recent decisions, which we do not reproduce in this decision but which remains applicable.</w:t>
      </w:r>
      <w:r>
        <w:rPr>
          <w:rStyle w:val="FootnoteReference"/>
        </w:rPr>
        <w:footnoteReference w:id="1068"/>
      </w:r>
      <w:r>
        <w:t xml:space="preserve"> However, Partington and Satchell have assessed Frontier </w:t>
      </w:r>
      <w:r w:rsidR="000273D3">
        <w:t>Economics'</w:t>
      </w:r>
      <w:r>
        <w:t xml:space="preserve"> most recent (2016) report on the issue, and conclude that:</w:t>
      </w:r>
      <w:r>
        <w:rPr>
          <w:rStyle w:val="FootnoteReference"/>
        </w:rPr>
        <w:footnoteReference w:id="1069"/>
      </w:r>
    </w:p>
    <w:p w:rsidR="00AC3F76" w:rsidRDefault="00AC3F76" w:rsidP="00AC3F76">
      <w:pPr>
        <w:pStyle w:val="AERquote"/>
      </w:pPr>
      <w:r>
        <w:t>…</w:t>
      </w:r>
      <w:r w:rsidRPr="002F785B">
        <w:t xml:space="preserve"> the case that the samples ar</w:t>
      </w:r>
      <w:r>
        <w:t>e homogeneous has not been made…</w:t>
      </w:r>
      <w:r w:rsidRPr="002F785B">
        <w:t>Indeed on the basis of Frontier’s analysis of the means for weekly betas the US comparators are inappropriate</w:t>
      </w:r>
    </w:p>
    <w:p w:rsidR="00AC3F76" w:rsidRDefault="00AC3F76" w:rsidP="00AC3F76">
      <w:pPr>
        <w:pStyle w:val="AERquote"/>
      </w:pPr>
      <w:r>
        <w:t>…</w:t>
      </w:r>
      <w:r w:rsidRPr="001233AC">
        <w:t>Furthermore, the use of 24% by weight of Australian data and 76% by weight of US data to compute an Australian beta seems intuitively inappropriate.</w:t>
      </w:r>
    </w:p>
    <w:p w:rsidR="00AC3F76" w:rsidRPr="004C2E1A" w:rsidRDefault="00AC3F76" w:rsidP="00AC3F76">
      <w:pPr>
        <w:pStyle w:val="AERquote"/>
      </w:pPr>
      <w:r>
        <w:t>…</w:t>
      </w:r>
      <w:r w:rsidRPr="002F785B">
        <w:t>The notion that Beta is a measure independent of the index used, and hence can be aggregated across different countries troubles us. The usual way this would be addressed is to build a global CAPM and compute betas with respect to a world portfolio, or regard the USA and Australia as a single region and define a new market portfolio based on the capitalisation weighted aggregate of the two markets.</w:t>
      </w:r>
    </w:p>
    <w:p w:rsidR="00AC3F76" w:rsidRDefault="00AC3F76" w:rsidP="00AC3F76">
      <w:pPr>
        <w:numPr>
          <w:ilvl w:val="0"/>
          <w:numId w:val="24"/>
        </w:numPr>
      </w:pPr>
      <w:r>
        <w:t>We also received submissions in 2015 from other stakeholders that do not support the inclusion of international energy firms in our domestic comparator set. For example, Origin supported our decision to use a comparator set of Australian energy network firms.</w:t>
      </w:r>
      <w:r>
        <w:rPr>
          <w:rStyle w:val="FootnoteReference"/>
        </w:rPr>
        <w:footnoteReference w:id="1070"/>
      </w:r>
      <w:r>
        <w:t xml:space="preserve"> It considered </w:t>
      </w:r>
      <w:r w:rsidRPr="005855BA">
        <w:t>international comparators should not be used</w:t>
      </w:r>
      <w:r>
        <w:t xml:space="preserve"> as primary determinants of risk</w:t>
      </w:r>
      <w:r w:rsidRPr="005855BA">
        <w:t xml:space="preserve"> to the extent that the risks faced by these firms are not directly comparable to Australian conditions.</w:t>
      </w:r>
      <w:r>
        <w:t xml:space="preserve"> The </w:t>
      </w:r>
      <w:r w:rsidR="00CE35D2">
        <w:t>Consumer Challenge Panel</w:t>
      </w:r>
      <w:r>
        <w:t xml:space="preserve"> also disagreed with the inclusion of 56 US energy firms in our Australian comparator set.</w:t>
      </w:r>
      <w:r>
        <w:rPr>
          <w:rStyle w:val="FootnoteReference"/>
        </w:rPr>
        <w:footnoteReference w:id="1071"/>
      </w:r>
      <w:r>
        <w:t xml:space="preserve"> </w:t>
      </w:r>
    </w:p>
    <w:p w:rsidR="00AC3F76" w:rsidRDefault="00AC3F76" w:rsidP="00AC3F76">
      <w:pPr>
        <w:numPr>
          <w:ilvl w:val="0"/>
          <w:numId w:val="24"/>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 xml:space="preserve">in informing the equity beta point estimate from within the range derived using Australian empirical estimates.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AC3F76" w:rsidRPr="00D332F8" w:rsidRDefault="00AC3F76" w:rsidP="00AC3F76">
      <w:pPr>
        <w:pStyle w:val="Heading9"/>
      </w:pPr>
      <w:bookmarkStart w:id="336" w:name="_Ref446254437"/>
      <w:bookmarkStart w:id="337" w:name="_Toc451678675"/>
      <w:r>
        <w:t>Use of non-energy infrastructure firms</w:t>
      </w:r>
      <w:bookmarkEnd w:id="336"/>
      <w:bookmarkEnd w:id="337"/>
    </w:p>
    <w:p w:rsidR="00AC3F76" w:rsidRDefault="00AC3F76" w:rsidP="00AC3F76">
      <w:pPr>
        <w:numPr>
          <w:ilvl w:val="0"/>
          <w:numId w:val="24"/>
        </w:numPr>
      </w:pPr>
      <w:r>
        <w:t>In its 2016 report, Frontier Economics (previously SFG) submitted that we should include Australian non-energy infrastructure firms in our comparator set in addition to Australian energy firms.</w:t>
      </w:r>
      <w:r>
        <w:rPr>
          <w:rStyle w:val="FootnoteReference"/>
        </w:rPr>
        <w:footnoteReference w:id="1072"/>
      </w:r>
      <w:r>
        <w:t xml:space="preserve"> Frontier Economics examined equity beta estimates for nine Australian energy network firms, seven Australian non-energy infrastructure firms</w:t>
      </w:r>
      <w:r>
        <w:rPr>
          <w:rStyle w:val="FootnoteReference"/>
        </w:rPr>
        <w:footnoteReference w:id="1073"/>
      </w:r>
      <w:r>
        <w:t xml:space="preserve"> and 56 US energy firms. It concluded that the expanded comparator set has better statistical properties (precision and stability) than our comparator set based on Australian energy network firms.</w:t>
      </w:r>
      <w:r>
        <w:rPr>
          <w:rStyle w:val="FootnoteReference"/>
        </w:rPr>
        <w:footnoteReference w:id="1074"/>
      </w:r>
    </w:p>
    <w:p w:rsidR="00AC3F76" w:rsidRDefault="00AC3F76" w:rsidP="00AC3F76">
      <w:pPr>
        <w:numPr>
          <w:ilvl w:val="0"/>
          <w:numId w:val="24"/>
        </w:numPr>
      </w:pPr>
      <w:r w:rsidRPr="007A3B2B">
        <w:t xml:space="preserve">We </w:t>
      </w:r>
      <w:r>
        <w:t>have had regard to all available domestic comparators. Ideally, we would have further reasonable domestic comparators to include. However, we consider that the comparators we use are the most relevant and useful for our empirical analysis, given we are looking to ascertain the efficient financing costs of a benchmark efficient entity with a similar degree of risk as CitiPower in relation to the provision of its regulated services. We do not include non-energy infrastructure firms in our comparator set for empirical analysis. We consider these firms are not suitable comparators in this case, for the following reasons:</w:t>
      </w:r>
    </w:p>
    <w:p w:rsidR="00AC3F76" w:rsidRPr="001F00F1" w:rsidRDefault="00AC3F76" w:rsidP="00AC3F76">
      <w:pPr>
        <w:pStyle w:val="AERbulletlistfirststyle"/>
      </w:pPr>
      <w:r>
        <w:t xml:space="preserve">The allowed rate of return objective requires us to consider the efficient financing costs of a benchmark efficient entity with a similar degree of risk as CitiPower in the provision of regulated electricity network services. These firms do not provide electricity network, or more generally energy network, services.  </w:t>
      </w:r>
    </w:p>
    <w:p w:rsidR="00AC3F76" w:rsidRDefault="00AC3F76" w:rsidP="00AC3F76">
      <w:pPr>
        <w:pStyle w:val="AERbulletlistfirststyle"/>
      </w:pPr>
      <w:r>
        <w:t>D</w:t>
      </w:r>
      <w:r w:rsidRPr="001F00F1">
        <w:t>ifferences in regulation</w:t>
      </w:r>
      <w:r>
        <w:t xml:space="preserve"> (including minimal or no regulation), industry structure and consumer demand for</w:t>
      </w:r>
      <w:r w:rsidRPr="001F00F1">
        <w:t xml:space="preserve"> </w:t>
      </w:r>
      <w:r>
        <w:t xml:space="preserve">non-energy infrastructure firms </w:t>
      </w:r>
      <w:r w:rsidRPr="001F00F1">
        <w:t xml:space="preserve">are likely to result in </w:t>
      </w:r>
      <w:r>
        <w:t>different risk profiles relative to energy network firms regulated under the rules and law.</w:t>
      </w:r>
      <w:r>
        <w:rPr>
          <w:rStyle w:val="FootnoteReference"/>
        </w:rPr>
        <w:footnoteReference w:id="1075"/>
      </w:r>
      <w:r>
        <w:t xml:space="preserve"> For example, a number of Australian non-energy infrastructure firms are unregulated or are partly regulated under different regulatory regimes.</w:t>
      </w:r>
      <w:r>
        <w:rPr>
          <w:rStyle w:val="FootnoteReference"/>
        </w:rPr>
        <w:footnoteReference w:id="1076"/>
      </w:r>
      <w:r>
        <w:t xml:space="preserve"> We explain why we consider </w:t>
      </w:r>
      <w:r w:rsidRPr="006B58F1">
        <w:t>unregulated businesses are likely to have a very different risk profile</w:t>
      </w:r>
      <w:r>
        <w:t xml:space="preserve"> to </w:t>
      </w:r>
      <w:r w:rsidR="00423487">
        <w:t xml:space="preserve">regulated firms in section </w:t>
      </w:r>
      <w:r w:rsidR="00423487">
        <w:fldChar w:fldCharType="begin"/>
      </w:r>
      <w:r w:rsidR="00423487">
        <w:instrText xml:space="preserve"> REF _Ref451679586 \r \h </w:instrText>
      </w:r>
      <w:r w:rsidR="00423487">
        <w:fldChar w:fldCharType="separate"/>
      </w:r>
      <w:r w:rsidR="00423487">
        <w:t>3.3.3</w:t>
      </w:r>
      <w:r w:rsidR="00423487">
        <w:fldChar w:fldCharType="end"/>
      </w:r>
      <w:r>
        <w:t>. Also, a number of Australian non-energy infrastructure firms provide a range of different services in addition to management of and access to the monopoly infrastructure,</w:t>
      </w:r>
      <w:r>
        <w:rPr>
          <w:rStyle w:val="FootnoteReference"/>
        </w:rPr>
        <w:footnoteReference w:id="1077"/>
      </w:r>
      <w:r>
        <w:t xml:space="preserve"> which are likely to influence their overall risk profile. </w:t>
      </w:r>
    </w:p>
    <w:p w:rsidR="00AC3F76" w:rsidRPr="007F642B" w:rsidRDefault="00AC3F76" w:rsidP="00AC3F76">
      <w:pPr>
        <w:pStyle w:val="AERbulletlistfirststyle"/>
      </w:pPr>
      <w:r>
        <w:t>W</w:t>
      </w:r>
      <w:r w:rsidRPr="007F642B">
        <w:t xml:space="preserve">e consider the available data for Australian energy network firms are sufficient for us to form a reasonable equity beta range that is reflective of the equity beta for </w:t>
      </w:r>
      <w:r>
        <w:t>a</w:t>
      </w:r>
      <w:r w:rsidRPr="007F642B">
        <w:t xml:space="preserve"> benchmark efficient entity.</w:t>
      </w:r>
    </w:p>
    <w:p w:rsidR="00AC3F76" w:rsidRDefault="00AC3F76" w:rsidP="00AC3F76">
      <w:pPr>
        <w:numPr>
          <w:ilvl w:val="0"/>
          <w:numId w:val="24"/>
        </w:numPr>
      </w:pPr>
      <w:r>
        <w:t xml:space="preserve">As discussed at the start of section </w:t>
      </w:r>
      <w:r>
        <w:fldChar w:fldCharType="begin"/>
      </w:r>
      <w:r>
        <w:instrText xml:space="preserve"> REF _Ref446254453 \r \h </w:instrText>
      </w:r>
      <w:r>
        <w:fldChar w:fldCharType="separate"/>
      </w:r>
      <w:r w:rsidR="00BA2E8E">
        <w:t>G.4.2</w:t>
      </w:r>
      <w:r>
        <w:fldChar w:fldCharType="end"/>
      </w:r>
      <w:r>
        <w:t>, our view is that while increased statistical precision and/or stability is desirable, it is not preferable if the resulting estimates are substantially less reflective of the 'true' equity beta for a benchmark efficient entity with a similar degree of risk as CitiPower in prov</w:t>
      </w:r>
      <w:r w:rsidR="00C819A5">
        <w:t>i</w:t>
      </w:r>
      <w:r>
        <w:t xml:space="preserve">ding regulated services. </w:t>
      </w:r>
    </w:p>
    <w:p w:rsidR="00AC3F76" w:rsidRDefault="00AC3F76" w:rsidP="00AC3F76">
      <w:pPr>
        <w:numPr>
          <w:ilvl w:val="0"/>
          <w:numId w:val="24"/>
        </w:numPr>
      </w:pPr>
      <w:r>
        <w:t xml:space="preserve">Frontier Economics performed two statistical tests (the </w:t>
      </w:r>
      <w:r w:rsidRPr="00606073">
        <w:t>Kolmogorov-Smirnov</w:t>
      </w:r>
      <w:r>
        <w:t xml:space="preserve"> test and a t-test)</w:t>
      </w:r>
      <w:r>
        <w:rPr>
          <w:rStyle w:val="FootnoteReference"/>
        </w:rPr>
        <w:footnoteReference w:id="1078"/>
      </w:r>
      <w:r>
        <w:t xml:space="preserve"> to infer that the three comparator sets are drawn from the same population.</w:t>
      </w:r>
      <w:r>
        <w:rPr>
          <w:rStyle w:val="FootnoteReference"/>
        </w:rPr>
        <w:footnoteReference w:id="1079"/>
      </w:r>
      <w:r>
        <w:t xml:space="preserve"> However, we do not consider these tests show that the comparator sets are drawn from the same underlying population. Partington and Satchell consider both tests have been incorrectly applied. They advise:</w:t>
      </w:r>
      <w:r>
        <w:rPr>
          <w:rStyle w:val="FootnoteReference"/>
        </w:rPr>
        <w:footnoteReference w:id="1080"/>
      </w:r>
    </w:p>
    <w:p w:rsidR="00AC3F76" w:rsidRPr="00D32280" w:rsidRDefault="00AC3F76" w:rsidP="00AC3F76">
      <w:pPr>
        <w:pStyle w:val="AERquote"/>
      </w:pPr>
      <w:r w:rsidRPr="00D32280">
        <w:t>Frontier(2016a) use the Kolmogorov-Smirnov (KS) test which compares two distribution functions, but Frontier’s analysis is based on estimated parameters being used as the parameters of the distribution functions. It is known that the critical values of the KS test assume no unknown parameters; that is, they are based on the two empirical distribution functions, and will, consequently, be wrong for the problem being considered by Frontier. Generally, Monte Carlo analysis is necessary.</w:t>
      </w:r>
    </w:p>
    <w:p w:rsidR="00AC3F76" w:rsidRDefault="00AC3F76" w:rsidP="00AC3F76">
      <w:pPr>
        <w:numPr>
          <w:ilvl w:val="0"/>
          <w:numId w:val="24"/>
        </w:numPr>
      </w:pPr>
      <w:r>
        <w:t xml:space="preserve">Partington and Satchell also consider there are test specification issues with Frontier Economics' application of the t-test (that is, it may lead to upward bias) and that small sample </w:t>
      </w:r>
      <w:r w:rsidRPr="00146680">
        <w:t>sizes were used for the tests</w:t>
      </w:r>
      <w:r>
        <w:t>. They consider:</w:t>
      </w:r>
      <w:r>
        <w:rPr>
          <w:rStyle w:val="FootnoteReference"/>
        </w:rPr>
        <w:footnoteReference w:id="1081"/>
      </w:r>
    </w:p>
    <w:p w:rsidR="00AC3F76" w:rsidRPr="006048D2" w:rsidRDefault="00AC3F76" w:rsidP="00AC3F76">
      <w:pPr>
        <w:pStyle w:val="AERquote"/>
      </w:pPr>
      <w:r w:rsidRPr="00146680">
        <w:t>Inappropriate application, or low power, of the tests, is likely to explain why despite the appearance of quite different distributions of beta for the AER sample and other listed Australian Infrastructure firms (see Frontier 2016a, Figure 4 reproduced below) the statistical tests fail to reject the null hypothesis of no difference between the beta estimates for the two groups.</w:t>
      </w:r>
    </w:p>
    <w:p w:rsidR="00AC3F76" w:rsidRDefault="00AC3F76" w:rsidP="00AC3F76">
      <w:pPr>
        <w:numPr>
          <w:ilvl w:val="0"/>
          <w:numId w:val="24"/>
        </w:numPr>
      </w:pPr>
      <w:r>
        <w:t xml:space="preserve">Finally, Partington and Satchell show </w:t>
      </w:r>
      <w:r w:rsidRPr="00ED0870">
        <w:t>Frontier</w:t>
      </w:r>
      <w:r>
        <w:t xml:space="preserve"> Economics</w:t>
      </w:r>
      <w:r w:rsidRPr="00ED0870">
        <w:t xml:space="preserve"> misinterpret the results of their own analysis comparing the weekly </w:t>
      </w:r>
      <w:r>
        <w:t xml:space="preserve">equity beta estimates </w:t>
      </w:r>
      <w:r w:rsidRPr="00ED0870">
        <w:t xml:space="preserve">for the US and Australian </w:t>
      </w:r>
      <w:r>
        <w:t>comparator sets</w:t>
      </w:r>
      <w:r w:rsidRPr="00ED0870">
        <w:t>.</w:t>
      </w:r>
      <w:r>
        <w:rPr>
          <w:rStyle w:val="FootnoteReference"/>
        </w:rPr>
        <w:footnoteReference w:id="1082"/>
      </w:r>
      <w:r w:rsidRPr="00ED0870">
        <w:t xml:space="preserve"> Frontier</w:t>
      </w:r>
      <w:r>
        <w:t xml:space="preserve"> Economics</w:t>
      </w:r>
      <w:r w:rsidRPr="00ED0870">
        <w:t xml:space="preserve"> </w:t>
      </w:r>
      <w:r>
        <w:t>conclude</w:t>
      </w:r>
      <w:r w:rsidRPr="00ED0870">
        <w:t xml:space="preserve"> the result is borderline</w:t>
      </w:r>
      <w:r>
        <w:t xml:space="preserve"> when, based on tis reported statistics, the null hypothesis is rejected</w:t>
      </w:r>
      <w:r w:rsidRPr="00ED0870">
        <w:t>.</w:t>
      </w:r>
      <w:r>
        <w:rPr>
          <w:rStyle w:val="FootnoteReference"/>
        </w:rPr>
        <w:footnoteReference w:id="1083"/>
      </w:r>
      <w:r w:rsidRPr="00ED0870">
        <w:t xml:space="preserve"> </w:t>
      </w:r>
    </w:p>
    <w:p w:rsidR="00AC3F76" w:rsidRDefault="00AC3F76" w:rsidP="00AC3F76">
      <w:pPr>
        <w:numPr>
          <w:ilvl w:val="0"/>
          <w:numId w:val="24"/>
        </w:numPr>
      </w:pPr>
      <w:r>
        <w:t xml:space="preserve">Moreover, CEG and SFG provided analysis on the comparability of 56 US energy firms to a (domestic) benchmark efficient entity. We analysed this material and explained in detail why we consider international energy firms are not reasonably comparable to a benchmark efficient entity with a similar degree of risk as CitiPower in providing regulated services (see section </w:t>
      </w:r>
      <w:r>
        <w:fldChar w:fldCharType="begin"/>
      </w:r>
      <w:r>
        <w:instrText xml:space="preserve"> REF _Ref446254445 \r \h </w:instrText>
      </w:r>
      <w:r>
        <w:fldChar w:fldCharType="separate"/>
      </w:r>
      <w:r w:rsidR="00BA2E8E">
        <w:t>G.4.3</w:t>
      </w:r>
      <w:r>
        <w:fldChar w:fldCharType="end"/>
      </w:r>
      <w:r>
        <w:t>). However, we have received little analysis (outside of the above statistical tests) on the comparability of the seven Australian non-energy infrastructure firms used in Frontier Economics' report to a benchmark efficient entity with a similar degree of risk as CitiPower in providing regulated services. Frontier Economics simply chose the listed firms that were identified as 'infrastructure firms' in the Osiris database, with a sufficient history of avail</w:t>
      </w:r>
      <w:r w:rsidR="00D22F03">
        <w:t>a</w:t>
      </w:r>
      <w:r>
        <w:t>ble stock returns data and with a majority of operations within Australia.</w:t>
      </w:r>
      <w:r>
        <w:rPr>
          <w:rStyle w:val="FootnoteReference"/>
        </w:rPr>
        <w:footnoteReference w:id="1084"/>
      </w:r>
      <w:r>
        <w:t xml:space="preserve"> </w:t>
      </w:r>
    </w:p>
    <w:p w:rsidR="00AC3F76" w:rsidRDefault="00AC3F76" w:rsidP="00AC3F76">
      <w:pPr>
        <w:numPr>
          <w:ilvl w:val="0"/>
          <w:numId w:val="24"/>
        </w:numPr>
      </w:pPr>
      <w:r>
        <w:t xml:space="preserve">We disagree with the suggestion by several service providers that a benchmark efficient entity should be defined as an unregulated entity operating in a workably competitive market (see </w:t>
      </w:r>
      <w:r>
        <w:fldChar w:fldCharType="begin"/>
      </w:r>
      <w:r>
        <w:instrText xml:space="preserve"> REF  _Ref446189883 \* Lower \h </w:instrText>
      </w:r>
      <w:r>
        <w:fldChar w:fldCharType="separate"/>
      </w:r>
      <w:r w:rsidR="00BA2E8E">
        <w:t xml:space="preserve">table </w:t>
      </w:r>
      <w:r w:rsidR="00BA2E8E">
        <w:rPr>
          <w:noProof/>
        </w:rPr>
        <w:t>3</w:t>
      </w:r>
      <w:r w:rsidR="00BA2E8E">
        <w:noBreakHyphen/>
      </w:r>
      <w:r w:rsidR="00BA2E8E">
        <w:rPr>
          <w:noProof/>
        </w:rPr>
        <w:t>6</w:t>
      </w:r>
      <w:r>
        <w:fldChar w:fldCharType="end"/>
      </w:r>
      <w:r>
        <w:t>). However, we note in any case that we do not consider there is persuasive evidence that these entities are reasonable comparators for a benchmark efficient entity with similar degree of risk to CitiPower in the provision of its regulated services.</w:t>
      </w:r>
    </w:p>
    <w:p w:rsidR="00AC3F76" w:rsidRPr="00C01E61" w:rsidRDefault="00AC3F76" w:rsidP="00AC3F76">
      <w:pPr>
        <w:numPr>
          <w:ilvl w:val="0"/>
          <w:numId w:val="24"/>
        </w:numPr>
      </w:pPr>
      <w:r>
        <w:t>We note that Frontier Economics, despite recommending the use of non-energy infrastructure comparators, proposed its original equity beta estimate of 0.82, which does not include non-energy infrastructure comparators.</w:t>
      </w:r>
      <w:r>
        <w:rPr>
          <w:rStyle w:val="FootnoteReference"/>
        </w:rPr>
        <w:footnoteReference w:id="1085"/>
      </w:r>
      <w:r>
        <w:t xml:space="preserve"> We also note that, currently, the use of non-energy infrastructure firms in our comparator set may be immaterial. The average equity beta estimates from Frontier Economics' analysis of non-energy infrastructure firms range from 0.58 to 0.91,</w:t>
      </w:r>
      <w:r>
        <w:rPr>
          <w:rStyle w:val="FootnoteReference"/>
        </w:rPr>
        <w:footnoteReference w:id="1086"/>
      </w:r>
      <w:r>
        <w:t xml:space="preserve"> which is consistent with our final equity beta estimate of 0.7.</w:t>
      </w:r>
    </w:p>
    <w:p w:rsidR="00AC3F76" w:rsidRDefault="00AC3F76" w:rsidP="00AC3F76"/>
    <w:p w:rsidR="00B42AC6" w:rsidRDefault="00B42AC6" w:rsidP="00B42AC6"/>
    <w:p w:rsidR="00DB0499" w:rsidRDefault="00DB0499" w:rsidP="00B42AC6"/>
    <w:p w:rsidR="00DB0499" w:rsidRDefault="00DB0499" w:rsidP="00B42AC6"/>
    <w:p w:rsidR="00B42AC6" w:rsidRDefault="00B42AC6" w:rsidP="00B42AC6">
      <w:pPr>
        <w:pStyle w:val="Heading7"/>
      </w:pPr>
      <w:bookmarkStart w:id="338" w:name="_Ref451265869"/>
      <w:bookmarkStart w:id="339" w:name="_Ref451266048"/>
      <w:bookmarkStart w:id="340" w:name="_Toc451678676"/>
      <w:r>
        <w:t>Return on debt approach</w:t>
      </w:r>
      <w:bookmarkEnd w:id="338"/>
      <w:bookmarkEnd w:id="339"/>
      <w:bookmarkEnd w:id="340"/>
    </w:p>
    <w:p w:rsidR="0070344D" w:rsidRDefault="0070344D" w:rsidP="0070344D">
      <w:r>
        <w:t>We transition all of the return on debt</w:t>
      </w:r>
      <w:r>
        <w:rPr>
          <w:rStyle w:val="FootnoteReference"/>
        </w:rPr>
        <w:footnoteReference w:id="1087"/>
      </w:r>
      <w:r>
        <w:t xml:space="preserve"> from an on-the-day approach </w:t>
      </w:r>
      <w:r w:rsidRPr="00F17A9D">
        <w:t xml:space="preserve">in the first regulatory year </w:t>
      </w:r>
      <w:r>
        <w:t xml:space="preserve">to a trailing average by updating 10 per cent of the debt portfolio </w:t>
      </w:r>
      <w:r w:rsidRPr="00454ED0">
        <w:t>over 10 years</w:t>
      </w:r>
      <w:r>
        <w:t xml:space="preserve"> (a full transition). This appendix explains why, if we move to a trailing average approach, doing so requires a full transition to achieve the allowed rate of return objective (ARORO). It also explains why we consider the on-the-day approach should apply if there is no transition between the current approach and the trailing average. </w:t>
      </w:r>
      <w:r w:rsidR="00311AEE">
        <w:t>In this appendix, a 'regulatory period' means a regulatory control period or an access arrangement period</w:t>
      </w:r>
      <w:r w:rsidR="00965241">
        <w:t>.</w:t>
      </w:r>
    </w:p>
    <w:p w:rsidR="0070344D" w:rsidRDefault="0070344D" w:rsidP="0070344D">
      <w:r>
        <w:t>In setting out our reasons for this view, this appendix is structured as follows:</w:t>
      </w:r>
    </w:p>
    <w:p w:rsidR="0070344D" w:rsidRPr="0070344D" w:rsidRDefault="0070344D" w:rsidP="0070344D">
      <w:pPr>
        <w:pStyle w:val="AERbulletlistfirststyle"/>
      </w:pPr>
      <w:r>
        <w:t xml:space="preserve">Section </w:t>
      </w:r>
      <w:r w:rsidRPr="0070344D">
        <w:fldChar w:fldCharType="begin"/>
      </w:r>
      <w:r w:rsidRPr="0070344D">
        <w:instrText xml:space="preserve"> REF _Ref447803792 \r \h </w:instrText>
      </w:r>
      <w:r w:rsidRPr="0070344D">
        <w:fldChar w:fldCharType="separate"/>
      </w:r>
      <w:r>
        <w:t>H.1</w:t>
      </w:r>
      <w:r w:rsidRPr="0070344D">
        <w:fldChar w:fldCharType="end"/>
      </w:r>
      <w:r w:rsidRPr="0070344D">
        <w:t xml:space="preserve"> establishes how we interpret the ARORO. This is with a particular focus on defining efficient financing costs (section </w:t>
      </w:r>
      <w:r w:rsidRPr="0070344D">
        <w:fldChar w:fldCharType="begin"/>
      </w:r>
      <w:r w:rsidRPr="0070344D">
        <w:instrText xml:space="preserve"> REF _Ref446405872 \r \h </w:instrText>
      </w:r>
      <w:r w:rsidRPr="0070344D">
        <w:fldChar w:fldCharType="separate"/>
      </w:r>
      <w:r>
        <w:t>H.1.1</w:t>
      </w:r>
      <w:r w:rsidRPr="0070344D">
        <w:fldChar w:fldCharType="end"/>
      </w:r>
      <w:r w:rsidRPr="0070344D">
        <w:t xml:space="preserve">) and how the concept of a benchmark efficient entity interacts with the ARORO (section </w:t>
      </w:r>
      <w:r w:rsidRPr="0070344D">
        <w:fldChar w:fldCharType="begin"/>
      </w:r>
      <w:r w:rsidRPr="0070344D">
        <w:instrText xml:space="preserve"> REF _Ref447803806 \r \h </w:instrText>
      </w:r>
      <w:r w:rsidRPr="0070344D">
        <w:fldChar w:fldCharType="separate"/>
      </w:r>
      <w:r>
        <w:t>H.1.2</w:t>
      </w:r>
      <w:r w:rsidRPr="0070344D">
        <w:fldChar w:fldCharType="end"/>
      </w:r>
      <w:r w:rsidRPr="0070344D">
        <w:t>).</w:t>
      </w:r>
    </w:p>
    <w:p w:rsidR="0070344D" w:rsidRPr="0070344D" w:rsidRDefault="0070344D" w:rsidP="0070344D">
      <w:pPr>
        <w:pStyle w:val="AERbulletlistfirststyle"/>
      </w:pPr>
      <w:r>
        <w:t>S</w:t>
      </w:r>
      <w:r w:rsidRPr="0070344D">
        <w:t xml:space="preserve">ection </w:t>
      </w:r>
      <w:r w:rsidRPr="0070344D">
        <w:fldChar w:fldCharType="begin"/>
      </w:r>
      <w:r w:rsidRPr="0070344D">
        <w:instrText xml:space="preserve"> REF _Ref444778432 \r \h </w:instrText>
      </w:r>
      <w:r w:rsidRPr="0070344D">
        <w:fldChar w:fldCharType="separate"/>
      </w:r>
      <w:r>
        <w:t>H.2</w:t>
      </w:r>
      <w:r w:rsidRPr="0070344D">
        <w:fldChar w:fldCharType="end"/>
      </w:r>
      <w:r w:rsidRPr="0070344D">
        <w:t xml:space="preserve"> sets out what is required for us to form an allowed return on debt that contributes to the achievement of the ARORO. This includes: </w:t>
      </w:r>
    </w:p>
    <w:p w:rsidR="0070344D" w:rsidRDefault="0070344D" w:rsidP="0070344D">
      <w:pPr>
        <w:pStyle w:val="AERbulletlistsecondstyle"/>
      </w:pPr>
      <w:r>
        <w:t xml:space="preserve">section </w:t>
      </w:r>
      <w:r>
        <w:fldChar w:fldCharType="begin"/>
      </w:r>
      <w:r>
        <w:instrText xml:space="preserve"> REF _Ref446603900 \r \h  \* MERGEFORMAT </w:instrText>
      </w:r>
      <w:r>
        <w:fldChar w:fldCharType="separate"/>
      </w:r>
      <w:r>
        <w:t>H.2.1</w:t>
      </w:r>
      <w:r>
        <w:fldChar w:fldCharType="end"/>
      </w:r>
      <w:r>
        <w:t>—the need to provide ex-ante compensation for efficient financing costs (ex-ante efficient compensation) as opposed to providing compensation for historically incurred costs</w:t>
      </w:r>
    </w:p>
    <w:p w:rsidR="0070344D" w:rsidRDefault="0070344D" w:rsidP="0070344D">
      <w:pPr>
        <w:pStyle w:val="AERbulletlistsecondstyle"/>
      </w:pPr>
      <w:r>
        <w:t xml:space="preserve">section </w:t>
      </w:r>
      <w:r>
        <w:fldChar w:fldCharType="begin"/>
      </w:r>
      <w:r>
        <w:instrText xml:space="preserve"> REF _Ref447803918 \r \h </w:instrText>
      </w:r>
      <w:r>
        <w:fldChar w:fldCharType="separate"/>
      </w:r>
      <w:r>
        <w:t>H.2.2</w:t>
      </w:r>
      <w:r>
        <w:fldChar w:fldCharType="end"/>
      </w:r>
      <w:r>
        <w:t xml:space="preserve">—why we consider our approach is consistent with the </w:t>
      </w:r>
      <w:r w:rsidRPr="000E6F19">
        <w:t>National Electricity Law /National Gas Law</w:t>
      </w:r>
      <w:r>
        <w:t xml:space="preserve"> (NEL/NGL) </w:t>
      </w:r>
    </w:p>
    <w:p w:rsidR="0070344D" w:rsidRDefault="0070344D" w:rsidP="0070344D">
      <w:pPr>
        <w:pStyle w:val="AERbulletlistsecondstyle"/>
      </w:pPr>
      <w:r>
        <w:t xml:space="preserve">section </w:t>
      </w:r>
      <w:r>
        <w:fldChar w:fldCharType="begin"/>
      </w:r>
      <w:r>
        <w:instrText xml:space="preserve"> REF _Ref447803924 \r \h </w:instrText>
      </w:r>
      <w:r>
        <w:fldChar w:fldCharType="separate"/>
      </w:r>
      <w:r>
        <w:t>H.2.3</w:t>
      </w:r>
      <w:r>
        <w:fldChar w:fldCharType="end"/>
      </w:r>
      <w:r>
        <w:t>—why we consider a revenue-neutral transition (in a present value sense) is required if there is a change in the methodology (or approach) for estimating the allowed return on debt (assuming that both methodologies can achieve the ARORO but produce different estimates at a given point in time).</w:t>
      </w:r>
    </w:p>
    <w:p w:rsidR="0070344D" w:rsidRPr="0070344D" w:rsidRDefault="0070344D" w:rsidP="0070344D">
      <w:pPr>
        <w:pStyle w:val="AERbulletlistfirststyle"/>
      </w:pPr>
      <w:r>
        <w:t xml:space="preserve">Section </w:t>
      </w:r>
      <w:r w:rsidRPr="0070344D">
        <w:fldChar w:fldCharType="begin"/>
      </w:r>
      <w:r w:rsidRPr="0070344D">
        <w:instrText xml:space="preserve"> REF _Ref444767739 \r \h </w:instrText>
      </w:r>
      <w:r w:rsidRPr="0070344D">
        <w:fldChar w:fldCharType="separate"/>
      </w:r>
      <w:r>
        <w:t>H.3</w:t>
      </w:r>
      <w:r w:rsidRPr="0070344D">
        <w:fldChar w:fldCharType="end"/>
      </w:r>
      <w:r w:rsidRPr="0070344D">
        <w:t xml:space="preserve"> analyses the on-the-day and trailing average approaches to establish the extent these approaches can contribute to the achievement of the ARORO.</w:t>
      </w:r>
    </w:p>
    <w:p w:rsidR="0070344D" w:rsidRPr="0070344D" w:rsidRDefault="0070344D" w:rsidP="0070344D">
      <w:pPr>
        <w:pStyle w:val="AERbulletlistfirststyle"/>
      </w:pPr>
      <w:r>
        <w:t xml:space="preserve">Section </w:t>
      </w:r>
      <w:r w:rsidRPr="0070344D">
        <w:fldChar w:fldCharType="begin"/>
      </w:r>
      <w:r w:rsidRPr="0070344D">
        <w:instrText xml:space="preserve"> REF _Ref447538284 \r \h </w:instrText>
      </w:r>
      <w:r w:rsidRPr="0070344D">
        <w:fldChar w:fldCharType="separate"/>
      </w:r>
      <w:r>
        <w:t>H.4</w:t>
      </w:r>
      <w:r w:rsidRPr="0070344D">
        <w:fldChar w:fldCharType="end"/>
      </w:r>
      <w:r w:rsidRPr="0070344D">
        <w:t xml:space="preserve"> establishes why a full transition can contribute to the achievement of the ARORO when moving from an on-the-day to a trailing average approach.</w:t>
      </w:r>
    </w:p>
    <w:p w:rsidR="0070344D" w:rsidRPr="0070344D" w:rsidRDefault="0070344D" w:rsidP="0070344D">
      <w:pPr>
        <w:pStyle w:val="AERbulletlistfirststyle"/>
      </w:pPr>
      <w:r>
        <w:t xml:space="preserve">Section </w:t>
      </w:r>
      <w:r w:rsidRPr="0070344D">
        <w:fldChar w:fldCharType="begin"/>
      </w:r>
      <w:r w:rsidRPr="0070344D">
        <w:instrText xml:space="preserve"> REF _Ref447266532 \r \h </w:instrText>
      </w:r>
      <w:r w:rsidRPr="0070344D">
        <w:fldChar w:fldCharType="separate"/>
      </w:r>
      <w:r>
        <w:t>H.5</w:t>
      </w:r>
      <w:r w:rsidRPr="0070344D">
        <w:fldChar w:fldCharType="end"/>
      </w:r>
      <w:r w:rsidRPr="0070344D">
        <w:t xml:space="preserve"> explains why an immediate (or hybrid) transition will not achieve the ARORO given current interest rates relative to historical interest rates. This includes: </w:t>
      </w:r>
    </w:p>
    <w:p w:rsidR="0070344D" w:rsidRDefault="0070344D" w:rsidP="0070344D">
      <w:pPr>
        <w:pStyle w:val="AERbulletlistsecondstyle"/>
      </w:pPr>
      <w:r>
        <w:t xml:space="preserve">section </w:t>
      </w:r>
      <w:r>
        <w:fldChar w:fldCharType="begin"/>
      </w:r>
      <w:r>
        <w:instrText xml:space="preserve"> REF _Ref447886159 \r \h  \* MERGEFORMAT </w:instrText>
      </w:r>
      <w:r>
        <w:fldChar w:fldCharType="separate"/>
      </w:r>
      <w:r>
        <w:t>H.5.1</w:t>
      </w:r>
      <w:r>
        <w:fldChar w:fldCharType="end"/>
      </w:r>
      <w:r>
        <w:t xml:space="preserve">—a mathematical explanation. </w:t>
      </w:r>
    </w:p>
    <w:p w:rsidR="0070344D" w:rsidRDefault="0070344D" w:rsidP="0070344D">
      <w:pPr>
        <w:pStyle w:val="AERbulletlistsecondstyle"/>
      </w:pPr>
      <w:r>
        <w:t xml:space="preserve">section </w:t>
      </w:r>
      <w:r w:rsidRPr="002951E2">
        <w:fldChar w:fldCharType="begin"/>
      </w:r>
      <w:r w:rsidRPr="002951E2">
        <w:instrText xml:space="preserve"> REF _Ref447886226 \r \h </w:instrText>
      </w:r>
      <w:r>
        <w:instrText xml:space="preserve"> \* MERGEFORMAT </w:instrText>
      </w:r>
      <w:r w:rsidRPr="002951E2">
        <w:fldChar w:fldCharType="separate"/>
      </w:r>
      <w:r>
        <w:t>H.5.2</w:t>
      </w:r>
      <w:r w:rsidRPr="002951E2">
        <w:fldChar w:fldCharType="end"/>
      </w:r>
      <w:r>
        <w:t>—a further discussion responding to some issues raised in the service providers' revised proposals.</w:t>
      </w:r>
      <w:r>
        <w:rPr>
          <w:rStyle w:val="FootnoteReference"/>
        </w:rPr>
        <w:footnoteReference w:id="1088"/>
      </w:r>
      <w:r w:rsidRPr="00D65D03">
        <w:t xml:space="preserve"> </w:t>
      </w:r>
      <w:r>
        <w:fldChar w:fldCharType="begin"/>
      </w:r>
      <w:r>
        <w:instrText xml:space="preserve"> REF _Ref447807493 \h  \* MERGEFORMAT </w:instrText>
      </w:r>
      <w:r>
        <w:fldChar w:fldCharType="separate"/>
      </w:r>
      <w:r>
        <w:t xml:space="preserve">Table </w:t>
      </w:r>
      <w:r w:rsidRPr="0070344D">
        <w:t>3</w:t>
      </w:r>
      <w:r>
        <w:noBreakHyphen/>
      </w:r>
      <w:r w:rsidRPr="0070344D">
        <w:t>40</w:t>
      </w:r>
      <w:r>
        <w:fldChar w:fldCharType="end"/>
      </w:r>
      <w:r>
        <w:t xml:space="preserve"> responds to arguments supporting an immediate transition to a trailing average. Then, we explain why we disagree with CEG's report recommending that if we apply a hybrid transition, we should assume a benchmark efficient entity would have hedged one third of the base rate (noting this argument becomes redundant as we do not apply a hybrid transition).</w:t>
      </w:r>
      <w:r>
        <w:rPr>
          <w:rStyle w:val="FootnoteReference"/>
        </w:rPr>
        <w:footnoteReference w:id="1089"/>
      </w:r>
    </w:p>
    <w:p w:rsidR="0070344D" w:rsidRDefault="0070344D" w:rsidP="0070344D">
      <w:pPr>
        <w:pStyle w:val="ListContinue"/>
      </w:pPr>
      <w:r>
        <w:t xml:space="preserve">This section also explains why, to achieve the ARORO, the on-the-day approach should continue if there is no revenue-neutral transition from the current on the day approach. </w:t>
      </w:r>
    </w:p>
    <w:p w:rsidR="0070344D" w:rsidRDefault="0070344D" w:rsidP="0070344D">
      <w:pPr>
        <w:pStyle w:val="Heading8"/>
        <w:numPr>
          <w:ilvl w:val="1"/>
          <w:numId w:val="51"/>
        </w:numPr>
      </w:pPr>
      <w:bookmarkStart w:id="341" w:name="_Ref447803792"/>
      <w:r>
        <w:t>Interpretation of the ARORO</w:t>
      </w:r>
      <w:bookmarkEnd w:id="341"/>
    </w:p>
    <w:p w:rsidR="0070344D" w:rsidRDefault="0070344D" w:rsidP="0070344D">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rovider in respect of the provision of standard control</w:t>
      </w:r>
      <w:r>
        <w:t>, prescribed transmission or reference</w:t>
      </w:r>
      <w:r w:rsidRPr="00580692">
        <w:t xml:space="preserve"> services</w:t>
      </w:r>
      <w:r>
        <w:t xml:space="preserve"> (regulated services).</w:t>
      </w:r>
      <w:r>
        <w:rPr>
          <w:rStyle w:val="FootnoteReference"/>
        </w:rPr>
        <w:footnoteReference w:id="1090"/>
      </w:r>
      <w:r>
        <w:t xml:space="preserve"> Given this, applying the ARORO requires an understanding of:</w:t>
      </w:r>
    </w:p>
    <w:p w:rsidR="0070344D" w:rsidRDefault="0070344D" w:rsidP="0070344D">
      <w:pPr>
        <w:pStyle w:val="AERbulletlistfirststyle"/>
      </w:pPr>
      <w:r>
        <w:t>efficient financing costs</w:t>
      </w:r>
    </w:p>
    <w:p w:rsidR="0070344D" w:rsidRPr="0070344D" w:rsidRDefault="0070344D" w:rsidP="0070344D">
      <w:pPr>
        <w:pStyle w:val="AERbulletlistfirststyle"/>
      </w:pPr>
      <w:r>
        <w:t>the</w:t>
      </w:r>
      <w:r w:rsidRPr="0070344D">
        <w:t xml:space="preserve"> degree of risk that applies to a benchmark efficient service provider in respect of the provision of regulated services.</w:t>
      </w:r>
    </w:p>
    <w:p w:rsidR="0070344D" w:rsidRDefault="0070344D" w:rsidP="0070344D">
      <w:r>
        <w:t>We elaborate on these components of the ARORO in the following sections.</w:t>
      </w:r>
    </w:p>
    <w:p w:rsidR="0070344D" w:rsidRDefault="0070344D" w:rsidP="0070344D">
      <w:pPr>
        <w:pStyle w:val="Heading9"/>
      </w:pPr>
      <w:bookmarkStart w:id="342" w:name="_Ref446405872"/>
      <w:r>
        <w:t>Efficient financing costs</w:t>
      </w:r>
      <w:bookmarkEnd w:id="342"/>
      <w:r>
        <w:t xml:space="preserve"> </w:t>
      </w:r>
    </w:p>
    <w:p w:rsidR="0070344D" w:rsidRPr="006757DF" w:rsidRDefault="0070344D" w:rsidP="0070344D">
      <w:pPr>
        <w:numPr>
          <w:ilvl w:val="0"/>
          <w:numId w:val="24"/>
        </w:numPr>
      </w:pPr>
      <w:r w:rsidRPr="00362018">
        <w:t xml:space="preserve">The ARORO </w:t>
      </w:r>
      <w:r>
        <w:t>provides for</w:t>
      </w:r>
      <w:r w:rsidRPr="00362018">
        <w:t xml:space="preserve"> a rate of return commensurate with the efficient financing costs of a benchmark efficient entity with a similar degree of risk as that which applies to the service provider in respect of the provision </w:t>
      </w:r>
      <w:r>
        <w:t xml:space="preserve">of </w:t>
      </w:r>
      <w:r w:rsidRPr="00362018">
        <w:t xml:space="preserve">regulated services. </w:t>
      </w:r>
      <w:r>
        <w:t>Given this, it is important to understand efficient financing costs.</w:t>
      </w:r>
      <w:r w:rsidRPr="00C35758">
        <w:rPr>
          <w:rStyle w:val="FootnoteReference"/>
        </w:rPr>
        <w:t xml:space="preserve"> </w:t>
      </w:r>
    </w:p>
    <w:p w:rsidR="0070344D" w:rsidRDefault="0070344D" w:rsidP="0070344D">
      <w:pPr>
        <w:numPr>
          <w:ilvl w:val="0"/>
          <w:numId w:val="24"/>
        </w:numPr>
      </w:pPr>
      <w:r>
        <w:t xml:space="preserve">Economists typically think of efficiency in three dimensions: productive, allocative and dynamic. </w:t>
      </w:r>
      <w:r>
        <w:fldChar w:fldCharType="begin"/>
      </w:r>
      <w:r>
        <w:instrText xml:space="preserve"> REF _Ref447803361 \h </w:instrText>
      </w:r>
      <w:r>
        <w:fldChar w:fldCharType="separate"/>
      </w:r>
      <w:r>
        <w:t xml:space="preserve">Table </w:t>
      </w:r>
      <w:r w:rsidRPr="0070344D">
        <w:t>3</w:t>
      </w:r>
      <w:r>
        <w:noBreakHyphen/>
      </w:r>
      <w:r w:rsidRPr="0070344D">
        <w:t>39</w:t>
      </w:r>
      <w:r>
        <w:fldChar w:fldCharType="end"/>
      </w:r>
      <w:r>
        <w:t xml:space="preserve"> sets out how this applies in the context of debt financing.</w:t>
      </w:r>
    </w:p>
    <w:p w:rsidR="0070344D" w:rsidRDefault="0070344D" w:rsidP="001B4217">
      <w:pPr>
        <w:pStyle w:val="Caption"/>
      </w:pPr>
      <w:bookmarkStart w:id="343" w:name="_Ref447803361"/>
      <w:r>
        <w:t xml:space="preserve">Table </w:t>
      </w:r>
      <w:r w:rsidRPr="00BB7CBA">
        <w:fldChar w:fldCharType="begin"/>
      </w:r>
      <w:r>
        <w:instrText xml:space="preserve"> STYLEREF 1 \s </w:instrText>
      </w:r>
      <w:r w:rsidRPr="00BB7CBA">
        <w:fldChar w:fldCharType="separate"/>
      </w:r>
      <w:r w:rsidRPr="0070344D">
        <w:t>3</w:t>
      </w:r>
      <w:r w:rsidRPr="00BB7CBA">
        <w:fldChar w:fldCharType="end"/>
      </w:r>
      <w:r>
        <w:noBreakHyphen/>
      </w:r>
      <w:r w:rsidRPr="00BB7CBA">
        <w:fldChar w:fldCharType="begin"/>
      </w:r>
      <w:r>
        <w:instrText xml:space="preserve"> SEQ Table \* ARABIC \s 1 </w:instrText>
      </w:r>
      <w:r w:rsidRPr="00BB7CBA">
        <w:fldChar w:fldCharType="separate"/>
      </w:r>
      <w:r w:rsidRPr="0070344D">
        <w:t>39</w:t>
      </w:r>
      <w:r w:rsidRPr="00BB7CBA">
        <w:fldChar w:fldCharType="end"/>
      </w:r>
      <w:bookmarkEnd w:id="343"/>
      <w:r>
        <w:tab/>
        <w:t>Application of economic efficiency to debt financing</w:t>
      </w:r>
    </w:p>
    <w:tbl>
      <w:tblPr>
        <w:tblStyle w:val="AERtable-text0"/>
        <w:tblW w:w="5000" w:type="pct"/>
        <w:tblLook w:val="04A0" w:firstRow="1" w:lastRow="0" w:firstColumn="1" w:lastColumn="0" w:noHBand="0" w:noVBand="1"/>
      </w:tblPr>
      <w:tblGrid>
        <w:gridCol w:w="1382"/>
        <w:gridCol w:w="4114"/>
        <w:gridCol w:w="3197"/>
      </w:tblGrid>
      <w:tr w:rsidR="0070344D" w:rsidRPr="00B814E2" w:rsidTr="009C74CF">
        <w:trPr>
          <w:cnfStyle w:val="100000000000" w:firstRow="1" w:lastRow="0" w:firstColumn="0" w:lastColumn="0" w:oddVBand="0" w:evenVBand="0" w:oddHBand="0" w:evenHBand="0" w:firstRowFirstColumn="0" w:firstRowLastColumn="0" w:lastRowFirstColumn="0" w:lastRowLastColumn="0"/>
        </w:trPr>
        <w:tc>
          <w:tcPr>
            <w:tcW w:w="795" w:type="pct"/>
          </w:tcPr>
          <w:p w:rsidR="0070344D" w:rsidRPr="0070344D" w:rsidRDefault="0070344D" w:rsidP="001B4217">
            <w:pPr>
              <w:keepNext/>
            </w:pPr>
            <w:r w:rsidRPr="00B814E2">
              <w:t>Dimension of efficiency</w:t>
            </w:r>
          </w:p>
        </w:tc>
        <w:tc>
          <w:tcPr>
            <w:tcW w:w="2366" w:type="pct"/>
          </w:tcPr>
          <w:p w:rsidR="0070344D" w:rsidRPr="0070344D" w:rsidRDefault="0070344D" w:rsidP="001B4217">
            <w:pPr>
              <w:keepNext/>
            </w:pPr>
            <w:r w:rsidRPr="00B814E2">
              <w:t>Economic meaning</w:t>
            </w:r>
            <w:r w:rsidRPr="0070344D">
              <w:rPr>
                <w:rStyle w:val="AERsuperscript"/>
              </w:rPr>
              <w:footnoteReference w:id="1091"/>
            </w:r>
          </w:p>
        </w:tc>
        <w:tc>
          <w:tcPr>
            <w:tcW w:w="1839" w:type="pct"/>
          </w:tcPr>
          <w:p w:rsidR="0070344D" w:rsidRPr="0070344D" w:rsidRDefault="0070344D" w:rsidP="001B4217">
            <w:pPr>
              <w:keepNext/>
            </w:pPr>
            <w:r w:rsidRPr="00B814E2">
              <w:t>Application to debt financing</w:t>
            </w:r>
            <w:r w:rsidRPr="0070344D">
              <w:rPr>
                <w:rStyle w:val="AERsuperscript"/>
              </w:rPr>
              <w:footnoteReference w:id="1092"/>
            </w:r>
          </w:p>
        </w:tc>
      </w:tr>
      <w:tr w:rsidR="0070344D" w:rsidRPr="00B814E2" w:rsidTr="009C74CF">
        <w:tc>
          <w:tcPr>
            <w:tcW w:w="795" w:type="pct"/>
          </w:tcPr>
          <w:p w:rsidR="0070344D" w:rsidRPr="0070344D" w:rsidRDefault="0070344D" w:rsidP="001B4217">
            <w:pPr>
              <w:keepNext/>
            </w:pPr>
            <w:r w:rsidRPr="0070344D">
              <w:t>Productive efficiency</w:t>
            </w:r>
          </w:p>
        </w:tc>
        <w:tc>
          <w:tcPr>
            <w:tcW w:w="2366" w:type="pct"/>
          </w:tcPr>
          <w:p w:rsidR="0070344D" w:rsidRPr="0070344D" w:rsidRDefault="0070344D" w:rsidP="001B4217">
            <w:pPr>
              <w:keepNext/>
            </w:pPr>
            <w:r w:rsidRPr="0070344D">
              <w:t>Achieved when output is produced at minimum cost. This occurs where no more output can be produced given the resources available, that is, the economy is on its production possibility frontier. Productive efficiency incorporates technical efficiency. This refers to the extent that it is technically feasible to reduce any input without decreasing the output or increasing any other input.</w:t>
            </w:r>
          </w:p>
        </w:tc>
        <w:tc>
          <w:tcPr>
            <w:tcW w:w="1839" w:type="pct"/>
          </w:tcPr>
          <w:p w:rsidR="0070344D" w:rsidRPr="0070344D" w:rsidRDefault="0070344D" w:rsidP="001B4217">
            <w:pPr>
              <w:keepNext/>
            </w:pPr>
            <w:r w:rsidRPr="0070344D">
              <w:t>Refers to least cost financing (that is, the lowest required return on debt) subject to any constraints, such as risk</w:t>
            </w:r>
            <w:r w:rsidR="00EB795B">
              <w:t xml:space="preserve">. For </w:t>
            </w:r>
            <w:r w:rsidR="00EB795B" w:rsidRPr="00EB795B">
              <w:t>our determinations to be productively efficient we need to incentivise service providers to seek the lowest cost financing (all else being equal</w:t>
            </w:r>
            <w:r w:rsidRPr="0070344D">
              <w:t>.</w:t>
            </w:r>
          </w:p>
        </w:tc>
      </w:tr>
      <w:tr w:rsidR="00EB795B" w:rsidRPr="00B814E2" w:rsidTr="009C74CF">
        <w:trPr>
          <w:cnfStyle w:val="000000010000" w:firstRow="0" w:lastRow="0" w:firstColumn="0" w:lastColumn="0" w:oddVBand="0" w:evenVBand="0" w:oddHBand="0" w:evenHBand="1" w:firstRowFirstColumn="0" w:firstRowLastColumn="0" w:lastRowFirstColumn="0" w:lastRowLastColumn="0"/>
        </w:trPr>
        <w:tc>
          <w:tcPr>
            <w:tcW w:w="795" w:type="pct"/>
          </w:tcPr>
          <w:p w:rsidR="00EB795B" w:rsidRPr="00EB795B" w:rsidRDefault="00EB795B" w:rsidP="001B4217">
            <w:pPr>
              <w:keepNext/>
            </w:pPr>
            <w:r w:rsidRPr="0070344D">
              <w:t>Allocative efficiency</w:t>
            </w:r>
          </w:p>
        </w:tc>
        <w:tc>
          <w:tcPr>
            <w:tcW w:w="2366" w:type="pct"/>
          </w:tcPr>
          <w:p w:rsidR="00EB795B" w:rsidRPr="00EB795B" w:rsidRDefault="00EB795B" w:rsidP="001B4217">
            <w:pPr>
              <w:keepNext/>
            </w:pPr>
            <w:r w:rsidRPr="0070344D">
              <w:t xml:space="preserve">Achieved when the community gets the greatest return (or </w:t>
            </w:r>
            <w:r w:rsidRPr="00EB795B">
              <w:t>utility) from its scarce resources.</w:t>
            </w:r>
          </w:p>
        </w:tc>
        <w:tc>
          <w:tcPr>
            <w:tcW w:w="1839" w:type="pct"/>
          </w:tcPr>
          <w:p w:rsidR="00EB795B" w:rsidRPr="00EB795B" w:rsidRDefault="00EB795B" w:rsidP="001B4217">
            <w:pPr>
              <w:keepNext/>
            </w:pPr>
            <w:r>
              <w:t xml:space="preserve">Allocative </w:t>
            </w:r>
            <w:r w:rsidRPr="00EB795B">
              <w:t>efficiency can be achieved by setting an allowed return consistent with the expected return in the competitive capital market (determined by demand and supply) for an investment of similar degree of risk as a service provider supplying regulated services</w:t>
            </w:r>
            <w:r>
              <w:t>.</w:t>
            </w:r>
          </w:p>
        </w:tc>
      </w:tr>
      <w:tr w:rsidR="00EB795B" w:rsidRPr="00B814E2" w:rsidTr="009C74CF">
        <w:tc>
          <w:tcPr>
            <w:tcW w:w="795" w:type="pct"/>
          </w:tcPr>
          <w:p w:rsidR="00EB795B" w:rsidRPr="00EB795B" w:rsidRDefault="00EB795B" w:rsidP="001B4217">
            <w:pPr>
              <w:keepNext/>
            </w:pPr>
            <w:r w:rsidRPr="0070344D">
              <w:t>Dynamic efficiency</w:t>
            </w:r>
          </w:p>
        </w:tc>
        <w:tc>
          <w:tcPr>
            <w:tcW w:w="2366" w:type="pct"/>
          </w:tcPr>
          <w:p w:rsidR="00EB795B" w:rsidRPr="00EB795B" w:rsidRDefault="00EB795B" w:rsidP="001B4217">
            <w:pPr>
              <w:keepNext/>
            </w:pPr>
            <w:r w:rsidRPr="0070344D">
              <w:t>Refers to the allocation of resources over time, including allocations designed to improve economic efficiency and to generate more resources. This can mean finding better products and better ways of producing goods and services.</w:t>
            </w:r>
          </w:p>
        </w:tc>
        <w:tc>
          <w:tcPr>
            <w:tcW w:w="1839" w:type="pct"/>
          </w:tcPr>
          <w:p w:rsidR="00EB795B" w:rsidRPr="00EB795B" w:rsidRDefault="00EB795B" w:rsidP="001B4217">
            <w:pPr>
              <w:keepNext/>
            </w:pPr>
            <w:r w:rsidRPr="0070344D">
              <w:t>Refers to the existence of appropriate investment incentives</w:t>
            </w:r>
            <w:r>
              <w:t xml:space="preserve">. We </w:t>
            </w:r>
            <w:r w:rsidRPr="00EB795B">
              <w:t>can encourage dynamic efficiency by setting an allowance that does not distort investment decisions. Dynamic efficiency is advanced through incentive regulation rather than cost of service regulation that compensates a service provider for its actual costs no matter how inefficient</w:t>
            </w:r>
            <w:r w:rsidRPr="0070344D">
              <w:t>.</w:t>
            </w:r>
            <w:r w:rsidRPr="00EB795B">
              <w:rPr>
                <w:rStyle w:val="AERbody"/>
              </w:rPr>
              <w:t xml:space="preserve"> </w:t>
            </w:r>
          </w:p>
        </w:tc>
      </w:tr>
    </w:tbl>
    <w:p w:rsidR="0070344D" w:rsidRDefault="0070344D" w:rsidP="001B4217">
      <w:pPr>
        <w:pStyle w:val="AERtablesource"/>
        <w:keepNext/>
      </w:pPr>
      <w:r>
        <w:t>Source:</w:t>
      </w:r>
      <w:r>
        <w:tab/>
        <w:t xml:space="preserve">AER analysis; Productivity Commission, </w:t>
      </w:r>
      <w:r w:rsidRPr="00B814E2">
        <w:rPr>
          <w:rStyle w:val="AERtextitalic"/>
        </w:rPr>
        <w:t>On efficiency and effectiveness: Some definitions</w:t>
      </w:r>
      <w:r>
        <w:t xml:space="preserve">, May 2013; AER, </w:t>
      </w:r>
      <w:r w:rsidRPr="006757DF">
        <w:rPr>
          <w:rStyle w:val="AERtextitalic"/>
        </w:rPr>
        <w:t>Better regulation: Rate of return guidelines consultation paper</w:t>
      </w:r>
      <w:r>
        <w:t>, May 2013.</w:t>
      </w:r>
    </w:p>
    <w:p w:rsidR="0070344D" w:rsidRDefault="0070344D" w:rsidP="0070344D">
      <w:pPr>
        <w:numPr>
          <w:ilvl w:val="0"/>
          <w:numId w:val="24"/>
        </w:numPr>
      </w:pPr>
      <w:r>
        <w:t xml:space="preserve">Because </w:t>
      </w:r>
      <w:r w:rsidRPr="00EE36F1">
        <w:t xml:space="preserve">the market for capital finance is competitive, </w:t>
      </w:r>
      <w:r>
        <w:t>a</w:t>
      </w:r>
      <w:r w:rsidRPr="00EE36F1">
        <w:t xml:space="preserve"> benchmark efficient entity </w:t>
      </w:r>
      <w:r>
        <w:t xml:space="preserve">is expected to </w:t>
      </w:r>
      <w:r w:rsidRPr="00EE36F1">
        <w:t>face competitive prices in the market for funds.</w:t>
      </w:r>
      <w:r>
        <w:t xml:space="preserve"> Therefore, we consider efficient debt financing costs are reflected in the prevailing cost of debt observed in capital markets</w:t>
      </w:r>
      <w:r w:rsidRPr="00EE36F1">
        <w:t xml:space="preserve"> </w:t>
      </w:r>
      <w:r>
        <w:t>for an investment with a similar degree of risk as that which applies to a service provider in respect of the provision of regulated services.</w:t>
      </w:r>
      <w:r>
        <w:rPr>
          <w:rStyle w:val="FootnoteReference"/>
        </w:rPr>
        <w:footnoteReference w:id="1093"/>
      </w:r>
      <w:r>
        <w:t xml:space="preserve"> </w:t>
      </w:r>
      <w:r w:rsidRPr="00EE36F1">
        <w:t>As Alfred Kahn stated:</w:t>
      </w:r>
      <w:r>
        <w:rPr>
          <w:rStyle w:val="FootnoteReference"/>
        </w:rPr>
        <w:footnoteReference w:id="1094"/>
      </w:r>
    </w:p>
    <w:p w:rsidR="0070344D" w:rsidRDefault="0070344D" w:rsidP="0070344D">
      <w:pPr>
        <w:pStyle w:val="AERquote"/>
      </w:pPr>
      <w:r w:rsidRPr="00EE36F1">
        <w:t>The public utility company competes with all other companies in the economy for the various inputs of its production process—for labour, materials, and capital. To the extent that these are supplied in open markets (instead of, for example, under negotiated bids), in principle there ought to be readily available objective measures of the prices of these inputs that have to be incorporated in the cost of service. This is clearly true of the capital input: since the regulated company must go to the open capital market and sell its securities in competition with every other would-be issuer, there is clearly a market price (a rate of interest on borrowed funds, an expected return on equity) that it must be permitted and enabled to pay for the capital it requires</w:t>
      </w:r>
    </w:p>
    <w:p w:rsidR="0070344D" w:rsidRDefault="0070344D" w:rsidP="0070344D">
      <w:pPr>
        <w:numPr>
          <w:ilvl w:val="0"/>
          <w:numId w:val="24"/>
        </w:numPr>
      </w:pPr>
      <w:r>
        <w:t>Similarly, Associate Professor Graham Partington and Professor Stephen Satchell (Partington and Satchell) interpret efficient financing costs as the opportunity cost of capital, which is a market rate of return for assets with a given level of risk.</w:t>
      </w:r>
      <w:r>
        <w:rPr>
          <w:rStyle w:val="FootnoteReference"/>
        </w:rPr>
        <w:footnoteReference w:id="1095"/>
      </w:r>
      <w:r>
        <w:t xml:space="preserve"> They advise the opportunity cost of debt is generally measured using the (appropriately benchmarked) yield to maturity.</w:t>
      </w:r>
      <w:r>
        <w:rPr>
          <w:rStyle w:val="FootnoteReference"/>
        </w:rPr>
        <w:footnoteReference w:id="1096"/>
      </w:r>
      <w:r>
        <w:t xml:space="preserve"> They also consider our use of a benchmark BBB+ credit rating and ten year term is appropriate.</w:t>
      </w:r>
      <w:r>
        <w:rPr>
          <w:rStyle w:val="FootnoteReference"/>
        </w:rPr>
        <w:footnoteReference w:id="1097"/>
      </w:r>
    </w:p>
    <w:p w:rsidR="0070344D" w:rsidRDefault="0070344D" w:rsidP="0070344D">
      <w:pPr>
        <w:numPr>
          <w:ilvl w:val="0"/>
          <w:numId w:val="24"/>
        </w:numPr>
      </w:pPr>
      <w:r>
        <w:t xml:space="preserve">We consider that productive, allocative and dynamic efficiency are advanced by employing a return on debt that reflects prevailing rates in the market for funds. This will also promote the long term interests of consumers in line with the </w:t>
      </w:r>
      <w:r w:rsidRPr="00C917D3">
        <w:t xml:space="preserve">National Electricity Objective / National Gas Objective </w:t>
      </w:r>
      <w:r>
        <w:t>(NEO/NGO).</w:t>
      </w:r>
      <w:r w:rsidRPr="00E64F99">
        <w:rPr>
          <w:rStyle w:val="FootnoteReference"/>
        </w:rPr>
        <w:footnoteReference w:id="1098"/>
      </w:r>
      <w:r>
        <w:t xml:space="preserve"> </w:t>
      </w:r>
    </w:p>
    <w:p w:rsidR="0070344D" w:rsidRDefault="0070344D" w:rsidP="0070344D">
      <w:pPr>
        <w:pStyle w:val="Heading9"/>
      </w:pPr>
      <w:bookmarkStart w:id="344" w:name="_Ref447803806"/>
      <w:r>
        <w:t>Benchmark efficient entity</w:t>
      </w:r>
      <w:bookmarkEnd w:id="344"/>
    </w:p>
    <w:p w:rsidR="0070344D" w:rsidRDefault="0070344D" w:rsidP="0070344D">
      <w:r w:rsidRPr="004B76DC">
        <w:t xml:space="preserve">We consider a benchmark efficient entity would be 'a pure play, regulated energy network business operating within Australia'. This </w:t>
      </w:r>
      <w:r>
        <w:t>has been adopted in:</w:t>
      </w:r>
    </w:p>
    <w:p w:rsidR="0070344D" w:rsidRPr="0070344D" w:rsidRDefault="0070344D" w:rsidP="0070344D">
      <w:pPr>
        <w:pStyle w:val="AERbulletlistfirststyle"/>
      </w:pPr>
      <w:r>
        <w:t xml:space="preserve">The </w:t>
      </w:r>
      <w:r w:rsidRPr="0070344D">
        <w:t>rate of return guidelines published in December 2013 (the Guideline).</w:t>
      </w:r>
      <w:r w:rsidRPr="0070344D">
        <w:rPr>
          <w:rStyle w:val="FootnoteReference"/>
        </w:rPr>
        <w:footnoteReference w:id="1099"/>
      </w:r>
      <w:r w:rsidRPr="0070344D">
        <w:t xml:space="preserve"> It is worth noting that while some service providers raised concerns with this during the Guideline development process, none objected to a notion that' a benchmark efficient entity' as referenced in the ARORO, would be an entity providing regulated services.</w:t>
      </w:r>
      <w:r w:rsidRPr="0070344D">
        <w:rPr>
          <w:rStyle w:val="FootnoteReference"/>
        </w:rPr>
        <w:footnoteReference w:id="1100"/>
      </w:r>
      <w:r w:rsidRPr="0070344D">
        <w:t xml:space="preserve"> To the contrary, stakeholders recognised that price and revenue caps had particular roles in mitigating risk as well as other features of the regulatory framework such as maintenance of the regulatory asset base.</w:t>
      </w:r>
      <w:r w:rsidRPr="0070344D">
        <w:rPr>
          <w:rStyle w:val="FootnoteReference"/>
        </w:rPr>
        <w:footnoteReference w:id="1101"/>
      </w:r>
    </w:p>
    <w:p w:rsidR="0070344D" w:rsidRPr="0070344D" w:rsidRDefault="0070344D" w:rsidP="0070344D">
      <w:pPr>
        <w:pStyle w:val="AERbulletlistfirststyle"/>
      </w:pPr>
      <w:r>
        <w:t xml:space="preserve">Our previous 2009 </w:t>
      </w:r>
      <w:r w:rsidRPr="0070344D">
        <w:t>weighted average cost of capital (WACC) review.</w:t>
      </w:r>
      <w:r w:rsidRPr="0070344D">
        <w:rPr>
          <w:rStyle w:val="FootnoteReference"/>
        </w:rPr>
        <w:footnoteReference w:id="1102"/>
      </w:r>
      <w:r w:rsidRPr="0070344D">
        <w:t xml:space="preserve"> </w:t>
      </w:r>
    </w:p>
    <w:p w:rsidR="0070344D" w:rsidRPr="0070344D" w:rsidRDefault="0070344D" w:rsidP="0070344D">
      <w:pPr>
        <w:pStyle w:val="AERbulletlistfirststyle"/>
      </w:pPr>
      <w:r>
        <w:t>Our rate of return decisions following the publication of the Guideline.</w:t>
      </w:r>
      <w:r w:rsidRPr="0070344D">
        <w:rPr>
          <w:rStyle w:val="FootnoteReference"/>
        </w:rPr>
        <w:footnoteReference w:id="1103"/>
      </w:r>
    </w:p>
    <w:p w:rsidR="0070344D" w:rsidRPr="0070344D" w:rsidRDefault="0070344D" w:rsidP="00EB795B">
      <w:r w:rsidRPr="009D1BB8">
        <w:t xml:space="preserve">We have devoted considerable time to </w:t>
      </w:r>
      <w:r w:rsidRPr="0070344D">
        <w:t>considering the characteristics of a benchmark efficient entity in the Guideline and this decision, We consider a 'benchmark' is a reference point or standard against which performance of achievements can be assessed.</w:t>
      </w:r>
      <w:r w:rsidRPr="0070344D">
        <w:rPr>
          <w:rStyle w:val="FootnoteReference"/>
        </w:rPr>
        <w:footnoteReference w:id="1104"/>
      </w:r>
      <w:r w:rsidRPr="0070344D">
        <w:t xml:space="preserve"> For a benchmark to be useful, it must 'fairly and accurately represent the key attributes of the market segment or financial instrument in question’.</w:t>
      </w:r>
      <w:r w:rsidRPr="0070344D">
        <w:rPr>
          <w:rStyle w:val="FootnoteReference"/>
        </w:rPr>
        <w:footnoteReference w:id="1105"/>
      </w:r>
      <w:r w:rsidRPr="0070344D">
        <w:t xml:space="preserve"> As the AEMC recognised (underline added for emphasis):</w:t>
      </w:r>
      <w:r w:rsidRPr="0070344D">
        <w:rPr>
          <w:rStyle w:val="FootnoteReference"/>
        </w:rPr>
        <w:footnoteReference w:id="1106"/>
      </w:r>
    </w:p>
    <w:p w:rsidR="0070344D" w:rsidRDefault="0070344D" w:rsidP="0070344D">
      <w:pPr>
        <w:pStyle w:val="AERquote"/>
      </w:pPr>
      <w:r w:rsidRPr="009D1BB8">
        <w:t xml:space="preserve">In order to meet the NEO and the NGO, this [allowed rate of return] objective reflected the need for the rate of return to "correspond to" the efficient financing costs of a benchmark efficient entity, this entity being one </w:t>
      </w:r>
      <w:r w:rsidRPr="009D1BB8">
        <w:rPr>
          <w:rStyle w:val="AERtextunderline"/>
        </w:rPr>
        <w:t>with similar circumstances and degree of risk to the service provider</w:t>
      </w:r>
      <w:r>
        <w:t>.</w:t>
      </w:r>
    </w:p>
    <w:p w:rsidR="0070344D" w:rsidRDefault="0070344D" w:rsidP="0070344D">
      <w:r>
        <w:t xml:space="preserve">It is important to note that a debate has now arisen, since the submission of proposals in the matters under consideration, as to whether </w:t>
      </w:r>
      <w:r w:rsidRPr="00E64F99">
        <w:t>a benchmark efficient entity would be unregulated</w:t>
      </w:r>
      <w:r>
        <w:t>. In their recent revised proposals, service providers submitted that</w:t>
      </w:r>
      <w:r w:rsidRPr="004B76DC">
        <w:t xml:space="preserve"> a benchmark efficient entity with a similar degree of risk in respect of the provision of regulated services must be an unregulated business.</w:t>
      </w:r>
      <w:r w:rsidRPr="004B76DC">
        <w:rPr>
          <w:rStyle w:val="FootnoteReference"/>
        </w:rPr>
        <w:footnoteReference w:id="1107"/>
      </w:r>
      <w:r w:rsidRPr="004B76DC">
        <w:t xml:space="preserve"> </w:t>
      </w:r>
      <w:r>
        <w:t xml:space="preserve"> This followed the Tribunal hearing in an application for review of revenue determinations by Networks NSW, and ActewAGL which resulted in the Tribunal recently forming the view that a benchmark efficient entity referred to in the ARORO is likely not a regulated entity.</w:t>
      </w:r>
      <w:r>
        <w:rPr>
          <w:rStyle w:val="FootnoteReference"/>
        </w:rPr>
        <w:footnoteReference w:id="1108"/>
      </w:r>
      <w:r w:rsidRPr="00A157BA">
        <w:t xml:space="preserve"> </w:t>
      </w:r>
    </w:p>
    <w:p w:rsidR="0070344D" w:rsidRDefault="0070344D" w:rsidP="0070344D">
      <w:r>
        <w:t>We did not consider this issue prior to the Tribunal's decision because it had not been raised substantively by any service provider.</w:t>
      </w:r>
      <w:r>
        <w:rPr>
          <w:rStyle w:val="FootnoteReference"/>
        </w:rPr>
        <w:footnoteReference w:id="1109"/>
      </w:r>
      <w:r>
        <w:t xml:space="preserve"> Consequently, the Tribunal did not have our fully formed view and reasoning before it when it considered this issue. We consider </w:t>
      </w:r>
      <w:r w:rsidRPr="00A157BA">
        <w:t xml:space="preserve">the </w:t>
      </w:r>
      <w:r>
        <w:t xml:space="preserve">Tribunal may have come to its position because </w:t>
      </w:r>
      <w:r w:rsidRPr="00A157BA">
        <w:t xml:space="preserve">it did not have </w:t>
      </w:r>
      <w:r>
        <w:t>our</w:t>
      </w:r>
      <w:r w:rsidRPr="00A157BA">
        <w:t xml:space="preserve"> fully formed argument</w:t>
      </w:r>
      <w:r>
        <w:t>s</w:t>
      </w:r>
      <w:r w:rsidRPr="00A157BA">
        <w:t xml:space="preserve"> before it. </w:t>
      </w:r>
      <w:r>
        <w:t>We intend to reconsider this issue fully when we undertake the remittal of the ACT and NSW DNSPs and JGN decisions. We base our analysis in this decision on the brief material submitted by ActewAGL and other service providers with coincident decisions.</w:t>
      </w:r>
    </w:p>
    <w:p w:rsidR="0070344D" w:rsidRDefault="0070344D" w:rsidP="0070344D">
      <w:r>
        <w:t>After considering the material submitted by ActewAGL and others we maintain our view that the characteristic 'regulated' should be retained</w:t>
      </w:r>
      <w:r w:rsidRPr="004B76DC">
        <w:t xml:space="preserve"> for a benchmark efficient entity when carrying out our analyses.</w:t>
      </w:r>
      <w:r>
        <w:t xml:space="preserve"> For our analysis, see 'elements of the ARORO' under section 3.3.3 of attachment three. </w:t>
      </w:r>
    </w:p>
    <w:p w:rsidR="0070344D" w:rsidRDefault="0070344D" w:rsidP="0070344D">
      <w:r>
        <w:t>With respect to the current decision before us, the proposal that a benchmark efficient entity would be unregulated was only raised in the revised proposals. This was a complete change in approach. Further, we do not consider that the material submitted with the revised proposals fully explores the implications of an unregulated benchmark efficient entity for all aspects of our decision on the allowed rate of return. While we consider our assessment in this final decision (given the information before us) is robust, we note that we have limited time to assess this new material or consult on this with stakeholders more broadly.</w:t>
      </w:r>
    </w:p>
    <w:p w:rsidR="0070344D" w:rsidRDefault="0070344D" w:rsidP="0070344D">
      <w:r>
        <w:t>Regulation has a fundamental impact on the risk characteristics of a service provider in the provision of regulated services. Regulation provides a range of risk mitigation treatments that are unavailable to firms in competitive markets such as a revenue cap (or price cap), preservation of capital in a regulated asset base, pass through arrangements and shipwreck clauses.</w:t>
      </w:r>
      <w:r>
        <w:rPr>
          <w:rStyle w:val="FootnoteReference"/>
        </w:rPr>
        <w:footnoteReference w:id="1110"/>
      </w:r>
    </w:p>
    <w:p w:rsidR="0070344D" w:rsidRDefault="0070344D" w:rsidP="0070344D">
      <w:r>
        <w:t xml:space="preserve">Nevertheless, even if a benchmark efficient entity was necessarily unregulated, we do not consider this would affect our conclusions. Our approach to the cost of debt would be applicable to an unregulated firm </w:t>
      </w:r>
      <w:r w:rsidRPr="007C426B">
        <w:t>if it had a similar degree of risk to the service provider in providing regulated services</w:t>
      </w:r>
      <w:r>
        <w:t xml:space="preserve">. Further, irrespective of whether a firm is regulated or not, efficient financing costs reflect the current (or prevailing) forward looking costs observed in capital markets. </w:t>
      </w:r>
    </w:p>
    <w:p w:rsidR="0070344D" w:rsidRDefault="0070344D" w:rsidP="0070344D">
      <w:pPr>
        <w:pStyle w:val="Heading8"/>
      </w:pPr>
      <w:bookmarkStart w:id="345" w:name="_Ref444778432"/>
      <w:r>
        <w:t>Requirements under the ARORO</w:t>
      </w:r>
      <w:bookmarkEnd w:id="345"/>
    </w:p>
    <w:p w:rsidR="0070344D" w:rsidRDefault="0070344D" w:rsidP="0070344D">
      <w:r>
        <w:t xml:space="preserve">The ARORO provides that </w:t>
      </w:r>
      <w:r w:rsidRPr="00580692">
        <w:t xml:space="preserve">the rate of return for a </w:t>
      </w:r>
      <w:r>
        <w:t>service p</w:t>
      </w:r>
      <w:r w:rsidRPr="00580692">
        <w:t xml:space="preserve">rovider is to be commensurate with the efficient financing costs of a benchmark efficient entity with a similar degree of risk as that which applies to the </w:t>
      </w:r>
      <w:r>
        <w:t>service p</w:t>
      </w:r>
      <w:r w:rsidRPr="00580692">
        <w:t xml:space="preserve">rovider in respect of the provision of </w:t>
      </w:r>
      <w:r>
        <w:t>regulated services.</w:t>
      </w:r>
      <w:r>
        <w:rPr>
          <w:rStyle w:val="FootnoteReference"/>
        </w:rPr>
        <w:footnoteReference w:id="1111"/>
      </w:r>
      <w:r>
        <w:t xml:space="preserve"> We consider this </w:t>
      </w:r>
      <w:r w:rsidRPr="00F21B32">
        <w:t>require</w:t>
      </w:r>
      <w:r>
        <w:t>s</w:t>
      </w:r>
      <w:r w:rsidRPr="00F21B32">
        <w:t xml:space="preserve"> </w:t>
      </w:r>
      <w:r>
        <w:t>us</w:t>
      </w:r>
      <w:r w:rsidRPr="00F21B32">
        <w:t xml:space="preserve"> to set an allowed rate of return that </w:t>
      </w:r>
      <w:r>
        <w:t>appropriately</w:t>
      </w:r>
      <w:r w:rsidRPr="00F21B32">
        <w:t xml:space="preserve"> compensates investors on their capital investments (in an ex-ante sense) and aims to minimise the long run cost of capital (all else </w:t>
      </w:r>
      <w:r>
        <w:t xml:space="preserve">being </w:t>
      </w:r>
      <w:r w:rsidRPr="00F21B32">
        <w:t>equal).</w:t>
      </w:r>
      <w:r w:rsidRPr="00F21B32">
        <w:rPr>
          <w:rStyle w:val="FootnoteReference"/>
        </w:rPr>
        <w:footnoteReference w:id="1112"/>
      </w:r>
      <w:r w:rsidRPr="00F21B32">
        <w:t xml:space="preserve"> By </w:t>
      </w:r>
      <w:r>
        <w:t xml:space="preserve">appropriate </w:t>
      </w:r>
      <w:r w:rsidRPr="00F21B32">
        <w:t xml:space="preserve">compensation we mean that the ex-ante return should be commensurate with the </w:t>
      </w:r>
      <w:r w:rsidRPr="00C917D3">
        <w:rPr>
          <w:rStyle w:val="AERtextunderline"/>
        </w:rPr>
        <w:t>expected</w:t>
      </w:r>
      <w:r w:rsidRPr="00F21B32">
        <w:t xml:space="preserve">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rsidRPr="00F21B32">
        <w:rPr>
          <w:rStyle w:val="FootnoteReference"/>
        </w:rPr>
        <w:footnoteReference w:id="1113"/>
      </w:r>
      <w:r w:rsidRPr="00F21B32">
        <w:t xml:space="preserve"> We consider </w:t>
      </w:r>
      <w:r>
        <w:t>this</w:t>
      </w:r>
      <w:r w:rsidRPr="00F21B32">
        <w:t xml:space="preserve"> is the efficient return </w:t>
      </w:r>
      <w:r>
        <w:t>expected</w:t>
      </w:r>
      <w:r w:rsidRPr="00F21B32">
        <w:t xml:space="preserve"> in a competitive capital market</w:t>
      </w:r>
      <w:r>
        <w:t>, consistent with models underpinning financial theory on efficient markets</w:t>
      </w:r>
      <w:r w:rsidRPr="00F21B32">
        <w:t>.</w:t>
      </w:r>
      <w:r w:rsidRPr="00F21B32">
        <w:rPr>
          <w:rStyle w:val="FootnoteReference"/>
        </w:rPr>
        <w:footnoteReference w:id="1114"/>
      </w:r>
    </w:p>
    <w:p w:rsidR="0070344D" w:rsidRDefault="0070344D" w:rsidP="0070344D">
      <w:r>
        <w:t>We elaborate on this in the following sections by setting out why and how a rate of return that meets the ARORO must:</w:t>
      </w:r>
    </w:p>
    <w:p w:rsidR="0070344D" w:rsidRPr="0070344D" w:rsidRDefault="0070344D" w:rsidP="0070344D">
      <w:pPr>
        <w:pStyle w:val="AERbulletlistfirststyle"/>
      </w:pPr>
      <w:r>
        <w:t>p</w:t>
      </w:r>
      <w:r w:rsidRPr="0070344D">
        <w:t xml:space="preserve">rovide for ex-ante efficient compensation </w:t>
      </w:r>
    </w:p>
    <w:p w:rsidR="0070344D" w:rsidRPr="0070344D" w:rsidRDefault="0070344D" w:rsidP="0070344D">
      <w:pPr>
        <w:pStyle w:val="AERbulletlistfirststyle"/>
      </w:pPr>
      <w:r>
        <w:t xml:space="preserve">be </w:t>
      </w:r>
      <w:r w:rsidRPr="0070344D">
        <w:t>consistent with the NEL/NGL</w:t>
      </w:r>
    </w:p>
    <w:p w:rsidR="0070344D" w:rsidRPr="0070344D" w:rsidRDefault="0070344D" w:rsidP="0070344D">
      <w:pPr>
        <w:pStyle w:val="AERbulletlistfirststyle"/>
      </w:pPr>
      <w:r>
        <w:t xml:space="preserve">require </w:t>
      </w:r>
      <w:r w:rsidRPr="0070344D">
        <w:t>a revenue-neutral transition if there is a change in the methodology used to estimate the allowed return on debt (assuming that both methodologies can meet the ARORO but produce different estimates across time).</w:t>
      </w:r>
    </w:p>
    <w:p w:rsidR="0070344D" w:rsidRPr="00F21B32" w:rsidRDefault="0070344D" w:rsidP="0070344D">
      <w:pPr>
        <w:pStyle w:val="Heading9"/>
      </w:pPr>
      <w:bookmarkStart w:id="346" w:name="_Ref446603900"/>
      <w:r>
        <w:t xml:space="preserve">Ex-ante </w:t>
      </w:r>
      <w:r w:rsidRPr="00D25CF7">
        <w:t>efficient</w:t>
      </w:r>
      <w:r>
        <w:t xml:space="preserve"> compensation</w:t>
      </w:r>
      <w:bookmarkEnd w:id="346"/>
    </w:p>
    <w:p w:rsidR="0070344D" w:rsidRDefault="0070344D" w:rsidP="0070344D">
      <w:r>
        <w:t xml:space="preserve">We consider a rate of return that meets the ARORO must provide ex-ante compensation for efficient financing costs (we refer to this as ex-ante efficient compensation). </w:t>
      </w:r>
    </w:p>
    <w:p w:rsidR="0070344D" w:rsidRDefault="0070344D" w:rsidP="0070344D">
      <w:r>
        <w:t>We consider ex-ante efficient compensation should result in the ex-ante allowed return on capital cash flows having a present value equal to the present value of the ex-ante efficient cost of capital cash flows required to finance the regulatory asset base (RAB). This means we must set, ex-ante, an allowed</w:t>
      </w:r>
      <w:r w:rsidRPr="00E2186B">
        <w:t xml:space="preserve"> rate of return for </w:t>
      </w:r>
      <w:r>
        <w:t>a</w:t>
      </w:r>
      <w:r w:rsidRPr="00E2186B">
        <w:t xml:space="preserve"> benchmark efficient entity such that the return on its investment</w:t>
      </w:r>
      <w:r>
        <w:t xml:space="preserve"> (in its RAB) equals its efficient cost.</w:t>
      </w:r>
      <w:r>
        <w:rPr>
          <w:rStyle w:val="FootnoteReference"/>
        </w:rPr>
        <w:footnoteReference w:id="1115"/>
      </w:r>
      <w:r>
        <w:t xml:space="preserve"> This is a zero net present value (NPV) investment condition,</w:t>
      </w:r>
      <w:r>
        <w:rPr>
          <w:rStyle w:val="FootnoteReference"/>
        </w:rPr>
        <w:footnoteReference w:id="1116"/>
      </w:r>
      <w:r>
        <w:t xml:space="preserve"> which is a forward looking concept that shows a benchmark efficient entity</w:t>
      </w:r>
      <w:r w:rsidRPr="00CF4DC4">
        <w:t xml:space="preserve"> </w:t>
      </w:r>
      <w:r>
        <w:t>is provided with a reasonable opportunity to recover at least efficient financing costs over the life of its investment (in its RAB). Partington and Satchell described it as follows:</w:t>
      </w:r>
      <w:r>
        <w:rPr>
          <w:rStyle w:val="FootnoteReference"/>
        </w:rPr>
        <w:footnoteReference w:id="1117"/>
      </w:r>
      <w:r>
        <w:t xml:space="preserve"> </w:t>
      </w:r>
    </w:p>
    <w:p w:rsidR="0070344D" w:rsidRDefault="0070344D" w:rsidP="0070344D">
      <w:pPr>
        <w:pStyle w:val="AERquote"/>
      </w:pPr>
      <w:r w:rsidRPr="00D566FF">
        <w:t>The zero NPV investment criterion has two important properties. First, a zero NPV investment means that the ex-ante expectation is that over the life of the investment the expected cash flow from the investment meets all the operating expenditure and corporate taxes, repays the capital invested and there is just enough cash flow left over to cover investors’ required return on the capital invested. Second, by definition a zero NPV investment is expected to generate no economic rents. Thus, ex-ante no economic rents are expected to be extracted as a consequence of market power. The incentive for investment is just right, encouraging neither too much investment, nor too little.</w:t>
      </w:r>
    </w:p>
    <w:p w:rsidR="0070344D" w:rsidRDefault="0070344D" w:rsidP="0070344D">
      <w:r>
        <w:t xml:space="preserve">As discussed in section </w:t>
      </w:r>
      <w:r>
        <w:fldChar w:fldCharType="begin"/>
      </w:r>
      <w:r>
        <w:instrText xml:space="preserve"> REF _Ref451729468 \r \h </w:instrText>
      </w:r>
      <w:r>
        <w:fldChar w:fldCharType="separate"/>
      </w:r>
      <w:r>
        <w:t>3.3.3</w:t>
      </w:r>
      <w:r>
        <w:fldChar w:fldCharType="end"/>
      </w:r>
      <w:r>
        <w:t xml:space="preserve"> and </w:t>
      </w:r>
      <w:r>
        <w:fldChar w:fldCharType="begin"/>
      </w:r>
      <w:r>
        <w:instrText xml:space="preserve"> REF _Ref446405872 \r \h </w:instrText>
      </w:r>
      <w:r>
        <w:fldChar w:fldCharType="separate"/>
      </w:r>
      <w:r>
        <w:t>H.1.1</w:t>
      </w:r>
      <w:r>
        <w:fldChar w:fldCharType="end"/>
      </w:r>
      <w:r>
        <w:t xml:space="preserve">, we consider efficient financing costs, for debt and equity, should be based on (appropriately benchmarked) prevailing market rates. This reflects the current opportunity cost of capital for investments of similar risk to </w:t>
      </w:r>
      <w:r w:rsidRPr="00F21B32">
        <w:t xml:space="preserve">a benchmark efficient entity in the position of </w:t>
      </w:r>
      <w:r>
        <w:t>a</w:t>
      </w:r>
      <w:r w:rsidRPr="00F21B32">
        <w:t xml:space="preserve"> </w:t>
      </w:r>
      <w:r>
        <w:t>service provider</w:t>
      </w:r>
      <w:r w:rsidRPr="00F21B32">
        <w:t xml:space="preserve"> supplying </w:t>
      </w:r>
      <w:r>
        <w:t>regulated</w:t>
      </w:r>
      <w:r w:rsidRPr="00F21B32">
        <w:t xml:space="preserve"> services</w:t>
      </w:r>
      <w:r>
        <w:t>.</w:t>
      </w:r>
      <w:r>
        <w:rPr>
          <w:rStyle w:val="FootnoteReference"/>
        </w:rPr>
        <w:footnoteReference w:id="1118"/>
      </w:r>
      <w:r>
        <w:t xml:space="preserve"> The opportunity cost of capital is the rate used to discount firms' expected future cash flows in NPV calculations.</w:t>
      </w:r>
      <w:r>
        <w:rPr>
          <w:rStyle w:val="FootnoteReference"/>
        </w:rPr>
        <w:footnoteReference w:id="1119"/>
      </w:r>
    </w:p>
    <w:p w:rsidR="0070344D" w:rsidRDefault="0070344D" w:rsidP="0070344D">
      <w:r>
        <w:t>Under the ex-ante regulatory regime, we reset the allowed rate of return (through the returns on debt and equity) at the commencement of each regulatory period (or annually for the allowed return on debt if we use a trailing average).</w:t>
      </w:r>
      <w:r w:rsidRPr="007627B2">
        <w:t xml:space="preserve"> </w:t>
      </w:r>
      <w:r>
        <w:t>If the allowed rate of return is reset to reflect the prevailing market cost of capital, it provides ex-ante efficient compensation over each reset period.</w:t>
      </w:r>
      <w:r>
        <w:rPr>
          <w:rStyle w:val="FootnoteReference"/>
        </w:rPr>
        <w:footnoteReference w:id="1120"/>
      </w:r>
      <w:r>
        <w:t xml:space="preserve"> </w:t>
      </w:r>
    </w:p>
    <w:p w:rsidR="0070344D" w:rsidRDefault="0070344D" w:rsidP="0070344D">
      <w:r>
        <w:t xml:space="preserve">As shown in section </w:t>
      </w:r>
      <w:r>
        <w:fldChar w:fldCharType="begin"/>
      </w:r>
      <w:r>
        <w:instrText xml:space="preserve"> REF _Ref444767739 \r \h </w:instrText>
      </w:r>
      <w:r>
        <w:fldChar w:fldCharType="separate"/>
      </w:r>
      <w:r>
        <w:t>H.3</w:t>
      </w:r>
      <w:r>
        <w:fldChar w:fldCharType="end"/>
      </w:r>
      <w:r>
        <w:t>, the on-the-day approach resets the allowed return on debt to reflect the prevailing market cost of debt at the commencement of each regulatory period. Therefore, it provides ex-ante efficient compensation on debt capital over each regulatory period and over the life of the investment (that is, over the term of the RAB).</w:t>
      </w:r>
      <w:r>
        <w:rPr>
          <w:rStyle w:val="FootnoteReference"/>
        </w:rPr>
        <w:footnoteReference w:id="1121"/>
      </w:r>
      <w:r>
        <w:t xml:space="preserve"> The trailing average approach resets one tenth of the allowed return on debt to reflect the prevailing market cost of debt at the commencement of each regulatory year. As such, it provides ex-ante efficient compensation on debt capital only over the term of the RAB if a full transition is applied.</w:t>
      </w:r>
      <w:r>
        <w:rPr>
          <w:rStyle w:val="FootnoteReference"/>
        </w:rPr>
        <w:footnoteReference w:id="1122"/>
      </w:r>
    </w:p>
    <w:p w:rsidR="0070344D" w:rsidRDefault="0070344D" w:rsidP="0070344D">
      <w:r>
        <w:t xml:space="preserve">The concept of ex-ante efficient compensation can be likened to the valuation of a coupon paying security with interest payments that are either fixed at issuance or reset periodically. Similarly, the regulatory regime allows the regulator to set (ex-ante) a series of fixed cash inflows (revenues) for a service provider that is reset periodically. The basic pricing formula for a debt security (for example, a bond) at time </w:t>
      </w:r>
      <m:oMath>
        <m:r>
          <w:rPr>
            <w:rFonts w:ascii="Cambria Math" w:hAnsi="Cambria Math"/>
          </w:rPr>
          <m:t>t=0</m:t>
        </m:r>
      </m:oMath>
      <w:r>
        <w:t xml:space="preserve"> is as follows:</w:t>
      </w:r>
      <w:r>
        <w:rPr>
          <w:rStyle w:val="FootnoteReference"/>
        </w:rPr>
        <w:footnoteReference w:id="1123"/>
      </w:r>
    </w:p>
    <w:p w:rsidR="0070344D" w:rsidRDefault="0091035C" w:rsidP="0070344D">
      <m:oMathPara>
        <m:oMath>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nary>
            <m:naryPr>
              <m:chr m:val="∑"/>
              <m:limLoc m:val="undOvr"/>
              <m:ctrlPr>
                <w:rPr>
                  <w:rFonts w:ascii="Cambria Math" w:hAnsi="Cambria Math"/>
                  <w:i/>
                </w:rPr>
              </m:ctrlPr>
            </m:naryPr>
            <m:sub>
              <m:r>
                <w:rPr>
                  <w:rFonts w:ascii="Cambria Math" w:hAnsi="Cambria Math"/>
                </w:rPr>
                <m:t>t=1</m:t>
              </m:r>
            </m:sub>
            <m:sup>
              <m:r>
                <w:rPr>
                  <w:rFonts w:ascii="Cambria Math" w:hAnsi="Cambria Math"/>
                </w:rPr>
                <m:t>T</m:t>
              </m:r>
            </m:sup>
            <m:e>
              <m:f>
                <m:fPr>
                  <m:ctrlPr>
                    <w:rPr>
                      <w:rFonts w:ascii="Cambria Math" w:hAnsi="Cambria Math"/>
                      <w:i/>
                    </w:rPr>
                  </m:ctrlPr>
                </m:fPr>
                <m:num>
                  <m:sSub>
                    <m:sSubPr>
                      <m:ctrlPr>
                        <w:rPr>
                          <w:rFonts w:ascii="Cambria Math" w:hAnsi="Cambria Math"/>
                          <w:i/>
                        </w:rPr>
                      </m:ctrlPr>
                    </m:sSubPr>
                    <m:e>
                      <m:r>
                        <w:rPr>
                          <w:rFonts w:ascii="Cambria Math" w:hAnsi="Cambria Math"/>
                        </w:rPr>
                        <m:t>C</m:t>
                      </m:r>
                    </m:e>
                    <m:sub>
                      <m:r>
                        <w:rPr>
                          <w:rFonts w:ascii="Cambria Math" w:hAnsi="Cambria Math"/>
                        </w:rPr>
                        <m:t>t</m:t>
                      </m:r>
                    </m:sub>
                  </m:sSub>
                </m:num>
                <m:den>
                  <m:sSup>
                    <m:sSupPr>
                      <m:ctrlPr>
                        <w:rPr>
                          <w:rFonts w:ascii="Cambria Math" w:hAnsi="Cambria Math"/>
                          <w:i/>
                        </w:rPr>
                      </m:ctrlPr>
                    </m:sSupPr>
                    <m:e>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e>
          </m:nary>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m:t>
                  </m:r>
                </m:sub>
              </m:sSub>
            </m:num>
            <m:den>
              <m:sSup>
                <m:sSupPr>
                  <m:ctrlPr>
                    <w:rPr>
                      <w:rFonts w:ascii="Cambria Math" w:hAnsi="Cambria Math"/>
                    </w:rPr>
                  </m:ctrlPr>
                </m:sSupPr>
                <m:e>
                  <m:d>
                    <m:dPr>
                      <m:ctrlPr>
                        <w:rPr>
                          <w:rFonts w:ascii="Cambria Math" w:hAnsi="Cambria Math"/>
                          <w:i/>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m:t>
                          </m:r>
                        </m:sub>
                      </m:sSub>
                    </m:e>
                  </m:d>
                </m:e>
                <m:sup>
                  <m:r>
                    <w:rPr>
                      <w:rFonts w:ascii="Cambria Math" w:hAnsi="Cambria Math"/>
                    </w:rPr>
                    <m:t>T</m:t>
                  </m:r>
                </m:sup>
              </m:sSup>
            </m:den>
          </m:f>
        </m:oMath>
      </m:oMathPara>
    </w:p>
    <w:p w:rsidR="0070344D" w:rsidRDefault="0070344D" w:rsidP="0070344D">
      <w:pPr>
        <w:pStyle w:val="AERbodytextnospace"/>
      </w:pPr>
    </w:p>
    <w:p w:rsidR="0070344D" w:rsidRDefault="0070344D" w:rsidP="0070344D">
      <w:pPr>
        <w:pStyle w:val="AERbodytextnospace"/>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0</m:t>
            </m:r>
          </m:sub>
        </m:sSub>
      </m:oMath>
      <w:r>
        <w:t xml:space="preserve"> is the price of the bond at time 0 </w:t>
      </w:r>
    </w:p>
    <w:p w:rsidR="0070344D" w:rsidRDefault="0070344D" w:rsidP="0070344D">
      <w:pPr>
        <w:pStyle w:val="AERbodytextnospace"/>
      </w:pPr>
      <w:r>
        <w:tab/>
      </w:r>
      <w:r>
        <w:tab/>
      </w:r>
      <m:oMath>
        <m:sSub>
          <m:sSubPr>
            <m:ctrlPr>
              <w:rPr>
                <w:rFonts w:ascii="Cambria Math" w:hAnsi="Cambria Math"/>
              </w:rPr>
            </m:ctrlPr>
          </m:sSubPr>
          <m:e>
            <m:r>
              <w:rPr>
                <w:rFonts w:ascii="Cambria Math" w:hAnsi="Cambria Math"/>
              </w:rPr>
              <m:t>C</m:t>
            </m:r>
          </m:e>
          <m:sub>
            <m:r>
              <w:rPr>
                <w:rFonts w:ascii="Cambria Math" w:hAnsi="Cambria Math"/>
              </w:rPr>
              <m:t>t</m:t>
            </m:r>
          </m:sub>
        </m:sSub>
      </m:oMath>
      <w:r w:rsidRPr="00675B9E">
        <w:t xml:space="preserve"> is the coupon </w:t>
      </w:r>
      <w:r>
        <w:t>(or interest) payment at time t—</w:t>
      </w:r>
      <m:oMath>
        <m:sSub>
          <m:sSubPr>
            <m:ctrlPr>
              <w:rPr>
                <w:rFonts w:ascii="Cambria Math" w:hAnsi="Cambria Math"/>
              </w:rPr>
            </m:ctrlPr>
          </m:sSubPr>
          <m:e>
            <m:r>
              <w:rPr>
                <w:rFonts w:ascii="Cambria Math" w:hAnsi="Cambria Math"/>
              </w:rPr>
              <m:t>C</m:t>
            </m:r>
          </m:e>
          <m:sub>
            <m:r>
              <w:rPr>
                <w:rFonts w:ascii="Cambria Math" w:hAnsi="Cambria Math"/>
              </w:rPr>
              <m:t>t</m:t>
            </m:r>
          </m:sub>
        </m:sSub>
        <m:r>
          <w:rPr>
            <w:rFonts w:ascii="Cambria Math" w:hAnsi="Cambria Math"/>
          </w:rPr>
          <m:t>=c*</m:t>
        </m:r>
        <m:sSub>
          <m:sSubPr>
            <m:ctrlPr>
              <w:rPr>
                <w:rFonts w:ascii="Cambria Math" w:hAnsi="Cambria Math"/>
                <w:i/>
              </w:rPr>
            </m:ctrlPr>
          </m:sSubPr>
          <m:e>
            <m:r>
              <w:rPr>
                <w:rFonts w:ascii="Cambria Math" w:hAnsi="Cambria Math"/>
              </w:rPr>
              <m:t>P</m:t>
            </m:r>
          </m:e>
          <m:sub>
            <m:r>
              <w:rPr>
                <w:rFonts w:ascii="Cambria Math" w:hAnsi="Cambria Math"/>
              </w:rPr>
              <m:t>T</m:t>
            </m:r>
          </m:sub>
        </m:sSub>
      </m:oMath>
    </w:p>
    <w:p w:rsidR="0070344D" w:rsidRPr="00675B9E" w:rsidRDefault="0070344D" w:rsidP="0070344D">
      <w:pPr>
        <w:pStyle w:val="AERbodytextnospace"/>
      </w:pPr>
      <w:r>
        <w:tab/>
      </w:r>
      <w:r>
        <w:tab/>
      </w:r>
      <m:oMath>
        <m:r>
          <w:rPr>
            <w:rFonts w:ascii="Cambria Math" w:hAnsi="Cambria Math"/>
          </w:rPr>
          <m:t>c</m:t>
        </m:r>
      </m:oMath>
      <w:r>
        <w:t xml:space="preserve"> is the coupon rate </w:t>
      </w:r>
    </w:p>
    <w:p w:rsidR="0070344D" w:rsidRPr="00675B9E" w:rsidRDefault="0070344D" w:rsidP="0070344D">
      <w:pPr>
        <w:pStyle w:val="AERbodytextnospace"/>
      </w:pPr>
      <w:r>
        <w:tab/>
      </w:r>
      <w:r>
        <w:tab/>
      </w: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Pr="00675B9E">
        <w:t xml:space="preserve"> is the required rate of return</w:t>
      </w:r>
      <w:r>
        <w:t xml:space="preserve"> or cost of capital</w:t>
      </w:r>
      <w:r w:rsidRPr="00675B9E">
        <w:t xml:space="preserve"> (based on market rates)</w:t>
      </w:r>
      <w:r>
        <w:t xml:space="preserve"> at time 0</w:t>
      </w:r>
      <w:r w:rsidRPr="00675B9E">
        <w:t xml:space="preserve"> </w:t>
      </w:r>
    </w:p>
    <w:p w:rsidR="0070344D" w:rsidRPr="00675B9E" w:rsidRDefault="0070344D" w:rsidP="0070344D">
      <w:pPr>
        <w:pStyle w:val="AERbodytextnospace"/>
      </w:pPr>
      <w:r>
        <w:tab/>
      </w:r>
      <w:r>
        <w:tab/>
      </w:r>
      <m:oMath>
        <m:sSub>
          <m:sSubPr>
            <m:ctrlPr>
              <w:rPr>
                <w:rFonts w:ascii="Cambria Math" w:hAnsi="Cambria Math"/>
              </w:rPr>
            </m:ctrlPr>
          </m:sSubPr>
          <m:e>
            <m:r>
              <w:rPr>
                <w:rFonts w:ascii="Cambria Math" w:hAnsi="Cambria Math"/>
              </w:rPr>
              <m:t>P</m:t>
            </m:r>
          </m:e>
          <m:sub>
            <m:r>
              <w:rPr>
                <w:rFonts w:ascii="Cambria Math" w:hAnsi="Cambria Math"/>
              </w:rPr>
              <m:t>T</m:t>
            </m:r>
          </m:sub>
        </m:sSub>
      </m:oMath>
      <w:r w:rsidRPr="00675B9E">
        <w:t xml:space="preserve"> is the face </w:t>
      </w:r>
      <w:r>
        <w:t xml:space="preserve">(or par) </w:t>
      </w:r>
      <w:r w:rsidRPr="00675B9E">
        <w:t>value of the bond (or principal repayment) at maturity.</w:t>
      </w:r>
    </w:p>
    <w:p w:rsidR="0070344D" w:rsidRDefault="0070344D" w:rsidP="0070344D">
      <w:r>
        <w:t xml:space="preserve">The above formula shows that </w:t>
      </w:r>
      <w:r w:rsidRPr="00A104B1">
        <w:t xml:space="preserve">for </w:t>
      </w:r>
      <w:r>
        <w:t>a</w:t>
      </w:r>
      <w:r w:rsidRPr="00A104B1">
        <w:t xml:space="preserve"> bond</w:t>
      </w:r>
      <w:r>
        <w:t>'s price</w:t>
      </w:r>
      <w:r w:rsidRPr="00A104B1">
        <w:t xml:space="preserve"> to equal its face (or par) value</w:t>
      </w:r>
      <w:r>
        <w:t>,</w:t>
      </w:r>
      <w:r w:rsidRPr="00A104B1">
        <w:t xml:space="preserve"> </w:t>
      </w:r>
      <w:r>
        <w:t>at any time 0, the coupon rate (which is akin to the allowed rate of return) must be set (or reset) to equal the prevailing cost of capital.</w:t>
      </w:r>
      <w:r>
        <w:rPr>
          <w:rStyle w:val="FootnoteReference"/>
        </w:rPr>
        <w:footnoteReference w:id="1124"/>
      </w:r>
      <w:r>
        <w:t xml:space="preserve"> If the coupon rate is set (or reset) to a value above (below)</w:t>
      </w:r>
      <w:r w:rsidRPr="00407A1E">
        <w:t xml:space="preserve"> </w:t>
      </w:r>
      <w:r>
        <w:t>the prevailing cost of capital, the price of the bond would trade above (below) its face value. This means the investor that paid the face value would be ex-ante over (under) compensated relative to other investments of similar risk.</w:t>
      </w:r>
    </w:p>
    <w:p w:rsidR="0070344D" w:rsidRPr="00F243E1" w:rsidRDefault="0070344D" w:rsidP="0070344D">
      <w:pPr>
        <w:pStyle w:val="HeadingBoldBlue"/>
      </w:pPr>
      <w:r w:rsidRPr="00F243E1">
        <w:t>Compensation for historically incurred costs</w:t>
      </w:r>
    </w:p>
    <w:p w:rsidR="0070344D" w:rsidRDefault="0070344D" w:rsidP="0070344D">
      <w:r w:rsidRPr="00F21B32">
        <w:t xml:space="preserve">We do not interpret the ARORO to require </w:t>
      </w:r>
      <w:r>
        <w:t>us</w:t>
      </w:r>
      <w:r w:rsidRPr="00F21B32">
        <w:t xml:space="preserve"> to compensate </w:t>
      </w:r>
      <w:r>
        <w:t>a benchmark efficient entity</w:t>
      </w:r>
      <w:r w:rsidRPr="00F21B32">
        <w:t xml:space="preserve"> for historically incurred </w:t>
      </w:r>
      <w:r>
        <w:t xml:space="preserve">financing </w:t>
      </w:r>
      <w:r w:rsidRPr="00F21B32">
        <w:t>costs where this will lead to compensation</w:t>
      </w:r>
      <w:r w:rsidRPr="007E79D1">
        <w:t xml:space="preserve"> </w:t>
      </w:r>
      <w:r>
        <w:t>that would not be ex-ante</w:t>
      </w:r>
      <w:r w:rsidRPr="007E79D1">
        <w:t xml:space="preserve"> </w:t>
      </w:r>
      <w:r>
        <w:t>efficient</w:t>
      </w:r>
      <w:r w:rsidRPr="00F21B32">
        <w:t>.</w:t>
      </w:r>
    </w:p>
    <w:p w:rsidR="0070344D" w:rsidRDefault="0070344D" w:rsidP="0070344D">
      <w:r w:rsidRPr="007E018E">
        <w:t xml:space="preserve">We consider </w:t>
      </w:r>
      <w:r>
        <w:t xml:space="preserve">setting an allowed rate of return that provides </w:t>
      </w:r>
      <w:r w:rsidRPr="007E018E">
        <w:t xml:space="preserve">ex-ante efficient compensation gives </w:t>
      </w:r>
      <w:r>
        <w:t>a benchmark eff</w:t>
      </w:r>
      <w:r w:rsidRPr="007E018E">
        <w:t xml:space="preserve">icient entity a reasonable opportunity to recover </w:t>
      </w:r>
      <w:r>
        <w:t>at least</w:t>
      </w:r>
      <w:r w:rsidRPr="007E018E">
        <w:t xml:space="preserve"> efficient </w:t>
      </w:r>
      <w:r>
        <w:t xml:space="preserve">financing </w:t>
      </w:r>
      <w:r w:rsidRPr="00F243E1">
        <w:t>costs.</w:t>
      </w:r>
      <w:r>
        <w:t xml:space="preserve"> This sets a </w:t>
      </w:r>
      <w:r w:rsidRPr="008D38BD">
        <w:rPr>
          <w:rStyle w:val="AERtextunderline"/>
        </w:rPr>
        <w:t>forward looking</w:t>
      </w:r>
      <w:r>
        <w:t xml:space="preserve"> return on investment based on investor expectations, and does not provide compensation for actual (historical) cost outcomes that can only be identified ex-post. As such, we consider ex-post movement in interest rates (after the allowed rate of return has been set for a regulatory period) do not affect the principle of ex-ante efficient compensation as long as the ex-ante rate of return appropriately reflects the risk of the investment in the RAB.</w:t>
      </w:r>
      <w:r>
        <w:rPr>
          <w:rStyle w:val="FootnoteReference"/>
        </w:rPr>
        <w:footnoteReference w:id="1125"/>
      </w:r>
      <w:r w:rsidRPr="00B73697">
        <w:t xml:space="preserve"> </w:t>
      </w:r>
      <w:r>
        <w:t>Partington and Satchell agree with this view.</w:t>
      </w:r>
      <w:r>
        <w:rPr>
          <w:rStyle w:val="FootnoteReference"/>
        </w:rPr>
        <w:footnoteReference w:id="1126"/>
      </w:r>
      <w:r>
        <w:t xml:space="preserve"> The timeline below shows how we consider ex-post movements in interest rates (and historical costs) relate to ex-ante efficient compensation.</w:t>
      </w:r>
    </w:p>
    <w:p w:rsidR="001801E4" w:rsidRDefault="001801E4" w:rsidP="0070344D">
      <w:r w:rsidRPr="001801E4">
        <w:rPr>
          <w:noProof/>
          <w:lang w:eastAsia="en-AU"/>
        </w:rPr>
        <mc:AlternateContent>
          <mc:Choice Requires="wpg">
            <w:drawing>
              <wp:inline distT="0" distB="0" distL="0" distR="0" wp14:anchorId="58D5FD72" wp14:editId="2468D5EF">
                <wp:extent cx="5086350" cy="2524125"/>
                <wp:effectExtent l="38100" t="0" r="0" b="0"/>
                <wp:docPr id="312" name="Group 312"/>
                <wp:cNvGraphicFramePr/>
                <a:graphic xmlns:a="http://schemas.openxmlformats.org/drawingml/2006/main">
                  <a:graphicData uri="http://schemas.microsoft.com/office/word/2010/wordprocessingGroup">
                    <wpg:wgp>
                      <wpg:cNvGrpSpPr/>
                      <wpg:grpSpPr>
                        <a:xfrm>
                          <a:off x="0" y="0"/>
                          <a:ext cx="5086350" cy="2524125"/>
                          <a:chOff x="0" y="0"/>
                          <a:chExt cx="4411384" cy="2203376"/>
                        </a:xfrm>
                      </wpg:grpSpPr>
                      <wpg:grpSp>
                        <wpg:cNvPr id="313" name="Group 313"/>
                        <wpg:cNvGrpSpPr/>
                        <wpg:grpSpPr>
                          <a:xfrm>
                            <a:off x="0" y="0"/>
                            <a:ext cx="4411384" cy="2203376"/>
                            <a:chOff x="0" y="0"/>
                            <a:chExt cx="4411384" cy="2203376"/>
                          </a:xfrm>
                        </wpg:grpSpPr>
                        <wpg:grpSp>
                          <wpg:cNvPr id="314" name="Group 314"/>
                          <wpg:cNvGrpSpPr/>
                          <wpg:grpSpPr>
                            <a:xfrm>
                              <a:off x="0" y="0"/>
                              <a:ext cx="4411384" cy="2203376"/>
                              <a:chOff x="0" y="1"/>
                              <a:chExt cx="4411384" cy="2203376"/>
                            </a:xfrm>
                          </wpg:grpSpPr>
                          <wps:wsp>
                            <wps:cNvPr id="315" name="Text Box 315"/>
                            <wps:cNvSpPr txBox="1"/>
                            <wps:spPr>
                              <a:xfrm>
                                <a:off x="1524000" y="1"/>
                                <a:ext cx="12096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D" w:rsidRDefault="006345FD" w:rsidP="001801E4">
                                  <w:pPr>
                                    <w:pStyle w:val="AERbodytextnospaceleftalign"/>
                                  </w:pPr>
                                  <w:r>
                                    <w:t>reset date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16" name="Group 316"/>
                            <wpg:cNvGrpSpPr/>
                            <wpg:grpSpPr>
                              <a:xfrm>
                                <a:off x="0" y="257175"/>
                                <a:ext cx="4019550" cy="492442"/>
                                <a:chOff x="0" y="0"/>
                                <a:chExt cx="4019550" cy="492442"/>
                              </a:xfrm>
                            </wpg:grpSpPr>
                            <wps:wsp>
                              <wps:cNvPr id="317" name="Straight Arrow Connector 317"/>
                              <wps:cNvCnPr/>
                              <wps:spPr>
                                <a:xfrm>
                                  <a:off x="0" y="66675"/>
                                  <a:ext cx="4019550" cy="0"/>
                                </a:xfrm>
                                <a:prstGeom prst="straightConnector1">
                                  <a:avLst/>
                                </a:prstGeom>
                                <a:ln>
                                  <a:headEnd type="arrow"/>
                                  <a:tailEnd type="arrow"/>
                                </a:ln>
                              </wps:spPr>
                              <wps:style>
                                <a:lnRef idx="1">
                                  <a:schemeClr val="dk1"/>
                                </a:lnRef>
                                <a:fillRef idx="0">
                                  <a:schemeClr val="dk1"/>
                                </a:fillRef>
                                <a:effectRef idx="0">
                                  <a:schemeClr val="dk1"/>
                                </a:effectRef>
                                <a:fontRef idx="minor">
                                  <a:schemeClr val="tx1"/>
                                </a:fontRef>
                              </wps:style>
                              <wps:bodyPr/>
                            </wps:wsp>
                            <wps:wsp>
                              <wps:cNvPr id="318" name="Oval 318"/>
                              <wps:cNvSpPr/>
                              <wps:spPr>
                                <a:xfrm>
                                  <a:off x="1847850" y="0"/>
                                  <a:ext cx="104775" cy="13335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ight Brace 319"/>
                              <wps:cNvSpPr/>
                              <wps:spPr>
                                <a:xfrm rot="5400000">
                                  <a:off x="828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Right Brace 320"/>
                              <wps:cNvSpPr/>
                              <wps:spPr>
                                <a:xfrm rot="5400000">
                                  <a:off x="2733675" y="-457200"/>
                                  <a:ext cx="247015" cy="16522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1" name="Text Box 321"/>
                            <wps:cNvSpPr txBox="1"/>
                            <wps:spPr>
                              <a:xfrm>
                                <a:off x="57149" y="733425"/>
                                <a:ext cx="1790701" cy="1229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D" w:rsidRDefault="006345FD" w:rsidP="001801E4">
                                  <w:pPr>
                                    <w:pStyle w:val="AERbodytextnospaceleftalign"/>
                                  </w:pPr>
                                  <w:r>
                                    <w:t>Historically incurred costs:</w:t>
                                  </w:r>
                                </w:p>
                                <w:p w:rsidR="006345FD" w:rsidRDefault="006345FD" w:rsidP="001801E4">
                                  <w:pPr>
                                    <w:pStyle w:val="AERbodytextnospaceleftalign"/>
                                  </w:pPr>
                                  <w:r>
                                    <w:t>—incorporating these into the rate of return at date x does not lead to ex-ante efficient compensation for the reset period (x to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2" name="Text Box 322"/>
                            <wps:cNvSpPr txBox="1"/>
                            <wps:spPr>
                              <a:xfrm>
                                <a:off x="2031046" y="742669"/>
                                <a:ext cx="2380338" cy="1460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D" w:rsidRDefault="006345FD" w:rsidP="001801E4">
                                  <w:pPr>
                                    <w:pStyle w:val="AERbodytextnospaceleftalign"/>
                                  </w:pPr>
                                  <w:r>
                                    <w:t>Ex-post movement in interest rates:</w:t>
                                  </w:r>
                                </w:p>
                                <w:p w:rsidR="006345FD" w:rsidRDefault="006345FD" w:rsidP="001801E4">
                                  <w:pPr>
                                    <w:pStyle w:val="AERbodytextnospaceleftalign"/>
                                  </w:pPr>
                                  <w:r>
                                    <w:t>—unknown at date x, but the associated risks are priced into the forward looking rate of return at date x</w:t>
                                  </w:r>
                                </w:p>
                                <w:p w:rsidR="006345FD" w:rsidRDefault="006345FD" w:rsidP="001801E4">
                                  <w:pPr>
                                    <w:pStyle w:val="AERbodytextnospaceleftalign"/>
                                  </w:pPr>
                                  <w:r>
                                    <w:t>—known at date x+1, but any impact on costs incurred over this period is historical and should not be incorporated into the forward looking rate of return at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3" name="Text Box 323"/>
                          <wps:cNvSpPr txBox="1"/>
                          <wps:spPr>
                            <a:xfrm>
                              <a:off x="3276600" y="0"/>
                              <a:ext cx="1000125" cy="3803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45FD" w:rsidRDefault="006345FD" w:rsidP="001801E4">
                                <w:pPr>
                                  <w:pStyle w:val="AERbodytextnospaceleftalign"/>
                                </w:pPr>
                                <w:r>
                                  <w:t>reset date x+1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24" name="Oval 324"/>
                        <wps:cNvSpPr/>
                        <wps:spPr>
                          <a:xfrm>
                            <a:off x="3743325" y="257175"/>
                            <a:ext cx="104775" cy="132715"/>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312" o:spid="_x0000_s1027" style="width:400.5pt;height:198.75pt;mso-position-horizontal-relative:char;mso-position-vertical-relative:line" coordsize="44113,2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">
                <v:group id="Group 313" o:spid="_x0000_s1028" style="position:absolute;width:44113;height:22033"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Group 314" o:spid="_x0000_s1029" style="position:absolute;width:44113;height:22033" coordorigin="" coordsize="44113,220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Text Box 315" o:spid="_x0000_s1030" type="#_x0000_t202" style="position:absolute;left:15240;width:1209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Rp8cA&#10;AADcAAAADwAAAGRycy9kb3ducmV2LnhtbESPQWvCQBSE74X+h+UJvdVNLEpIXUMIBEtpD1ovvb1m&#10;n0kw+zbNrpr6692C4HGYmW+YZTaaTpxocK1lBfE0AkFcWd1yrWD3VT4nIJxH1thZJgV/5CBbPT4s&#10;MdX2zBs6bX0tAoRdigoa7/tUSlc1ZNBNbU8cvL0dDPogh1rqAc8Bbjo5i6KFNNhyWGiwp6Kh6rA9&#10;GgXvRfmJm5+ZSS5dsf7Y5/3v7nuu1NNkzF9BeBr9PXxrv2kFL/Ec/s+EI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afHAAAA3AAAAA8AAAAAAAAAAAAAAAAAmAIAAGRy&#10;cy9kb3ducmV2LnhtbFBLBQYAAAAABAAEAPUAAACMAwAAAAA=&#10;" filled="f" stroked="f" strokeweight=".5pt">
                      <v:textbox>
                        <w:txbxContent>
                          <w:p w:rsidR="006345FD" w:rsidRDefault="006345FD" w:rsidP="001801E4">
                            <w:pPr>
                              <w:pStyle w:val="AERbodytextnospaceleftalign"/>
                            </w:pPr>
                            <w:r>
                              <w:t>reset date x</w:t>
                            </w:r>
                          </w:p>
                        </w:txbxContent>
                      </v:textbox>
                    </v:shape>
                    <v:group id="Group 316" o:spid="_x0000_s1031" style="position:absolute;top:2571;width:40195;height:4925" coordsize="40195,49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type id="_x0000_t32" coordsize="21600,21600" o:spt="32" o:oned="t" path="m,l21600,21600e" filled="f">
                        <v:path arrowok="t" fillok="f" o:connecttype="none"/>
                        <o:lock v:ext="edit" shapetype="t"/>
                      </v:shapetype>
                      <v:shape id="Straight Arrow Connector 317" o:spid="_x0000_s1032" type="#_x0000_t32" style="position:absolute;top:666;width:40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iEDsQAAADcAAAADwAAAGRycy9kb3ducmV2LnhtbESPT4vCMBTE7wv7HcJb8CJrWoXdpRpF&#10;BP+clK0ePD6aZ1tsXkqT2vrtjSB4HGbmN8xs0ZtK3KhxpWUF8SgCQZxZXXKu4HRcf/+BcB5ZY2WZ&#10;FNzJwWL++THDRNuO/+mW+lwECLsEFRTe14mULivIoBvZmjh4F9sY9EE2udQNdgFuKjmOoh9psOSw&#10;UGBNq4Kya9oaBU7Gp66LD5tdPtwfW78d0v7cKjX46pdTEJ56/w6/2jutYBL/wvNMOAJ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IQOxAAAANwAAAAPAAAAAAAAAAAA&#10;AAAAAKECAABkcnMvZG93bnJldi54bWxQSwUGAAAAAAQABAD5AAAAkgMAAAAA&#10;" strokecolor="#06648a [3040]">
                        <v:stroke startarrow="open" endarrow="open"/>
                      </v:shape>
                      <v:oval id="Oval 318" o:spid="_x0000_s1033" style="position:absolute;left:18478;width:1048;height:13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nisIA&#10;AADcAAAADwAAAGRycy9kb3ducmV2LnhtbERPTWvCQBC9F/oflil4qxstWJNmIyIIVXoxEbxOs9Mk&#10;NTsbsmsS/717KPT4eN/pZjKtGKh3jWUFi3kEgri0uuFKwbnYv65BOI+ssbVMCu7kYJM9P6WYaDvy&#10;iYbcVyKEsEtQQe19l0jpypoMurntiAP3Y3uDPsC+krrHMYSbVi6jaCUNNhwaauxoV1N5zW9GQXW6&#10;uuMS4/L3O37PD21TfMWXQqnZy7T9AOFp8v/iP/enVvC2CGvDmXA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8ieKwgAAANwAAAAPAAAAAAAAAAAAAAAAAJgCAABkcnMvZG93&#10;bnJldi54bWxQSwUGAAAAAAQABAD1AAAAhwMAAAAA&#10;" fillcolor="white [3201]" strokecolor="#076a92 [3200]" strokeweight="2p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319" o:spid="_x0000_s1034" type="#_x0000_t88" style="position:absolute;left:828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AZcgA&#10;AADcAAAADwAAAGRycy9kb3ducmV2LnhtbESPT2vCQBTE74V+h+UVvNWNthaNbqQWK0rpwT8Xb4/s&#10;axLNvg3ZNYn99G5B6HGYmd8ws3lnStFQ7QrLCgb9CARxanXBmYLD/vN5DMJ5ZI2lZVJwJQfz5PFh&#10;hrG2LW+p2flMBAi7GBXk3lexlC7NyaDr24o4eD+2NuiDrDOpa2wD3JRyGEVv0mDBYSHHij5ySs+7&#10;i1HQvK7O36dlub8utuvj6qB/v0abk1K9p+59CsJT5//D9/ZaK3gZTODvTD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5wBlyAAAANwAAAAPAAAAAAAAAAAAAAAAAJgCAABk&#10;cnMvZG93bnJldi54bWxQSwUGAAAAAAQABAD1AAAAjQMAAAAA&#10;" adj="269" strokecolor="#06648a [3040]"/>
                      <v:shape id="Right Brace 320" o:spid="_x0000_s1035" type="#_x0000_t88" style="position:absolute;left:27337;top:-4573;width:2470;height:1652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RcMA&#10;AADcAAAADwAAAGRycy9kb3ducmV2LnhtbERPy4rCMBTdC/5DuMLsxlQdRapRnMERRVz42Li7NNe2&#10;2tyUJlOrX28WAy4P5z2dN6YQNVUut6yg141AECdW55wqOB1/P8cgnEfWWFgmBQ9yMJ+1W1OMtb3z&#10;nuqDT0UIYRejgsz7MpbSJRkZdF1bEgfuYiuDPsAqlbrCewg3hexH0UgazDk0ZFjST0bJ7fBnFNRf&#10;q9vuuiyOj+/9+rw66ed2uLkq9dFpFhMQnhr/Fv+711rBoB/mhzPhCM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jRcMAAADcAAAADwAAAAAAAAAAAAAAAACYAgAAZHJzL2Rv&#10;d25yZXYueG1sUEsFBgAAAAAEAAQA9QAAAIgDAAAAAA==&#10;" adj="269" strokecolor="#06648a [3040]"/>
                    </v:group>
                    <v:shape id="Text Box 321" o:spid="_x0000_s1036" type="#_x0000_t202" style="position:absolute;left:571;top:7334;width:17907;height:1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mdGcYA&#10;AADcAAAADwAAAGRycy9kb3ducmV2LnhtbESPQWvCQBSE70L/w/IKvenGlIqkriIBUUp70Hrx9sw+&#10;k9DdtzG7Jml/fbcg9DjMzDfMYjVYIzpqfe1YwXSSgCAunK65VHD83IznIHxA1mgck4Jv8rBaPowW&#10;mGnX8566QyhFhLDPUEEVQpNJ6YuKLPqJa4ijd3GtxRBlW0rdYh/h1sg0SWbSYs1xocKG8oqKr8PN&#10;KnjLNx+4P6d2/mPy7ftl3VyPpxelnh6H9SuIQEP4D9/bO63gOZ3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mdGcYAAADcAAAADwAAAAAAAAAAAAAAAACYAgAAZHJz&#10;L2Rvd25yZXYueG1sUEsFBgAAAAAEAAQA9QAAAIsDAAAAAA==&#10;" filled="f" stroked="f" strokeweight=".5pt">
                      <v:textbox>
                        <w:txbxContent>
                          <w:p w:rsidR="006345FD" w:rsidRDefault="006345FD" w:rsidP="001801E4">
                            <w:pPr>
                              <w:pStyle w:val="AERbodytextnospaceleftalign"/>
                            </w:pPr>
                            <w:r>
                              <w:t>Historically incurred costs:</w:t>
                            </w:r>
                          </w:p>
                          <w:p w:rsidR="006345FD" w:rsidRDefault="006345FD" w:rsidP="001801E4">
                            <w:pPr>
                              <w:pStyle w:val="AERbodytextnospaceleftalign"/>
                            </w:pPr>
                            <w:r>
                              <w:t>—incorporating these into the rate of return at date x does not lead to ex-ante efficient compensation for the reset period (x to x+1)</w:t>
                            </w:r>
                          </w:p>
                        </w:txbxContent>
                      </v:textbox>
                    </v:shape>
                    <v:shape id="Text Box 322" o:spid="_x0000_s1037" type="#_x0000_t202" style="position:absolute;left:20310;top:7426;width:23803;height:14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sDbsUA&#10;AADcAAAADwAAAGRycy9kb3ducmV2LnhtbESPT4vCMBTE7wv7HcJb8LamVhTpGkUKsiJ68M/F29vm&#10;2Rabl24TtfrpjSB4HGbmN8x42ppKXKhxpWUFvW4EgjizuuRcwX43/x6BcB5ZY2WZFNzIwXTy+THG&#10;RNsrb+iy9bkIEHYJKii8rxMpXVaQQde1NXHwjrYx6INscqkbvAa4qWQcRUNpsOSwUGBNaUHZaXs2&#10;CpbpfI2bv9iM7lX6uzrO6v/9YaBU56ud/YDw1Pp3+NVeaAX9OI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wNuxQAAANwAAAAPAAAAAAAAAAAAAAAAAJgCAABkcnMv&#10;ZG93bnJldi54bWxQSwUGAAAAAAQABAD1AAAAigMAAAAA&#10;" filled="f" stroked="f" strokeweight=".5pt">
                      <v:textbox>
                        <w:txbxContent>
                          <w:p w:rsidR="006345FD" w:rsidRDefault="006345FD" w:rsidP="001801E4">
                            <w:pPr>
                              <w:pStyle w:val="AERbodytextnospaceleftalign"/>
                            </w:pPr>
                            <w:r>
                              <w:t>Ex-post movement in interest rates:</w:t>
                            </w:r>
                          </w:p>
                          <w:p w:rsidR="006345FD" w:rsidRDefault="006345FD" w:rsidP="001801E4">
                            <w:pPr>
                              <w:pStyle w:val="AERbodytextnospaceleftalign"/>
                            </w:pPr>
                            <w:r>
                              <w:t>—unknown at date x, but the associated risks are priced into the forward looking rate of return at date x</w:t>
                            </w:r>
                          </w:p>
                          <w:p w:rsidR="006345FD" w:rsidRDefault="006345FD" w:rsidP="001801E4">
                            <w:pPr>
                              <w:pStyle w:val="AERbodytextnospaceleftalign"/>
                            </w:pPr>
                            <w:r>
                              <w:t>—known at date x+1, but any impact on costs incurred over this period is historical and should not be incorporated into the forward looking rate of return at date x+1</w:t>
                            </w:r>
                          </w:p>
                        </w:txbxContent>
                      </v:textbox>
                    </v:shape>
                  </v:group>
                  <v:shape id="Text Box 323" o:spid="_x0000_s1038" type="#_x0000_t202" style="position:absolute;left:32766;width:10001;height:38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em9ccA&#10;AADcAAAADwAAAGRycy9kb3ducmV2LnhtbESPzWrDMBCE74W+g9hCb41cm5TgRAnBYFJKcsjPpbet&#10;tbFNrJVrKbbbp68ChRyHmfmGWaxG04ieOldbVvA6iUAQF1bXXCo4HfOXGQjnkTU2lknBDzlYLR8f&#10;FphqO/Ce+oMvRYCwS1FB5X2bSumKigy6iW2Jg3e2nUEfZFdK3eEQ4KaRcRS9SYM1h4UKW8oqKi6H&#10;q1HwkeU73H/FZvbbZJvted1+nz6nSj0/jes5CE+jv4f/2+9aQRIn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3pvXHAAAA3AAAAA8AAAAAAAAAAAAAAAAAmAIAAGRy&#10;cy9kb3ducmV2LnhtbFBLBQYAAAAABAAEAPUAAACMAwAAAAA=&#10;" filled="f" stroked="f" strokeweight=".5pt">
                    <v:textbox>
                      <w:txbxContent>
                        <w:p w:rsidR="006345FD" w:rsidRDefault="006345FD" w:rsidP="001801E4">
                          <w:pPr>
                            <w:pStyle w:val="AERbodytextnospaceleftalign"/>
                          </w:pPr>
                          <w:r>
                            <w:t>reset date x+1</w:t>
                          </w:r>
                        </w:p>
                      </w:txbxContent>
                    </v:textbox>
                  </v:shape>
                </v:group>
                <v:oval id="Oval 324" o:spid="_x0000_s1039" style="position:absolute;left:37433;top:2571;width:1048;height:13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MsQA&#10;AADcAAAADwAAAGRycy9kb3ducmV2LnhtbESPQWvCQBSE7wX/w/KE3urGKLZJXUUEoRUvJgWvz+xr&#10;Es2+Ddmtxn/vCkKPw8x8w8yXvWnEhTpXW1YwHkUgiAuray4V/OSbtw8QziNrbCyTghs5WC4GL3NM&#10;tb3yni6ZL0WAsEtRQeV9m0rpiooMupFtiYP3azuDPsiulLrDa4CbRsZRNJMGaw4LFba0rqg4Z39G&#10;Qbk/u22MSXE6Ju/Zd1Pnu+SQK/U67FefIDz1/j/8bH9pBZN4Co8z4Qj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T5zLEAAAA3AAAAA8AAAAAAAAAAAAAAAAAmAIAAGRycy9k&#10;b3ducmV2LnhtbFBLBQYAAAAABAAEAPUAAACJAwAAAAA=&#10;" fillcolor="white [3201]" strokecolor="#076a92 [3200]" strokeweight="2pt"/>
                <w10:anchorlock/>
              </v:group>
            </w:pict>
          </mc:Fallback>
        </mc:AlternateContent>
      </w:r>
    </w:p>
    <w:p w:rsidR="0070344D" w:rsidRDefault="0070344D" w:rsidP="0070344D">
      <w:r>
        <w:t>If, at reset date x+1, we set an allowed rate of return that provides compensation for a service provider's actual (historical) cost outcomes from the previous period, we would</w:t>
      </w:r>
      <w:r w:rsidRPr="00F82FB2">
        <w:t xml:space="preserve"> </w:t>
      </w:r>
      <w:r>
        <w:t xml:space="preserve">effectively remove realised gains or losses from risk it had previously borne. </w:t>
      </w:r>
      <w:r w:rsidRPr="00F21B32">
        <w:t>The regulatory regime is an ex-ante regime that is not intended to remove all</w:t>
      </w:r>
      <w:r>
        <w:t xml:space="preserve"> </w:t>
      </w:r>
      <w:r w:rsidRPr="00F21B32">
        <w:t xml:space="preserve">risk from </w:t>
      </w:r>
      <w:r>
        <w:t>service providers and their capital investors</w:t>
      </w:r>
      <w:r w:rsidRPr="00F21B32">
        <w:t xml:space="preserve">. </w:t>
      </w:r>
      <w:r>
        <w:t xml:space="preserve">We set a </w:t>
      </w:r>
      <w:r w:rsidRPr="008D38BD">
        <w:t>forward looking</w:t>
      </w:r>
      <w:r>
        <w:t xml:space="preserve"> allowed rate of return that compensates investors with a risk premium over the risk free rate for the compensable risk of their investment. The risk premiums we set (on both debt and equity) are based on appropriate benchmark returns from capital markets. If we removed all risks facing capital investors then the appropriate return would theoretically be the risk free rate. </w:t>
      </w:r>
    </w:p>
    <w:p w:rsidR="0070344D" w:rsidRDefault="0070344D" w:rsidP="0070344D">
      <w:r>
        <w:t xml:space="preserve">Critically, if an investor, at date x+1, looks back and sees it made a  gain (or loss) in relation to an investment it made at date x, this does not mean the investor is incorrectly over (or under) compensated. The gain (or loss) is due to the realisation of risk that was associated with the investment when it was made at date x. Likewise, service providers (and their investors) are not incorrectly compensated because they (at date x+1, looking back) have made a loss (or gain) due to ex-post movements in interest rates impacting the value of their liabilities differently to their regulated revenue set at date x. Again, the gain (or loss) is due to an ex-post realisation of risk, risk for which investors received ex-ante compensation for bearing. This is accepted risk, which is a critical part of the choice to make a risky investment. </w:t>
      </w:r>
    </w:p>
    <w:p w:rsidR="0070344D" w:rsidRDefault="0070344D" w:rsidP="0070344D">
      <w:r>
        <w:t>In an investment context there is no need to compensate investors for gains or losses resulting from a realisation of risk for which they have been ex ante efficiently compensated for bearing. In our regulatory context, investors have invested in the service providers we regulate under the knowledge they would bear the interest rate risk associated with the on-the-day methodology. In addition, the way we benchmark the allowed rate of return (in particular, the return on equity) provides compensation for bearing this risk (see below). On this basis, we consider no further compensation for the gains or losses associated with ex-post movements in interest rates is required or appropriate.</w:t>
      </w:r>
      <w:r>
        <w:rPr>
          <w:rStyle w:val="FootnoteReference"/>
        </w:rPr>
        <w:footnoteReference w:id="1127"/>
      </w:r>
      <w:r>
        <w:t xml:space="preserve"> </w:t>
      </w:r>
    </w:p>
    <w:p w:rsidR="0070344D" w:rsidRDefault="0070344D" w:rsidP="0070344D">
      <w:pPr>
        <w:pStyle w:val="HeadingBoldItalic"/>
      </w:pPr>
      <w:r>
        <w:t>Desirability of minimising mismatch</w:t>
      </w:r>
    </w:p>
    <w:p w:rsidR="0070344D" w:rsidRDefault="0070344D" w:rsidP="0070344D">
      <w:r w:rsidRPr="00F21B32">
        <w:t>In determi</w:t>
      </w:r>
      <w:r>
        <w:t xml:space="preserve">ning the allowed return on debt, we are required to </w:t>
      </w:r>
      <w:r w:rsidRPr="00F21B32">
        <w:t>have regard to the</w:t>
      </w:r>
      <w:r>
        <w:t xml:space="preserve"> '</w:t>
      </w:r>
      <w:r w:rsidRPr="00F21B32">
        <w:t>mismatch</w:t>
      </w:r>
      <w:r>
        <w:t>'</w:t>
      </w:r>
      <w:r w:rsidRPr="00F21B32">
        <w:t xml:space="preserve"> between </w:t>
      </w:r>
      <w:r>
        <w:t>a benchmark eff</w:t>
      </w:r>
      <w:r w:rsidRPr="00F21B32">
        <w:t xml:space="preserve">icient </w:t>
      </w:r>
      <w:r>
        <w:t>entity's</w:t>
      </w:r>
      <w:r w:rsidRPr="00F21B32">
        <w:t xml:space="preserve"> actual debt cost</w:t>
      </w:r>
      <w:r>
        <w:t xml:space="preserve"> outcomes (or cash outflows)</w:t>
      </w:r>
      <w:r w:rsidRPr="00F21B32">
        <w:t xml:space="preserve"> and the </w:t>
      </w:r>
      <w:r>
        <w:t xml:space="preserve">return on </w:t>
      </w:r>
      <w:r w:rsidRPr="00F21B32">
        <w:t>debt allowance</w:t>
      </w:r>
      <w:r>
        <w:t>.</w:t>
      </w:r>
      <w:r>
        <w:rPr>
          <w:rStyle w:val="FootnoteReference"/>
        </w:rPr>
        <w:footnoteReference w:id="1128"/>
      </w:r>
      <w:r>
        <w:t xml:space="preserve"> However, we do not consider that this </w:t>
      </w:r>
      <w:r w:rsidRPr="00F21B32">
        <w:t>permit</w:t>
      </w:r>
      <w:r>
        <w:t>s</w:t>
      </w:r>
      <w:r w:rsidRPr="00F21B32">
        <w:t xml:space="preserve"> </w:t>
      </w:r>
      <w:r>
        <w:t>us</w:t>
      </w:r>
      <w:r w:rsidRPr="00F21B32">
        <w:t xml:space="preserve"> to set a rate of return that will not meet the ARORO or will not achieve the NEO/NGO.</w:t>
      </w:r>
    </w:p>
    <w:p w:rsidR="0070344D" w:rsidRDefault="0070344D" w:rsidP="0070344D">
      <w:r>
        <w:t xml:space="preserve">Rather, some mismatch between the </w:t>
      </w:r>
      <w:r w:rsidRPr="00F21B32">
        <w:t>actual (cash) debt costs and the regulated debt allowance</w:t>
      </w:r>
      <w:r>
        <w:t xml:space="preserve"> is an intrinsic part of incentive regulation</w:t>
      </w:r>
      <w:r w:rsidRPr="00BB7CBA">
        <w:t>―</w:t>
      </w:r>
      <w:r>
        <w:t>whether the allowance is set using a trailing average approach or otherwise. This is because a mismatch can only be identified ex-post and we set an ex-ante fixed regulatory allowance based on forecast efficient costs. This allowance is not revised ex-post for a service provider's actual (historical) costs (see above).</w:t>
      </w:r>
      <w:r>
        <w:rPr>
          <w:rStyle w:val="FootnoteReference"/>
        </w:rPr>
        <w:footnoteReference w:id="1129"/>
      </w:r>
      <w:r>
        <w:t xml:space="preserve"> SFG recognised this in its report for the Australian Energy Market Commission (AEMC). Here, SFG</w:t>
      </w:r>
      <w:r w:rsidRPr="00F21B32">
        <w:t xml:space="preserve"> </w:t>
      </w:r>
      <w:r>
        <w:t>considered a mismatch between</w:t>
      </w:r>
      <w:r w:rsidRPr="00F21B32">
        <w:t xml:space="preserve"> a firm</w:t>
      </w:r>
      <w:r>
        <w:t>'</w:t>
      </w:r>
      <w:r w:rsidRPr="00F21B32">
        <w:t xml:space="preserve">s debt service payments </w:t>
      </w:r>
      <w:r>
        <w:t>and</w:t>
      </w:r>
      <w:r w:rsidRPr="00F21B32">
        <w:t xml:space="preserve"> the regulatory allowance</w:t>
      </w:r>
      <w:r>
        <w:t xml:space="preserve"> could arise for a number of reasons, including:</w:t>
      </w:r>
      <w:r w:rsidRPr="000666D4">
        <w:rPr>
          <w:rStyle w:val="FootnoteReference"/>
        </w:rPr>
        <w:footnoteReference w:id="1130"/>
      </w:r>
    </w:p>
    <w:p w:rsidR="0070344D" w:rsidRPr="0070344D" w:rsidRDefault="0070344D" w:rsidP="0070344D">
      <w:pPr>
        <w:pStyle w:val="AERbulletlistfirststyle"/>
      </w:pPr>
      <w:r w:rsidRPr="00F21B32">
        <w:t>‘because the cost of capital is, in fact, variable over time’</w:t>
      </w:r>
      <w:r w:rsidRPr="0070344D">
        <w:t xml:space="preserve"> rather than because there is problem with the measurement</w:t>
      </w:r>
    </w:p>
    <w:p w:rsidR="0070344D" w:rsidRPr="0070344D" w:rsidRDefault="0070344D" w:rsidP="0070344D">
      <w:pPr>
        <w:pStyle w:val="AERbulletlistfirststyle"/>
      </w:pPr>
      <w:r>
        <w:t xml:space="preserve">because </w:t>
      </w:r>
      <w:r w:rsidRPr="0070344D">
        <w:t>'there may be a difference between the rate at which the business can borrow and the regulatory benchmark'.</w:t>
      </w:r>
    </w:p>
    <w:p w:rsidR="0070344D" w:rsidRDefault="0070344D" w:rsidP="0070344D">
      <w:r>
        <w:t>We consider</w:t>
      </w:r>
      <w:r w:rsidRPr="00F21B32">
        <w:t xml:space="preserve"> a</w:t>
      </w:r>
      <w:r>
        <w:t xml:space="preserve"> service provider's ex-post</w:t>
      </w:r>
      <w:r w:rsidRPr="00F21B32">
        <w:t xml:space="preserve"> mismatch does not (of itself) i</w:t>
      </w:r>
      <w:r>
        <w:t xml:space="preserve">mply the regulator is setting a </w:t>
      </w:r>
      <w:r w:rsidRPr="00F21B32">
        <w:t xml:space="preserve">rate of return that will not </w:t>
      </w:r>
      <w:r>
        <w:t xml:space="preserve">appropriately </w:t>
      </w:r>
      <w:r w:rsidRPr="00F21B32">
        <w:t xml:space="preserve">compensate a </w:t>
      </w:r>
      <w:r>
        <w:t>benchmark efficient entity</w:t>
      </w:r>
      <w:r w:rsidRPr="00F21B32">
        <w:t xml:space="preserve"> for its efficient cost of debt finance. </w:t>
      </w:r>
      <w:r>
        <w:t>A mismatch does not mean the present value of the ex-ante allowed return on debt (or return on capital) cash flows will not equal the present value of a benchmark efficient entity's ex-ante efficient debt financing costs (or overall capital financing costs). Rather, we consider it is the risk of a mismatch occurring that is relevant to ex-ante regulation. This risk is a form of interest rate risk.</w:t>
      </w:r>
    </w:p>
    <w:p w:rsidR="0070344D" w:rsidRDefault="0070344D" w:rsidP="0070344D">
      <w:r>
        <w:t xml:space="preserve">In section </w:t>
      </w:r>
      <w:r>
        <w:fldChar w:fldCharType="begin"/>
      </w:r>
      <w:r>
        <w:instrText xml:space="preserve"> REF _Ref444773920 \r \h </w:instrText>
      </w:r>
      <w:r>
        <w:fldChar w:fldCharType="separate"/>
      </w:r>
      <w:r>
        <w:t>H.3.3</w:t>
      </w:r>
      <w:r>
        <w:fldChar w:fldCharType="end"/>
      </w:r>
      <w:r>
        <w:t>, we show (through present value relationships) that both an on-the-day and trailing average approach (with a full transition) should, in principle, provide the same ex-ante compensation for a benchmark efficient entity's efficient financing costs over the term of the RAB. We consider these present value relationships show both approaches can provide a benchmark efficient entity with ex-ante efficient compensation and meet the ARORO. There is no ex-ante over- or under-compensation overall (that is, over the term of the RAB), regardless of a benchmark efficient entity's actual (ex-post) cost outcomes.</w:t>
      </w:r>
    </w:p>
    <w:p w:rsidR="0070344D" w:rsidRDefault="0070344D" w:rsidP="0070344D">
      <w:r>
        <w:t>We consider ex-ante systematic over- or under-compensation can only occur if the interest rate risk arising from an expected mismatch affects a benchmark efficient entity's cost of capital and the allowed rate of return does not reflect this. However, we benchmark the allowed rate of return (which requires consistently benchmarking the return on debt, return on equity and gearing)</w:t>
      </w:r>
      <w:r>
        <w:rPr>
          <w:rStyle w:val="FootnoteReference"/>
        </w:rPr>
        <w:footnoteReference w:id="1131"/>
      </w:r>
      <w:r>
        <w:t xml:space="preserve"> on observed data from service providers comparable to a benchmark efficient entity operating under an on-the-day approach (where the risk of mismatch is likely more material).</w:t>
      </w:r>
      <w:r>
        <w:rPr>
          <w:rStyle w:val="FootnoteReference"/>
        </w:rPr>
        <w:footnoteReference w:id="1132"/>
      </w:r>
      <w:r>
        <w:t xml:space="preserve"> Therefore, the allowed rate of return should be commensurate with the efficient financing costs of a benchmark efficient entity with a similar degree of risk as a regulated service provider operating under this approach.</w:t>
      </w:r>
      <w:r w:rsidRPr="00FB1598">
        <w:t xml:space="preserve"> </w:t>
      </w:r>
      <w:r>
        <w:t>To the extent a benchmark efficient entity's investors expect that moving to a  trailing average approach would reduce the  risk they require compensation for, our allowed return on debt will likely be generous to service providers.</w:t>
      </w:r>
      <w:r>
        <w:rPr>
          <w:rStyle w:val="FootnoteReference"/>
        </w:rPr>
        <w:footnoteReference w:id="1133"/>
      </w:r>
      <w:r>
        <w:t xml:space="preserve"> In particular, our estimate of systematic risk (beta) includes historical data, which will capture the systematic risk that a benchmark efficient entity would have been exposed to under the on-the-day approach.</w:t>
      </w:r>
    </w:p>
    <w:p w:rsidR="0070344D" w:rsidRDefault="0070344D" w:rsidP="0070344D">
      <w:r>
        <w:t xml:space="preserve">We also note that Partington and Satchell consider mismatch between a service provider's </w:t>
      </w:r>
      <w:r w:rsidRPr="00F21B32">
        <w:t xml:space="preserve">actual </w:t>
      </w:r>
      <w:r>
        <w:t>incurred cost of debt and allowed return on debt is a consequence of its particular debt financing choices. They do not consider this affects a benchmark efficient entity's opportunity to earn the efficient return on its RAB.</w:t>
      </w:r>
      <w:r>
        <w:rPr>
          <w:rStyle w:val="FootnoteReference"/>
        </w:rPr>
        <w:footnoteReference w:id="1134"/>
      </w:r>
      <w:r>
        <w:t xml:space="preserve"> </w:t>
      </w:r>
    </w:p>
    <w:p w:rsidR="0070344D" w:rsidRDefault="0070344D" w:rsidP="0070344D">
      <w:r>
        <w:t>Moreover, the desirability of minimising (ex-post) debt cash flow mismatch is not the only type of interest rate mismatch risk we consider relevant. The rules require us to have regard to the desirability of minimising this type of mismatch for a benchmark efficient entity. However, there can also be a mismatch between the allowed return on debt and the prevailing cost of debt for a benchmark efficient entity at the time at which the allowed rate of return is reset. We consider this can affect the ability of a return on debt approach to provide ex-ante efficient compensation, and can also result in investment distortions.</w:t>
      </w:r>
      <w:r>
        <w:rPr>
          <w:rStyle w:val="FootnoteReference"/>
        </w:rPr>
        <w:footnoteReference w:id="1135"/>
      </w:r>
      <w:r w:rsidRPr="008C3695">
        <w:t xml:space="preserve"> </w:t>
      </w:r>
      <w:r>
        <w:t xml:space="preserve">To the extent that this type of mismatch results in compensation that is not ex-ante efficient, we consider this would not meet the ARORO. </w:t>
      </w:r>
    </w:p>
    <w:p w:rsidR="0070344D" w:rsidRDefault="0070344D" w:rsidP="0070344D">
      <w:r>
        <w:t xml:space="preserve">While a trailing average approach is expected to reduce the former type of mismatch relative to an on-the-day approach, an on-the-day approach is expected to reduce the latter type of mismatch relative to a trailing average approach. </w:t>
      </w:r>
    </w:p>
    <w:p w:rsidR="0070344D" w:rsidRPr="00F21B32" w:rsidRDefault="0070344D" w:rsidP="0070344D">
      <w:pPr>
        <w:pStyle w:val="Heading9"/>
      </w:pPr>
      <w:bookmarkStart w:id="347" w:name="_Ref447803918"/>
      <w:r>
        <w:t>Consistency with the NEL/NGL</w:t>
      </w:r>
      <w:bookmarkEnd w:id="347"/>
    </w:p>
    <w:p w:rsidR="0070344D" w:rsidRPr="00F21B32" w:rsidRDefault="0070344D" w:rsidP="0070344D">
      <w:r w:rsidRPr="00F21B32">
        <w:t xml:space="preserve">We consider </w:t>
      </w:r>
      <w:r>
        <w:t>an allowed rate of</w:t>
      </w:r>
      <w:r w:rsidRPr="00F21B32">
        <w:t xml:space="preserve"> return that </w:t>
      </w:r>
      <w:r>
        <w:t xml:space="preserve">meets the ARORO </w:t>
      </w:r>
      <w:r w:rsidRPr="00F21B32">
        <w:t>should</w:t>
      </w:r>
      <w:r>
        <w:t xml:space="preserve"> </w:t>
      </w:r>
      <w:r w:rsidRPr="00F21B32">
        <w:t>lead to economically efficient investment</w:t>
      </w:r>
      <w:r>
        <w:t>, provision of</w:t>
      </w:r>
      <w:r w:rsidRPr="00F21B32">
        <w:t xml:space="preserve"> and use of infrastructure</w:t>
      </w:r>
      <w:r>
        <w:t>, consistent with the</w:t>
      </w:r>
      <w:r w:rsidRPr="00494BE4">
        <w:t xml:space="preserve"> </w:t>
      </w:r>
      <w:r>
        <w:t>NEL/NGL</w:t>
      </w:r>
      <w:r w:rsidRPr="00F21B32">
        <w:t>.</w:t>
      </w:r>
      <w:r>
        <w:rPr>
          <w:rStyle w:val="FootnoteReference"/>
        </w:rPr>
        <w:footnoteReference w:id="1136"/>
      </w:r>
      <w:r w:rsidRPr="00F21B32">
        <w:t xml:space="preserve"> </w:t>
      </w:r>
      <w:r>
        <w:t>This allowed rate of return should also provide</w:t>
      </w:r>
      <w:r w:rsidRPr="00F21B32">
        <w:t xml:space="preserve"> </w:t>
      </w:r>
      <w:r>
        <w:t>service providers</w:t>
      </w:r>
      <w:r w:rsidRPr="00F21B32">
        <w:t xml:space="preserve"> with a </w:t>
      </w:r>
      <w:r w:rsidRPr="00E26732">
        <w:rPr>
          <w:rStyle w:val="AERtextunderline"/>
        </w:rPr>
        <w:t>reasonable opportunity</w:t>
      </w:r>
      <w:r w:rsidRPr="00F21B32">
        <w:t xml:space="preserve"> to recover</w:t>
      </w:r>
      <w:r>
        <w:t xml:space="preserve"> their</w:t>
      </w:r>
      <w:r w:rsidRPr="00F21B32">
        <w:t xml:space="preserve"> efficient costs. We consider </w:t>
      </w:r>
      <w:r>
        <w:t>our</w:t>
      </w:r>
      <w:r w:rsidRPr="00F21B32">
        <w:t xml:space="preserve"> interpretation of the ARORO is consistent with the wording in the</w:t>
      </w:r>
      <w:r>
        <w:t xml:space="preserve"> NEO/NGO in the</w:t>
      </w:r>
      <w:r w:rsidRPr="00F21B32">
        <w:t xml:space="preserve"> NE</w:t>
      </w:r>
      <w:r>
        <w:t>L</w:t>
      </w:r>
      <w:r w:rsidRPr="00F21B32">
        <w:t xml:space="preserve">/NGL. Our view appears consistent with the views of the AEMC </w:t>
      </w:r>
      <w:r>
        <w:t>when</w:t>
      </w:r>
      <w:r w:rsidRPr="00F21B32">
        <w:t xml:space="preserve"> </w:t>
      </w:r>
      <w:r>
        <w:t>it</w:t>
      </w:r>
      <w:r w:rsidRPr="00F21B32">
        <w:t xml:space="preserve"> stated:</w:t>
      </w:r>
      <w:r w:rsidRPr="00BE4F1A">
        <w:rPr>
          <w:rStyle w:val="FootnoteReference"/>
        </w:rPr>
        <w:footnoteReference w:id="1137"/>
      </w:r>
    </w:p>
    <w:p w:rsidR="0070344D" w:rsidRPr="00F21B32" w:rsidRDefault="0070344D" w:rsidP="0070344D">
      <w:pPr>
        <w:pStyle w:val="AERquote"/>
      </w:pPr>
      <w:r w:rsidRPr="00F21B32">
        <w:t>If the rate of return estimate is set to the efficient required return, there will be no incentive for under- or over- investment. Such incentives for inefficient investment become more pronounced when the rate of return estimate differs from the efficien</w:t>
      </w:r>
      <w:r>
        <w:t>t required return.</w:t>
      </w:r>
    </w:p>
    <w:p w:rsidR="0070344D" w:rsidRDefault="0070344D" w:rsidP="0070344D">
      <w:r w:rsidRPr="00F21B32">
        <w:t xml:space="preserve">The concept that </w:t>
      </w:r>
      <w:r>
        <w:t xml:space="preserve">a reasonable </w:t>
      </w:r>
      <w:r w:rsidRPr="00F21B32">
        <w:t>return</w:t>
      </w:r>
      <w:r>
        <w:t xml:space="preserve"> to investment</w:t>
      </w:r>
      <w:r w:rsidRPr="00F21B32">
        <w:t xml:space="preserve"> is important to achieving efficient </w:t>
      </w:r>
      <w:r>
        <w:t xml:space="preserve">regulatory </w:t>
      </w:r>
      <w:r w:rsidRPr="00F21B32">
        <w:t>investment appears common sense. Setting too high (or low) an expected return relative to the expected return on alternate equivalent risk investments would be expected to lead to distorted over (</w:t>
      </w:r>
      <w:r>
        <w:t xml:space="preserve">or </w:t>
      </w:r>
      <w:r w:rsidRPr="00F21B32">
        <w:t xml:space="preserve">under) investment </w:t>
      </w:r>
      <w:r>
        <w:t>in regulated assets</w:t>
      </w:r>
      <w:r w:rsidRPr="00F21B32">
        <w:t xml:space="preserve"> (all else </w:t>
      </w:r>
      <w:r>
        <w:t xml:space="preserve">being </w:t>
      </w:r>
      <w:r w:rsidRPr="00F21B32">
        <w:t>equal). The aim of setting a</w:t>
      </w:r>
      <w:r>
        <w:t xml:space="preserve">n </w:t>
      </w:r>
      <w:r w:rsidRPr="00F21B32">
        <w:t>expected return to achieve efficient investment also appears broadly accepted in regulatory literature.</w:t>
      </w:r>
      <w:r w:rsidRPr="00F21B32">
        <w:rPr>
          <w:rStyle w:val="FootnoteReference"/>
        </w:rPr>
        <w:footnoteReference w:id="1138"/>
      </w:r>
      <w:r>
        <w:t xml:space="preserve"> This is also consistent with advice from the </w:t>
      </w:r>
      <w:r w:rsidRPr="001C4431">
        <w:t>Consumer Challenge Panel Sub Panel 3</w:t>
      </w:r>
      <w:r>
        <w:t xml:space="preserve"> (CCP3) that stated:</w:t>
      </w:r>
      <w:r>
        <w:rPr>
          <w:rStyle w:val="FootnoteReference"/>
        </w:rPr>
        <w:footnoteReference w:id="1139"/>
      </w:r>
    </w:p>
    <w:p w:rsidR="0070344D" w:rsidRDefault="0070344D" w:rsidP="0070344D">
      <w:pPr>
        <w:pStyle w:val="AERquote"/>
      </w:pPr>
      <w:r w:rsidRPr="00E905B1">
        <w:t>The AER must have regard to the impact of their RoR decision on capex incentives. Given that the DNSPs’ revised proposal is significan</w:t>
      </w:r>
      <w:r w:rsidRPr="001A2620">
        <w:t xml:space="preserve">tly above current costs of capital for BBB/BBB+ rated companies, there will be perverse incentives to overinvest in the network. </w:t>
      </w:r>
    </w:p>
    <w:p w:rsidR="0070344D" w:rsidRDefault="0070344D" w:rsidP="0070344D">
      <w:r>
        <w:t>Similarly, Partington and Satchell consider the rule requirements are consistent with the zero NPV investment condition, stating:</w:t>
      </w:r>
      <w:r>
        <w:rPr>
          <w:rStyle w:val="FootnoteReference"/>
        </w:rPr>
        <w:footnoteReference w:id="1140"/>
      </w:r>
    </w:p>
    <w:p w:rsidR="0070344D" w:rsidRPr="001A2620" w:rsidRDefault="0070344D" w:rsidP="0070344D">
      <w:pPr>
        <w:pStyle w:val="AERquote"/>
      </w:pPr>
      <w:r w:rsidRPr="00770BC0">
        <w:t>The national electricity and gas objectives are to achieve efficient investment and efficient operation in the long term interest of consumers, while the revenue and pricing principles allow for the recovery, by the regulated businesses, of efficient costs including a return on capital and having regard for the cos</w:t>
      </w:r>
      <w:r>
        <w:t>ts and risks of overinvestment.</w:t>
      </w:r>
      <w:r w:rsidRPr="00770BC0">
        <w:t xml:space="preserve"> There is very clear criterion that can be applied to meet these requirements. That criterion is that investment in regulated assets should be a zero NPV activity.</w:t>
      </w:r>
      <w:r w:rsidRPr="00770BC0" w:rsidDel="00770BC0">
        <w:t xml:space="preserve"> </w:t>
      </w:r>
    </w:p>
    <w:p w:rsidR="0070344D" w:rsidRDefault="0070344D" w:rsidP="0070344D">
      <w:pPr>
        <w:pStyle w:val="Heading9"/>
      </w:pPr>
      <w:bookmarkStart w:id="348" w:name="_Ref447803924"/>
      <w:r>
        <w:t>Requirement for a revenue-neutral transition if there is a regime change</w:t>
      </w:r>
      <w:bookmarkEnd w:id="348"/>
    </w:p>
    <w:p w:rsidR="0070344D" w:rsidRPr="00F21B32" w:rsidRDefault="0070344D" w:rsidP="0070344D">
      <w:r w:rsidRPr="00F21B32">
        <w:t xml:space="preserve">We consider that both an on-the-day </w:t>
      </w:r>
      <w:r>
        <w:t>methodology</w:t>
      </w:r>
      <w:r w:rsidRPr="00F21B32">
        <w:t xml:space="preserve"> to setting the cost of debt and a trailing average </w:t>
      </w:r>
      <w:r>
        <w:t xml:space="preserve">methodology </w:t>
      </w:r>
      <w:r w:rsidRPr="00F21B32">
        <w:t>can meet the ARORO</w:t>
      </w:r>
      <w:r>
        <w:t xml:space="preserve">. However, </w:t>
      </w:r>
      <w:r w:rsidRPr="00F21B32">
        <w:t>in moving between different approaches</w:t>
      </w:r>
      <w:r>
        <w:t>,</w:t>
      </w:r>
      <w:r w:rsidRPr="00F21B32">
        <w:t xml:space="preserve"> a transition that </w:t>
      </w:r>
      <w:r>
        <w:t>is revenue-neutral in a present value sense</w:t>
      </w:r>
      <w:r w:rsidRPr="00F21B32">
        <w:t xml:space="preserve"> will meet the ARORO. Section</w:t>
      </w:r>
      <w:r>
        <w:t xml:space="preserve"> </w:t>
      </w:r>
      <w:r>
        <w:fldChar w:fldCharType="begin"/>
      </w:r>
      <w:r>
        <w:instrText xml:space="preserve"> REF _Ref444767739 \r \h </w:instrText>
      </w:r>
      <w:r>
        <w:fldChar w:fldCharType="separate"/>
      </w:r>
      <w:r>
        <w:t>H.3</w:t>
      </w:r>
      <w:r>
        <w:fldChar w:fldCharType="end"/>
      </w:r>
      <w:r>
        <w:t xml:space="preserve"> further discusses t</w:t>
      </w:r>
      <w:r w:rsidRPr="00F21B32">
        <w:t xml:space="preserve">he position that either approach can result in </w:t>
      </w:r>
      <w:r>
        <w:t xml:space="preserve">a reasonable </w:t>
      </w:r>
      <w:r w:rsidRPr="00F21B32">
        <w:t xml:space="preserve">return </w:t>
      </w:r>
      <w:r>
        <w:t xml:space="preserve">on capital </w:t>
      </w:r>
      <w:r w:rsidRPr="00F21B32">
        <w:t>(and therefore could meet the ARORO)</w:t>
      </w:r>
      <w:r>
        <w:t xml:space="preserve">. This position also </w:t>
      </w:r>
      <w:r w:rsidRPr="00F21B32">
        <w:t>appears consistent with SFG</w:t>
      </w:r>
      <w:r>
        <w:t xml:space="preserve">'s </w:t>
      </w:r>
      <w:r w:rsidRPr="00F21B32">
        <w:t xml:space="preserve">view </w:t>
      </w:r>
      <w:r>
        <w:t xml:space="preserve">that </w:t>
      </w:r>
      <w:r w:rsidRPr="00F21B32">
        <w:t>the AEMC</w:t>
      </w:r>
      <w:r>
        <w:t xml:space="preserve"> noted</w:t>
      </w:r>
      <w:r w:rsidRPr="00F21B32">
        <w:t xml:space="preserve"> in its final rule determination where </w:t>
      </w:r>
      <w:r>
        <w:t xml:space="preserve">it </w:t>
      </w:r>
      <w:r w:rsidRPr="00F21B32">
        <w:t>stated:</w:t>
      </w:r>
      <w:r w:rsidRPr="00F21B32">
        <w:rPr>
          <w:rStyle w:val="FootnoteReference"/>
        </w:rPr>
        <w:footnoteReference w:id="1141"/>
      </w:r>
    </w:p>
    <w:p w:rsidR="0070344D" w:rsidRPr="00F21B32" w:rsidRDefault="0070344D" w:rsidP="0070344D">
      <w:pPr>
        <w:pStyle w:val="AERquote"/>
      </w:pPr>
      <w:r w:rsidRPr="00F21B32">
        <w:t>In its report, SFG highlighted that for a given definition of the return on debt for an efficient benchmark service provider (in particular, the assumed credit rating and term to maturity) the average cost of debt will be the same over the long run. This is regardless of whether the return on debt estimate is based on the prevailing debt cost spot rate or an average of that spot rate. Changing to an averaging approach will not, in itself, systematically reduce or increase the allowed return on debt in the long run. SFG observed that averaging</w:t>
      </w:r>
      <w:r>
        <w:t xml:space="preserve"> approaches will by definition</w:t>
      </w:r>
      <w:r w:rsidRPr="00F21B32">
        <w:t xml:space="preserve"> result in smoother estimates of the return on debt over time.</w:t>
      </w:r>
    </w:p>
    <w:p w:rsidR="0070344D" w:rsidRPr="00F21B32" w:rsidRDefault="0070344D" w:rsidP="0070344D">
      <w:r w:rsidRPr="00F21B32">
        <w:t>We note that when undertaking the rule change in 2012 the AEMC added in clause 6.5.3(k)(4) that states</w:t>
      </w:r>
      <w:r>
        <w:t xml:space="preserve"> (emphasis added)</w:t>
      </w:r>
      <w:r w:rsidRPr="00F21B32">
        <w:t>:</w:t>
      </w:r>
    </w:p>
    <w:p w:rsidR="0070344D" w:rsidRPr="00F21B32" w:rsidRDefault="0070344D" w:rsidP="0070344D">
      <w:pPr>
        <w:pStyle w:val="AERquote"/>
      </w:pPr>
      <w:r w:rsidRPr="00F21B32">
        <w:t xml:space="preserve">(k) In estimating the return on debt under paragraph (h), regard must </w:t>
      </w:r>
      <w:r>
        <w:t>be had to the following factors…</w:t>
      </w:r>
    </w:p>
    <w:p w:rsidR="0070344D" w:rsidRPr="00F21B32" w:rsidRDefault="0070344D" w:rsidP="0070344D">
      <w:pPr>
        <w:pStyle w:val="AERquote"/>
      </w:pPr>
      <w:r w:rsidRPr="00F21B32">
        <w:t xml:space="preserve">(4)  any impacts (including in relation to the costs of servicing debt across regulatory control periods) on a benchmark efficient entity referred to in the allowed rate of return objective that could arise </w:t>
      </w:r>
      <w:r w:rsidRPr="00E26732">
        <w:rPr>
          <w:rStyle w:val="AERtextboldunderline"/>
        </w:rPr>
        <w:t>as a result of changing the methodology</w:t>
      </w:r>
      <w:r w:rsidRPr="00F21B32">
        <w:t xml:space="preserve"> that is used to estimate the return on debt from one regulatory control period to the next.</w:t>
      </w:r>
    </w:p>
    <w:p w:rsidR="0070344D" w:rsidRPr="00F21B32" w:rsidRDefault="0070344D" w:rsidP="0070344D">
      <w:r w:rsidRPr="00F21B32">
        <w:t xml:space="preserve">This clause is explicit in requiring </w:t>
      </w:r>
      <w:r>
        <w:t>us</w:t>
      </w:r>
      <w:r w:rsidRPr="00F21B32">
        <w:t xml:space="preserve"> to have regard to any impacts</w:t>
      </w:r>
      <w:r w:rsidRPr="00793E5F">
        <w:t xml:space="preserve"> </w:t>
      </w:r>
      <w:r>
        <w:t>on a benchmark efficient entity</w:t>
      </w:r>
      <w:r w:rsidRPr="00F21B32">
        <w:t xml:space="preserve"> </w:t>
      </w:r>
      <w:r>
        <w:t xml:space="preserve">that could arise </w:t>
      </w:r>
      <w:r w:rsidRPr="00F21B32">
        <w:t xml:space="preserve">as a result of a change of methodology. This would include having regard to any material </w:t>
      </w:r>
      <w:r>
        <w:t>changes in</w:t>
      </w:r>
      <w:r w:rsidRPr="00E817C9">
        <w:t xml:space="preserve"> the present value of a benchmark efficient entity's </w:t>
      </w:r>
      <w:r>
        <w:t>regulated revenue</w:t>
      </w:r>
      <w:r w:rsidRPr="00E817C9">
        <w:t xml:space="preserve"> purely due to changing the debt estimation methodology</w:t>
      </w:r>
      <w:r w:rsidRPr="00F21B32">
        <w:t xml:space="preserve">. </w:t>
      </w:r>
      <w:r>
        <w:t xml:space="preserve">If such changes increased a </w:t>
      </w:r>
      <w:r w:rsidRPr="00E817C9">
        <w:t xml:space="preserve">benchmark efficient entity's </w:t>
      </w:r>
      <w:r>
        <w:t>value, then this would benefit its equity holders at the expense of consumers. Conversely, if such changes de</w:t>
      </w:r>
      <w:r w:rsidRPr="00E817C9">
        <w:t xml:space="preserve">creased a benchmark efficient entity's value, then this </w:t>
      </w:r>
      <w:r>
        <w:t xml:space="preserve">would cost its equity holders but provide a short term financial benefit to consumers (which may not be a long-term benefit to the extent this results in underinvestment).  As such, this methodological change </w:t>
      </w:r>
      <w:r w:rsidRPr="00F21B32">
        <w:t>may also have a material negative impact on the confidence in the predictability of the regulatory regime.</w:t>
      </w:r>
      <w:r>
        <w:rPr>
          <w:rStyle w:val="FootnoteReference"/>
        </w:rPr>
        <w:footnoteReference w:id="1142"/>
      </w:r>
      <w:r>
        <w:t xml:space="preserve"> </w:t>
      </w:r>
      <w:r w:rsidRPr="00F21B32">
        <w:t>We consider the AEMC</w:t>
      </w:r>
      <w:r>
        <w:t>'s</w:t>
      </w:r>
      <w:r w:rsidRPr="00F21B32">
        <w:t xml:space="preserve"> guidance on the intent of this clause is consistent with our approach</w:t>
      </w:r>
      <w:r>
        <w:t xml:space="preserve"> (emphasis added)</w:t>
      </w:r>
      <w:r w:rsidRPr="00F21B32">
        <w:t>:</w:t>
      </w:r>
      <w:r w:rsidRPr="00F21B32">
        <w:rPr>
          <w:rStyle w:val="FootnoteReference"/>
        </w:rPr>
        <w:footnoteReference w:id="1143"/>
      </w:r>
    </w:p>
    <w:p w:rsidR="0070344D" w:rsidRPr="00F21B32" w:rsidRDefault="0070344D" w:rsidP="0070344D">
      <w:pPr>
        <w:pStyle w:val="AERquote"/>
      </w:pPr>
      <w:r w:rsidRPr="00F21B32">
        <w:t xml:space="preserve">The purpose of the fourth factor is for the regulator to have regard to </w:t>
      </w:r>
      <w:r w:rsidRPr="00E26732">
        <w:rPr>
          <w:rStyle w:val="AERtextboldunderline"/>
        </w:rPr>
        <w:t>impacts of changes in the methodology</w:t>
      </w:r>
      <w:r w:rsidRPr="00F21B32">
        <w:t xml:space="preserve"> for estimating the return on debt from one regulatory control period to another. Consideration should be given to the potential for consumers and service providers to face a significant and unexpected change in costs or prices that may have negative effects on confidence in the predictability of the regulatory arrangements.</w:t>
      </w:r>
    </w:p>
    <w:p w:rsidR="0070344D" w:rsidRDefault="0070344D" w:rsidP="0070344D">
      <w:r>
        <w:t>W</w:t>
      </w:r>
      <w:r w:rsidRPr="00F21B32">
        <w:t xml:space="preserve">e have taken this factor into account and consider our transitional approach </w:t>
      </w:r>
      <w:r>
        <w:t xml:space="preserve">is </w:t>
      </w:r>
      <w:r w:rsidRPr="00F21B32">
        <w:t>consistent</w:t>
      </w:r>
      <w:r>
        <w:t xml:space="preserve"> with the intent of this factor. Nevertheless,</w:t>
      </w:r>
      <w:r w:rsidRPr="00F21B32">
        <w:t xml:space="preserve"> we consider that irrespective of this factor</w:t>
      </w:r>
      <w:r>
        <w:t>,</w:t>
      </w:r>
      <w:r w:rsidRPr="00F21B32">
        <w:t xml:space="preserve"> our tran</w:t>
      </w:r>
      <w:r>
        <w:t>sition approach meets the r</w:t>
      </w:r>
      <w:r w:rsidRPr="00F21B32">
        <w:t xml:space="preserve">equirements of the </w:t>
      </w:r>
      <w:r>
        <w:t>ARORO, NEO/NGO</w:t>
      </w:r>
      <w:r w:rsidRPr="00F21B32">
        <w:t xml:space="preserve"> and </w:t>
      </w:r>
      <w:r>
        <w:t>RPPs. Partington and Satchell and the CCP3 formed a similar view that the full transition to a trailing average in the Guideline would better satisfy the ARORO than the service providers' revised proposals.</w:t>
      </w:r>
      <w:r>
        <w:rPr>
          <w:rStyle w:val="FootnoteReference"/>
        </w:rPr>
        <w:footnoteReference w:id="1144"/>
      </w:r>
      <w:r>
        <w:t xml:space="preserve"> </w:t>
      </w:r>
      <w:r w:rsidRPr="00F21B32">
        <w:t>We also consider that an immediate</w:t>
      </w:r>
      <w:r>
        <w:t xml:space="preserve"> (or hybrid)</w:t>
      </w:r>
      <w:r w:rsidRPr="00F21B32">
        <w:t xml:space="preserve"> </w:t>
      </w:r>
      <w:r>
        <w:t>transition</w:t>
      </w:r>
      <w:r w:rsidRPr="00F21B32">
        <w:t xml:space="preserve"> to a trailing average would </w:t>
      </w:r>
      <w:r>
        <w:t>result in a</w:t>
      </w:r>
      <w:r w:rsidRPr="00F21B32">
        <w:t xml:space="preserve"> material and unexpected change</w:t>
      </w:r>
      <w:r>
        <w:t xml:space="preserve"> in the present value of a benchmark efficient entity</w:t>
      </w:r>
      <w:r w:rsidRPr="00F21B32">
        <w:t xml:space="preserve"> relative to </w:t>
      </w:r>
      <w:r>
        <w:t xml:space="preserve">a value consistent with </w:t>
      </w:r>
      <w:r w:rsidRPr="00F21B32">
        <w:t xml:space="preserve">investor expectations formed under the on-the-day </w:t>
      </w:r>
      <w:r>
        <w:t>regime</w:t>
      </w:r>
      <w:r w:rsidRPr="00F21B32">
        <w:t>. If this occurred it would likely increase expected regulatory</w:t>
      </w:r>
      <w:r>
        <w:t xml:space="preserve"> uncertainty</w:t>
      </w:r>
      <w:r w:rsidRPr="00F21B32">
        <w:t xml:space="preserve"> going forward. We consider this may both undermine confidence in the predictability of the regulatory arrangements and not minimise efficient financing costs (all else</w:t>
      </w:r>
      <w:r>
        <w:t xml:space="preserve"> being</w:t>
      </w:r>
      <w:r w:rsidRPr="00F21B32">
        <w:t xml:space="preserve"> equal).</w:t>
      </w:r>
      <w:r>
        <w:rPr>
          <w:rStyle w:val="FootnoteReference"/>
        </w:rPr>
        <w:footnoteReference w:id="1145"/>
      </w:r>
      <w:r w:rsidRPr="00F21B32">
        <w:t xml:space="preserve"> For these reasons, </w:t>
      </w:r>
      <w:r>
        <w:t>we</w:t>
      </w:r>
      <w:r w:rsidRPr="00F21B32">
        <w:t xml:space="preserve"> consider a lack of transition to limit </w:t>
      </w:r>
      <w:r>
        <w:t xml:space="preserve">uncertainty of regulatory changes affecting the value of the benchmark efficient entity </w:t>
      </w:r>
      <w:r w:rsidRPr="00F21B32">
        <w:t>is unlikely to be consistent with achieving the NEO/NGO and the RPP</w:t>
      </w:r>
      <w:r>
        <w:t>s</w:t>
      </w:r>
      <w:r w:rsidRPr="00F21B32">
        <w:t>.</w:t>
      </w:r>
    </w:p>
    <w:p w:rsidR="0070344D" w:rsidRPr="00F21B32" w:rsidRDefault="0070344D" w:rsidP="0070344D">
      <w:r>
        <w:t xml:space="preserve">Similarly, </w:t>
      </w:r>
      <w:r w:rsidRPr="00F21B32">
        <w:t xml:space="preserve">SFG </w:t>
      </w:r>
      <w:r>
        <w:t>advised the AEMC that</w:t>
      </w:r>
      <w:r w:rsidRPr="00F21B32">
        <w:t xml:space="preserve"> a transition may be </w:t>
      </w:r>
      <w:r>
        <w:t>required</w:t>
      </w:r>
      <w:r w:rsidRPr="00F21B32">
        <w:t xml:space="preserve"> to limit </w:t>
      </w:r>
      <w:r>
        <w:t>'</w:t>
      </w:r>
      <w:r w:rsidRPr="00F21B32">
        <w:t>regulatory risk</w:t>
      </w:r>
      <w:r>
        <w:t>' and to avoid being in</w:t>
      </w:r>
      <w:r w:rsidRPr="00F21B32">
        <w:t>consistent with the NEO and RPP</w:t>
      </w:r>
      <w:r>
        <w:t>s.</w:t>
      </w:r>
      <w:r w:rsidRPr="00F21B32">
        <w:rPr>
          <w:rStyle w:val="FootnoteReference"/>
        </w:rPr>
        <w:footnoteReference w:id="1146"/>
      </w:r>
      <w:r>
        <w:t xml:space="preserve"> </w:t>
      </w:r>
      <w:r w:rsidRPr="00F21B32">
        <w:t xml:space="preserve">SFG also </w:t>
      </w:r>
      <w:r>
        <w:t>considered</w:t>
      </w:r>
      <w:r w:rsidRPr="00F21B32">
        <w:t xml:space="preserve"> that</w:t>
      </w:r>
      <w:r>
        <w:t xml:space="preserve"> </w:t>
      </w:r>
      <w:r w:rsidRPr="00F21B32">
        <w:t>the</w:t>
      </w:r>
      <w:r>
        <w:t xml:space="preserve"> transition</w:t>
      </w:r>
      <w:r w:rsidRPr="00F21B32">
        <w:t xml:space="preserve"> </w:t>
      </w:r>
      <w:r>
        <w:t>we</w:t>
      </w:r>
      <w:r w:rsidRPr="00F21B32">
        <w:t xml:space="preserve"> proposed (the QTC method) would be an appropriate means of transitioning from the</w:t>
      </w:r>
      <w:r>
        <w:t xml:space="preserve"> current rules (that used an on-the-</w:t>
      </w:r>
      <w:r w:rsidRPr="00F21B32">
        <w:t>day methodology) to the use of a historical average cost of debt approach.</w:t>
      </w:r>
      <w:r w:rsidRPr="00F21B32">
        <w:rPr>
          <w:rStyle w:val="FootnoteReference"/>
        </w:rPr>
        <w:footnoteReference w:id="1147"/>
      </w:r>
      <w:r w:rsidRPr="00F21B32">
        <w:t xml:space="preserve"> The desirability for predictability was also commented on by an Expert Panel on Energy Access pricing for the Ministerial Council on Energy in 2006 who noted [emphasis added]:</w:t>
      </w:r>
      <w:r w:rsidRPr="00F21B32">
        <w:rPr>
          <w:rStyle w:val="FootnoteReference"/>
        </w:rPr>
        <w:footnoteReference w:id="1148"/>
      </w:r>
    </w:p>
    <w:p w:rsidR="0070344D" w:rsidRPr="00F21B32" w:rsidRDefault="0070344D" w:rsidP="0070344D">
      <w:pPr>
        <w:pStyle w:val="AERquote"/>
      </w:pPr>
      <w:r w:rsidRPr="00F21B32">
        <w:t xml:space="preserve">Regulatory (and hence investor and user) risk can greatly be reduced if decisions are made in a timely and predictable manner. Timeliness in access decisions (including any merits and judicial review process) is important for both reducing the costs of the regime and minimising uncertainty associated </w:t>
      </w:r>
      <w:r>
        <w:t>with the outcome of the review</w:t>
      </w:r>
      <w:r w:rsidRPr="00F21B32">
        <w:t>…</w:t>
      </w:r>
    </w:p>
    <w:p w:rsidR="0070344D" w:rsidRPr="00F21B32" w:rsidRDefault="0070344D" w:rsidP="0070344D">
      <w:pPr>
        <w:pStyle w:val="AERquote"/>
      </w:pPr>
      <w:r w:rsidRPr="00AA5640">
        <w:rPr>
          <w:rStyle w:val="Strong"/>
        </w:rPr>
        <w:t>Equally important is the predictability of those decisions</w:t>
      </w:r>
      <w:r w:rsidRPr="00F21B32">
        <w:t xml:space="preserve"> – that is the development of an approach that gives energy users and investors in transmission and distribution infrastructure confidence that access and pricing outcomes will be guided by known principles that are </w:t>
      </w:r>
      <w:r>
        <w:t>applied in a consistent manner.</w:t>
      </w:r>
    </w:p>
    <w:p w:rsidR="0070344D" w:rsidRDefault="0070344D" w:rsidP="0070344D">
      <w:r w:rsidRPr="00F21B32">
        <w:t>We consider our approach is consistent with the desire for predictability in regulatory decisions by using a transition to avoid</w:t>
      </w:r>
      <w:r>
        <w:t xml:space="preserve"> material wealth</w:t>
      </w:r>
      <w:r w:rsidRPr="00F21B32">
        <w:t xml:space="preserve"> impacts from the change in methodology.</w:t>
      </w:r>
      <w:r>
        <w:t xml:space="preserve"> HoustonKemp also provided support for a transition when it advised the Essential Services Commission of SA (ESCOSA):</w:t>
      </w:r>
      <w:r>
        <w:rPr>
          <w:rStyle w:val="FootnoteReference"/>
        </w:rPr>
        <w:footnoteReference w:id="1149"/>
      </w:r>
    </w:p>
    <w:p w:rsidR="0070344D" w:rsidRPr="00F21B32" w:rsidRDefault="0070344D" w:rsidP="0070344D">
      <w:pPr>
        <w:pStyle w:val="AERquote"/>
      </w:pPr>
      <w:r w:rsidRPr="0097594A">
        <w:t>Consistent with regulatory best practice, a regulatory authority should seek to avoid imposing windfall gains</w:t>
      </w:r>
      <w:r>
        <w:t xml:space="preserve"> </w:t>
      </w:r>
      <w:r w:rsidRPr="0097594A">
        <w:t>or losses as a result of regulatory changes. A regulatory change that imposes windfall gains or losses will be</w:t>
      </w:r>
      <w:r>
        <w:t xml:space="preserve"> </w:t>
      </w:r>
      <w:r w:rsidRPr="0097594A">
        <w:t>to the detriment of regulatory certainty and will likely increase the perceived level of regulatory risk, and so</w:t>
      </w:r>
      <w:r>
        <w:t xml:space="preserve"> </w:t>
      </w:r>
      <w:r w:rsidRPr="0097594A">
        <w:t>the cost of capital.</w:t>
      </w:r>
    </w:p>
    <w:p w:rsidR="0070344D" w:rsidRPr="00F21B32" w:rsidRDefault="0070344D" w:rsidP="0070344D">
      <w:r w:rsidRPr="00F21B32">
        <w:t xml:space="preserve">A transition </w:t>
      </w:r>
      <w:r>
        <w:t xml:space="preserve">is </w:t>
      </w:r>
      <w:r w:rsidRPr="00F21B32">
        <w:t xml:space="preserve">also </w:t>
      </w:r>
      <w:r>
        <w:t>likely to</w:t>
      </w:r>
      <w:r w:rsidRPr="00F21B32">
        <w:t xml:space="preserve"> be important </w:t>
      </w:r>
      <w:r>
        <w:t>for</w:t>
      </w:r>
      <w:r w:rsidRPr="00F21B32">
        <w:t xml:space="preserve"> maintaining the incentives on </w:t>
      </w:r>
      <w:r>
        <w:t>service providers</w:t>
      </w:r>
      <w:r w:rsidRPr="00F21B32">
        <w:t xml:space="preserve"> to adopt efficient financing practices under the regulatory regime</w:t>
      </w:r>
      <w:r>
        <w:t xml:space="preserve">. We consider this </w:t>
      </w:r>
      <w:r w:rsidRPr="00F21B32">
        <w:t>is consistent with the R</w:t>
      </w:r>
      <w:r>
        <w:t xml:space="preserve">evenue and </w:t>
      </w:r>
      <w:r w:rsidRPr="00F21B32">
        <w:t>P</w:t>
      </w:r>
      <w:r>
        <w:t xml:space="preserve">ricing </w:t>
      </w:r>
      <w:r w:rsidRPr="00F21B32">
        <w:t>P</w:t>
      </w:r>
      <w:r>
        <w:t>rinciples,</w:t>
      </w:r>
      <w:r w:rsidRPr="00F21B32">
        <w:t xml:space="preserve"> which </w:t>
      </w:r>
      <w:r>
        <w:t>indicate</w:t>
      </w:r>
      <w:r w:rsidRPr="00F21B32">
        <w:t xml:space="preserve"> regulated firms </w:t>
      </w:r>
      <w:r>
        <w:t>should</w:t>
      </w:r>
      <w:r w:rsidRPr="00F21B32">
        <w:t xml:space="preserve"> be provided with a range of incentives including incentives that should promote the efficient provision of electricity network</w:t>
      </w:r>
      <w:r>
        <w:t>/pipeline</w:t>
      </w:r>
      <w:r w:rsidRPr="00F21B32">
        <w:t xml:space="preserve"> services.</w:t>
      </w:r>
      <w:r w:rsidRPr="00F21B32">
        <w:rPr>
          <w:rStyle w:val="FootnoteReference"/>
        </w:rPr>
        <w:footnoteReference w:id="1150"/>
      </w:r>
      <w:r w:rsidRPr="00F21B32">
        <w:t xml:space="preserve"> </w:t>
      </w:r>
      <w:r>
        <w:t xml:space="preserve">These principles show our regime is intended to be an incentive base regime as opposed to a cost of service regime. </w:t>
      </w:r>
      <w:r w:rsidRPr="00F21B32">
        <w:t>To promote efficiency incentives</w:t>
      </w:r>
      <w:r>
        <w:t>,</w:t>
      </w:r>
      <w:r w:rsidRPr="00F21B32">
        <w:t xml:space="preserve"> we consider regulated firms should be required to </w:t>
      </w:r>
      <w:r>
        <w:t>bear the consequences of their chosen financing approach</w:t>
      </w:r>
      <w:r w:rsidRPr="00F21B32">
        <w:t xml:space="preserve"> from the prior re</w:t>
      </w:r>
      <w:r>
        <w:t>gulatory period where returns w</w:t>
      </w:r>
      <w:r w:rsidRPr="00F21B32">
        <w:t xml:space="preserve">ere set under the on-the-day methodology and any financing decisions they made over this period were made in the expectation this methodology would continue. </w:t>
      </w:r>
      <w:r>
        <w:t xml:space="preserve">It </w:t>
      </w:r>
      <w:r w:rsidRPr="00F21B32">
        <w:t xml:space="preserve">could significantly undermine </w:t>
      </w:r>
      <w:r>
        <w:t>service providers'</w:t>
      </w:r>
      <w:r w:rsidRPr="00F21B32">
        <w:t xml:space="preserve"> incentives to manage financial risk</w:t>
      </w:r>
      <w:r>
        <w:t xml:space="preserve"> efficiently </w:t>
      </w:r>
      <w:r w:rsidRPr="00F21B32">
        <w:t>if</w:t>
      </w:r>
      <w:r>
        <w:t xml:space="preserve"> we provide an allowed return on debt in this decision that results in regulated firms not bearing the consequences of their chosen financing practices. This is because service providers were </w:t>
      </w:r>
      <w:r w:rsidRPr="00F21B32">
        <w:t xml:space="preserve">required to bear and manage </w:t>
      </w:r>
      <w:r>
        <w:t xml:space="preserve">this </w:t>
      </w:r>
      <w:r w:rsidRPr="00F21B32">
        <w:t>risk.</w:t>
      </w:r>
      <w:r>
        <w:rPr>
          <w:rStyle w:val="FootnoteReference"/>
        </w:rPr>
        <w:footnoteReference w:id="1151"/>
      </w:r>
    </w:p>
    <w:p w:rsidR="0070344D" w:rsidRDefault="0070344D" w:rsidP="0070344D">
      <w:pPr>
        <w:pStyle w:val="Heading8"/>
      </w:pPr>
      <w:bookmarkStart w:id="349" w:name="_Ref444767739"/>
      <w:r>
        <w:t>On-the-day and trailing average approaches</w:t>
      </w:r>
      <w:bookmarkEnd w:id="349"/>
    </w:p>
    <w:p w:rsidR="0070344D" w:rsidRPr="0070344D" w:rsidRDefault="0070344D" w:rsidP="00EB795B">
      <w:r>
        <w:t xml:space="preserve">In this section, we analyse the on-the-day and trailing average approaches to establish </w:t>
      </w:r>
      <w:r w:rsidRPr="0070344D">
        <w:t>whether these approaches can contribute to the achievement of the ARORO. We also explain that, while we consider both approaches would be open to us; we would expect either approach to produce different estimates at given points in time.</w:t>
      </w:r>
    </w:p>
    <w:p w:rsidR="0070344D" w:rsidRPr="0070344D" w:rsidRDefault="0070344D" w:rsidP="00EB795B">
      <w:r>
        <w:t xml:space="preserve">From establishing this, we </w:t>
      </w:r>
      <w:r w:rsidRPr="0070344D">
        <w:t>can demonstrate that in changing approaches from the on-the-day to the trailing average approach (or vice versa); a revenue neutral transition (in present value terms) is required to contribute to the achievement of the ARORO.</w:t>
      </w:r>
    </w:p>
    <w:p w:rsidR="0070344D" w:rsidRPr="00501A2B" w:rsidRDefault="0070344D" w:rsidP="0070344D">
      <w:pPr>
        <w:pStyle w:val="Heading9"/>
      </w:pPr>
      <w:bookmarkStart w:id="350" w:name="_Ref445131744"/>
      <w:r>
        <w:t>On-the-day approach</w:t>
      </w:r>
      <w:bookmarkEnd w:id="350"/>
    </w:p>
    <w:p w:rsidR="0070344D" w:rsidRDefault="0070344D" w:rsidP="0070344D">
      <w:r>
        <w:t xml:space="preserve">The </w:t>
      </w:r>
      <w:r w:rsidRPr="00E2186B">
        <w:t>o</w:t>
      </w:r>
      <w:r>
        <w:t>n-the-</w:t>
      </w:r>
      <w:r w:rsidRPr="00E2186B">
        <w:t xml:space="preserve">day approach estimates the </w:t>
      </w:r>
      <w:r>
        <w:t xml:space="preserve">allowed </w:t>
      </w:r>
      <w:r w:rsidRPr="00E2186B">
        <w:t xml:space="preserve">return on debt </w:t>
      </w:r>
      <w:r>
        <w:t>for</w:t>
      </w:r>
      <w:r w:rsidRPr="00E2186B">
        <w:t xml:space="preserve"> a service provider as the prevailing </w:t>
      </w:r>
      <w:r>
        <w:t>cost of</w:t>
      </w:r>
      <w:r w:rsidRPr="00E2186B">
        <w:t xml:space="preserve"> debt as close as possible to the start of the regulatory period.</w:t>
      </w:r>
      <w:r>
        <w:rPr>
          <w:rStyle w:val="FootnoteReference"/>
        </w:rPr>
        <w:footnoteReference w:id="1152"/>
      </w:r>
      <w:r w:rsidRPr="00E2186B">
        <w:t xml:space="preserve"> The on-the-day approach is the longstanding return on debt approach adopted by us and </w:t>
      </w:r>
      <w:r>
        <w:t xml:space="preserve">generally by </w:t>
      </w:r>
      <w:r w:rsidRPr="00E2186B">
        <w:t>other regulators in Australia.</w:t>
      </w:r>
      <w:r>
        <w:rPr>
          <w:rStyle w:val="FootnoteReference"/>
        </w:rPr>
        <w:footnoteReference w:id="1153"/>
      </w:r>
      <w:r w:rsidRPr="00E2186B">
        <w:t xml:space="preserve"> While the </w:t>
      </w:r>
      <w:r>
        <w:t>NER/NGR</w:t>
      </w:r>
      <w:r w:rsidRPr="00E2186B">
        <w:t xml:space="preserve"> no longer mandate </w:t>
      </w:r>
      <w:r>
        <w:t>that we adopt this approach, they still make it</w:t>
      </w:r>
      <w:r w:rsidRPr="00E2186B">
        <w:t xml:space="preserve"> available to us.</w:t>
      </w:r>
      <w:r>
        <w:rPr>
          <w:rStyle w:val="FootnoteReference"/>
        </w:rPr>
        <w:footnoteReference w:id="1154"/>
      </w:r>
      <w:r>
        <w:t xml:space="preserve"> Prior to the rules changes in 2012, the on-the-day approach was used to not only set the return on debt but was used to set the overall allowed rate of return. Post the rule changes, the on-the-day approach will continue to be used to set the allowed return on equity as this remains mandated by the rules.</w:t>
      </w:r>
      <w:r>
        <w:rPr>
          <w:rStyle w:val="FootnoteReference"/>
        </w:rPr>
        <w:footnoteReference w:id="1155"/>
      </w:r>
    </w:p>
    <w:p w:rsidR="0070344D" w:rsidRPr="0070344D" w:rsidRDefault="0070344D" w:rsidP="00EB795B">
      <w:r>
        <w:t xml:space="preserve">We consider </w:t>
      </w:r>
      <w:r w:rsidRPr="0070344D">
        <w:t xml:space="preserve">the on-the-day approach can estimate an allowed rate of return commensurate with the efficient financing costs of a benchmark efficient entity with a similar degree of risk as a service provider in the provision of regulated services. This is because the on-the-day approach provides service providers with a reasonable opportunity to recover at least efficient costs over the term of the RAB </w:t>
      </w:r>
      <w:r w:rsidRPr="0070344D">
        <w:rPr>
          <w:rStyle w:val="AERtextunderline"/>
        </w:rPr>
        <w:t>and</w:t>
      </w:r>
      <w:r w:rsidRPr="0070344D">
        <w:t xml:space="preserve"> over each regulatory period (see section </w:t>
      </w:r>
      <w:r w:rsidRPr="0070344D">
        <w:fldChar w:fldCharType="begin"/>
      </w:r>
      <w:r w:rsidRPr="0070344D">
        <w:instrText xml:space="preserve"> REF _Ref444773920 \r \h </w:instrText>
      </w:r>
      <w:r w:rsidRPr="0070344D">
        <w:fldChar w:fldCharType="separate"/>
      </w:r>
      <w:r w:rsidRPr="0070344D">
        <w:t>H.3.3</w:t>
      </w:r>
      <w:r w:rsidRPr="0070344D">
        <w:fldChar w:fldCharType="end"/>
      </w:r>
      <w:r w:rsidRPr="0070344D">
        <w:t>). Ex-ante efficient compensation holds for each regulatory period under this approach because the entire allowed rate of return is reset to reflect the prevailing market cost of capital at the commencement of each regulatory period. In this way, the allowed revenue under the on-the-day approach can be likened to a form of long term floating rate security where the interest (or coupon) rate is reset to reflect prevailing market rates at the start of each regulatory period. Any compensable risk from the resetting process under the on-the-day approach is largely born by equity holders of the regulated firms. As SFG advised the AEMC, 'any mis-match between the cash inflows and cash outflows in relation to the return on debt will flow through to the equity holders'.</w:t>
      </w:r>
      <w:r w:rsidRPr="0070344D">
        <w:rPr>
          <w:rStyle w:val="FootnoteReference"/>
        </w:rPr>
        <w:footnoteReference w:id="1156"/>
      </w:r>
    </w:p>
    <w:p w:rsidR="0070344D" w:rsidRDefault="0070344D" w:rsidP="0070344D">
      <w:r>
        <w:t xml:space="preserve">While we have chosen to move towards a trailing average approach (section </w:t>
      </w:r>
      <w:r>
        <w:fldChar w:fldCharType="begin"/>
      </w:r>
      <w:r>
        <w:instrText xml:space="preserve"> REF _Ref444774464 \r \h </w:instrText>
      </w:r>
      <w:r>
        <w:fldChar w:fldCharType="separate"/>
      </w:r>
      <w:r>
        <w:t>H.3.2</w:t>
      </w:r>
      <w:r>
        <w:fldChar w:fldCharType="end"/>
      </w:r>
      <w:r>
        <w:t xml:space="preserve"> explains why we consider a trailing average approach is open to us), this does not imply that the on-the-day approach provides an 'incorrect' outcome or an outcome inconsistent with the ARORO. Rather, we consider the on-the-day approach has advantages, including:</w:t>
      </w:r>
    </w:p>
    <w:p w:rsidR="0070344D" w:rsidRPr="0070344D" w:rsidRDefault="0070344D" w:rsidP="0070344D">
      <w:pPr>
        <w:pStyle w:val="AERbulletlistfirststyle"/>
      </w:pPr>
      <w:r>
        <w:t>It is consistent with the prevailing</w:t>
      </w:r>
      <w:r w:rsidRPr="0070344D">
        <w:t xml:space="preserve"> market cost of debt as close as possible to the commencement of the regulatory period. As such, it is commensurate with efficient financing costs at the commencement of the regulatory period and can promote efficient investment decisions. It is also internally consistent with how we estimate other components of the allowed rate of return and other building block components.</w:t>
      </w:r>
    </w:p>
    <w:p w:rsidR="0070344D" w:rsidRPr="0070344D" w:rsidRDefault="0070344D" w:rsidP="0070344D">
      <w:pPr>
        <w:pStyle w:val="AERbulletlistfirststyle"/>
      </w:pPr>
      <w:r>
        <w:t xml:space="preserve">It leads to an estimate that </w:t>
      </w:r>
      <w:r w:rsidRPr="0070344D">
        <w:t>is likely to more closely imitate the outcomes of a competitive market near the start of the regulatory period than a trailing average approach.</w:t>
      </w:r>
    </w:p>
    <w:p w:rsidR="0070344D" w:rsidRPr="002527B0" w:rsidRDefault="0070344D" w:rsidP="0070344D">
      <w:pPr>
        <w:pStyle w:val="HeadingBoldBlue"/>
      </w:pPr>
      <w:bookmarkStart w:id="351" w:name="_Ref445121562"/>
      <w:r>
        <w:t>C</w:t>
      </w:r>
      <w:r w:rsidRPr="002527B0">
        <w:t xml:space="preserve">onsistent with prevailing </w:t>
      </w:r>
      <w:r>
        <w:t xml:space="preserve">market </w:t>
      </w:r>
      <w:r w:rsidRPr="002527B0">
        <w:t>cost of debt</w:t>
      </w:r>
      <w:bookmarkEnd w:id="351"/>
    </w:p>
    <w:p w:rsidR="0070344D" w:rsidRDefault="0070344D" w:rsidP="0070344D">
      <w:r>
        <w:t xml:space="preserve">As discussed in section </w:t>
      </w:r>
      <w:r>
        <w:fldChar w:fldCharType="begin"/>
      </w:r>
      <w:r>
        <w:instrText xml:space="preserve"> REF _Ref446405872 \r \h </w:instrText>
      </w:r>
      <w:r>
        <w:fldChar w:fldCharType="separate"/>
      </w:r>
      <w:r>
        <w:t>H.1.1</w:t>
      </w:r>
      <w:r>
        <w:fldChar w:fldCharType="end"/>
      </w:r>
      <w:r>
        <w:t xml:space="preserve"> and </w:t>
      </w:r>
      <w:r>
        <w:fldChar w:fldCharType="begin"/>
      </w:r>
      <w:r>
        <w:instrText xml:space="preserve"> REF _Ref446603900 \r \h </w:instrText>
      </w:r>
      <w:r>
        <w:fldChar w:fldCharType="separate"/>
      </w:r>
      <w:r>
        <w:t>H.2.1</w:t>
      </w:r>
      <w:r>
        <w:fldChar w:fldCharType="end"/>
      </w:r>
      <w:r>
        <w:t>, we consider efficient financing costs, for debt and equity, should be based on (appropriately benchmarked) prevailing market rates.</w:t>
      </w:r>
      <w:r w:rsidRPr="005D54D1">
        <w:t xml:space="preserve"> </w:t>
      </w:r>
      <w:r>
        <w:t xml:space="preserve">As shown mathematically in section </w:t>
      </w:r>
      <w:r>
        <w:fldChar w:fldCharType="begin"/>
      </w:r>
      <w:r>
        <w:instrText xml:space="preserve"> REF _Ref444767739 \r \h </w:instrText>
      </w:r>
      <w:r>
        <w:fldChar w:fldCharType="separate"/>
      </w:r>
      <w:r>
        <w:t>H.3</w:t>
      </w:r>
      <w:r>
        <w:fldChar w:fldCharType="end"/>
      </w:r>
      <w:r>
        <w:t>, the on-the-day approach resets the entire allowed rate of return (which includes the return on debt) to reflect, as closely as possible, the prevailing market cost of capital (which includes the cost of debt) at the commencement of each regulatory period.</w:t>
      </w:r>
    </w:p>
    <w:p w:rsidR="0070344D" w:rsidRDefault="0070344D" w:rsidP="0070344D">
      <w:r>
        <w:t xml:space="preserve">We consider an allowed return on debt that reflects the prevailing market cost of debt promotes efficient investment decisions. </w:t>
      </w:r>
      <w:r w:rsidRPr="00E2186B">
        <w:t>When firms make investment decisions, they estimate the cost of capital based on prevailing market rates. This is important because the cost of capital is based on investors’ expectations of future returns.</w:t>
      </w:r>
      <w:r>
        <w:rPr>
          <w:rStyle w:val="FootnoteReference"/>
        </w:rPr>
        <w:footnoteReference w:id="1157"/>
      </w:r>
      <w:r>
        <w:t xml:space="preserve"> </w:t>
      </w:r>
      <w:r w:rsidRPr="00E2186B">
        <w:t>Firms then use this estimate to set a discount rate at which they discount the expected future cash flows of the proposed investment in order to determine its viability (that is</w:t>
      </w:r>
      <w:r>
        <w:t>,</w:t>
      </w:r>
      <w:r w:rsidRPr="00E2186B">
        <w:t xml:space="preserve"> whether the NPV of the expected cash flows is greater than or equal to zero).</w:t>
      </w:r>
    </w:p>
    <w:p w:rsidR="0070344D" w:rsidRDefault="0070344D" w:rsidP="0070344D">
      <w:r>
        <w:t xml:space="preserve">As discussed in section </w:t>
      </w:r>
      <w:r>
        <w:fldChar w:fldCharType="begin"/>
      </w:r>
      <w:r>
        <w:instrText xml:space="preserve"> REF _Ref446603900 \r \h </w:instrText>
      </w:r>
      <w:r>
        <w:fldChar w:fldCharType="separate"/>
      </w:r>
      <w:r>
        <w:t>H.2.1</w:t>
      </w:r>
      <w:r>
        <w:fldChar w:fldCharType="end"/>
      </w:r>
      <w:r>
        <w:t xml:space="preserve">, we consider the ARORO requires us </w:t>
      </w:r>
      <w:r w:rsidRPr="00E2186B">
        <w:t>to set a</w:t>
      </w:r>
      <w:r>
        <w:t>n allowed</w:t>
      </w:r>
      <w:r w:rsidRPr="00E2186B">
        <w:t xml:space="preserve"> rate of return for </w:t>
      </w:r>
      <w:r>
        <w:t>a</w:t>
      </w:r>
      <w:r w:rsidRPr="00E2186B">
        <w:t xml:space="preserve"> benchmark efficient entity such that the return on its investment</w:t>
      </w:r>
      <w:r>
        <w:t xml:space="preserve"> in its RAB</w:t>
      </w:r>
      <w:r w:rsidRPr="00E2186B">
        <w:t xml:space="preserve"> equals its </w:t>
      </w:r>
      <w:r>
        <w:t xml:space="preserve">efficient </w:t>
      </w:r>
      <w:r w:rsidRPr="00E2186B">
        <w:t xml:space="preserve">cost (that is, </w:t>
      </w:r>
      <w:r>
        <w:t>the zero NPV investment condition</w:t>
      </w:r>
      <w:r w:rsidRPr="00E2186B">
        <w:t xml:space="preserve">). The </w:t>
      </w:r>
      <w:r>
        <w:t xml:space="preserve">prevailing market </w:t>
      </w:r>
      <w:r w:rsidRPr="00E2186B">
        <w:t xml:space="preserve">cost of capital is the only discount rate that sets the present value of expected future cash flows equal to the </w:t>
      </w:r>
      <w:r>
        <w:t>RAB</w:t>
      </w:r>
      <w:r w:rsidRPr="00E2186B">
        <w:t>. In its 2012 report to the AEMC, SFG summarised this point by stating:</w:t>
      </w:r>
      <w:r>
        <w:rPr>
          <w:rStyle w:val="FootnoteReference"/>
        </w:rPr>
        <w:footnoteReference w:id="1158"/>
      </w:r>
    </w:p>
    <w:p w:rsidR="0070344D" w:rsidRDefault="0070344D" w:rsidP="0070344D">
      <w:pPr>
        <w:pStyle w:val="AERquote"/>
      </w:pPr>
      <w:r w:rsidRPr="00E2186B">
        <w:t>The principle which underpins the regulatory framework in Australia is to estimate a price which equates the present value of expected cash flows to the regulated asset base. If the regulated rate of return is set at a rate other than the cost of capital this will no longer hold. Investment decisions will be distorted.</w:t>
      </w:r>
    </w:p>
    <w:p w:rsidR="0070344D" w:rsidRDefault="0070344D" w:rsidP="0070344D">
      <w:pPr>
        <w:numPr>
          <w:ilvl w:val="0"/>
          <w:numId w:val="24"/>
        </w:numPr>
      </w:pPr>
      <w:r>
        <w:t>Similarly, Partington and Satchell (who recommend the on-the-day approach) stated:</w:t>
      </w:r>
      <w:r>
        <w:rPr>
          <w:rStyle w:val="FootnoteReference"/>
        </w:rPr>
        <w:footnoteReference w:id="1159"/>
      </w:r>
    </w:p>
    <w:p w:rsidR="0070344D" w:rsidRDefault="0070344D" w:rsidP="0070344D">
      <w:pPr>
        <w:pStyle w:val="AERquote"/>
      </w:pPr>
      <w:r w:rsidRPr="007624AA">
        <w:t>By definition, a stream of expected cash flows that allows the current required return on the book value of capital invested, recovers the capital invested and covers other costs, will have a discounted present value that ex-ante is equal to the book value of the investment. Allowing this cash flow for a regulated business, the book value of the RAB will be equal to the market value of the RAB. To put it another way this cash flow gives rise to a zero NPV investment.</w:t>
      </w:r>
    </w:p>
    <w:p w:rsidR="0070344D" w:rsidRDefault="0070344D" w:rsidP="0070344D">
      <w:pPr>
        <w:numPr>
          <w:ilvl w:val="0"/>
          <w:numId w:val="24"/>
        </w:numPr>
      </w:pPr>
      <w:r>
        <w:t xml:space="preserve">Therefore, we consider the on-the-day approach </w:t>
      </w:r>
      <w:r w:rsidRPr="00E2186B">
        <w:t>provides an appropriate signal for investment</w:t>
      </w:r>
      <w:r>
        <w:t xml:space="preserve"> decisions made near the commencement of the regulatory period. We consider this would promote </w:t>
      </w:r>
      <w:r w:rsidRPr="000C116C">
        <w:t>efficient investment decisions</w:t>
      </w:r>
      <w:r>
        <w:t xml:space="preserve"> that increase</w:t>
      </w:r>
      <w:r w:rsidRPr="000C116C">
        <w:t xml:space="preserve"> </w:t>
      </w:r>
      <w:r>
        <w:t>dynamic efficiency. This aligns with the AEMC's view that:</w:t>
      </w:r>
      <w:r>
        <w:rPr>
          <w:rStyle w:val="FootnoteReference"/>
        </w:rPr>
        <w:footnoteReference w:id="1160"/>
      </w:r>
    </w:p>
    <w:p w:rsidR="0070344D" w:rsidRDefault="0070344D" w:rsidP="0070344D">
      <w:pPr>
        <w:pStyle w:val="AERquote"/>
      </w:pPr>
      <w:r>
        <w:t xml:space="preserve">[the return on debt framework] </w:t>
      </w:r>
      <w:r w:rsidRPr="001A712C">
        <w:t>should try to create an incentive for service providers to adopt efficient financing practices and minimise the risk of creating distortions in the servic</w:t>
      </w:r>
      <w:r>
        <w:t>e provider's investment decisions</w:t>
      </w:r>
      <w:r w:rsidRPr="001A712C">
        <w:t>.</w:t>
      </w:r>
    </w:p>
    <w:p w:rsidR="0070344D" w:rsidRDefault="0070344D" w:rsidP="0070344D">
      <w:r w:rsidRPr="00E2186B">
        <w:t xml:space="preserve">If we were to set the allowed </w:t>
      </w:r>
      <w:r>
        <w:t>return on debt</w:t>
      </w:r>
      <w:r w:rsidRPr="00E2186B">
        <w:t xml:space="preserve"> in a different way</w:t>
      </w:r>
      <w:r>
        <w:t>,</w:t>
      </w:r>
      <w:r w:rsidRPr="00E2186B">
        <w:t xml:space="preserve"> it would no longer be an estimate of the cost of </w:t>
      </w:r>
      <w:r>
        <w:t>debt (and thus the cost of capital)</w:t>
      </w:r>
      <w:r w:rsidRPr="00E2186B">
        <w:t xml:space="preserve"> at</w:t>
      </w:r>
      <w:r>
        <w:t xml:space="preserve"> the time of the determination or</w:t>
      </w:r>
      <w:r w:rsidRPr="00E2186B">
        <w:t xml:space="preserve"> access arrangement. For example, under a trailing average approach, the</w:t>
      </w:r>
      <w:r>
        <w:t xml:space="preserve"> overall allowed</w:t>
      </w:r>
      <w:r w:rsidRPr="00E2186B">
        <w:t xml:space="preserve"> return on debt</w:t>
      </w:r>
      <w:r>
        <w:t xml:space="preserve"> predominately</w:t>
      </w:r>
      <w:r w:rsidRPr="00E2186B">
        <w:t xml:space="preserve"> </w:t>
      </w:r>
      <w:r>
        <w:t>compensates</w:t>
      </w:r>
      <w:r w:rsidRPr="00E2186B">
        <w:t xml:space="preserve"> for</w:t>
      </w:r>
      <w:r>
        <w:t xml:space="preserve"> historical</w:t>
      </w:r>
      <w:r w:rsidRPr="00E2186B">
        <w:t xml:space="preserve"> interest rates, rather than for the risk of providing debt finance in the future.</w:t>
      </w:r>
      <w:r>
        <w:rPr>
          <w:rStyle w:val="FootnoteReference"/>
        </w:rPr>
        <w:footnoteReference w:id="1161"/>
      </w:r>
      <w:r>
        <w:t xml:space="preserve">  Only 10 per cent of the allowed return on debt will compensate for</w:t>
      </w:r>
      <w:r w:rsidRPr="00800A09">
        <w:t xml:space="preserve"> </w:t>
      </w:r>
      <w:r w:rsidRPr="00E2186B">
        <w:t>the risk of providing debt finance in the future</w:t>
      </w:r>
      <w:r>
        <w:t xml:space="preserve"> because 10 per cent of the return on debt is updated annually </w:t>
      </w:r>
      <w:r w:rsidRPr="007D2546">
        <w:t xml:space="preserve">to reflect prevailing interest </w:t>
      </w:r>
      <w:r>
        <w:t>rates</w:t>
      </w:r>
      <w:r w:rsidRPr="007D2546">
        <w:t>.</w:t>
      </w:r>
      <w:r>
        <w:t xml:space="preserve"> As discussed in section </w:t>
      </w:r>
      <w:r>
        <w:fldChar w:fldCharType="begin"/>
      </w:r>
      <w:r>
        <w:instrText xml:space="preserve"> REF _Ref446603900 \r \h </w:instrText>
      </w:r>
      <w:r>
        <w:fldChar w:fldCharType="separate"/>
      </w:r>
      <w:r>
        <w:t>H.2.1</w:t>
      </w:r>
      <w:r>
        <w:fldChar w:fldCharType="end"/>
      </w:r>
      <w:r>
        <w:t>, this results in a mismatch between the allowed return on debt and the prevailing cost of debt for a benchmark efficient entity at the time of the determination or access arrangement.</w:t>
      </w:r>
    </w:p>
    <w:p w:rsidR="0070344D" w:rsidRDefault="0070344D" w:rsidP="0070344D">
      <w:r>
        <w:t>Moreover, estimating a forward looking return on debt at the time of the determination or access arrangement is consistent with how we determine the return on equity and other components of the building block model. For example, we determine an allowed return on equity that reflects, as closely as possible, the prevailing market cost of equity at the time of the determination or access arrangement. We also forecast the operating expenditure that will apply for each year of the upcoming regulatory period. Determining the allowed revenue for the regulatory period ex-ante, without within-period revisions, is consistent with the principles of incentive regulation.</w:t>
      </w:r>
      <w:r>
        <w:rPr>
          <w:rStyle w:val="FootnoteReference"/>
        </w:rPr>
        <w:footnoteReference w:id="1162"/>
      </w:r>
      <w:r>
        <w:t xml:space="preserve"> </w:t>
      </w:r>
    </w:p>
    <w:p w:rsidR="0070344D" w:rsidRPr="002527B0" w:rsidRDefault="0070344D" w:rsidP="0070344D">
      <w:pPr>
        <w:pStyle w:val="HeadingBoldBlue"/>
      </w:pPr>
      <w:r>
        <w:t>Imitates the outcomes of a competitive market</w:t>
      </w:r>
    </w:p>
    <w:p w:rsidR="0070344D" w:rsidRPr="004F070F" w:rsidRDefault="0070344D" w:rsidP="0070344D">
      <w:r>
        <w:t xml:space="preserve">We consider </w:t>
      </w:r>
      <w:r w:rsidRPr="004F070F">
        <w:t>an allowed return on debt that reflects the prevailing market cost of debt at the time of the determination or access arrangement (that is, an on-the-day approach) is likely to promote economic efficiency because:</w:t>
      </w:r>
    </w:p>
    <w:p w:rsidR="0070344D" w:rsidRPr="0070344D" w:rsidRDefault="0070344D" w:rsidP="0070344D">
      <w:pPr>
        <w:pStyle w:val="AERbulletlistfirststyle"/>
      </w:pPr>
      <w:r w:rsidRPr="004F070F">
        <w:t xml:space="preserve">Productive efficiency refers to least cost financing (that is, the lowest required return on debt). An allowed return on debt that reflects the </w:t>
      </w:r>
      <w:r w:rsidRPr="0070344D">
        <w:t>(appropriately benchmarked) prevailing market cost of debt will likely promote productive efficiency. This is because a benchmark efficient entity faces competitive prices in the market for funds.</w:t>
      </w:r>
    </w:p>
    <w:p w:rsidR="0070344D" w:rsidRPr="0070344D" w:rsidRDefault="0070344D" w:rsidP="0070344D">
      <w:pPr>
        <w:pStyle w:val="AERbulletlistfirststyle"/>
      </w:pPr>
      <w:r w:rsidRPr="004F070F">
        <w:t xml:space="preserve">Allocative efficiency refers to the allowed return on debt reflecting investors' opportunity cost of debt for investments of similar risk. </w:t>
      </w:r>
      <w:r w:rsidRPr="0070344D">
        <w:t>The prevailing market cost of debt at any given time is likely to reflect investors' opportunity cost. This is because the market for capital finance is competitive with many buyers and sellers.</w:t>
      </w:r>
    </w:p>
    <w:p w:rsidR="0070344D" w:rsidRPr="0070344D" w:rsidRDefault="0070344D" w:rsidP="0070344D">
      <w:pPr>
        <w:pStyle w:val="AERbulletlistfirststyle"/>
      </w:pPr>
      <w:r w:rsidRPr="004F070F">
        <w:t xml:space="preserve">Dynamic efficiency refers to the existence of appropriate investment incentives. As discussed above, a return on debt that reflects </w:t>
      </w:r>
      <w:r w:rsidRPr="0070344D">
        <w:t xml:space="preserve">the prevailing market cost of debt provides an appropriate signal for new investment and promotes efficient investment decisions. </w:t>
      </w:r>
    </w:p>
    <w:p w:rsidR="0070344D" w:rsidRDefault="0070344D" w:rsidP="0070344D">
      <w:r>
        <w:t>Moreover, a return on debt that better reflects the prevailing market cost of debt</w:t>
      </w:r>
      <w:r w:rsidRPr="00E64F99">
        <w:t xml:space="preserve"> more closely imitates the outcomes of a competitive market</w:t>
      </w:r>
      <w:r>
        <w:t>. This is because the current market cost of debt reflects investors' opportunity cost of debt for investments of similar risk.</w:t>
      </w:r>
      <w:r w:rsidDel="004F070F">
        <w:t xml:space="preserve"> </w:t>
      </w:r>
    </w:p>
    <w:p w:rsidR="0070344D" w:rsidRPr="00E64F99" w:rsidRDefault="0070344D" w:rsidP="0070344D">
      <w:r>
        <w:t>The current market cost of debt</w:t>
      </w:r>
      <w:r w:rsidRPr="00E64F99">
        <w:t xml:space="preserve"> </w:t>
      </w:r>
      <w:r>
        <w:t>represents the costs that other service providers will face to enter the market. The on-the-day approach</w:t>
      </w:r>
      <w:r w:rsidRPr="00EE36F1">
        <w:t xml:space="preserve"> is</w:t>
      </w:r>
      <w:r>
        <w:t xml:space="preserve"> more</w:t>
      </w:r>
      <w:r w:rsidRPr="00EE36F1">
        <w:t xml:space="preserve"> consistent</w:t>
      </w:r>
      <w:r>
        <w:t xml:space="preserve"> than the trailing average approach</w:t>
      </w:r>
      <w:r w:rsidRPr="00EE36F1">
        <w:t xml:space="preserve"> with the theory that</w:t>
      </w:r>
      <w:r>
        <w:t xml:space="preserve"> </w:t>
      </w:r>
      <w:r w:rsidRPr="00EE36F1">
        <w:t xml:space="preserve">prices in a competitive market would be constrained by the entry, or threat of entry, of new providers. </w:t>
      </w:r>
      <w:r>
        <w:t>This is because</w:t>
      </w:r>
      <w:r w:rsidRPr="00163EC0">
        <w:t xml:space="preserve"> </w:t>
      </w:r>
      <w:r w:rsidRPr="00E64F99">
        <w:t>in a competitive market</w:t>
      </w:r>
      <w:r>
        <w:t xml:space="preserve">, </w:t>
      </w:r>
      <w:r w:rsidRPr="00E64F99">
        <w:t xml:space="preserve">prices are </w:t>
      </w:r>
      <w:r>
        <w:t>th</w:t>
      </w:r>
      <w:r w:rsidRPr="00E64F99">
        <w:t>eoretically constrained by entry or the threat of entry.</w:t>
      </w:r>
      <w:r w:rsidRPr="00E64F99">
        <w:rPr>
          <w:rStyle w:val="FootnoteReference"/>
        </w:rPr>
        <w:footnoteReference w:id="1163"/>
      </w:r>
      <w:r w:rsidRPr="00E64F99">
        <w:t xml:space="preserve"> As observed by HoustonKemp:</w:t>
      </w:r>
      <w:r w:rsidRPr="00E64F99">
        <w:rPr>
          <w:rStyle w:val="FootnoteReference"/>
        </w:rPr>
        <w:footnoteReference w:id="1164"/>
      </w:r>
    </w:p>
    <w:p w:rsidR="0070344D" w:rsidRPr="00656C8A" w:rsidRDefault="0070344D" w:rsidP="0070344D">
      <w:pPr>
        <w:pStyle w:val="AERquote"/>
      </w:pPr>
      <w:r w:rsidRPr="002D1BB2">
        <w:t>when</w:t>
      </w:r>
      <w:r w:rsidRPr="00656C8A">
        <w:t xml:space="preserve"> economic regulation was first introduced regulators sought to imitate the outcomes of a competitive market. That is, regulators sought to set prices consistent with the theory that in a competitive market prices would be constrained by the entry, or threat of entry, of new providers. This is colloquially known as the ‘new entrant price’.</w:t>
      </w:r>
    </w:p>
    <w:p w:rsidR="0070344D" w:rsidRDefault="0070344D" w:rsidP="0070344D">
      <w:r>
        <w:t xml:space="preserve">Similarly, </w:t>
      </w:r>
      <w:r w:rsidRPr="009E7AA9">
        <w:t xml:space="preserve">Chairmont </w:t>
      </w:r>
      <w:r>
        <w:t>captured this concept when it advised:</w:t>
      </w:r>
      <w:r>
        <w:rPr>
          <w:rStyle w:val="FootnoteReference"/>
        </w:rPr>
        <w:footnoteReference w:id="1165"/>
      </w:r>
    </w:p>
    <w:p w:rsidR="0070344D" w:rsidRDefault="0070344D" w:rsidP="0070344D">
      <w:pPr>
        <w:pStyle w:val="AERquote"/>
      </w:pPr>
      <w:r w:rsidRPr="009E7AA9">
        <w:t>The solution should take current market rates and use those to project forward, rather than taking trailing averages as an indicator of future financing costs. The look forward approach is consistent with measuring the opportunity cost of capital and for the typical pressures, including from new entrants, faced by participants in an efficient competitive market.</w:t>
      </w:r>
    </w:p>
    <w:p w:rsidR="0070344D" w:rsidRDefault="0070344D" w:rsidP="0070344D">
      <w:r>
        <w:t>We also note that Partington and Satchell considered the on-the-day approach is consistent with competitive market outcomes, stating:</w:t>
      </w:r>
      <w:r>
        <w:rPr>
          <w:rStyle w:val="FootnoteReference"/>
        </w:rPr>
        <w:footnoteReference w:id="1166"/>
      </w:r>
    </w:p>
    <w:p w:rsidR="0070344D" w:rsidRPr="009A713A" w:rsidRDefault="0070344D" w:rsidP="0070344D">
      <w:pPr>
        <w:pStyle w:val="AERquote"/>
      </w:pPr>
      <w:r w:rsidRPr="00833C4C">
        <w:t>The equilibrium in a competitive market is that investments in assets are zero NPV. This implies that firms can expect to recover the current cost of capital, which in the form of the WACC includes the current cost of debt.</w:t>
      </w:r>
    </w:p>
    <w:p w:rsidR="0070344D" w:rsidRDefault="0070344D" w:rsidP="0070344D">
      <w:pPr>
        <w:pStyle w:val="Heading9"/>
      </w:pPr>
      <w:bookmarkStart w:id="352" w:name="_Ref444774464"/>
      <w:r>
        <w:t>Trailing average approach</w:t>
      </w:r>
      <w:bookmarkEnd w:id="352"/>
    </w:p>
    <w:p w:rsidR="0070344D" w:rsidRDefault="0070344D" w:rsidP="0070344D">
      <w:pPr>
        <w:numPr>
          <w:ilvl w:val="0"/>
          <w:numId w:val="24"/>
        </w:numPr>
      </w:pPr>
      <w:r>
        <w:t>The trailing average</w:t>
      </w:r>
      <w:r w:rsidRPr="00E2186B">
        <w:t xml:space="preserve"> approach estimates the </w:t>
      </w:r>
      <w:r>
        <w:t xml:space="preserve">allowed </w:t>
      </w:r>
      <w:r w:rsidRPr="00E2186B">
        <w:t xml:space="preserve">return on debt </w:t>
      </w:r>
      <w:r>
        <w:t>for</w:t>
      </w:r>
      <w:r w:rsidRPr="00E2186B">
        <w:t xml:space="preserve"> a service provider </w:t>
      </w:r>
      <w:r>
        <w:t>as an average of the cost of debt over 10 years (which is annually updated)</w:t>
      </w:r>
      <w:r w:rsidRPr="00E2186B">
        <w:t xml:space="preserve">. </w:t>
      </w:r>
      <w:r>
        <w:t>This approach is available to us under the</w:t>
      </w:r>
      <w:r w:rsidRPr="00E2186B">
        <w:t xml:space="preserve"> </w:t>
      </w:r>
      <w:r>
        <w:t>NER/NGR</w:t>
      </w:r>
      <w:r w:rsidRPr="00E2186B">
        <w:t>.</w:t>
      </w:r>
      <w:r>
        <w:rPr>
          <w:rStyle w:val="FootnoteReference"/>
        </w:rPr>
        <w:footnoteReference w:id="1167"/>
      </w:r>
    </w:p>
    <w:p w:rsidR="0070344D" w:rsidRDefault="0070344D" w:rsidP="0070344D">
      <w:pPr>
        <w:numPr>
          <w:ilvl w:val="0"/>
          <w:numId w:val="24"/>
        </w:numPr>
      </w:pPr>
      <w:r>
        <w:t xml:space="preserve">We consider the trailing average approach can estimate an allowed rate of return commensurate with the efficient financing costs of a benchmark efficient entity with a similar degree of risk as a service provider in the provision of regulated services. Under the trailing average approach, ex-ante efficient compensation is unlikely to hold for each regulatory period. However, if there is an appropriate (full) transition, it should hold over the term of the RAB. Therefore, service providers would have a reasonable opportunity to recover at least efficient costs over the term of the RAB. We show this in section </w:t>
      </w:r>
      <w:r>
        <w:fldChar w:fldCharType="begin"/>
      </w:r>
      <w:r>
        <w:instrText xml:space="preserve"> REF _Ref444773920 \r \h </w:instrText>
      </w:r>
      <w:r>
        <w:fldChar w:fldCharType="separate"/>
      </w:r>
      <w:r>
        <w:t>H.3.3</w:t>
      </w:r>
      <w:r>
        <w:fldChar w:fldCharType="end"/>
      </w:r>
      <w:r>
        <w:t>.</w:t>
      </w:r>
    </w:p>
    <w:p w:rsidR="0070344D" w:rsidRDefault="0070344D" w:rsidP="0070344D">
      <w:r>
        <w:t>Further, the trailing average approach</w:t>
      </w:r>
      <w:r w:rsidRPr="00E64F99">
        <w:t xml:space="preserve"> may have particular benefits that an on</w:t>
      </w:r>
      <w:r>
        <w:t>-the-day approach</w:t>
      </w:r>
      <w:r w:rsidRPr="00800A09">
        <w:t xml:space="preserve"> </w:t>
      </w:r>
      <w:r>
        <w:t xml:space="preserve">cannot </w:t>
      </w:r>
      <w:r w:rsidRPr="00E64F99">
        <w:t>achieve</w:t>
      </w:r>
      <w:r>
        <w:t>. For instance, when</w:t>
      </w:r>
      <w:r w:rsidRPr="00E64F99">
        <w:t xml:space="preserve"> it advised the AEMC, SFG stated that 'if it can be demonstrated that the benefits of a regulated rate of return which is less variable over time outweigh the costs associated with investment distortions, then a trailing average should be considered'.</w:t>
      </w:r>
      <w:r w:rsidRPr="00E64F99">
        <w:rPr>
          <w:rStyle w:val="FootnoteReference"/>
        </w:rPr>
        <w:footnoteReference w:id="1168"/>
      </w:r>
      <w:r w:rsidRPr="00E64F99">
        <w:t xml:space="preserve"> </w:t>
      </w:r>
      <w:r>
        <w:t>The potential benefits mainly relate to smoother prices and a potentially reduced mismatch betwee</w:t>
      </w:r>
      <w:r w:rsidRPr="00E64F99">
        <w:t xml:space="preserve">n </w:t>
      </w:r>
      <w:r>
        <w:t xml:space="preserve">a benchmark efficient entity's actual debt cost outcomes (or cash outflows) and the allowed return on </w:t>
      </w:r>
      <w:r w:rsidRPr="00E64F99">
        <w:t xml:space="preserve">debt </w:t>
      </w:r>
      <w:r>
        <w:t xml:space="preserve">(see section </w:t>
      </w:r>
      <w:r>
        <w:fldChar w:fldCharType="begin"/>
      </w:r>
      <w:r>
        <w:instrText xml:space="preserve"> REF _Ref446603900 \r \h </w:instrText>
      </w:r>
      <w:r>
        <w:fldChar w:fldCharType="separate"/>
      </w:r>
      <w:r>
        <w:t>H.2.1</w:t>
      </w:r>
      <w:r>
        <w:fldChar w:fldCharType="end"/>
      </w:r>
      <w:r>
        <w:t>), which we discuss further below.</w:t>
      </w:r>
    </w:p>
    <w:p w:rsidR="0070344D" w:rsidRDefault="0070344D" w:rsidP="0070344D">
      <w:r>
        <w:t>However, the trailing average also has disadvantages relative to an on-the-day approach (see sections 2.1 and 3.1). Given the trade-offs, we do not consider the trailing average is clearly preferable to the continued use of the on-the-day approach. For the reasons discussed in this appendix, we consider a change in methodology (to a trailing average approach) would not contribute to the achievement of the ARORO or meet the NEO/NGO unless it was revenue-neutral (in present value terms) as this would result in incorrect ex-ante compensation.</w:t>
      </w:r>
    </w:p>
    <w:p w:rsidR="0070344D" w:rsidRDefault="0070344D" w:rsidP="0070344D">
      <w:pPr>
        <w:pStyle w:val="HeadingBoldBlue"/>
      </w:pPr>
      <w:r>
        <w:t>Reduced mismatch</w:t>
      </w:r>
    </w:p>
    <w:p w:rsidR="0070344D" w:rsidRDefault="0070344D" w:rsidP="0070344D">
      <w:r>
        <w:t xml:space="preserve">In section </w:t>
      </w:r>
      <w:r>
        <w:fldChar w:fldCharType="begin"/>
      </w:r>
      <w:r>
        <w:instrText xml:space="preserve"> REF _Ref446603900 \r \h </w:instrText>
      </w:r>
      <w:r>
        <w:fldChar w:fldCharType="separate"/>
      </w:r>
      <w:r>
        <w:t>H.2.1</w:t>
      </w:r>
      <w:r>
        <w:fldChar w:fldCharType="end"/>
      </w:r>
      <w:r>
        <w:t>, we introduce and discuss the concept of an ex-post</w:t>
      </w:r>
      <w:r w:rsidRPr="001933FF">
        <w:t xml:space="preserve"> </w:t>
      </w:r>
      <w:r>
        <w:t>'mismatch'</w:t>
      </w:r>
      <w:r w:rsidRPr="00E07D0D">
        <w:t xml:space="preserve"> between </w:t>
      </w:r>
      <w:r>
        <w:t>a benchmark eff</w:t>
      </w:r>
      <w:r w:rsidRPr="00E07D0D">
        <w:t xml:space="preserve">icient entity's actual </w:t>
      </w:r>
      <w:r>
        <w:t>debt cost outcomes (or cash outflows) and the regulatory</w:t>
      </w:r>
      <w:r w:rsidRPr="00E07D0D">
        <w:t xml:space="preserve"> return on debt allowance in determining the allowed return on debt.</w:t>
      </w:r>
      <w:r>
        <w:t xml:space="preserve"> We consider an ex-post mismatch can occur for a number of reasons, including</w:t>
      </w:r>
      <w:r w:rsidRPr="001933FF">
        <w:t xml:space="preserve"> because </w:t>
      </w:r>
      <w:r>
        <w:t>a benchmark eff</w:t>
      </w:r>
      <w:r w:rsidRPr="001933FF">
        <w:t>icient entity does not (or cannot) engage in debt financing practices that result in debt cash outflows that match the regulatory return on debt allowance.</w:t>
      </w:r>
      <w:r>
        <w:t xml:space="preserve"> We explain this below in the context of comparing the trailing average with the on-the-day approach to estimating the return on debt.</w:t>
      </w:r>
    </w:p>
    <w:p w:rsidR="0070344D" w:rsidRPr="002527B0" w:rsidRDefault="0070344D" w:rsidP="0070344D">
      <w:r>
        <w:t>In any given regulatory period, a benchmark efficient entity will have existing debt that was previously issued and not yet matured. It will need to pay interest on this debt during the regulatory period, and these interest payments will be based on historical interest rates that prevailed in a previous period. If we adopt an on-the-day approach, then cash outflows from existing debt would be effectively revalued at current market rates.</w:t>
      </w:r>
      <w:r>
        <w:rPr>
          <w:rStyle w:val="FootnoteReference"/>
        </w:rPr>
        <w:footnoteReference w:id="1169"/>
      </w:r>
      <w:r>
        <w:t xml:space="preserve">  Unless a benchmark efficient entity can engage in debt financing practices that align its debt cash outflows with the regulatory allowance (all else being equal), it is expected that an ex-post mismatch may result. From our observations of past financing practices, it appears that individual service providers (and a benchmark efficient entity) are unlikely to engage in financing practices that fully align its debt cash outflows with the regulatory allowance under the on-the-day approach.</w:t>
      </w:r>
    </w:p>
    <w:p w:rsidR="0070344D" w:rsidRDefault="0070344D" w:rsidP="0070344D">
      <w:r>
        <w:t>In contrast to the on-the-day approach,</w:t>
      </w:r>
      <w:r w:rsidRPr="00A97CE8">
        <w:t xml:space="preserve"> </w:t>
      </w:r>
      <w:r>
        <w:t>a trailing average approach is expected to better account for a benchmark efficient entity's actual (cash) debt costs within a</w:t>
      </w:r>
      <w:r w:rsidRPr="00A97CE8">
        <w:t xml:space="preserve"> </w:t>
      </w:r>
      <w:r>
        <w:t xml:space="preserve">regulatory period because it provides </w:t>
      </w:r>
      <w:r w:rsidRPr="00E64F99">
        <w:t xml:space="preserve">service providers with a </w:t>
      </w:r>
      <w:r>
        <w:t>return on debt allowance</w:t>
      </w:r>
      <w:r w:rsidRPr="00E64F99">
        <w:t xml:space="preserve"> that they can more readily match each regulatory period.</w:t>
      </w:r>
      <w:r w:rsidRPr="00E64F99">
        <w:rPr>
          <w:rStyle w:val="FootnoteReference"/>
        </w:rPr>
        <w:footnoteReference w:id="1170"/>
      </w:r>
      <w:r>
        <w:t xml:space="preserve"> As such, this will likely reduce the mismatch between actual debt interest costs of regulated firms and the regulated return on debt allowance.</w:t>
      </w:r>
      <w:r w:rsidRPr="00E64F99">
        <w:rPr>
          <w:rStyle w:val="FootnoteReference"/>
        </w:rPr>
        <w:footnoteReference w:id="1171"/>
      </w:r>
      <w:r w:rsidRPr="00056E9B">
        <w:t xml:space="preserve"> </w:t>
      </w:r>
      <w:r>
        <w:t xml:space="preserve">Given that a trailing average approach reduces the risk of cash flow mismatch (a form of interest rate risk), it </w:t>
      </w:r>
      <w:r w:rsidRPr="00E64F99">
        <w:t>might better lead to productive efficiency</w:t>
      </w:r>
      <w:r>
        <w:t>. All else being equal, this reduced risk and the reduced need to enter hedging arrangements might lower</w:t>
      </w:r>
      <w:r w:rsidRPr="00E64F99">
        <w:t xml:space="preserve"> the cost of financing.</w:t>
      </w:r>
      <w:r>
        <w:rPr>
          <w:rStyle w:val="FootnoteReference"/>
        </w:rPr>
        <w:footnoteReference w:id="1172"/>
      </w:r>
      <w:r>
        <w:t xml:space="preserve"> </w:t>
      </w:r>
    </w:p>
    <w:p w:rsidR="0070344D" w:rsidRDefault="0070344D" w:rsidP="0070344D">
      <w:r>
        <w:t xml:space="preserve">Nevertheless, it is important to note that an ex-post mismatch does not result in a benchmark efficient entity being ex-ante over- or under-compensated for its efficient debt financing costs for a regulatory period or over the life of its assets (see sections </w:t>
      </w:r>
      <w:r>
        <w:fldChar w:fldCharType="begin"/>
      </w:r>
      <w:r>
        <w:instrText xml:space="preserve"> REF _Ref446603900 \r \h </w:instrText>
      </w:r>
      <w:r>
        <w:fldChar w:fldCharType="separate"/>
      </w:r>
      <w:r>
        <w:t>H.2.1</w:t>
      </w:r>
      <w:r>
        <w:fldChar w:fldCharType="end"/>
      </w:r>
      <w:r>
        <w:t xml:space="preserve"> and </w:t>
      </w:r>
      <w:r>
        <w:fldChar w:fldCharType="begin"/>
      </w:r>
      <w:r>
        <w:instrText xml:space="preserve"> REF _Ref444773920 \r \h </w:instrText>
      </w:r>
      <w:r>
        <w:fldChar w:fldCharType="separate"/>
      </w:r>
      <w:r>
        <w:t>H.3.3</w:t>
      </w:r>
      <w:r>
        <w:fldChar w:fldCharType="end"/>
      </w:r>
      <w:r>
        <w:t xml:space="preserve">). </w:t>
      </w:r>
    </w:p>
    <w:p w:rsidR="0070344D" w:rsidRPr="00054482" w:rsidRDefault="0070344D" w:rsidP="0070344D">
      <w:pPr>
        <w:pStyle w:val="Heading9"/>
      </w:pPr>
      <w:bookmarkStart w:id="353" w:name="_Ref444773920"/>
      <w:bookmarkStart w:id="354" w:name="_Ref448326736"/>
      <w:r>
        <w:t>Mathematical explanation</w:t>
      </w:r>
      <w:bookmarkEnd w:id="353"/>
      <w:bookmarkEnd w:id="354"/>
    </w:p>
    <w:p w:rsidR="0070344D" w:rsidRDefault="0070344D" w:rsidP="0070344D">
      <w:r>
        <w:t>This section provides a mathematical explanation of the difference between the on-the-day and trailing average regimes in present value terms. While the mathematical explanation employs simplifying assumptions, this is for illustrative purposes and the principles hold true in more general situations. That is, mathematically, we demonstrate that in principle:</w:t>
      </w:r>
    </w:p>
    <w:p w:rsidR="0070344D" w:rsidRPr="0070344D" w:rsidRDefault="0070344D" w:rsidP="0070344D">
      <w:pPr>
        <w:pStyle w:val="AERbulletlistfirststyle"/>
      </w:pPr>
      <w:r>
        <w:t xml:space="preserve">The on-the-day approach provides service providers with the reasonable opportunity to recover at least efficient costs over </w:t>
      </w:r>
      <w:r w:rsidRPr="0070344D">
        <w:t>each regulatory period and over the term of the RAB.</w:t>
      </w:r>
      <w:r w:rsidRPr="0070344D">
        <w:rPr>
          <w:rStyle w:val="FootnoteReference"/>
        </w:rPr>
        <w:footnoteReference w:id="1173"/>
      </w:r>
    </w:p>
    <w:p w:rsidR="0070344D" w:rsidRPr="0070344D" w:rsidRDefault="0070344D" w:rsidP="0070344D">
      <w:pPr>
        <w:pStyle w:val="AERbulletlistfirststyle"/>
      </w:pPr>
      <w:r>
        <w:t xml:space="preserve">The trailing average approach provides service providers with the reasonable opportunity to recover at least efficient costs over the </w:t>
      </w:r>
      <w:r w:rsidRPr="0070344D">
        <w:t>term of the RAB.</w:t>
      </w:r>
    </w:p>
    <w:p w:rsidR="0070344D" w:rsidRDefault="0070344D" w:rsidP="0070344D">
      <w:r>
        <w:t>If switching between regimes, a full transition provides service providers with the reasonable opportunity to recover at least efficient costs over the term of the RAB. That is, the same ex-ante compensation should be achieved under: an on-the-day regime, a trailing average regime, or a switch from one regime to the other (but only if the switch is revenue neutral).</w:t>
      </w:r>
    </w:p>
    <w:p w:rsidR="0070344D" w:rsidRPr="006C533F" w:rsidRDefault="0070344D" w:rsidP="0070344D">
      <w:r>
        <w:t>We use the following notation:</w:t>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CF</m:t>
            </m:r>
          </m:e>
          <m:sub>
            <m:r>
              <w:rPr>
                <w:rFonts w:ascii="Cambria Math" w:hAnsi="Cambria Math"/>
              </w:rPr>
              <m:t>t</m:t>
            </m:r>
          </m:sub>
        </m:sSub>
      </m:oMath>
      <w:r w:rsidR="0070344D" w:rsidRPr="0070344D">
        <w:t xml:space="preserve"> denotes net operating cash flows for year </w:t>
      </w:r>
      <m:oMath>
        <m:r>
          <w:rPr>
            <w:rFonts w:ascii="Cambria Math" w:hAnsi="Cambria Math"/>
          </w:rPr>
          <m:t>t</m:t>
        </m:r>
        <m:r>
          <w:rPr>
            <w:rStyle w:val="FootnoteReference"/>
            <w:rFonts w:ascii="Cambria Math" w:hAnsi="Cambria Math"/>
            <w:i/>
          </w:rPr>
          <w:footnoteReference w:id="1174"/>
        </m:r>
      </m:oMath>
      <w:r w:rsidR="0070344D" w:rsidRPr="0070344D">
        <w:t>―that is, revenue less operating  expenditure (opex).</w:t>
      </w:r>
      <w:r w:rsidR="0070344D" w:rsidRPr="0070344D">
        <w:rPr>
          <w:rStyle w:val="FootnoteReference"/>
        </w:rPr>
        <w:footnoteReference w:id="1175"/>
      </w:r>
      <w:r w:rsidR="0070344D" w:rsidRPr="0070344D">
        <w:t xml:space="preserve"> Under our depreciation assumptions, this can be expressed as </w:t>
      </w:r>
      <m:oMath>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oMath>
      <w:r w:rsidR="0070344D" w:rsidRPr="0070344D">
        <w:t xml:space="preserve">, where </w:t>
      </w:r>
      <m:oMath>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t</m:t>
                </m:r>
              </m:sub>
            </m:sSub>
            <m:r>
              <w:rPr>
                <w:rFonts w:ascii="Cambria Math" w:hAnsi="Cambria Math"/>
              </w:rPr>
              <m:t>×K</m:t>
            </m:r>
          </m:e>
          <m:sub>
            <m:r>
              <w:rPr>
                <w:rFonts w:ascii="Cambria Math" w:hAnsi="Cambria Math"/>
              </w:rPr>
              <m:t>t-1</m:t>
            </m:r>
          </m:sub>
        </m:sSub>
        <m:r>
          <w:rPr>
            <w:rFonts w:ascii="Cambria Math" w:hAnsi="Cambria Math"/>
          </w:rPr>
          <m:t xml:space="preserve"> </m:t>
        </m:r>
      </m:oMath>
      <w:r w:rsidR="0070344D" w:rsidRPr="0070344D">
        <w:t xml:space="preserve">is the return on capital cash flow. </w:t>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m:t>
            </m:r>
          </m:sub>
        </m:sSub>
      </m:oMath>
      <w:r w:rsidR="0070344D" w:rsidRPr="0070344D">
        <w:t xml:space="preserve"> is the allowed rate of return (which is reset periodically).</w:t>
      </w:r>
      <w:r w:rsidR="0070344D" w:rsidRPr="0070344D">
        <w:rPr>
          <w:rStyle w:val="FootnoteReference"/>
        </w:rPr>
        <w:footnoteReference w:id="1176"/>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70344D" w:rsidRPr="0070344D">
        <w:t xml:space="preserve"> is the closing RAB at the end of year </w:t>
      </w:r>
      <m:oMath>
        <m:r>
          <w:rPr>
            <w:rFonts w:ascii="Cambria Math" w:hAnsi="Cambria Math"/>
          </w:rPr>
          <m:t>t</m:t>
        </m:r>
      </m:oMath>
      <w:r w:rsidR="0070344D" w:rsidRPr="0070344D">
        <w:t xml:space="preserve"> (which equals the opening RAB at the beginning of year </w:t>
      </w:r>
      <m:oMath>
        <m:r>
          <w:rPr>
            <w:rFonts w:ascii="Cambria Math" w:hAnsi="Cambria Math"/>
          </w:rPr>
          <m:t>t+1</m:t>
        </m:r>
      </m:oMath>
      <w:r w:rsidR="0070344D" w:rsidRPr="0070344D">
        <w:t>).</w:t>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 xml:space="preserve">i,j </m:t>
            </m:r>
          </m:sub>
        </m:sSub>
      </m:oMath>
      <w:r w:rsidR="0070344D" w:rsidRPr="0070344D">
        <w:t xml:space="preserve">is the ex-ante cost of capital prevailing in the market for the investment at time </w:t>
      </w:r>
      <m:oMath>
        <m:r>
          <w:rPr>
            <w:rFonts w:ascii="Cambria Math" w:hAnsi="Cambria Math"/>
          </w:rPr>
          <m:t>i</m:t>
        </m:r>
      </m:oMath>
      <w:r w:rsidR="0070344D" w:rsidRPr="0070344D">
        <w:t>,</w:t>
      </w:r>
      <w:r w:rsidR="0070344D" w:rsidRPr="0070344D">
        <w:rPr>
          <w:rStyle w:val="FootnoteReference"/>
        </w:rPr>
        <w:footnoteReference w:id="1177"/>
      </w:r>
      <w:r w:rsidR="0070344D" w:rsidRPr="0070344D">
        <w:t xml:space="preserve"> with a term of </w:t>
      </w:r>
      <m:oMath>
        <m:r>
          <w:rPr>
            <w:rFonts w:ascii="Cambria Math" w:hAnsi="Cambria Math"/>
          </w:rPr>
          <m:t>j</m:t>
        </m:r>
      </m:oMath>
      <w:r w:rsidR="0070344D" w:rsidRPr="0070344D">
        <w:t xml:space="preserve"> years—used to discount the expected cash flows.</w:t>
      </w:r>
    </w:p>
    <w:p w:rsidR="0070344D" w:rsidRPr="0070344D" w:rsidRDefault="0070344D" w:rsidP="0070344D">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70344D">
        <w:t xml:space="preserve"> denotes expected value.</w:t>
      </w:r>
    </w:p>
    <w:p w:rsidR="0070344D" w:rsidRPr="0070344D" w:rsidRDefault="0091035C" w:rsidP="0070344D">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70344D" w:rsidRPr="0070344D">
        <w:t xml:space="preserve"> denotes present value, at year t (can also be referred to as market value). </w:t>
      </w:r>
    </w:p>
    <w:p w:rsidR="0070344D" w:rsidRDefault="0070344D" w:rsidP="0070344D">
      <w:r>
        <w:t>For simplicity, we assume within-period investment equals depreciation in all periods prior to the end of the term of the RAB (year</w:t>
      </w:r>
      <m:oMath>
        <m:r>
          <w:rPr>
            <w:rFonts w:ascii="Cambria Math" w:hAnsi="Cambria Math"/>
          </w:rPr>
          <m:t xml:space="preserve"> t=T</m:t>
        </m:r>
      </m:oMath>
      <w:r>
        <w:t>),</w:t>
      </w:r>
      <w:r>
        <w:rPr>
          <w:rStyle w:val="FootnoteReference"/>
        </w:rPr>
        <w:footnoteReference w:id="1178"/>
      </w:r>
      <w:r>
        <w:t xml:space="preserve"> where all initial capital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is returned (as </w:t>
      </w:r>
      <m:oMath>
        <m:sSub>
          <m:sSubPr>
            <m:ctrlPr>
              <w:rPr>
                <w:rFonts w:ascii="Cambria Math" w:hAnsi="Cambria Math"/>
              </w:rPr>
            </m:ctrlPr>
          </m:sSubPr>
          <m:e>
            <m:r>
              <w:rPr>
                <w:rFonts w:ascii="Cambria Math" w:hAnsi="Cambria Math"/>
              </w:rPr>
              <m:t>K</m:t>
            </m:r>
          </m:e>
          <m:sub>
            <m:r>
              <w:rPr>
                <w:rFonts w:ascii="Cambria Math" w:hAnsi="Cambria Math"/>
              </w:rPr>
              <m:t>T</m:t>
            </m:r>
          </m:sub>
        </m:sSub>
      </m:oMath>
      <w:r>
        <w:t>).</w:t>
      </w:r>
      <w:r>
        <w:rPr>
          <w:rStyle w:val="FootnoteReference"/>
        </w:rPr>
        <w:footnoteReference w:id="1179"/>
      </w:r>
      <w:r>
        <w:t xml:space="preserve"> Therefore, within-period investment cancels out and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 xml:space="preserve">, where </w:t>
      </w:r>
      <m:oMath>
        <m:sSub>
          <m:sSubPr>
            <m:ctrlPr>
              <w:rPr>
                <w:rFonts w:ascii="Cambria Math" w:hAnsi="Cambria Math"/>
              </w:rPr>
            </m:ctrlPr>
          </m:sSubPr>
          <m:e>
            <m:r>
              <w:rPr>
                <w:rFonts w:ascii="Cambria Math" w:hAnsi="Cambria Math"/>
              </w:rPr>
              <m:t>D</m:t>
            </m:r>
          </m:e>
          <m:sub>
            <m:r>
              <w:rPr>
                <w:rFonts w:ascii="Cambria Math" w:hAnsi="Cambria Math"/>
              </w:rPr>
              <m:t>t</m:t>
            </m:r>
          </m:sub>
        </m:sSub>
      </m:oMath>
      <w:r w:rsidRPr="00617460">
        <w:t xml:space="preserve"> </w:t>
      </w:r>
      <w:r>
        <w:t>is</w:t>
      </w:r>
      <w:r w:rsidRPr="00617460">
        <w:t xml:space="preserve"> depreciation (or return of capital) </w:t>
      </w:r>
      <w:r>
        <w:t>for year</w:t>
      </w:r>
      <w:r w:rsidRPr="00617460">
        <w:t xml:space="preserve"> </w:t>
      </w:r>
      <m:oMath>
        <m:r>
          <w:rPr>
            <w:rFonts w:ascii="Cambria Math" w:hAnsi="Cambria Math"/>
          </w:rPr>
          <m:t>t</m:t>
        </m:r>
      </m:oMath>
      <w:r>
        <w:t xml:space="preserve">. </w:t>
      </w:r>
    </w:p>
    <w:p w:rsidR="0070344D" w:rsidRPr="001C5C3A" w:rsidRDefault="0070344D" w:rsidP="0070344D">
      <w:r>
        <w:t>We note the mathemat</w:t>
      </w:r>
      <w:r w:rsidRPr="001C5C3A">
        <w:t>ical explanation</w:t>
      </w:r>
      <w:r>
        <w:t xml:space="preserve"> in this section</w:t>
      </w:r>
      <w:r w:rsidRPr="001C5C3A">
        <w:t xml:space="preserve"> is a simplification of reality. We use it to </w:t>
      </w:r>
      <w:r>
        <w:t>demonstrate the principle</w:t>
      </w:r>
      <w:r w:rsidRPr="001C5C3A">
        <w:t xml:space="preserve"> that the allowed rate of return should be set (</w:t>
      </w:r>
      <w:r>
        <w:t>and periodically</w:t>
      </w:r>
      <w:r w:rsidRPr="001C5C3A">
        <w:t xml:space="preserve"> reset) such that the ex-ante allowed return on (and of) capital cash flows </w:t>
      </w:r>
      <w:r>
        <w:t>equals the ex-ante cost of a benchmark efficient entity's investment in its RAB (in present value terms)</w:t>
      </w:r>
      <w:r w:rsidRPr="001C5C3A">
        <w:t xml:space="preserve">. This gives service providers a reasonable opportunity to recover at least efficient financing costs over the </w:t>
      </w:r>
      <w:r>
        <w:t>term of the RAB</w:t>
      </w:r>
      <w:r w:rsidRPr="001C5C3A">
        <w:t>. As Brennan (1991) stated:</w:t>
      </w:r>
      <w:r w:rsidRPr="001C5C3A">
        <w:rPr>
          <w:rStyle w:val="FootnoteReference"/>
        </w:rPr>
        <w:footnoteReference w:id="1180"/>
      </w:r>
    </w:p>
    <w:p w:rsidR="0070344D" w:rsidRDefault="0070344D" w:rsidP="0070344D">
      <w:pPr>
        <w:pStyle w:val="AERquote"/>
      </w:pPr>
      <w:r w:rsidRPr="00B72C08">
        <w:t>With regard to investor compensation, the basic goal of regulation is to give investors an income stream just sufficient to cover the costs of their assets, and no more</w:t>
      </w:r>
    </w:p>
    <w:p w:rsidR="0070344D" w:rsidRDefault="0070344D" w:rsidP="0070344D">
      <w:pPr>
        <w:pStyle w:val="HeadingBoldBlue"/>
      </w:pPr>
      <w:r>
        <w:t>On-the-day approach</w:t>
      </w:r>
    </w:p>
    <w:p w:rsidR="0070344D" w:rsidRDefault="0070344D" w:rsidP="0070344D">
      <w:r>
        <w:t>For simplicity, assume the term of the risk free rate matches the regulatory period (five years) under the on-the-day approach.</w:t>
      </w:r>
      <w:r>
        <w:rPr>
          <w:rStyle w:val="FootnoteReference"/>
        </w:rPr>
        <w:footnoteReference w:id="1181"/>
      </w:r>
      <w:r>
        <w:t xml:space="preserve">  If we provide service providers with a reasonable opportunity to recover at least efficient costs over a regulatory period commencing year </w:t>
      </w:r>
      <m:oMath>
        <m:r>
          <w:rPr>
            <w:rFonts w:ascii="Cambria Math" w:hAnsi="Cambria Math"/>
          </w:rPr>
          <m:t>t</m:t>
        </m:r>
      </m:oMath>
      <w:r>
        <w:t xml:space="preserve">, then the present value of expected net operating cash flows over this period plus the closing RAB (at </w:t>
      </w:r>
      <m:oMath>
        <m:r>
          <w:rPr>
            <w:rFonts w:ascii="Cambria Math" w:hAnsi="Cambria Math"/>
          </w:rPr>
          <m:t>t+5</m:t>
        </m:r>
      </m:oMath>
      <w:r>
        <w:t xml:space="preserve">) should equal the opening RAB (at </w:t>
      </w:r>
      <m:oMath>
        <m:r>
          <w:rPr>
            <w:rFonts w:ascii="Cambria Math" w:hAnsi="Cambria Math"/>
          </w:rPr>
          <m:t>t</m:t>
        </m:r>
      </m:oMath>
      <w:r>
        <w:t xml:space="preserve">). Under our depreciation assumptions, the opening RAB (at </w:t>
      </w:r>
      <m:oMath>
        <m:r>
          <w:rPr>
            <w:rFonts w:ascii="Cambria Math" w:hAnsi="Cambria Math"/>
          </w:rPr>
          <m:t>t</m:t>
        </m:r>
      </m:oMath>
      <w:r>
        <w:t xml:space="preserve">) will equal its initial value (at </w:t>
      </w:r>
      <m:oMath>
        <m:r>
          <w:rPr>
            <w:rFonts w:ascii="Cambria Math" w:hAnsi="Cambria Math"/>
          </w:rPr>
          <m:t>t=0</m:t>
        </m:r>
      </m:oMath>
      <w:r>
        <w:t>).</w:t>
      </w:r>
    </w:p>
    <w:p w:rsidR="0070344D" w:rsidRDefault="0070344D" w:rsidP="0070344D">
      <w:r>
        <w:t>This present value principle should hold under the on-the-day approach because we reset the allowed rate of return to reflect the (appropriately benchmarked)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82"/>
      </w:r>
      <w:r>
        <w:t xml:space="preserve"> at the commencement of each regulatory period. We show this below: </w:t>
      </w:r>
    </w:p>
    <w:p w:rsidR="0070344D" w:rsidRDefault="0091035C" w:rsidP="0070344D">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70344D" w:rsidRDefault="0070344D" w:rsidP="0070344D">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Style w:val="FootnoteReference"/>
              <w:rFonts w:ascii="Cambria Math" w:hAnsi="Cambria Math"/>
              <w:i/>
            </w:rPr>
            <w:footnoteReference w:id="1183"/>
          </m:r>
        </m:oMath>
      </m:oMathPara>
    </w:p>
    <w:p w:rsidR="0070344D" w:rsidRDefault="0070344D" w:rsidP="0070344D">
      <w:r>
        <w:t xml:space="preserve">where the allowed rate of return (in the cash flows) equals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oMath>
      <w:r>
        <w:t>,</w:t>
      </w:r>
      <w:r>
        <w:rPr>
          <w:rStyle w:val="FootnoteReference"/>
        </w:rPr>
        <w:footnoteReference w:id="1184"/>
      </w:r>
      <w:r>
        <w:t xml:space="preserve"> and the present value (at time </w:t>
      </w:r>
      <m:oMath>
        <m:r>
          <w:rPr>
            <w:rFonts w:ascii="Cambria Math" w:hAnsi="Cambria Math"/>
          </w:rPr>
          <m:t>t+5</m:t>
        </m:r>
      </m:oMath>
      <w:r>
        <w:t xml:space="preserve">) of expected future cash flows over the remaining term of the RAB equals the closing RAB at the end of year </w:t>
      </w:r>
      <m:oMath>
        <m:r>
          <w:rPr>
            <w:rFonts w:ascii="Cambria Math" w:hAnsi="Cambria Math"/>
          </w:rPr>
          <m:t>t+5</m:t>
        </m:r>
      </m:oMath>
      <w:r>
        <w:t xml:space="preserve"> (that is,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w:t>
      </w:r>
    </w:p>
    <w:p w:rsidR="0070344D" w:rsidRDefault="0070344D" w:rsidP="0070344D">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rsidR="005A6B51">
        <w:t>,</w:t>
      </w:r>
      <w:r>
        <w:t xml:space="preserve"> </w:t>
      </w:r>
      <w:r w:rsidR="005A6B51">
        <w:t>and</w:t>
      </w:r>
      <w:r>
        <w:t>:</w:t>
      </w:r>
      <w:r>
        <w:rPr>
          <w:rStyle w:val="FootnoteReference"/>
        </w:rPr>
        <w:footnoteReference w:id="1185"/>
      </w:r>
    </w:p>
    <w:p w:rsidR="0070344D" w:rsidRPr="0070344D" w:rsidRDefault="0091035C" w:rsidP="0070344D">
      <w:pPr>
        <w:pStyle w:val="ListContinue"/>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r>
                    <m:rPr>
                      <m:sty m:val="p"/>
                    </m:rPr>
                    <w:rPr>
                      <w:rStyle w:val="CommentReference"/>
                      <w:rFonts w:ascii="Cambria Math" w:hAnsi="Cambria Math"/>
                    </w:rPr>
                    <m:t> </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m:t>
                  </m:r>
                  <m:r>
                    <m:rPr>
                      <m:sty m:val="p"/>
                    </m:rPr>
                    <w:rPr>
                      <w:rFonts w:ascii="Cambria Math" w:hAnsi="Cambria Math"/>
                    </w:rPr>
                    <m:t>,5</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70344D" w:rsidRDefault="0070344D" w:rsidP="0070344D">
      <w:pPr>
        <w:pStyle w:val="ListContinue"/>
      </w:pPr>
      <w:r>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acc>
              <m:accPr>
                <m:ctrlPr>
                  <w:rPr>
                    <w:rFonts w:ascii="Cambria Math" w:hAnsi="Cambria Math"/>
                  </w:rPr>
                </m:ctrlPr>
              </m:accPr>
              <m:e>
                <m:r>
                  <w:rPr>
                    <w:rFonts w:ascii="Cambria Math" w:hAnsi="Cambria Math"/>
                  </w:rPr>
                  <m:t>r</m:t>
                </m:r>
                <m:d>
                  <m:dPr>
                    <m:ctrlPr>
                      <w:rPr>
                        <w:rFonts w:ascii="Cambria Math" w:hAnsi="Cambria Math"/>
                      </w:rPr>
                    </m:ctrlPr>
                  </m:dPr>
                  <m:e>
                    <m:r>
                      <w:rPr>
                        <w:rFonts w:ascii="Cambria Math" w:hAnsi="Cambria Math"/>
                      </w:rPr>
                      <m:t>d</m:t>
                    </m:r>
                  </m:e>
                </m:d>
              </m:e>
            </m:acc>
          </m:e>
          <m:sub>
            <m:r>
              <w:rPr>
                <w:rFonts w:ascii="Cambria Math" w:hAnsi="Cambria Math"/>
              </w:rPr>
              <m:t>t</m:t>
            </m:r>
            <m:r>
              <m:rPr>
                <m:sty m:val="p"/>
              </m:rPr>
              <w:rPr>
                <w:rFonts w:ascii="Cambria Math" w:hAnsi="Cambria Math"/>
              </w:rPr>
              <m:t>,5</m:t>
            </m:r>
          </m:sub>
        </m:sSub>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70344D" w:rsidRPr="0070344D" w:rsidRDefault="0091035C" w:rsidP="0070344D">
      <w:pPr>
        <w:pStyle w:val="ListContinue"/>
      </w:pPr>
      <m:oMathPara>
        <m:oMathParaPr>
          <m:jc m:val="left"/>
        </m:oMathParaPr>
        <m:oMath>
          <m:sSub>
            <m:sSubPr>
              <m:ctrlPr>
                <w:rPr>
                  <w:rFonts w:ascii="Cambria Math" w:hAnsi="Cambria Math"/>
                </w:rPr>
              </m:ctrlPr>
            </m:sSubPr>
            <m:e>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oMath>
      </m:oMathPara>
    </w:p>
    <w:p w:rsidR="0070344D" w:rsidRDefault="0070344D" w:rsidP="0070344D">
      <w:r>
        <w:t xml:space="preserve">We can show </w:t>
      </w:r>
      <m:oMath>
        <m:sSub>
          <m:sSubPr>
            <m:ctrlPr>
              <w:rPr>
                <w:rFonts w:ascii="Cambria Math" w:hAnsi="Cambria Math"/>
              </w:rPr>
            </m:ctrlPr>
          </m:sSubPr>
          <m:e>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=K</m:t>
            </m:r>
          </m:e>
          <m:sub>
            <m:r>
              <w:rPr>
                <w:rFonts w:ascii="Cambria Math" w:hAnsi="Cambria Math"/>
              </w:rPr>
              <m:t>t</m:t>
            </m:r>
            <m:r>
              <m:rPr>
                <m:sty m:val="p"/>
              </m:rPr>
              <w:rPr>
                <w:rFonts w:ascii="Cambria Math" w:hAnsi="Cambria Math"/>
              </w:rPr>
              <m:t>+5</m:t>
            </m:r>
          </m:sub>
        </m:sSub>
        <m:r>
          <m:rPr>
            <m:sty m:val="p"/>
          </m:rPr>
          <w:rPr>
            <w:rFonts w:ascii="Cambria Math" w:hAnsi="Cambria Math"/>
          </w:rPr>
          <m:t xml:space="preserve"> (=</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m:t>
        </m:r>
      </m:oMath>
      <w:r>
        <w:t xml:space="preserve"> through the following sequences of equalities, which collapse down to </w:t>
      </w:r>
      <m:oMath>
        <m:sSub>
          <m:sSubPr>
            <m:ctrlPr>
              <w:rPr>
                <w:rFonts w:ascii="Cambria Math" w:hAnsi="Cambria Math"/>
              </w:rPr>
            </m:ctrlPr>
          </m:sSubPr>
          <m:e>
            <m:r>
              <w:rPr>
                <w:rFonts w:ascii="Cambria Math" w:hAnsi="Cambria Math"/>
              </w:rPr>
              <m:t>PV</m:t>
            </m:r>
          </m:e>
          <m:sub>
            <m:r>
              <w:rPr>
                <w:rFonts w:ascii="Cambria Math" w:hAnsi="Cambria Math"/>
              </w:rPr>
              <m:t>t+5</m:t>
            </m:r>
          </m:sub>
        </m:sSub>
      </m:oMath>
      <w:r>
        <w:t>:</w:t>
      </w:r>
      <w:r>
        <w:rPr>
          <w:rStyle w:val="FootnoteReference"/>
        </w:rPr>
        <w:footnoteReference w:id="1186"/>
      </w:r>
    </w:p>
    <w:p w:rsidR="0070344D" w:rsidRDefault="0091035C" w:rsidP="0070344D">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Style w:val="CommentReference"/>
              <w:rFonts w:ascii="Cambria Math" w:hAnsi="Cambria Math"/>
            </w:rPr>
            <m:t>=</m:t>
          </m:r>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i=t+6 </m:t>
                  </m:r>
                </m:sub>
                <m:sup>
                  <m:r>
                    <w:rPr>
                      <w:rFonts w:ascii="Cambria Math" w:hAnsi="Cambria Math"/>
                    </w:rPr>
                    <m:t>t+10</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i-5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70344D" w:rsidRDefault="0091035C" w:rsidP="0070344D">
      <m:oMathPara>
        <m:oMath>
          <m:sSub>
            <m:sSubPr>
              <m:ctrlPr>
                <w:rPr>
                  <w:rFonts w:ascii="Cambria Math" w:hAnsi="Cambria Math"/>
                  <w:i/>
                </w:rPr>
              </m:ctrlPr>
            </m:sSubPr>
            <m:e>
              <m:r>
                <w:rPr>
                  <w:rFonts w:ascii="Cambria Math" w:hAnsi="Cambria Math"/>
                </w:rPr>
                <m:t>PV</m:t>
              </m:r>
            </m:e>
            <m:sub>
              <m:r>
                <w:rPr>
                  <w:rFonts w:ascii="Cambria Math" w:hAnsi="Cambria Math"/>
                </w:rPr>
                <m:t>t+10</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 xml:space="preserve">i=t+11 </m:t>
                  </m:r>
                </m:sub>
                <m:sup>
                  <m:r>
                    <w:rPr>
                      <w:rFonts w:ascii="Cambria Math" w:hAnsi="Cambria Math"/>
                    </w:rPr>
                    <m:t>t+15</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i-10</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t+15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t+10,5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70344D" w:rsidRDefault="0070344D" w:rsidP="0070344D">
      <m:oMathPara>
        <m:oMath>
          <m:r>
            <w:rPr>
              <w:rFonts w:ascii="Cambria Math" w:hAnsi="Cambria Math"/>
            </w:rPr>
            <m:t>…</m:t>
          </m:r>
        </m:oMath>
      </m:oMathPara>
    </w:p>
    <w:p w:rsidR="0070344D" w:rsidRPr="008948E5" w:rsidRDefault="0091035C" w:rsidP="0070344D">
      <w:pPr>
        <w:rPr>
          <w:rStyle w:val="CommentReference"/>
        </w:rPr>
      </w:pPr>
      <m:oMathPara>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=E</m:t>
          </m:r>
          <m:d>
            <m:dPr>
              <m:begChr m:val="["/>
              <m:endChr m:val="]"/>
              <m:ctrlPr>
                <w:rPr>
                  <w:rFonts w:ascii="Cambria Math" w:hAnsi="Cambria Math"/>
                </w:rPr>
              </m:ctrlPr>
            </m:dPr>
            <m:e>
              <m:nary>
                <m:naryPr>
                  <m:chr m:val="∑"/>
                  <m:limLoc m:val="undOvr"/>
                  <m:ctrlPr>
                    <w:rPr>
                      <w:rFonts w:ascii="Cambria Math" w:hAnsi="Cambria Math"/>
                    </w:rPr>
                  </m:ctrlPr>
                </m:naryPr>
                <m:sub>
                  <m:r>
                    <w:rPr>
                      <w:rFonts w:ascii="Cambria Math" w:hAnsi="Cambria Math"/>
                    </w:rPr>
                    <m:t>i=</m:t>
                  </m:r>
                  <m:d>
                    <m:dPr>
                      <m:ctrlPr>
                        <w:rPr>
                          <w:rFonts w:ascii="Cambria Math" w:hAnsi="Cambria Math"/>
                        </w:rPr>
                      </m:ctrlPr>
                    </m:dPr>
                    <m:e>
                      <m:r>
                        <w:rPr>
                          <w:rFonts w:ascii="Cambria Math" w:hAnsi="Cambria Math"/>
                        </w:rPr>
                        <m:t>T-4</m:t>
                      </m:r>
                    </m:e>
                  </m:d>
                </m:sub>
                <m:sup>
                  <m:r>
                    <w:rPr>
                      <w:rFonts w:ascii="Cambria Math" w:hAnsi="Cambria Math"/>
                    </w:rPr>
                    <m:t>T</m:t>
                  </m:r>
                </m:sup>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i</m:t>
                          </m:r>
                        </m:sub>
                      </m:sSub>
                    </m:num>
                    <m:den>
                      <m:r>
                        <w:rPr>
                          <w:rFonts w:ascii="Cambria Math" w:hAnsi="Cambria Math"/>
                        </w:rPr>
                        <m:t>(1+</m:t>
                      </m:r>
                      <m:sSub>
                        <m:sSubPr>
                          <m:ctrlPr>
                            <w:rPr>
                              <w:rFonts w:ascii="Cambria Math" w:hAnsi="Cambria Math"/>
                            </w:rPr>
                          </m:ctrlPr>
                        </m:sSubPr>
                        <m:e>
                          <m:r>
                            <w:rPr>
                              <w:rFonts w:ascii="Cambria Math" w:hAnsi="Cambria Math"/>
                            </w:rPr>
                            <m:t>r</m:t>
                          </m:r>
                        </m:e>
                        <m:sub>
                          <m:d>
                            <m:dPr>
                              <m:ctrlPr>
                                <w:rPr>
                                  <w:rFonts w:ascii="Cambria Math" w:hAnsi="Cambria Math"/>
                                </w:rPr>
                              </m:ctrlPr>
                            </m:dPr>
                            <m:e>
                              <m:r>
                                <w:rPr>
                                  <w:rFonts w:ascii="Cambria Math" w:hAnsi="Cambria Math"/>
                                </w:rPr>
                                <m:t>T-5</m:t>
                              </m:r>
                            </m:e>
                          </m:d>
                          <m:r>
                            <w:rPr>
                              <w:rFonts w:ascii="Cambria Math" w:hAnsi="Cambria Math"/>
                            </w:rPr>
                            <m:t>,5</m:t>
                          </m:r>
                        </m:sub>
                      </m:sSub>
                      <m:sSup>
                        <m:sSupPr>
                          <m:ctrlPr>
                            <w:rPr>
                              <w:rFonts w:ascii="Cambria Math" w:hAnsi="Cambria Math"/>
                            </w:rPr>
                          </m:ctrlPr>
                        </m:sSupPr>
                        <m:e>
                          <m:r>
                            <w:rPr>
                              <w:rFonts w:ascii="Cambria Math" w:hAnsi="Cambria Math"/>
                            </w:rPr>
                            <m:t>)</m:t>
                          </m:r>
                        </m:e>
                        <m:sup>
                          <m:r>
                            <w:rPr>
                              <w:rFonts w:ascii="Cambria Math" w:hAnsi="Cambria Math"/>
                            </w:rPr>
                            <m:t>i-(T-5)</m:t>
                          </m:r>
                        </m:sup>
                      </m:sSup>
                    </m:den>
                  </m:f>
                </m:e>
              </m:nary>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r>
            <m:rPr>
              <m:sty m:val="p"/>
            </m:rPr>
            <w:rPr>
              <w:rStyle w:val="CommentReference"/>
              <w:rFonts w:ascii="Cambria Math" w:hAnsi="Cambria Math"/>
            </w:rPr>
            <m:t> </m:t>
          </m:r>
        </m:oMath>
      </m:oMathPara>
    </w:p>
    <w:p w:rsidR="0070344D" w:rsidRDefault="0070344D" w:rsidP="0070344D">
      <w:r>
        <w:t>The above present value principle should hold</w:t>
      </w:r>
      <w:r w:rsidRPr="008948E5">
        <w:t xml:space="preserve"> under any regulatory period under the on-the-day approach, and therefore should hold over the </w:t>
      </w:r>
      <w:r>
        <w:t>term of the RAB, which would comprise of multiple regulatory periods</w:t>
      </w:r>
      <w:r w:rsidRPr="008948E5">
        <w:t>.</w:t>
      </w:r>
      <w:r>
        <w:rPr>
          <w:rStyle w:val="FootnoteReference"/>
        </w:rPr>
        <w:footnoteReference w:id="1187"/>
      </w:r>
      <w:r w:rsidRPr="008948E5">
        <w:t xml:space="preserve"> </w:t>
      </w:r>
      <w:r>
        <w:t>T</w:t>
      </w:r>
      <w:r w:rsidRPr="008948E5">
        <w:t>he allowed rate of return is reset to</w:t>
      </w:r>
      <w:r>
        <w:t xml:space="preserve"> reflect</w:t>
      </w:r>
      <w:r w:rsidRPr="008948E5">
        <w:t xml:space="preserve"> the (appropriately benchmarked) prevailing market cost of capital </w:t>
      </w:r>
      <w:r>
        <w:t>at</w:t>
      </w:r>
      <w:r w:rsidRPr="008948E5">
        <w:t xml:space="preserve"> the commencement of each regulatory period</w:t>
      </w:r>
      <w:r>
        <w:t>. Therefore,</w:t>
      </w:r>
      <w:r w:rsidRPr="008948E5">
        <w:t xml:space="preserve"> the </w:t>
      </w:r>
      <w:r>
        <w:t xml:space="preserve">present (or market) </w:t>
      </w:r>
      <w:r w:rsidRPr="008948E5">
        <w:t>value of the RAB is reset to its</w:t>
      </w:r>
      <w:r>
        <w:t xml:space="preserve"> statutory value</w:t>
      </w:r>
      <w:r w:rsidRPr="008948E5">
        <w:t xml:space="preserve"> </w:t>
      </w:r>
      <w:r>
        <w:t xml:space="preserve">(or, under our assumptions, its </w:t>
      </w:r>
      <w:r w:rsidRPr="008948E5">
        <w:t>initial</w:t>
      </w:r>
      <w:r>
        <w:t xml:space="preserve"> </w:t>
      </w:r>
      <w:r w:rsidRPr="008948E5">
        <w:t>value</w:t>
      </w:r>
      <w:r>
        <w:t xml:space="preserve"> </w:t>
      </w:r>
      <m:oMath>
        <m:sSub>
          <m:sSubPr>
            <m:ctrlPr>
              <w:rPr>
                <w:rFonts w:ascii="Cambria Math" w:hAnsi="Cambria Math"/>
              </w:rPr>
            </m:ctrlPr>
          </m:sSubPr>
          <m:e>
            <m:r>
              <w:rPr>
                <w:rFonts w:ascii="Cambria Math" w:hAnsi="Cambria Math"/>
              </w:rPr>
              <m:t>K</m:t>
            </m:r>
          </m:e>
          <m:sub>
            <m:r>
              <w:rPr>
                <w:rFonts w:ascii="Cambria Math" w:hAnsi="Cambria Math"/>
              </w:rPr>
              <m:t>0</m:t>
            </m:r>
          </m:sub>
        </m:sSub>
      </m:oMath>
      <w:r>
        <w:t>) at</w:t>
      </w:r>
      <w:r w:rsidRPr="008948E5">
        <w:t xml:space="preserve"> the commencement of each regulatory period. </w:t>
      </w:r>
      <w:r>
        <w:t>This is supported by Partington and Satchell.</w:t>
      </w:r>
      <w:r>
        <w:rPr>
          <w:rStyle w:val="FootnoteReference"/>
        </w:rPr>
        <w:footnoteReference w:id="1188"/>
      </w:r>
      <w:r>
        <w:t xml:space="preserve"> </w:t>
      </w:r>
      <w:r w:rsidRPr="008948E5">
        <w:t xml:space="preserve">To this extent, the regulatory regime under an on-the-day approach can be likened to a </w:t>
      </w:r>
      <w:r>
        <w:t>long term floating rate security</w:t>
      </w:r>
      <w:r w:rsidRPr="008948E5">
        <w:t xml:space="preserve"> where the allowed rate of return is the coupon rate, reset at the start of each regulatory period such that the </w:t>
      </w:r>
      <w:r>
        <w:t xml:space="preserve">present (or market) </w:t>
      </w:r>
      <w:r w:rsidRPr="008948E5">
        <w:t xml:space="preserve">value of the bond equals </w:t>
      </w:r>
      <w:r>
        <w:t xml:space="preserve">its </w:t>
      </w:r>
      <w:r w:rsidRPr="008948E5">
        <w:t>par</w:t>
      </w:r>
      <w:r>
        <w:t xml:space="preserve"> (or face)</w:t>
      </w:r>
      <w:r w:rsidRPr="008948E5">
        <w:t xml:space="preserve"> value</w:t>
      </w:r>
      <w:r>
        <w:t>.</w:t>
      </w:r>
      <w:r>
        <w:rPr>
          <w:rStyle w:val="FootnoteReference"/>
        </w:rPr>
        <w:footnoteReference w:id="1189"/>
      </w:r>
    </w:p>
    <w:p w:rsidR="0070344D" w:rsidRDefault="0070344D" w:rsidP="0070344D">
      <w:r>
        <w:t xml:space="preserve">We consider this section shows the </w:t>
      </w:r>
      <w:r w:rsidRPr="008948E5">
        <w:t>on-the-day approach provides service providers with a reasonable opportunity to recover at least efficient costs.</w:t>
      </w:r>
      <w:r>
        <w:rPr>
          <w:rStyle w:val="FootnoteReference"/>
        </w:rPr>
        <w:footnoteReference w:id="1190"/>
      </w:r>
      <w:r w:rsidRPr="008948E5">
        <w:t xml:space="preserve"> </w:t>
      </w:r>
      <w:r>
        <w:t>That is, at the commencement of each regulatory period, the present value of expected future cash flows will equal the RAB</w:t>
      </w:r>
      <w:r w:rsidRPr="00A156E7">
        <w:t xml:space="preserve">. </w:t>
      </w:r>
      <w:r w:rsidRPr="008948E5">
        <w:t xml:space="preserve">We note that given the ARORO is standalone, the ARORO will be achieved if the present value of expected </w:t>
      </w:r>
      <w:r>
        <w:t xml:space="preserve">return on (and of) capital </w:t>
      </w:r>
      <w:r w:rsidRPr="008948E5">
        <w:t xml:space="preserve">cash flows equal the </w:t>
      </w:r>
      <w:r>
        <w:t xml:space="preserve">start-of-period </w:t>
      </w:r>
      <w:r w:rsidRPr="008948E5">
        <w:t>opening RAB</w:t>
      </w:r>
      <w:r>
        <w:t>.</w:t>
      </w:r>
    </w:p>
    <w:p w:rsidR="0070344D" w:rsidRDefault="0070344D" w:rsidP="0070344D">
      <w:pPr>
        <w:pStyle w:val="HeadingBoldBlue"/>
      </w:pPr>
      <w:r>
        <w:t>Trailing average approach</w:t>
      </w:r>
    </w:p>
    <w:p w:rsidR="0070344D" w:rsidRDefault="0070344D" w:rsidP="0070344D">
      <w:r>
        <w:t>Under the trailing average approach, the service provider would not necessarily have a reasonable opportunity to recover at least efficient costs over a regulatory period. However, the service provider would still have a reasonable opportunity to recover at least efficient costs over the term of the RAB.</w:t>
      </w:r>
    </w:p>
    <w:p w:rsidR="0070344D" w:rsidRPr="00A156E7" w:rsidRDefault="0070344D" w:rsidP="0070344D">
      <w:r w:rsidRPr="00A156E7">
        <w:t xml:space="preserve">Assume we set the allowed rate of return based on a trailing average return on debt for a particular regulatory period (commencing year </w:t>
      </w:r>
      <m:oMath>
        <m:r>
          <w:rPr>
            <w:rFonts w:ascii="Cambria Math" w:hAnsi="Cambria Math"/>
          </w:rPr>
          <m:t>t</m:t>
        </m:r>
      </m:oMath>
      <w:r w:rsidRPr="00A156E7">
        <w:t xml:space="preserve">). </w:t>
      </w:r>
      <w:r>
        <w:t>As set out above, f</w:t>
      </w:r>
      <w:r w:rsidRPr="00A156E7">
        <w:t xml:space="preserve">or the </w:t>
      </w:r>
      <w:r>
        <w:t>present value</w:t>
      </w:r>
      <w:r w:rsidRPr="00A156E7">
        <w:t xml:space="preserve"> principle to hold over the regulatory period commencing year </w:t>
      </w:r>
      <m:oMath>
        <m:r>
          <w:rPr>
            <w:rFonts w:ascii="Cambria Math" w:hAnsi="Cambria Math"/>
          </w:rPr>
          <m:t>t</m:t>
        </m:r>
      </m:oMath>
      <w:r w:rsidRPr="00A156E7">
        <w:t xml:space="preserve">, the present value of </w:t>
      </w:r>
      <w:r>
        <w:t xml:space="preserve">expected </w:t>
      </w:r>
      <w:r w:rsidRPr="00A156E7">
        <w:t xml:space="preserve">net operating cash flows over this period </w:t>
      </w:r>
      <w:r>
        <w:t>plus the</w:t>
      </w:r>
      <w:r w:rsidRPr="00A156E7">
        <w:t xml:space="preserve"> closing RAB </w:t>
      </w:r>
      <w:r>
        <w:t xml:space="preserve">(at </w:t>
      </w:r>
      <m:oMath>
        <m:r>
          <w:rPr>
            <w:rFonts w:ascii="Cambria Math" w:hAnsi="Cambria Math"/>
          </w:rPr>
          <m:t>t+5</m:t>
        </m:r>
      </m:oMath>
      <w:r>
        <w:t xml:space="preserve">) </w:t>
      </w:r>
      <w:r w:rsidRPr="00A156E7">
        <w:t xml:space="preserve">should equate to the opening RAB </w:t>
      </w:r>
      <w:r>
        <w:t>(</w:t>
      </w:r>
      <w:r w:rsidRPr="00A156E7">
        <w:t xml:space="preserve">at </w:t>
      </w:r>
      <m:oMath>
        <m:r>
          <w:rPr>
            <w:rFonts w:ascii="Cambria Math" w:hAnsi="Cambria Math"/>
          </w:rPr>
          <m:t>t</m:t>
        </m:r>
      </m:oMath>
      <w:r>
        <w:t>)</w:t>
      </w:r>
      <w:r w:rsidRPr="00A156E7">
        <w:t xml:space="preserve">. </w:t>
      </w:r>
      <w:r>
        <w:t>Under our depreciation assumptions</w:t>
      </w:r>
      <w:r w:rsidRPr="00A156E7">
        <w:t xml:space="preserve">, this should result in the opening RAB (at </w:t>
      </w:r>
      <m:oMath>
        <m:r>
          <w:rPr>
            <w:rFonts w:ascii="Cambria Math" w:hAnsi="Cambria Math"/>
          </w:rPr>
          <m:t>t</m:t>
        </m:r>
      </m:oMath>
      <w:r w:rsidRPr="00A156E7">
        <w:t xml:space="preserve">) </w:t>
      </w:r>
      <w:r>
        <w:t xml:space="preserve">being </w:t>
      </w:r>
      <w:r w:rsidRPr="00A156E7">
        <w:t>equal</w:t>
      </w:r>
      <w:r>
        <w:t xml:space="preserve"> to</w:t>
      </w:r>
      <w:r w:rsidRPr="00A156E7">
        <w:t xml:space="preserve"> its initial value (at </w:t>
      </w:r>
      <m:oMath>
        <m:r>
          <w:rPr>
            <w:rFonts w:ascii="Cambria Math" w:hAnsi="Cambria Math"/>
          </w:rPr>
          <m:t>t=0</m:t>
        </m:r>
      </m:oMath>
      <w:r w:rsidRPr="00A156E7">
        <w:t xml:space="preserve">). </w:t>
      </w:r>
      <w:r>
        <w:t>That is, f</w:t>
      </w:r>
      <w:r w:rsidRPr="00A156E7">
        <w:t xml:space="preserve">or the </w:t>
      </w:r>
      <w:r>
        <w:t>present value</w:t>
      </w:r>
      <w:r w:rsidRPr="00A156E7">
        <w:t xml:space="preserve"> principle to hold over </w:t>
      </w:r>
      <w:r>
        <w:t>a</w:t>
      </w:r>
      <w:r w:rsidRPr="00A156E7">
        <w:t xml:space="preserve"> regulatory period commencing year </w:t>
      </w:r>
      <m:oMath>
        <m:r>
          <w:rPr>
            <w:rFonts w:ascii="Cambria Math" w:hAnsi="Cambria Math"/>
          </w:rPr>
          <m:t>t</m:t>
        </m:r>
      </m:oMath>
      <w:r w:rsidRPr="00A156E7">
        <w:t>, the following equality must hold:</w:t>
      </w:r>
    </w:p>
    <w:p w:rsidR="0070344D" w:rsidRDefault="0091035C" w:rsidP="0070344D">
      <m:oMathPara>
        <m:oMath>
          <m:sSub>
            <m:sSubPr>
              <m:ctrlPr>
                <w:rPr>
                  <w:rFonts w:ascii="Cambria Math" w:hAnsi="Cambria Math"/>
                </w:rPr>
              </m:ctrlPr>
            </m:sSubPr>
            <m:e>
              <m:r>
                <w:rPr>
                  <w:rFonts w:ascii="Cambria Math" w:hAnsi="Cambria Math"/>
                </w:rPr>
                <m:t>PV</m:t>
              </m:r>
            </m:e>
            <m:sub>
              <m:r>
                <w:rPr>
                  <w:rFonts w:ascii="Cambria Math" w:hAnsi="Cambria Math"/>
                </w:rPr>
                <m:t>t</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r>
                        <m:rPr>
                          <m:sty m:val="p"/>
                        </m:rPr>
                        <w:rPr>
                          <w:rStyle w:val="CommentReference"/>
                          <w:rFonts w:ascii="Cambria Math" w:hAnsi="Cambria Math"/>
                        </w:rPr>
                        <m:t> </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3</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4</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CF</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t+5</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t,5</m:t>
                      </m:r>
                    </m:sub>
                  </m:sSub>
                  <m:sSup>
                    <m:sSupPr>
                      <m:ctrlPr>
                        <w:rPr>
                          <w:rFonts w:ascii="Cambria Math" w:hAnsi="Cambria Math"/>
                        </w:rPr>
                      </m:ctrlPr>
                    </m:sSupPr>
                    <m:e>
                      <m:r>
                        <w:rPr>
                          <w:rFonts w:ascii="Cambria Math" w:hAnsi="Cambria Math"/>
                        </w:rPr>
                        <m:t>)</m:t>
                      </m:r>
                    </m:e>
                    <m:sup>
                      <m:r>
                        <w:rPr>
                          <w:rFonts w:ascii="Cambria Math" w:hAnsi="Cambria Math"/>
                        </w:rPr>
                        <m:t>5</m:t>
                      </m:r>
                    </m:sup>
                  </m:sSup>
                </m:den>
              </m:f>
            </m:e>
          </m:d>
        </m:oMath>
      </m:oMathPara>
    </w:p>
    <w:p w:rsidR="0070344D" w:rsidRDefault="0070344D" w:rsidP="0070344D">
      <m:oMathPara>
        <m:oMath>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t-1</m:t>
              </m:r>
            </m:sub>
          </m:sSub>
          <m:r>
            <w:rPr>
              <w:rFonts w:ascii="Cambria Math" w:hAnsi="Cambria Math"/>
            </w:rPr>
            <m:t xml:space="preserve">  (=</m:t>
          </m:r>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oMath>
      </m:oMathPara>
    </w:p>
    <w:p w:rsidR="0070344D" w:rsidRDefault="0070344D" w:rsidP="0070344D">
      <w:r>
        <w:t>where, under an immediate trailing average approach (under our assumptions):</w:t>
      </w:r>
      <w:r>
        <w:rPr>
          <w:rStyle w:val="FootnoteReference"/>
        </w:rPr>
        <w:footnoteReference w:id="1191"/>
      </w:r>
    </w:p>
    <w:p w:rsidR="0070344D" w:rsidRPr="0070344D" w:rsidRDefault="0091035C" w:rsidP="0070344D">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70344D" w:rsidRPr="005C23EC" w:rsidRDefault="0070344D" w:rsidP="0070344D">
      <w:r w:rsidRPr="005C23EC">
        <w:tab/>
      </w:r>
      <w:r w:rsidRPr="00A156E7">
        <w:t xml:space="preserve"> </w:t>
      </w:r>
      <m:oMath>
        <m:r>
          <m:rPr>
            <m:sty m:val="p"/>
          </m:rPr>
          <w:rPr>
            <w:rFonts w:ascii="Cambria Math" w:hAnsi="Cambria Math"/>
          </w:rPr>
          <m:t>=</m:t>
        </m:r>
        <m:sSub>
          <m:sSubPr>
            <m:ctrlPr>
              <w:rPr>
                <w:rFonts w:ascii="Cambria Math" w:hAnsi="Cambria Math"/>
              </w:rPr>
            </m:ctrlPr>
          </m:sSubPr>
          <m:e>
            <m:r>
              <m:rPr>
                <m:sty m:val="p"/>
              </m:rPr>
              <w:rPr>
                <w:rFonts w:ascii="Cambria Math" w:hAnsi="Cambria Math"/>
              </w:rPr>
              <m:t>(</m:t>
            </m:r>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r>
          <m:rPr>
            <m:sty m:val="p"/>
          </m:rPr>
          <w:rPr>
            <w:rFonts w:ascii="Cambria Math" w:hAnsi="Cambria Math"/>
          </w:rPr>
          <m:t>*0.4*</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)+(0.1*</m:t>
        </m:r>
        <m:nary>
          <m:naryPr>
            <m:chr m:val="∑"/>
            <m:limLoc m:val="subSup"/>
            <m:ctrlPr>
              <w:rPr>
                <w:rFonts w:ascii="Cambria Math" w:hAnsi="Cambria Math"/>
              </w:rPr>
            </m:ctrlPr>
          </m:naryPr>
          <m:sub>
            <m:r>
              <w:rPr>
                <w:rFonts w:ascii="Cambria Math" w:hAnsi="Cambria Math"/>
              </w:rPr>
              <m:t>s</m:t>
            </m:r>
            <m:r>
              <m:rPr>
                <m:sty m:val="p"/>
              </m:rPr>
              <w:rPr>
                <w:rFonts w:ascii="Cambria Math" w:hAnsi="Cambria Math"/>
              </w:rPr>
              <m:t>=</m:t>
            </m:r>
            <m:r>
              <w:rPr>
                <w:rFonts w:ascii="Cambria Math" w:hAnsi="Cambria Math"/>
              </w:rPr>
              <m:t>i</m:t>
            </m:r>
            <m:r>
              <m:rPr>
                <m:sty m:val="p"/>
              </m:rPr>
              <w:rPr>
                <w:rFonts w:ascii="Cambria Math" w:hAnsi="Cambria Math"/>
              </w:rPr>
              <m:t xml:space="preserve">-10 </m:t>
            </m:r>
          </m:sub>
          <m:sup>
            <m:r>
              <w:rPr>
                <w:rFonts w:ascii="Cambria Math" w:hAnsi="Cambria Math"/>
              </w:rPr>
              <m:t>i</m:t>
            </m:r>
            <m:r>
              <m:rPr>
                <m:sty m:val="p"/>
              </m:rPr>
              <w:rPr>
                <w:rFonts w:ascii="Cambria Math" w:hAnsi="Cambria Math"/>
              </w:rPr>
              <m:t>-1</m:t>
            </m:r>
          </m:sup>
          <m:e>
            <m:sSub>
              <m:sSubPr>
                <m:ctrlPr>
                  <w:rPr>
                    <w:rFonts w:ascii="Cambria Math" w:hAnsi="Cambria Math"/>
                  </w:rPr>
                </m:ctrlPr>
              </m:sSubPr>
              <m:e>
                <m:r>
                  <m:rPr>
                    <m:sty m:val="p"/>
                  </m:rPr>
                  <w:rPr>
                    <w:rFonts w:ascii="Cambria Math" w:hAnsi="Cambria Math"/>
                  </w:rPr>
                  <m:t>[</m:t>
                </m:r>
                <m:r>
                  <w:rPr>
                    <w:rFonts w:ascii="Cambria Math" w:hAnsi="Cambria Math"/>
                  </w:rPr>
                  <m:t>r</m:t>
                </m:r>
              </m:e>
              <m:sub>
                <m:r>
                  <w:rPr>
                    <w:rFonts w:ascii="Cambria Math" w:hAnsi="Cambria Math"/>
                  </w:rPr>
                  <m:t>s</m:t>
                </m:r>
                <m:r>
                  <m:rPr>
                    <m:sty m:val="p"/>
                  </m:rPr>
                  <w:rPr>
                    <w:rFonts w:ascii="Cambria Math" w:hAnsi="Cambria Math"/>
                  </w:rPr>
                  <m:t>,10</m:t>
                </m:r>
              </m:sub>
            </m:sSub>
            <m:r>
              <m:rPr>
                <m:sty m:val="p"/>
              </m:rPr>
              <w:rPr>
                <w:rFonts w:ascii="Cambria Math" w:hAnsi="Cambria Math"/>
              </w:rPr>
              <m:t>]</m:t>
            </m:r>
          </m:e>
        </m:nary>
        <m:r>
          <m:rPr>
            <m:sty m:val="p"/>
          </m:rPr>
          <w:rPr>
            <w:rFonts w:ascii="Cambria Math" w:hAnsi="Cambria Math"/>
          </w:rPr>
          <m:t>*0.6*</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+5</m:t>
        </m:r>
      </m:oMath>
    </w:p>
    <w:p w:rsidR="0070344D" w:rsidRDefault="0070344D" w:rsidP="0070344D">
      <w:r>
        <w:t xml:space="preserve">The above equality is unlikely to hold for any given regulatory period. The only way this can hold is if the geometric average allowed rate of return used over the period equals </w:t>
      </w:r>
      <m:oMath>
        <m:sSub>
          <m:sSubPr>
            <m:ctrlPr>
              <w:rPr>
                <w:rFonts w:ascii="Cambria Math" w:hAnsi="Cambria Math"/>
              </w:rPr>
            </m:ctrlPr>
          </m:sSubPr>
          <m:e>
            <m:r>
              <w:rPr>
                <w:rFonts w:ascii="Cambria Math" w:hAnsi="Cambria Math"/>
              </w:rPr>
              <m:t>r</m:t>
            </m:r>
          </m:e>
          <m:sub>
            <m:r>
              <w:rPr>
                <w:rFonts w:ascii="Cambria Math" w:hAnsi="Cambria Math"/>
              </w:rPr>
              <m:t>t,5</m:t>
            </m:r>
          </m:sub>
        </m:sSub>
      </m:oMath>
      <w:r>
        <w:t>,</w:t>
      </w:r>
      <w:r>
        <w:rPr>
          <w:rStyle w:val="FootnoteReference"/>
        </w:rPr>
        <w:footnoteReference w:id="1192"/>
      </w:r>
      <w:r>
        <w:t xml:space="preserve"> and </w:t>
      </w:r>
      <m:oMath>
        <m:sSub>
          <m:sSubPr>
            <m:ctrlPr>
              <w:rPr>
                <w:rFonts w:ascii="Cambria Math" w:hAnsi="Cambria Math"/>
              </w:rPr>
            </m:ctrlPr>
          </m:sSubPr>
          <m:e>
            <m:r>
              <w:rPr>
                <w:rFonts w:ascii="Cambria Math" w:hAnsi="Cambria Math"/>
              </w:rPr>
              <m:t>PV</m:t>
            </m:r>
          </m:e>
          <m:sub>
            <m:r>
              <w:rPr>
                <w:rFonts w:ascii="Cambria Math" w:hAnsi="Cambria Math"/>
              </w:rPr>
              <m:t>t+5</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t+5</m:t>
            </m:r>
          </m:sub>
        </m:sSub>
      </m:oMath>
      <w:r>
        <w:t xml:space="preserve"> (which equals </w:t>
      </w:r>
      <m:oMath>
        <m:sSub>
          <m:sSubPr>
            <m:ctrlPr>
              <w:rPr>
                <w:rFonts w:ascii="Cambria Math" w:hAnsi="Cambria Math"/>
              </w:rPr>
            </m:ctrlPr>
          </m:sSubPr>
          <m:e>
            <m:r>
              <w:rPr>
                <w:rFonts w:ascii="Cambria Math" w:hAnsi="Cambria Math"/>
              </w:rPr>
              <m:t>K</m:t>
            </m:r>
          </m:e>
          <m:sub>
            <m:r>
              <w:rPr>
                <w:rFonts w:ascii="Cambria Math" w:hAnsi="Cambria Math"/>
              </w:rPr>
              <m:t>0</m:t>
            </m:r>
          </m:sub>
        </m:sSub>
      </m:oMath>
      <w:r>
        <w:t xml:space="preserve"> under our assumptions).</w:t>
      </w:r>
      <w:r w:rsidRPr="00DE6C15">
        <w:rPr>
          <w:rStyle w:val="FootnoteReference"/>
        </w:rPr>
        <w:t xml:space="preserve"> </w:t>
      </w:r>
    </w:p>
    <w:p w:rsidR="0070344D" w:rsidRDefault="0070344D" w:rsidP="0070344D">
      <w:r>
        <w:t>Despite this, we can show the service provider would have a reasonable opportunity to recover at least efficient costs over the term of the RAB. We previously observed that the on-the-day approach can be likened to a long term floating rate security where the coupon rate is reset to reflect the prevailing market cost of capital at the start of each regulatory period. Similarly, we can interpret the trailing average approach as 10 long term floating rate securities each covering a 10 per cent 'investment portion' in the RAB where the coupon rate is reset to reflect the prevailing market cost of (debt) capital every 10 years.</w:t>
      </w:r>
    </w:p>
    <w:p w:rsidR="0070344D" w:rsidRDefault="0070344D" w:rsidP="0070344D">
      <w:r>
        <w:t>There are three different components to the trailing average approach: the transition in, the full staggered portfolio, and the transition out at the end of the investment horizon (or end of the term of the RAB).</w:t>
      </w:r>
      <w:r w:rsidRPr="00185A5F">
        <w:t xml:space="preserve"> </w:t>
      </w:r>
      <w:r>
        <w:t>We show these below.</w:t>
      </w:r>
    </w:p>
    <w:p w:rsidR="0070344D" w:rsidRDefault="0070344D" w:rsidP="0070344D">
      <w:r>
        <w:t>T</w:t>
      </w:r>
      <w:r w:rsidRPr="00185A5F">
        <w:t>he allowed return on equity continues to be reset to reflect the prevailing market cost of equity at the commencement of each regulatory period</w:t>
      </w:r>
      <w:r>
        <w:t>. Therefore,</w:t>
      </w:r>
      <w:r w:rsidRPr="00185A5F">
        <w:t xml:space="preserve"> we can </w:t>
      </w:r>
      <w:r>
        <w:t>reasonably assume</w:t>
      </w:r>
      <w:r w:rsidRPr="00185A5F">
        <w:t xml:space="preserve"> the present value of </w:t>
      </w:r>
      <w:r>
        <w:t xml:space="preserve">expected </w:t>
      </w:r>
      <w:r w:rsidRPr="00185A5F">
        <w:t xml:space="preserve">return on equity cash flows equals the </w:t>
      </w:r>
      <w:r>
        <w:t xml:space="preserve">equity financed component of the </w:t>
      </w:r>
      <w:r w:rsidRPr="00185A5F">
        <w:t>RAB each regulatory period</w:t>
      </w:r>
      <w:r>
        <w:t>, although Partington and Satchell note there are likely to be complications associated with leverage</w:t>
      </w:r>
      <w:r w:rsidRPr="00185A5F">
        <w:t>.</w:t>
      </w:r>
      <w:r>
        <w:rPr>
          <w:rStyle w:val="FootnoteReference"/>
        </w:rPr>
        <w:footnoteReference w:id="1193"/>
      </w:r>
      <w:r w:rsidRPr="00185A5F">
        <w:t xml:space="preserve"> </w:t>
      </w:r>
      <w:r>
        <w:t>Because of this</w:t>
      </w:r>
      <w:r w:rsidRPr="00185A5F">
        <w:t>, in the following sections we focus on the return on debt cash flows and assume, for simplicity, the RAB is 100</w:t>
      </w:r>
      <w:r>
        <w:t xml:space="preserve"> per cent</w:t>
      </w:r>
      <w:r w:rsidRPr="00185A5F">
        <w:t xml:space="preserve"> debt financed.</w:t>
      </w:r>
    </w:p>
    <w:p w:rsidR="0070344D" w:rsidRDefault="0070344D" w:rsidP="0070344D">
      <w:pPr>
        <w:pStyle w:val="HeadingBoldItalic"/>
      </w:pPr>
      <w:r>
        <w:t>Transition into the staggered portfolio</w:t>
      </w:r>
    </w:p>
    <w:p w:rsidR="0070344D" w:rsidRDefault="0070344D" w:rsidP="0070344D">
      <w:pPr>
        <w:rPr>
          <w:rStyle w:val="AERbody"/>
        </w:rPr>
      </w:pPr>
      <w:r>
        <w:rPr>
          <w:rStyle w:val="AERbody"/>
        </w:rPr>
        <w:t>On the first year of a trailing average, a business would either:</w:t>
      </w:r>
    </w:p>
    <w:p w:rsidR="0070344D" w:rsidRDefault="0070344D" w:rsidP="0070344D">
      <w:pPr>
        <w:pStyle w:val="AERbulletlistfirststyle"/>
        <w:rPr>
          <w:rStyle w:val="AERbody"/>
        </w:rPr>
      </w:pPr>
      <w:r>
        <w:rPr>
          <w:rStyle w:val="AERbody"/>
        </w:rPr>
        <w:t>Raise an equal-weighted portfolio of 1, 2, 3 ... 9, 10 year debt. Each year 10 per cent of this would expire and the business would replace this with 10 year debt.</w:t>
      </w:r>
    </w:p>
    <w:p w:rsidR="0070344D" w:rsidRDefault="0070344D" w:rsidP="0070344D">
      <w:pPr>
        <w:pStyle w:val="AERbulletlistfirststyle"/>
        <w:rPr>
          <w:rStyle w:val="AERbody"/>
        </w:rPr>
      </w:pPr>
      <w:r>
        <w:rPr>
          <w:rStyle w:val="AERbody"/>
        </w:rPr>
        <w:t>Raise 10 year debt. Each year it would refinance 10 per cent of this and replace this with more 10 year debt.</w:t>
      </w:r>
    </w:p>
    <w:p w:rsidR="0070344D" w:rsidRPr="006C533F" w:rsidRDefault="0070344D" w:rsidP="0070344D">
      <w:pPr>
        <w:rPr>
          <w:rStyle w:val="AERbody"/>
        </w:rPr>
      </w:pPr>
      <w:r>
        <w:rPr>
          <w:rStyle w:val="AERbody"/>
        </w:rPr>
        <w:t xml:space="preserve">We have calculated the return on debt allowance assuming </w:t>
      </w:r>
      <w:r w:rsidRPr="006C533F">
        <w:rPr>
          <w:rStyle w:val="AERbody"/>
        </w:rPr>
        <w:t xml:space="preserve">the latter option. Since we </w:t>
      </w:r>
      <w:r>
        <w:rPr>
          <w:rStyle w:val="AERbody"/>
        </w:rPr>
        <w:t xml:space="preserve">expect this would be the higher </w:t>
      </w:r>
      <w:r w:rsidRPr="006C533F">
        <w:rPr>
          <w:rStyle w:val="AERbody"/>
        </w:rPr>
        <w:t>cost option</w:t>
      </w:r>
      <w:r>
        <w:rPr>
          <w:rStyle w:val="AERbody"/>
        </w:rPr>
        <w:t xml:space="preserve"> given </w:t>
      </w:r>
      <w:r w:rsidRPr="00185A5F">
        <w:rPr>
          <w:rStyle w:val="AERbody"/>
        </w:rPr>
        <w:t>interest rates on longer-term debt securities are often higher than those on shorter-term debt securities</w:t>
      </w:r>
      <w:r w:rsidRPr="006C533F">
        <w:rPr>
          <w:rStyle w:val="AERbody"/>
        </w:rPr>
        <w:t>, our debt allowance should be conservative in</w:t>
      </w:r>
      <w:r>
        <w:rPr>
          <w:rStyle w:val="AERbody"/>
        </w:rPr>
        <w:t xml:space="preserve"> the service providers' favour.</w:t>
      </w:r>
    </w:p>
    <w:p w:rsidR="0070344D" w:rsidRPr="006C533F" w:rsidRDefault="0070344D" w:rsidP="0070344D">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 xml:space="preserve">a reasonable opportunity to recover at least efficient costs for its initial investment at </w:t>
      </w:r>
      <m:oMath>
        <m:r>
          <w:rPr>
            <w:rFonts w:ascii="Cambria Math" w:hAnsi="Cambria Math"/>
          </w:rPr>
          <m:t>t=0</m:t>
        </m:r>
      </m:oMath>
      <w:r w:rsidRPr="006C533F">
        <w:t xml:space="preserve"> as this would allow the following equality to hold:</w:t>
      </w:r>
      <w:r>
        <w:rPr>
          <w:rStyle w:val="FootnoteReference"/>
        </w:rPr>
        <w:footnoteReference w:id="1194"/>
      </w:r>
    </w:p>
    <w:p w:rsidR="0070344D" w:rsidRDefault="0091035C" w:rsidP="0070344D">
      <m:oMath>
        <m:sSub>
          <m:sSubPr>
            <m:ctrlPr>
              <w:rPr>
                <w:rFonts w:ascii="Cambria Math" w:hAnsi="Cambria Math"/>
              </w:rPr>
            </m:ctrlPr>
          </m:sSubPr>
          <m:e>
            <m:r>
              <w:rPr>
                <w:rFonts w:ascii="Cambria Math" w:hAnsi="Cambria Math"/>
              </w:rPr>
              <m:t>PV</m:t>
            </m:r>
          </m:e>
          <m:sub>
            <m:r>
              <w:rPr>
                <w:rFonts w:ascii="Cambria Math" w:hAnsi="Cambria Math"/>
              </w:rPr>
              <m:t>0</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1*</m:t>
                </m:r>
                <m:sSub>
                  <m:sSubPr>
                    <m:ctrlPr>
                      <w:rPr>
                        <w:rFonts w:ascii="Cambria Math" w:hAnsi="Cambria Math"/>
                      </w:rPr>
                    </m:ctrlPr>
                  </m:sSubPr>
                  <m:e>
                    <m:r>
                      <w:rPr>
                        <w:rFonts w:ascii="Cambria Math" w:hAnsi="Cambria Math"/>
                      </w:rPr>
                      <m:t>CF</m:t>
                    </m:r>
                  </m:e>
                  <m:sub>
                    <m:r>
                      <w:rPr>
                        <w:rFonts w:ascii="Cambria Math" w:hAnsi="Cambria Math"/>
                      </w:rPr>
                      <m:t>1</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0.9*</m:t>
                </m:r>
                <m:sSub>
                  <m:sSubPr>
                    <m:ctrlPr>
                      <w:rPr>
                        <w:rFonts w:ascii="Cambria Math" w:hAnsi="Cambria Math"/>
                      </w:rPr>
                    </m:ctrlPr>
                  </m:sSubPr>
                  <m:e>
                    <m:r>
                      <w:rPr>
                        <w:rFonts w:ascii="Cambria Math" w:hAnsi="Cambria Math"/>
                      </w:rPr>
                      <m:t>CF</m:t>
                    </m:r>
                  </m:e>
                  <m:sub>
                    <m:r>
                      <w:rPr>
                        <w:rFonts w:ascii="Cambria Math" w:hAnsi="Cambria Math"/>
                      </w:rPr>
                      <m:t>2</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0.2*</m:t>
                </m:r>
                <m:sSub>
                  <m:sSubPr>
                    <m:ctrlPr>
                      <w:rPr>
                        <w:rFonts w:ascii="Cambria Math" w:hAnsi="Cambria Math"/>
                      </w:rPr>
                    </m:ctrlPr>
                  </m:sSubPr>
                  <m:e>
                    <m:r>
                      <w:rPr>
                        <w:rFonts w:ascii="Cambria Math" w:hAnsi="Cambria Math"/>
                      </w:rPr>
                      <m:t>CF</m:t>
                    </m:r>
                  </m:e>
                  <m:sub>
                    <m:r>
                      <w:rPr>
                        <w:rFonts w:ascii="Cambria Math" w:hAnsi="Cambria Math"/>
                      </w:rPr>
                      <m:t>9</m:t>
                    </m:r>
                  </m:sub>
                </m:sSub>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10</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10</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-1</m:t>
            </m:r>
          </m:sub>
        </m:sSub>
        <m:r>
          <w:rPr>
            <w:rStyle w:val="FootnoteReference"/>
            <w:rFonts w:ascii="Cambria Math" w:hAnsi="Cambria Math"/>
            <w:i/>
          </w:rPr>
          <w:footnoteReference w:id="1195"/>
        </m:r>
      </m:oMath>
      <w:r w:rsidR="0070344D">
        <w:t xml:space="preserve"> </w:t>
      </w:r>
    </w:p>
    <w:p w:rsidR="0070344D" w:rsidRDefault="0070344D" w:rsidP="0070344D">
      <w:r>
        <w:t>where, under our assumptions:</w:t>
      </w:r>
      <w:r>
        <w:rPr>
          <w:rStyle w:val="FootnoteReference"/>
        </w:rPr>
        <w:footnoteReference w:id="1196"/>
      </w:r>
    </w:p>
    <w:p w:rsidR="0070344D" w:rsidRPr="0070344D" w:rsidRDefault="0091035C" w:rsidP="0070344D">
      <w:pPr>
        <w:pStyle w:val="ListContinue2"/>
      </w:pPr>
      <m:oMathPara>
        <m:oMathParaPr>
          <m:jc m:val="left"/>
        </m:oMathParaPr>
        <m:oMath>
          <m:sSub>
            <m:sSubPr>
              <m:ctrlPr>
                <w:rPr>
                  <w:rFonts w:ascii="Cambria Math" w:hAnsi="Cambria Math"/>
                </w:rPr>
              </m:ctrlPr>
            </m:sSubPr>
            <m:e>
              <m:r>
                <w:rPr>
                  <w:rFonts w:ascii="Cambria Math" w:hAnsi="Cambria Math"/>
                </w:rPr>
                <m:t>CF</m:t>
              </m:r>
            </m:e>
            <m:sub>
              <m:r>
                <w:rPr>
                  <w:rFonts w:ascii="Cambria Math" w:hAnsi="Cambria Math"/>
                </w:rPr>
                <m:t>i</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w:rPr>
                  <w:rFonts w:ascii="Cambria Math" w:hAnsi="Cambria Math"/>
                </w:rPr>
                <m:t>i-1</m:t>
              </m:r>
            </m:sub>
          </m:sSub>
          <m:r>
            <m:rPr>
              <m:sty m:val="p"/>
            </m:rPr>
            <w:rPr>
              <w:rFonts w:ascii="Cambria Math" w:hAnsi="Cambria Math"/>
            </w:rPr>
            <m:t>=</m:t>
          </m:r>
          <m:sSub>
            <m:sSubPr>
              <m:ctrlPr>
                <w:rPr>
                  <w:rFonts w:ascii="Cambria Math" w:hAnsi="Cambria Math"/>
                </w:rPr>
              </m:ctrlPr>
            </m:sSubPr>
            <m:e>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r>
                <w:rPr>
                  <w:rFonts w:ascii="Cambria Math" w:hAnsi="Cambria Math"/>
                </w:rPr>
                <m:t>K</m:t>
              </m:r>
            </m:e>
            <m:sub>
              <m:r>
                <m:rPr>
                  <m:sty m:val="p"/>
                </m:rPr>
                <w:rPr>
                  <w:rFonts w:ascii="Cambria Math" w:hAnsi="Cambria Math"/>
                </w:rPr>
                <m:t>0</m:t>
              </m:r>
            </m:sub>
          </m:sSub>
        </m:oMath>
      </m:oMathPara>
    </w:p>
    <w:p w:rsidR="0070344D" w:rsidRDefault="0070344D" w:rsidP="0070344D">
      <w:pPr>
        <w:pStyle w:val="ListContinue2"/>
      </w:pPr>
      <w:r w:rsidRPr="00185A5F">
        <w:tab/>
      </w:r>
      <m:oMath>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11-</m:t>
            </m:r>
            <m:r>
              <w:rPr>
                <w:rFonts w:ascii="Cambria Math" w:hAnsi="Cambria Math"/>
              </w:rPr>
              <m:t>i</m:t>
            </m:r>
          </m:den>
        </m:f>
        <m:nary>
          <m:naryPr>
            <m:chr m:val="∑"/>
            <m:limLoc m:val="undOvr"/>
            <m:ctrlPr>
              <w:rPr>
                <w:rFonts w:ascii="Cambria Math" w:hAnsi="Cambria Math"/>
              </w:rPr>
            </m:ctrlPr>
          </m:naryPr>
          <m:sub>
            <m:r>
              <w:rPr>
                <w:rFonts w:ascii="Cambria Math" w:hAnsi="Cambria Math"/>
              </w:rPr>
              <m:t>j</m:t>
            </m:r>
            <m:r>
              <m:rPr>
                <m:sty m:val="p"/>
              </m:rPr>
              <w:rPr>
                <w:rFonts w:ascii="Cambria Math" w:hAnsi="Cambria Math"/>
              </w:rPr>
              <m:t>=</m:t>
            </m:r>
            <m:r>
              <w:rPr>
                <w:rFonts w:ascii="Cambria Math" w:hAnsi="Cambria Math"/>
              </w:rPr>
              <m:t>i</m:t>
            </m:r>
            <m:r>
              <m:rPr>
                <m:sty m:val="p"/>
              </m:rPr>
              <w:rPr>
                <w:rFonts w:ascii="Cambria Math" w:hAnsi="Cambria Math"/>
              </w:rPr>
              <m:t xml:space="preserve"> </m:t>
            </m:r>
          </m:sub>
          <m:sup>
            <m:r>
              <m:rPr>
                <m:sty m:val="p"/>
              </m:rPr>
              <w:rPr>
                <w:rFonts w:ascii="Cambria Math" w:hAnsi="Cambria Math"/>
              </w:rPr>
              <m:t>10</m:t>
            </m:r>
          </m:sup>
          <m:e>
            <m:sSub>
              <m:sSubPr>
                <m:ctrlPr>
                  <w:rPr>
                    <w:rFonts w:ascii="Cambria Math" w:hAnsi="Cambria Math"/>
                  </w:rPr>
                </m:ctrlPr>
              </m:sSubPr>
              <m:e>
                <m:r>
                  <m:rPr>
                    <m:sty m:val="p"/>
                  </m:rPr>
                  <w:rPr>
                    <w:rFonts w:ascii="Cambria Math" w:hAnsi="Cambria Math"/>
                  </w:rPr>
                  <m:t>[</m:t>
                </m:r>
                <m:r>
                  <w:rPr>
                    <w:rFonts w:ascii="Cambria Math" w:hAnsi="Cambria Math"/>
                  </w:rPr>
                  <m:t>r</m:t>
                </m:r>
              </m:e>
              <m:sub>
                <m:r>
                  <m:rPr>
                    <m:sty m:val="p"/>
                  </m:rPr>
                  <w:rPr>
                    <w:rFonts w:ascii="Cambria Math" w:hAnsi="Cambria Math"/>
                  </w:rPr>
                  <m:t>0,</m:t>
                </m:r>
                <m:r>
                  <w:rPr>
                    <w:rFonts w:ascii="Cambria Math" w:hAnsi="Cambria Math"/>
                  </w:rPr>
                  <m:t>j</m:t>
                </m:r>
              </m:sub>
            </m:sSub>
            <m:r>
              <m:rPr>
                <m:sty m:val="p"/>
              </m:rPr>
              <w:rPr>
                <w:rFonts w:ascii="Cambria Math" w:hAnsi="Cambria Math"/>
              </w:rPr>
              <m:t>]</m:t>
            </m:r>
          </m:e>
        </m:nary>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0</m:t>
            </m:r>
          </m:sub>
        </m:sSub>
        <m:r>
          <m:rPr>
            <m:sty m:val="p"/>
          </m:rPr>
          <w:rPr>
            <w:rFonts w:ascii="Cambria Math" w:hAnsi="Cambria Math"/>
          </w:rPr>
          <m:t xml:space="preserve">,  </m:t>
        </m:r>
        <m:r>
          <w:rPr>
            <w:rFonts w:ascii="Cambria Math" w:hAnsi="Cambria Math"/>
          </w:rPr>
          <m:t>for</m:t>
        </m:r>
        <m:r>
          <m:rPr>
            <m:sty m:val="p"/>
          </m:rPr>
          <w:rPr>
            <w:rFonts w:ascii="Cambria Math" w:hAnsi="Cambria Math"/>
          </w:rPr>
          <m:t xml:space="preserve"> </m:t>
        </m:r>
        <m:r>
          <w:rPr>
            <w:rFonts w:ascii="Cambria Math" w:hAnsi="Cambria Math"/>
          </w:rPr>
          <m:t>i</m:t>
        </m:r>
        <m:r>
          <m:rPr>
            <m:sty m:val="p"/>
          </m:rPr>
          <w:rPr>
            <w:rFonts w:ascii="Cambria Math" w:hAnsi="Cambria Math"/>
          </w:rPr>
          <m:t>=1, 2, 3,…, 10</m:t>
        </m:r>
      </m:oMath>
    </w:p>
    <w:p w:rsidR="0070344D" w:rsidRPr="00166E6F" w:rsidRDefault="0070344D" w:rsidP="0070344D">
      <w:pPr>
        <w:pStyle w:val="ListContinue2"/>
      </w:pPr>
      <m:oMath>
        <m:r>
          <w:rPr>
            <w:rFonts w:ascii="Cambria Math" w:hAnsi="Cambria Math"/>
          </w:rPr>
          <m:t>0.1*</m:t>
        </m:r>
        <m:d>
          <m:dPr>
            <m:ctrlPr>
              <w:rPr>
                <w:rFonts w:ascii="Cambria Math" w:hAnsi="Cambria Math"/>
              </w:rPr>
            </m:ctrlPr>
          </m:dPr>
          <m:e>
            <m:nary>
              <m:naryPr>
                <m:chr m:val="∑"/>
                <m:limLoc m:val="subSup"/>
                <m:ctrlPr>
                  <w:rPr>
                    <w:rFonts w:ascii="Cambria Math" w:hAnsi="Cambria Math"/>
                  </w:rPr>
                </m:ctrlPr>
              </m:naryPr>
              <m:sub>
                <m:r>
                  <w:rPr>
                    <w:rFonts w:ascii="Cambria Math" w:hAnsi="Cambria Math"/>
                  </w:rPr>
                  <m:t>i=1</m:t>
                </m:r>
              </m:sub>
              <m:sup>
                <m:r>
                  <w:rPr>
                    <w:rFonts w:ascii="Cambria Math" w:hAnsi="Cambria Math"/>
                  </w:rPr>
                  <m:t>10</m:t>
                </m:r>
              </m:sup>
              <m:e>
                <m:sSub>
                  <m:sSubPr>
                    <m:ctrlPr>
                      <w:rPr>
                        <w:rFonts w:ascii="Cambria Math" w:hAnsi="Cambria Math"/>
                      </w:rPr>
                    </m:ctrlPr>
                  </m:sSubPr>
                  <m:e>
                    <m:r>
                      <w:rPr>
                        <w:rFonts w:ascii="Cambria Math" w:hAnsi="Cambria Math"/>
                      </w:rPr>
                      <m:t>K</m:t>
                    </m:r>
                  </m:e>
                  <m:sub>
                    <m:r>
                      <w:rPr>
                        <w:rFonts w:ascii="Cambria Math" w:hAnsi="Cambria Math"/>
                      </w:rPr>
                      <m:t>i</m:t>
                    </m:r>
                  </m:sub>
                </m:sSub>
              </m:e>
            </m:nary>
          </m:e>
        </m:d>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70344D" w:rsidRDefault="0070344D" w:rsidP="0070344D">
      <w:r>
        <w:t>As demonstrated under 'On-the-day approach', this equality holds because, for each one-tenth portion of the RAB:</w:t>
      </w:r>
    </w:p>
    <w:p w:rsidR="0070344D" w:rsidRPr="0070344D" w:rsidRDefault="0070344D" w:rsidP="0070344D">
      <w:pPr>
        <w:pStyle w:val="AERbulletlistfirststyle"/>
      </w:pPr>
      <w:r>
        <w:t>the expected net operating cash flows</w:t>
      </w:r>
      <w:r w:rsidRPr="0070344D">
        <w:t xml:space="preserve"> are, effectively, based on an allowed rate of return that reflects prevailing market rates at year </w:t>
      </w:r>
      <m:oMath>
        <m:r>
          <w:rPr>
            <w:rFonts w:ascii="Cambria Math" w:hAnsi="Cambria Math"/>
          </w:rPr>
          <m:t>t=0</m:t>
        </m:r>
      </m:oMath>
      <w:r w:rsidRPr="0070344D">
        <w:t>, with the expectation that the allowed rate of return will be periodically reset to prevailing market rates</w:t>
      </w:r>
    </w:p>
    <w:p w:rsidR="0070344D" w:rsidRPr="0070344D" w:rsidRDefault="0070344D" w:rsidP="0070344D">
      <w:pPr>
        <w:pStyle w:val="AERbulletlistfirststyle"/>
      </w:pPr>
      <w:r>
        <w:t>the present</w:t>
      </w:r>
      <w:r w:rsidRPr="0070344D">
        <w:t xml:space="preserve"> (or market) value of the closing RAB (portion) at the end of each 'reset period' equals its statutory value.</w:t>
      </w:r>
    </w:p>
    <w:p w:rsidR="0070344D" w:rsidRDefault="0070344D" w:rsidP="0070344D">
      <w:r>
        <w:t xml:space="preserve">For example, at </w:t>
      </w:r>
      <m:oMath>
        <m:r>
          <w:rPr>
            <w:rFonts w:ascii="Cambria Math" w:hAnsi="Cambria Math"/>
          </w:rPr>
          <m:t>t=0</m:t>
        </m:r>
      </m:oMath>
      <w:r>
        <w:t xml:space="preserve">, portion one of the initial RAB is financed through debt with a term of one year. The present value of expected net operating cash flows generated from portion one of the RAB plus portion one of the closing RAB at </w:t>
      </w:r>
      <m:oMath>
        <m:r>
          <w:rPr>
            <w:rFonts w:ascii="Cambria Math" w:hAnsi="Cambria Math"/>
          </w:rPr>
          <m:t>t=1</m:t>
        </m:r>
      </m:oMath>
      <w:r w:rsidR="005A6B51">
        <w:t>,</w:t>
      </w:r>
      <w:r>
        <w:t xml:space="preserve"> should equal portion one of the opening RAB at</w:t>
      </w:r>
      <w:r w:rsidRPr="00864ABE">
        <w:t xml:space="preserve"> </w:t>
      </w:r>
      <m:oMath>
        <m:r>
          <w:rPr>
            <w:rFonts w:ascii="Cambria Math" w:hAnsi="Cambria Math"/>
          </w:rPr>
          <m:t>t=0</m:t>
        </m:r>
      </m:oMath>
      <w:r>
        <w:t xml:space="preserve">. This is because it is expected that, at </w:t>
      </w:r>
      <m:oMath>
        <m:r>
          <w:rPr>
            <w:rFonts w:ascii="Cambria Math" w:hAnsi="Cambria Math"/>
          </w:rPr>
          <m:t>t=1</m:t>
        </m:r>
      </m:oMath>
      <w:r>
        <w:t>, we reset the allowed rate of return on portion one of the RAB to reflect the prevailing market cost of capital, and continue resetting every ten years (see equalities under 'The staggered portfolio'</w:t>
      </w:r>
      <w:r w:rsidRPr="00CF688D">
        <w:t xml:space="preserve"> and </w:t>
      </w:r>
      <w:r>
        <w:t xml:space="preserve">'End of the term of the RAB' </w:t>
      </w:r>
      <w:r w:rsidRPr="00CF688D">
        <w:t>below)</w:t>
      </w:r>
      <w:r>
        <w:t xml:space="preserve">. </w:t>
      </w:r>
    </w:p>
    <w:p w:rsidR="0070344D" w:rsidRDefault="0070344D" w:rsidP="0070344D">
      <w:r>
        <w:t xml:space="preserve">Similarly, at </w:t>
      </w:r>
      <m:oMath>
        <m:r>
          <w:rPr>
            <w:rFonts w:ascii="Cambria Math" w:hAnsi="Cambria Math"/>
          </w:rPr>
          <m:t>t=0</m:t>
        </m:r>
      </m:oMath>
      <w:r w:rsidRPr="00864ABE">
        <w:t xml:space="preserve">, portion </w:t>
      </w:r>
      <w:r>
        <w:t>two</w:t>
      </w:r>
      <w:r w:rsidRPr="00864ABE">
        <w:t xml:space="preserve"> of the initial RAB is financed through debt with a term of </w:t>
      </w:r>
      <w:r>
        <w:t>two</w:t>
      </w:r>
      <w:r w:rsidRPr="00864ABE">
        <w:t xml:space="preserve"> year</w:t>
      </w:r>
      <w:r>
        <w:t>s, and the present value relationship holds for portion two over the two year period. The same logic applies to portions three to ten.</w:t>
      </w:r>
    </w:p>
    <w:p w:rsidR="0070344D" w:rsidRDefault="0070344D" w:rsidP="0070344D">
      <w:r>
        <w:t>What this shows, is that at the beginning of the transition into a trailing average approach, the present value of expected future cash flows should equal the RAB (all else equal)</w:t>
      </w:r>
      <w:r w:rsidRPr="00CF688D">
        <w:t>.</w:t>
      </w:r>
    </w:p>
    <w:p w:rsidR="0070344D" w:rsidRDefault="0070344D" w:rsidP="0070344D">
      <w:pPr>
        <w:pStyle w:val="HeadingBoldItalic"/>
      </w:pPr>
      <w:r>
        <w:t>The staggered portfolio</w:t>
      </w:r>
    </w:p>
    <w:p w:rsidR="0070344D" w:rsidRDefault="0070344D" w:rsidP="0070344D">
      <w:r>
        <w:t>A noted previously, the trailing average regime can be likened to 10 long term floating rate securities covering a 10 per cent 'investment portion' in the RAB where they receive the net operating cash flows generated from these investment portions. We refer to these portions</w:t>
      </w:r>
      <w:r>
        <w:rPr>
          <w:rStyle w:val="FootnoteReference"/>
        </w:rPr>
        <w:footnoteReference w:id="1197"/>
      </w:r>
      <w:r>
        <w:t xml:space="preserve"> as </w:t>
      </w:r>
      <m:oMath>
        <m:r>
          <w:rPr>
            <w:rFonts w:ascii="Cambria Math" w:hAnsi="Cambria Math"/>
          </w:rPr>
          <m:t>p1</m:t>
        </m:r>
      </m:oMath>
      <w:r>
        <w:t xml:space="preserve"> to </w:t>
      </w:r>
      <m:oMath>
        <m:r>
          <w:rPr>
            <w:rFonts w:ascii="Cambria Math" w:hAnsi="Cambria Math"/>
          </w:rPr>
          <m:t>p10</m:t>
        </m:r>
      </m:oMath>
      <w:r>
        <w:t xml:space="preserve">. From </w:t>
      </w:r>
      <m:oMath>
        <m:r>
          <w:rPr>
            <w:rFonts w:ascii="Cambria Math" w:hAnsi="Cambria Math"/>
          </w:rPr>
          <m:t>t=1</m:t>
        </m:r>
      </m:oMath>
      <w:r>
        <w:t xml:space="preserve"> to </w:t>
      </w:r>
      <m:oMath>
        <m:r>
          <w:rPr>
            <w:rFonts w:ascii="Cambria Math" w:hAnsi="Cambria Math"/>
          </w:rPr>
          <m:t>t=10</m:t>
        </m:r>
      </m:oMath>
      <w:r>
        <w:t>, the present value relationships can be presented as:</w:t>
      </w:r>
    </w:p>
    <w:p w:rsidR="0070344D" w:rsidRPr="00B818B4" w:rsidRDefault="0091035C" w:rsidP="0070344D">
      <m:oMath>
        <m:sSub>
          <m:sSubPr>
            <m:ctrlPr>
              <w:rPr>
                <w:rFonts w:ascii="Cambria Math" w:hAnsi="Cambria Math"/>
              </w:rPr>
            </m:ctrlPr>
          </m:sSubPr>
          <m:e>
            <m:r>
              <w:rPr>
                <w:rFonts w:ascii="Cambria Math" w:hAnsi="Cambria Math"/>
              </w:rPr>
              <m:t>PV[p1]</m:t>
            </m:r>
          </m:e>
          <m:sub>
            <m:r>
              <w:rPr>
                <w:rFonts w:ascii="Cambria Math" w:hAnsi="Cambria Math"/>
              </w:rPr>
              <m: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e>
                    </m:d>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1,10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0</m:t>
            </m:r>
          </m:sub>
        </m:sSub>
        <m:r>
          <w:rPr>
            <w:rStyle w:val="FootnoteReference"/>
            <w:rFonts w:ascii="Cambria Math" w:hAnsi="Cambria Math"/>
            <w:i/>
          </w:rPr>
          <w:footnoteReference w:id="1198"/>
        </m:r>
      </m:oMath>
      <w:r w:rsidR="0070344D">
        <w:t xml:space="preserve"> </w:t>
      </w:r>
    </w:p>
    <w:p w:rsidR="0070344D" w:rsidRPr="00B818B4" w:rsidRDefault="0091035C" w:rsidP="0070344D">
      <m:oMath>
        <m:sSub>
          <m:sSubPr>
            <m:ctrlPr>
              <w:rPr>
                <w:rFonts w:ascii="Cambria Math" w:hAnsi="Cambria Math"/>
              </w:rPr>
            </m:ctrlPr>
          </m:sSubPr>
          <m:e>
            <m:r>
              <w:rPr>
                <w:rFonts w:ascii="Cambria Math" w:hAnsi="Cambria Math"/>
              </w:rPr>
              <m:t>PV[p2]</m:t>
            </m:r>
          </m:e>
          <m:sub>
            <m:r>
              <w:rPr>
                <w:rFonts w:ascii="Cambria Math" w:hAnsi="Cambria Math"/>
              </w:rPr>
              <m:t>2</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3</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0.1*CF</m:t>
                    </m:r>
                  </m:e>
                  <m:sub>
                    <m:r>
                      <w:rPr>
                        <w:rFonts w:ascii="Cambria Math" w:hAnsi="Cambria Math"/>
                      </w:rPr>
                      <m:t>4</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9</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0.1*K</m:t>
                    </m:r>
                  </m:e>
                  <m:sub>
                    <m:r>
                      <w:rPr>
                        <w:rFonts w:ascii="Cambria Math" w:hAnsi="Cambria Math"/>
                      </w:rPr>
                      <m:t>12</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2,10</m:t>
                    </m:r>
                  </m:sub>
                </m:sSub>
                <m:sSup>
                  <m:sSupPr>
                    <m:ctrlPr>
                      <w:rPr>
                        <w:rFonts w:ascii="Cambria Math" w:hAnsi="Cambria Math"/>
                      </w:rPr>
                    </m:ctrlPr>
                  </m:sSupPr>
                  <m:e>
                    <m:r>
                      <w:rPr>
                        <w:rFonts w:ascii="Cambria Math" w:hAnsi="Cambria Math"/>
                      </w:rPr>
                      <m:t>)</m:t>
                    </m:r>
                  </m:e>
                  <m:sup>
                    <m:r>
                      <w:rPr>
                        <w:rFonts w:ascii="Cambria Math" w:hAnsi="Cambria Math"/>
                      </w:rPr>
                      <m:t>10</m:t>
                    </m:r>
                  </m:sup>
                </m:sSup>
              </m:den>
            </m:f>
          </m:e>
        </m:d>
        <m:r>
          <w:rPr>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1</m:t>
            </m:r>
          </m:sub>
        </m:sSub>
      </m:oMath>
      <w:r w:rsidR="0070344D">
        <w:t xml:space="preserve"> </w:t>
      </w:r>
    </w:p>
    <w:p w:rsidR="0070344D" w:rsidRDefault="0070344D" w:rsidP="0070344D">
      <w:r w:rsidRPr="00FC64E0">
        <w:t>…</w:t>
      </w:r>
    </w:p>
    <w:p w:rsidR="0070344D" w:rsidRPr="00C726C9" w:rsidRDefault="0091035C" w:rsidP="0070344D">
      <w:pPr>
        <w:rPr>
          <w:rStyle w:val="AERtextsize10"/>
        </w:rPr>
      </w:pPr>
      <m:oMath>
        <m:sSub>
          <m:sSubPr>
            <m:ctrlPr>
              <w:rPr>
                <w:rStyle w:val="AERtextsize10"/>
                <w:rFonts w:ascii="Cambria Math" w:hAnsi="Cambria Math"/>
              </w:rPr>
            </m:ctrlPr>
          </m:sSubPr>
          <m:e>
            <m:r>
              <w:rPr>
                <w:rStyle w:val="AERtextsize10"/>
                <w:rFonts w:ascii="Cambria Math" w:hAnsi="Cambria Math"/>
              </w:rPr>
              <m:t>PV[p10]</m:t>
            </m:r>
          </m:e>
          <m:sub>
            <m:r>
              <w:rPr>
                <w:rStyle w:val="AERtextsize10"/>
                <w:rFonts w:ascii="Cambria Math" w:hAnsi="Cambria Math"/>
              </w:rPr>
              <m: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11</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12</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r>
              <w:rPr>
                <w:rStyle w:val="AERtextsize10"/>
                <w:rFonts w:ascii="Cambria Math" w:hAnsi="Cambria Math"/>
              </w:rPr>
              <m:t>+</m:t>
            </m:r>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20</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10,10</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10</m:t>
                    </m:r>
                  </m:sup>
                </m:sSup>
              </m:den>
            </m:f>
          </m:e>
        </m:d>
        <m:r>
          <w:rPr>
            <w:rStyle w:val="AERtextsize10"/>
            <w:rFonts w:ascii="Cambria Math" w:hAnsi="Cambria Math"/>
          </w:rPr>
          <m:t>=0.1*</m:t>
        </m:r>
        <m:sSub>
          <m:sSubPr>
            <m:ctrlPr>
              <w:rPr>
                <w:rFonts w:ascii="Cambria Math" w:hAnsi="Cambria Math"/>
              </w:rPr>
            </m:ctrlPr>
          </m:sSubPr>
          <m:e>
            <m:r>
              <w:rPr>
                <w:rFonts w:ascii="Cambria Math" w:hAnsi="Cambria Math"/>
              </w:rPr>
              <m:t>K</m:t>
            </m:r>
          </m:e>
          <m:sub>
            <m:r>
              <w:rPr>
                <w:rFonts w:ascii="Cambria Math" w:hAnsi="Cambria Math"/>
              </w:rPr>
              <m:t>9</m:t>
            </m:r>
          </m:sub>
        </m:sSub>
      </m:oMath>
      <w:r w:rsidR="0070344D" w:rsidRPr="00C726C9">
        <w:rPr>
          <w:rStyle w:val="AERtextsize10"/>
        </w:rPr>
        <w:t xml:space="preserve"> </w:t>
      </w:r>
    </w:p>
    <w:p w:rsidR="0070344D" w:rsidRDefault="0070344D" w:rsidP="0070344D">
      <w:r>
        <w:t>where the expected net operating cash flow generated each year from portions 1 to 10 of the RAB is based on the portion of the allowed rate of return that reflects the prevailing market cost of capital at time 1 to 10 respectively;</w:t>
      </w:r>
      <w:r>
        <w:rPr>
          <w:rStyle w:val="FootnoteReference"/>
        </w:rPr>
        <w:footnoteReference w:id="1199"/>
      </w:r>
      <w:r>
        <w:t xml:space="preserve"> that is:</w:t>
      </w:r>
      <w:r>
        <w:rPr>
          <w:rStyle w:val="FootnoteReference"/>
        </w:rPr>
        <w:footnoteReference w:id="1200"/>
      </w:r>
      <w:r>
        <w:t xml:space="preserve">  </w:t>
      </w:r>
    </w:p>
    <w:p w:rsidR="0070344D" w:rsidRDefault="0070344D" w:rsidP="0070344D">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for t=1,…,10 and i=2,…,20</m:t>
        </m:r>
      </m:oMath>
      <w:r>
        <w:t xml:space="preserve"> </w:t>
      </w:r>
    </w:p>
    <w:p w:rsidR="0070344D" w:rsidRDefault="0070344D" w:rsidP="0070344D">
      <w:r>
        <w:t xml:space="preserve">and, under our assumptions, </w:t>
      </w:r>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0</m:t>
            </m:r>
          </m:sub>
        </m:sSub>
      </m:oMath>
      <w:r>
        <w:t>.</w:t>
      </w:r>
    </w:p>
    <w:p w:rsidR="0070344D" w:rsidRDefault="0070344D" w:rsidP="0070344D">
      <w:r>
        <w:t>As demonstrated under 'On-the-day approach', the above equalities hold because, for each portion of the RAB:</w:t>
      </w:r>
    </w:p>
    <w:p w:rsidR="0070344D" w:rsidRPr="0070344D" w:rsidRDefault="0070344D" w:rsidP="0070344D">
      <w:pPr>
        <w:pStyle w:val="AERbulletlistfirststyle"/>
      </w:pPr>
      <w:r>
        <w:t>the expected net operating cash flows</w:t>
      </w:r>
      <w:r w:rsidRPr="0070344D">
        <w:t xml:space="preserve"> are, effectively, based on an allowed rate of return that reflects prevailing market rates at year </w:t>
      </w:r>
      <m:oMath>
        <m:r>
          <w:rPr>
            <w:rFonts w:ascii="Cambria Math" w:hAnsi="Cambria Math"/>
          </w:rPr>
          <m:t>t=1…10</m:t>
        </m:r>
      </m:oMath>
      <w:r w:rsidRPr="0070344D">
        <w:t xml:space="preserve"> respectively, with the expectation that the allowed rate of return will be reset to prevailing market rates every ten years</w:t>
      </w:r>
    </w:p>
    <w:p w:rsidR="0070344D" w:rsidRPr="0070344D" w:rsidRDefault="0070344D" w:rsidP="0070344D">
      <w:pPr>
        <w:pStyle w:val="AERbulletlistfirststyle"/>
      </w:pPr>
      <w:r>
        <w:t>the present (or market) value of the closing RAB (portion) at the end of each 'reset period' e</w:t>
      </w:r>
      <w:r w:rsidRPr="0070344D">
        <w:t>quals its statutory value.</w:t>
      </w:r>
    </w:p>
    <w:p w:rsidR="0070344D" w:rsidRDefault="0070344D" w:rsidP="0070344D">
      <w:r>
        <w:t>In this way, the staggered portfolio can be seen as ten on-the-day approaches on ten portions of the RAB. Therefore, for each portion of the RAB, the present value of expected net operating cash flows over the ten year 'reset period' plus the closing RAB (portion) at</w:t>
      </w:r>
      <w:r w:rsidRPr="00864ABE">
        <w:t xml:space="preserve"> </w:t>
      </w:r>
      <m:oMath>
        <m:r>
          <w:rPr>
            <w:rFonts w:ascii="Cambria Math" w:hAnsi="Cambria Math"/>
          </w:rPr>
          <m:t>t+10</m:t>
        </m:r>
      </m:oMath>
      <w:r>
        <w:t xml:space="preserve"> should equal the opening RAB (portion) at</w:t>
      </w:r>
      <w:r w:rsidRPr="00864ABE">
        <w:t xml:space="preserve"> </w:t>
      </w:r>
      <m:oMath>
        <m:r>
          <w:rPr>
            <w:rFonts w:ascii="Cambria Math" w:hAnsi="Cambria Math"/>
          </w:rPr>
          <m:t>t</m:t>
        </m:r>
      </m:oMath>
      <w:r>
        <w:t>.</w:t>
      </w:r>
    </w:p>
    <w:p w:rsidR="0070344D" w:rsidRDefault="0070344D" w:rsidP="0070344D">
      <w:r>
        <w:t>We also note that while Partington and Satchell recommend the on-the-day approach, they acknowledge '</w:t>
      </w:r>
      <w:r w:rsidRPr="000C25A3">
        <w:t>since the trailing average approach resets one tenth of the cost of debt to the market rate each year, the compensation is correctly set for one tenth of the debt each year</w:t>
      </w:r>
      <w:r>
        <w:t>'</w:t>
      </w:r>
      <w:r w:rsidRPr="000C25A3">
        <w:t>.</w:t>
      </w:r>
      <w:r>
        <w:rPr>
          <w:rStyle w:val="FootnoteReference"/>
        </w:rPr>
        <w:footnoteReference w:id="1201"/>
      </w:r>
    </w:p>
    <w:p w:rsidR="0070344D" w:rsidRDefault="0070344D" w:rsidP="0070344D">
      <w:pPr>
        <w:pStyle w:val="HeadingBoldItalic"/>
      </w:pPr>
      <w:r>
        <w:t>End of the term of the RAB</w:t>
      </w:r>
    </w:p>
    <w:p w:rsidR="0070344D" w:rsidRDefault="0070344D" w:rsidP="0070344D">
      <w:r>
        <w:t xml:space="preserve">Nearing the end of the term of the RAB, the business must wind up its debt fund, which can be likened to 10 long term floating rate securities covering a 10 per cent 'investment portion' in the RAB. At </w:t>
      </w:r>
      <m:oMath>
        <m:r>
          <w:rPr>
            <w:rFonts w:ascii="Cambria Math" w:hAnsi="Cambria Math"/>
          </w:rPr>
          <m:t>t=T-10</m:t>
        </m:r>
      </m:oMath>
      <w:r>
        <w:t>, the business could either:</w:t>
      </w:r>
      <w:r>
        <w:rPr>
          <w:rStyle w:val="FootnoteReference"/>
        </w:rPr>
        <w:footnoteReference w:id="1202"/>
      </w:r>
    </w:p>
    <w:p w:rsidR="0070344D" w:rsidRPr="0070344D" w:rsidRDefault="0070344D" w:rsidP="0070344D">
      <w:pPr>
        <w:pStyle w:val="AERbulletlistfirststyle"/>
        <w:rPr>
          <w:rStyle w:val="AERbody"/>
        </w:rPr>
      </w:pPr>
      <w:r>
        <w:rPr>
          <w:rStyle w:val="AERbody"/>
        </w:rPr>
        <w:t xml:space="preserve">Raise 9, 8 … 2, 1 year debt on a staggered basis. All its debt would thus expire in year T and it would repay the entire </w:t>
      </w:r>
      <w:r w:rsidRPr="0070344D">
        <w:rPr>
          <w:rStyle w:val="AERbody"/>
        </w:rPr>
        <w:t>initial value of the RAB back to its investors.</w:t>
      </w:r>
    </w:p>
    <w:p w:rsidR="0070344D" w:rsidRPr="0070344D" w:rsidRDefault="0070344D" w:rsidP="0070344D">
      <w:pPr>
        <w:pStyle w:val="AERbulletlistfirststyle"/>
        <w:rPr>
          <w:rStyle w:val="AERbody"/>
        </w:rPr>
      </w:pPr>
      <w:r>
        <w:rPr>
          <w:rStyle w:val="AERbody"/>
        </w:rPr>
        <w:t>Allow its staggered portfolio to gradually e</w:t>
      </w:r>
      <w:r w:rsidRPr="0070344D">
        <w:rPr>
          <w:rStyle w:val="AERbody"/>
        </w:rPr>
        <w:t xml:space="preserve">xpire, repaying 10 per cent of the initial value of the RAB to investors each year. </w:t>
      </w:r>
    </w:p>
    <w:p w:rsidR="0070344D" w:rsidRDefault="0070344D" w:rsidP="0070344D">
      <w:r>
        <w:t xml:space="preserve">This means our return on debt allowance would have to allow for a transition out of the staggered portfolio. </w:t>
      </w:r>
      <w:r>
        <w:rPr>
          <w:rStyle w:val="AERbody"/>
        </w:rPr>
        <w:t>Valuing</w:t>
      </w:r>
      <w:r w:rsidRPr="006C533F">
        <w:rPr>
          <w:rStyle w:val="AERbody"/>
        </w:rPr>
        <w:t xml:space="preserve"> the </w:t>
      </w:r>
      <w:r>
        <w:rPr>
          <w:rStyle w:val="AERbody"/>
        </w:rPr>
        <w:t xml:space="preserve">return on </w:t>
      </w:r>
      <w:r w:rsidRPr="006C533F">
        <w:rPr>
          <w:rStyle w:val="AERbody"/>
        </w:rPr>
        <w:t xml:space="preserve">debt allowance using the first of the two options would be expected to provide a benchmark efficient entity </w:t>
      </w:r>
      <w:r w:rsidRPr="006C533F">
        <w:t>a reasonable opportunity to recover at least efficient costs as this wo</w:t>
      </w:r>
      <w:r>
        <w:t>uld allow the following equalities</w:t>
      </w:r>
      <w:r w:rsidRPr="006C533F">
        <w:t xml:space="preserve"> to hold</w:t>
      </w:r>
      <w:r>
        <w:t xml:space="preserve"> (from </w:t>
      </w:r>
      <m:oMath>
        <m:r>
          <w:rPr>
            <w:rFonts w:ascii="Cambria Math" w:hAnsi="Cambria Math"/>
          </w:rPr>
          <m:t>t=T-10</m:t>
        </m:r>
      </m:oMath>
      <w:r>
        <w:t xml:space="preserve"> to </w:t>
      </w:r>
      <m:oMath>
        <m:r>
          <w:rPr>
            <w:rFonts w:ascii="Cambria Math" w:hAnsi="Cambria Math"/>
          </w:rPr>
          <m:t>t=T-1</m:t>
        </m:r>
      </m:oMath>
      <w:r>
        <w:t>)</w:t>
      </w:r>
      <w:r w:rsidRPr="006C533F">
        <w:t>:</w:t>
      </w:r>
    </w:p>
    <w:p w:rsidR="0070344D" w:rsidRPr="00275DE0" w:rsidRDefault="0091035C" w:rsidP="0070344D">
      <w:pPr>
        <w:rPr>
          <w:rStyle w:val="AERtextsize10"/>
        </w:rPr>
      </w:pPr>
      <m:oMath>
        <m:sSub>
          <m:sSubPr>
            <m:ctrlPr>
              <w:rPr>
                <w:rStyle w:val="AERtextsize10"/>
                <w:rFonts w:ascii="Cambria Math" w:hAnsi="Cambria Math"/>
              </w:rPr>
            </m:ctrlPr>
          </m:sSubPr>
          <m:e>
            <m:r>
              <w:rPr>
                <w:rStyle w:val="AERtextsize10"/>
                <w:rFonts w:ascii="Cambria Math" w:hAnsi="Cambria Math"/>
              </w:rPr>
              <m:t>PV[p1]</m:t>
            </m:r>
          </m:e>
          <m:sub>
            <m:r>
              <w:rPr>
                <w:rStyle w:val="AERtextsize10"/>
                <w:rFonts w:ascii="Cambria Math" w:hAnsi="Cambria Math"/>
              </w:rPr>
              <m:t>T-10</m:t>
            </m:r>
          </m:sub>
        </m:sSub>
        <m:r>
          <w:rPr>
            <w:rStyle w:val="AERtextsize10"/>
            <w:rFonts w:ascii="Cambria Math" w:hAnsi="Cambria Math"/>
          </w:rPr>
          <m:t>=E</m:t>
        </m:r>
        <m:d>
          <m:dPr>
            <m:begChr m:val="["/>
            <m:endChr m:val="]"/>
            <m:ctrlPr>
              <w:rPr>
                <w:rStyle w:val="AERtextsize10"/>
                <w:rFonts w:ascii="Cambria Math" w:hAnsi="Cambria Math"/>
              </w:rPr>
            </m:ctrlPr>
          </m:dPr>
          <m:e>
            <m:f>
              <m:fPr>
                <m:ctrlPr>
                  <w:rPr>
                    <w:rStyle w:val="AERtextsize10"/>
                    <w:rFonts w:ascii="Cambria Math" w:hAnsi="Cambria Math"/>
                  </w:rPr>
                </m:ctrlPr>
              </m:fPr>
              <m:num>
                <m:sSub>
                  <m:sSubPr>
                    <m:ctrlPr>
                      <w:rPr>
                        <w:rStyle w:val="AERtextsize10"/>
                        <w:rFonts w:ascii="Cambria Math" w:hAnsi="Cambria Math"/>
                      </w:rPr>
                    </m:ctrlPr>
                  </m:sSubPr>
                  <m:e>
                    <m:r>
                      <w:rPr>
                        <w:rStyle w:val="AERtextsize10"/>
                        <w:rFonts w:ascii="Cambria Math" w:hAnsi="Cambria Math"/>
                      </w:rPr>
                      <m:t>0.1*CF</m:t>
                    </m:r>
                  </m:e>
                  <m:sub>
                    <m:r>
                      <w:rPr>
                        <w:rStyle w:val="AERtextsize10"/>
                        <w:rFonts w:ascii="Cambria Math" w:hAnsi="Cambria Math"/>
                      </w:rPr>
                      <m:t>(T-9)</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1</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(T-8)</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r>
                      <w:rPr>
                        <w:rStyle w:val="AERtextsize10"/>
                        <w:rFonts w:ascii="Cambria Math" w:hAnsi="Cambria Math"/>
                      </w:rPr>
                      <m:t>(T-10),9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2</m:t>
                    </m:r>
                  </m:sup>
                </m:sSup>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1</m:t>
                    </m:r>
                    <m:d>
                      <m:dPr>
                        <m:ctrlPr>
                          <w:rPr>
                            <w:rStyle w:val="AERtextsize10"/>
                            <w:rFonts w:ascii="Cambria Math" w:hAnsi="Cambria Math"/>
                          </w:rPr>
                        </m:ctrlPr>
                      </m:dPr>
                      <m:e>
                        <m:r>
                          <w:rPr>
                            <w:rStyle w:val="AERtextsize10"/>
                            <w:rFonts w:ascii="Cambria Math" w:hAnsi="Cambria Math"/>
                          </w:rPr>
                          <m:t>T-1</m:t>
                        </m:r>
                      </m:e>
                    </m:d>
                  </m:sub>
                </m:sSub>
              </m:num>
              <m:den>
                <m:d>
                  <m:dPr>
                    <m:ctrlPr>
                      <w:rPr>
                        <w:rStyle w:val="AERtextsize10"/>
                        <w:rFonts w:ascii="Cambria Math" w:hAnsi="Cambria Math"/>
                      </w:rPr>
                    </m:ctrlPr>
                  </m:dPr>
                  <m:e>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e>
                </m:d>
                <m:r>
                  <m:rPr>
                    <m:sty m:val="p"/>
                  </m:rPr>
                  <w:rPr>
                    <w:rStyle w:val="AERtextsize10"/>
                    <w:rFonts w:ascii="Cambria Math" w:hAnsi="Cambria Math"/>
                  </w:rPr>
                  <m:t>8</m:t>
                </m:r>
              </m:den>
            </m:f>
            <m:r>
              <w:rPr>
                <w:rStyle w:val="AERtextsize10"/>
                <w:rFonts w:ascii="Cambria Math" w:hAnsi="Cambria Math"/>
              </w:rPr>
              <m:t>+</m:t>
            </m:r>
            <m:f>
              <m:fPr>
                <m:ctrlPr>
                  <w:rPr>
                    <w:rStyle w:val="AERtextsize10"/>
                    <w:rFonts w:ascii="Cambria Math" w:hAnsi="Cambria Math"/>
                  </w:rPr>
                </m:ctrlPr>
              </m:fPr>
              <m:num>
                <m:r>
                  <w:rPr>
                    <w:rStyle w:val="AERtextsize10"/>
                    <w:rFonts w:ascii="Cambria Math" w:hAnsi="Cambria Math"/>
                  </w:rPr>
                  <m:t>0.1*</m:t>
                </m:r>
                <m:sSub>
                  <m:sSubPr>
                    <m:ctrlPr>
                      <w:rPr>
                        <w:rStyle w:val="AERtextsize10"/>
                        <w:rFonts w:ascii="Cambria Math" w:hAnsi="Cambria Math"/>
                      </w:rPr>
                    </m:ctrlPr>
                  </m:sSubPr>
                  <m:e>
                    <m:r>
                      <w:rPr>
                        <w:rStyle w:val="AERtextsize10"/>
                        <w:rFonts w:ascii="Cambria Math" w:hAnsi="Cambria Math"/>
                      </w:rPr>
                      <m:t>CF</m:t>
                    </m:r>
                  </m:e>
                  <m:sub>
                    <m:r>
                      <w:rPr>
                        <w:rStyle w:val="AERtextsize10"/>
                        <w:rFonts w:ascii="Cambria Math" w:hAnsi="Cambria Math"/>
                      </w:rPr>
                      <m:t>T</m:t>
                    </m:r>
                  </m:sub>
                </m:sSub>
                <m:r>
                  <w:rPr>
                    <w:rStyle w:val="AERtextsize10"/>
                    <w:rFonts w:ascii="Cambria Math" w:hAnsi="Cambria Math"/>
                  </w:rPr>
                  <m:t>+</m:t>
                </m:r>
                <m:sSub>
                  <m:sSubPr>
                    <m:ctrlPr>
                      <w:rPr>
                        <w:rStyle w:val="AERtextsize10"/>
                        <w:rFonts w:ascii="Cambria Math" w:hAnsi="Cambria Math"/>
                      </w:rPr>
                    </m:ctrlPr>
                  </m:sSubPr>
                  <m:e>
                    <m:r>
                      <w:rPr>
                        <w:rStyle w:val="AERtextsize10"/>
                        <w:rFonts w:ascii="Cambria Math" w:hAnsi="Cambria Math"/>
                      </w:rPr>
                      <m:t>0.1*K</m:t>
                    </m:r>
                  </m:e>
                  <m:sub>
                    <m:r>
                      <w:rPr>
                        <w:rStyle w:val="AERtextsize10"/>
                        <w:rFonts w:ascii="Cambria Math" w:hAnsi="Cambria Math"/>
                      </w:rPr>
                      <m:t>T</m:t>
                    </m:r>
                  </m:sub>
                </m:sSub>
              </m:num>
              <m:den>
                <m:r>
                  <w:rPr>
                    <w:rStyle w:val="AERtextsize10"/>
                    <w:rFonts w:ascii="Cambria Math" w:hAnsi="Cambria Math"/>
                  </w:rPr>
                  <m:t>(1+</m:t>
                </m:r>
                <m:sSub>
                  <m:sSubPr>
                    <m:ctrlPr>
                      <w:rPr>
                        <w:rStyle w:val="AERtextsize10"/>
                        <w:rFonts w:ascii="Cambria Math" w:hAnsi="Cambria Math"/>
                      </w:rPr>
                    </m:ctrlPr>
                  </m:sSubPr>
                  <m:e>
                    <m:r>
                      <w:rPr>
                        <w:rStyle w:val="AERtextsize10"/>
                        <w:rFonts w:ascii="Cambria Math" w:hAnsi="Cambria Math"/>
                      </w:rPr>
                      <m:t>r</m:t>
                    </m:r>
                  </m:e>
                  <m:sub>
                    <m:d>
                      <m:dPr>
                        <m:ctrlPr>
                          <w:rPr>
                            <w:rStyle w:val="AERtextsize10"/>
                            <w:rFonts w:ascii="Cambria Math" w:hAnsi="Cambria Math"/>
                          </w:rPr>
                        </m:ctrlPr>
                      </m:dPr>
                      <m:e>
                        <m:r>
                          <w:rPr>
                            <w:rStyle w:val="AERtextsize10"/>
                            <w:rFonts w:ascii="Cambria Math" w:hAnsi="Cambria Math"/>
                          </w:rPr>
                          <m:t>T-10</m:t>
                        </m:r>
                      </m:e>
                    </m:d>
                    <m:r>
                      <w:rPr>
                        <w:rStyle w:val="AERtextsize10"/>
                        <w:rFonts w:ascii="Cambria Math" w:hAnsi="Cambria Math"/>
                      </w:rPr>
                      <m:t>,9</m:t>
                    </m:r>
                  </m:sub>
                </m:sSub>
                <m:sSup>
                  <m:sSupPr>
                    <m:ctrlPr>
                      <w:rPr>
                        <w:rStyle w:val="AERtextsize10"/>
                        <w:rFonts w:ascii="Cambria Math" w:hAnsi="Cambria Math"/>
                      </w:rPr>
                    </m:ctrlPr>
                  </m:sSupPr>
                  <m:e>
                    <m:r>
                      <w:rPr>
                        <w:rStyle w:val="AERtextsize10"/>
                        <w:rFonts w:ascii="Cambria Math" w:hAnsi="Cambria Math"/>
                      </w:rPr>
                      <m:t>)</m:t>
                    </m:r>
                  </m:e>
                  <m:sup>
                    <m:r>
                      <w:rPr>
                        <w:rStyle w:val="AERtextsize10"/>
                        <w:rFonts w:ascii="Cambria Math" w:hAnsi="Cambria Math"/>
                      </w:rPr>
                      <m:t>9</m:t>
                    </m:r>
                  </m:sup>
                </m:sSup>
              </m:den>
            </m:f>
          </m:e>
        </m:d>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T-11</m:t>
            </m:r>
          </m:sub>
        </m:sSub>
        <m:r>
          <w:rPr>
            <w:rStyle w:val="FootnoteReference"/>
            <w:rFonts w:ascii="Cambria Math" w:hAnsi="Cambria Math"/>
            <w:i/>
          </w:rPr>
          <w:footnoteReference w:id="1203"/>
        </m:r>
      </m:oMath>
      <w:r w:rsidR="0070344D" w:rsidRPr="007E3981">
        <w:rPr>
          <w:rStyle w:val="AERtextsize10"/>
        </w:rPr>
        <w:t xml:space="preserve"> </w:t>
      </w:r>
    </w:p>
    <w:p w:rsidR="0070344D" w:rsidRPr="00FC64E0" w:rsidRDefault="0091035C" w:rsidP="0070344D">
      <m:oMath>
        <m:sSub>
          <m:sSubPr>
            <m:ctrlPr>
              <w:rPr>
                <w:rFonts w:ascii="Cambria Math" w:hAnsi="Cambria Math"/>
              </w:rPr>
            </m:ctrlPr>
          </m:sSubPr>
          <m:e>
            <m:r>
              <w:rPr>
                <w:rFonts w:ascii="Cambria Math" w:hAnsi="Cambria Math"/>
              </w:rPr>
              <m:t>PV[p2]</m:t>
            </m:r>
          </m:e>
          <m:sub>
            <m:r>
              <w:rPr>
                <w:rFonts w:ascii="Cambria Math" w:hAnsi="Cambria Math"/>
              </w:rPr>
              <m:t>T-9</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(T-8)</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1</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(T-7)</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2</m:t>
                    </m:r>
                  </m:sup>
                </m:sSup>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1(T-1)</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r>
                  <m:rPr>
                    <m:sty m:val="p"/>
                  </m:rPr>
                  <w:rPr>
                    <w:rFonts w:ascii="Cambria Math" w:hAnsi="Cambria Math"/>
                  </w:rPr>
                  <m:t>)7</m:t>
                </m:r>
              </m:den>
            </m:f>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(T-9),8</m:t>
                    </m:r>
                  </m:sub>
                </m:sSub>
                <m:sSup>
                  <m:sSupPr>
                    <m:ctrlPr>
                      <w:rPr>
                        <w:rFonts w:ascii="Cambria Math" w:hAnsi="Cambria Math"/>
                      </w:rPr>
                    </m:ctrlPr>
                  </m:sSupPr>
                  <m:e>
                    <m:r>
                      <w:rPr>
                        <w:rFonts w:ascii="Cambria Math" w:hAnsi="Cambria Math"/>
                      </w:rPr>
                      <m:t>)</m:t>
                    </m:r>
                  </m:e>
                  <m:sup>
                    <m:r>
                      <w:rPr>
                        <w:rFonts w:ascii="Cambria Math" w:hAnsi="Cambria Math"/>
                      </w:rPr>
                      <m:t>8</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T-10</m:t>
            </m:r>
          </m:sub>
        </m:sSub>
      </m:oMath>
      <w:r w:rsidR="0070344D">
        <w:t xml:space="preserve"> </w:t>
      </w:r>
    </w:p>
    <w:p w:rsidR="0070344D" w:rsidRDefault="0070344D" w:rsidP="0070344D">
      <w:r>
        <w:t>…</w:t>
      </w:r>
    </w:p>
    <w:p w:rsidR="0070344D" w:rsidRPr="00FC64E0" w:rsidRDefault="0091035C" w:rsidP="0070344D">
      <m:oMath>
        <m:sSub>
          <m:sSubPr>
            <m:ctrlPr>
              <w:rPr>
                <w:rFonts w:ascii="Cambria Math" w:hAnsi="Cambria Math"/>
              </w:rPr>
            </m:ctrlPr>
          </m:sSubPr>
          <m:e>
            <m:r>
              <w:rPr>
                <w:rFonts w:ascii="Cambria Math" w:hAnsi="Cambria Math"/>
              </w:rPr>
              <m:t>PV[p10]</m:t>
            </m:r>
          </m:e>
          <m:sub>
            <m:r>
              <w:rPr>
                <w:rFonts w:ascii="Cambria Math" w:hAnsi="Cambria Math"/>
              </w:rPr>
              <m:t>T-1</m:t>
            </m:r>
          </m:sub>
        </m:sSub>
        <m:r>
          <w:rPr>
            <w:rFonts w:ascii="Cambria Math" w:hAnsi="Cambria Math"/>
          </w:rPr>
          <m:t>=E</m:t>
        </m:r>
        <m:d>
          <m:dPr>
            <m:begChr m:val="["/>
            <m:endChr m:val="]"/>
            <m:ctrlPr>
              <w:rPr>
                <w:rFonts w:ascii="Cambria Math" w:hAnsi="Cambria Math"/>
              </w:rPr>
            </m:ctrlPr>
          </m:dPr>
          <m:e>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0.1*K</m:t>
                    </m:r>
                  </m:e>
                  <m:sub>
                    <m:r>
                      <w:rPr>
                        <w:rFonts w:ascii="Cambria Math" w:hAnsi="Cambria Math"/>
                      </w:rPr>
                      <m:t>T</m:t>
                    </m:r>
                  </m:sub>
                </m:sSub>
              </m:num>
              <m:den>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(T-1),1</m:t>
                    </m:r>
                  </m:sub>
                </m:sSub>
                <m:sSup>
                  <m:sSupPr>
                    <m:ctrlPr>
                      <w:rPr>
                        <w:rFonts w:ascii="Cambria Math" w:hAnsi="Cambria Math"/>
                      </w:rPr>
                    </m:ctrlPr>
                  </m:sSupPr>
                  <m:e>
                    <m:r>
                      <w:rPr>
                        <w:rFonts w:ascii="Cambria Math" w:hAnsi="Cambria Math"/>
                      </w:rPr>
                      <m:t>)</m:t>
                    </m:r>
                  </m:e>
                  <m:sup>
                    <m:r>
                      <w:rPr>
                        <w:rFonts w:ascii="Cambria Math" w:hAnsi="Cambria Math"/>
                      </w:rPr>
                      <m:t>1</m:t>
                    </m:r>
                  </m:sup>
                </m:sSup>
              </m:den>
            </m:f>
          </m:e>
        </m:d>
        <m:r>
          <w:rPr>
            <w:rFonts w:ascii="Cambria Math" w:hAnsi="Cambria Math"/>
          </w:rPr>
          <m:t>=</m:t>
        </m:r>
        <m:r>
          <w:rPr>
            <w:rStyle w:val="AERtextsize10"/>
            <w:rFonts w:ascii="Cambria Math" w:hAnsi="Cambria Math"/>
          </w:rPr>
          <m:t>0.1*</m:t>
        </m:r>
        <m:sSub>
          <m:sSubPr>
            <m:ctrlPr>
              <w:rPr>
                <w:rStyle w:val="AERtextsize10"/>
                <w:rFonts w:ascii="Cambria Math" w:hAnsi="Cambria Math"/>
                <w:i/>
              </w:rPr>
            </m:ctrlPr>
          </m:sSubPr>
          <m:e>
            <m:r>
              <w:rPr>
                <w:rStyle w:val="AERtextsize10"/>
                <w:rFonts w:ascii="Cambria Math" w:hAnsi="Cambria Math"/>
              </w:rPr>
              <m:t>K</m:t>
            </m:r>
          </m:e>
          <m:sub>
            <m:r>
              <w:rPr>
                <w:rStyle w:val="AERtextsize10"/>
                <w:rFonts w:ascii="Cambria Math" w:hAnsi="Cambria Math"/>
              </w:rPr>
              <m:t>T-2</m:t>
            </m:r>
          </m:sub>
        </m:sSub>
      </m:oMath>
      <w:r w:rsidR="0070344D">
        <w:t xml:space="preserve"> </w:t>
      </w:r>
    </w:p>
    <w:p w:rsidR="0070344D" w:rsidRDefault="0070344D" w:rsidP="0070344D">
      <w:r>
        <w:t>where the proportion of net operating cash flow generated from each portion of the RAB each year equals the interest payment on that tranche of debt; that is:</w:t>
      </w:r>
      <w:r>
        <w:rPr>
          <w:rStyle w:val="FootnoteReference"/>
        </w:rPr>
        <w:footnoteReference w:id="1204"/>
      </w:r>
      <w:r>
        <w:t xml:space="preserve">  </w:t>
      </w:r>
    </w:p>
    <w:p w:rsidR="0070344D" w:rsidRDefault="0070344D" w:rsidP="0070344D">
      <m:oMath>
        <m:r>
          <w:rPr>
            <w:rFonts w:ascii="Cambria Math" w:hAnsi="Cambria Math"/>
          </w:rPr>
          <m:t>0.1*</m:t>
        </m:r>
        <m:sSub>
          <m:sSubPr>
            <m:ctrlPr>
              <w:rPr>
                <w:rFonts w:ascii="Cambria Math" w:hAnsi="Cambria Math"/>
              </w:rPr>
            </m:ctrlPr>
          </m:sSubPr>
          <m:e>
            <m:r>
              <w:rPr>
                <w:rFonts w:ascii="Cambria Math" w:hAnsi="Cambria Math"/>
              </w:rPr>
              <m:t>CF</m:t>
            </m:r>
          </m:e>
          <m:sub>
            <m:r>
              <w:rPr>
                <w:rFonts w:ascii="Cambria Math" w:hAnsi="Cambria Math"/>
              </w:rPr>
              <m:t>i</m:t>
            </m:r>
          </m:sub>
        </m:sSub>
        <m:r>
          <w:rPr>
            <w:rFonts w:ascii="Cambria Math" w:hAnsi="Cambria Math"/>
          </w:rPr>
          <m:t>=</m:t>
        </m:r>
        <m:sSub>
          <m:sSubPr>
            <m:ctrlPr>
              <w:rPr>
                <w:rFonts w:ascii="Cambria Math" w:hAnsi="Cambria Math"/>
              </w:rPr>
            </m:ctrlPr>
          </m:sSubPr>
          <m:e>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r>
                  <m:rPr>
                    <m:sty m:val="p"/>
                  </m:rPr>
                  <w:rPr>
                    <w:rStyle w:val="CommentReference"/>
                    <w:rFonts w:ascii="Cambria Math" w:hAnsi="Cambria Math"/>
                  </w:rPr>
                  <m:t> </m:t>
                </m:r>
              </m:sub>
            </m:sSub>
            <m:r>
              <m:rPr>
                <m:sty m:val="p"/>
              </m:rPr>
              <w:rPr>
                <w:rFonts w:ascii="Cambria Math" w:hAnsi="Cambria Math"/>
              </w:rPr>
              <m:t>*0.1*</m:t>
            </m:r>
            <m:r>
              <w:rPr>
                <w:rFonts w:ascii="Cambria Math" w:hAnsi="Cambria Math"/>
              </w:rPr>
              <m:t>K</m:t>
            </m:r>
          </m:e>
          <m:sub>
            <m:r>
              <w:rPr>
                <w:rFonts w:ascii="Cambria Math" w:hAnsi="Cambria Math"/>
              </w:rPr>
              <m:t>t</m:t>
            </m:r>
          </m:sub>
        </m:sSub>
        <m:r>
          <w:rPr>
            <w:rFonts w:ascii="Cambria Math" w:hAnsi="Cambria Math"/>
          </w:rPr>
          <m:t xml:space="preserve">,  for t=T-10,…,T-1 and i=T-9,…,T </m:t>
        </m:r>
      </m:oMath>
      <w:r>
        <w:t xml:space="preserve">  </w:t>
      </w:r>
    </w:p>
    <w:p w:rsidR="0070344D" w:rsidRDefault="0070344D" w:rsidP="0070344D">
      <w:r>
        <w:t xml:space="preserve">and, under our assumptions, </w:t>
      </w:r>
      <m:oMath>
        <m:sSub>
          <m:sSubPr>
            <m:ctrlPr>
              <w:rPr>
                <w:rFonts w:ascii="Cambria Math" w:hAnsi="Cambria Math"/>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0</m:t>
            </m:r>
          </m:sub>
        </m:sSub>
      </m:oMath>
      <w:r>
        <w:t>.</w:t>
      </w:r>
    </w:p>
    <w:p w:rsidR="0070344D" w:rsidRDefault="0070344D" w:rsidP="0070344D">
      <w:r>
        <w:t>As shown in the above sections, the above equalities hold because, for each portion of the RAB:</w:t>
      </w:r>
    </w:p>
    <w:p w:rsidR="0070344D" w:rsidRPr="0070344D" w:rsidRDefault="0070344D" w:rsidP="0070344D">
      <w:pPr>
        <w:pStyle w:val="AERbulletlistfirststyle"/>
      </w:pPr>
      <w:r>
        <w:t>the expected net operating cash flows</w:t>
      </w:r>
      <w:r w:rsidRPr="0070344D">
        <w:t xml:space="preserve"> are, effectively, based on an allowed rate of return that reflects prevailing market rates at year </w:t>
      </w:r>
      <m:oMath>
        <m:r>
          <w:rPr>
            <w:rFonts w:ascii="Cambria Math" w:hAnsi="Cambria Math"/>
          </w:rPr>
          <m:t>t=T-10…T-1</m:t>
        </m:r>
      </m:oMath>
      <w:r w:rsidRPr="0070344D">
        <w:t xml:space="preserve"> respectively</w:t>
      </w:r>
    </w:p>
    <w:p w:rsidR="0070344D" w:rsidRPr="0070344D" w:rsidRDefault="0070344D" w:rsidP="0070344D">
      <w:pPr>
        <w:pStyle w:val="AERbulletlistfirststyle"/>
      </w:pPr>
      <w:r>
        <w:t xml:space="preserve">the present (or market) value of the closing RAB (portion) at the end of each period equals its </w:t>
      </w:r>
      <w:r w:rsidRPr="0070344D">
        <w:t>statutory value.</w:t>
      </w:r>
    </w:p>
    <w:p w:rsidR="0070344D" w:rsidRDefault="0070344D" w:rsidP="0070344D">
      <w:r>
        <w:t>Given these equalities hold, the service provider would expect to have a reasonable opportunity to recover at least efficient costs for each of its investment portions. Since this applies to all stages of the trailing average approach, the service provider would expect to have a reasonable opportunity to recover at least efficient costs</w:t>
      </w:r>
      <w:r w:rsidRPr="00306141">
        <w:t xml:space="preserve"> </w:t>
      </w:r>
      <w:r>
        <w:t>over the entire term of the RAB.</w:t>
      </w:r>
    </w:p>
    <w:p w:rsidR="0070344D" w:rsidRDefault="0070344D" w:rsidP="0070344D">
      <w:r>
        <w:t>The sections above show that the key distinction between an on-the-day and a trailing average approach is:</w:t>
      </w:r>
    </w:p>
    <w:p w:rsidR="0070344D" w:rsidRPr="0070344D" w:rsidRDefault="0070344D" w:rsidP="0070344D">
      <w:pPr>
        <w:pStyle w:val="AERbulletlistfirststyle"/>
      </w:pPr>
      <w:r>
        <w:t>t</w:t>
      </w:r>
      <w:r w:rsidRPr="0070344D">
        <w:t xml:space="preserve">he on-the-day approach results in the entire allowed rate of return being reset to reflect prevailing market (or efficient) rates near the commencement of the regulatory period </w:t>
      </w:r>
    </w:p>
    <w:p w:rsidR="0070344D" w:rsidRPr="0070344D" w:rsidRDefault="0070344D" w:rsidP="0070344D">
      <w:pPr>
        <w:pStyle w:val="AERbulletlistfirststyle"/>
      </w:pPr>
      <w:r>
        <w:t>t</w:t>
      </w:r>
      <w:r w:rsidRPr="0070344D">
        <w:t xml:space="preserve">he trailing average approach results in one tenth of the allowed rate of return being reset to reflect prevailing market (or efficient) rates each year. </w:t>
      </w:r>
    </w:p>
    <w:p w:rsidR="0070344D" w:rsidRPr="008A42CE" w:rsidRDefault="0070344D" w:rsidP="0070344D">
      <w:pPr>
        <w:rPr>
          <w:rStyle w:val="AERbody"/>
        </w:rPr>
      </w:pPr>
      <w:r w:rsidRPr="008A42CE">
        <w:rPr>
          <w:rStyle w:val="AERbody"/>
        </w:rPr>
        <w:t xml:space="preserve">However, both approaches </w:t>
      </w:r>
      <w:r>
        <w:rPr>
          <w:rStyle w:val="AERbody"/>
        </w:rPr>
        <w:t xml:space="preserve">to setting the allowed rate of return, </w:t>
      </w:r>
      <w:r w:rsidRPr="008A42CE">
        <w:rPr>
          <w:rStyle w:val="AERbody"/>
        </w:rPr>
        <w:t xml:space="preserve">if appropriately implemented </w:t>
      </w:r>
      <w:r>
        <w:rPr>
          <w:rStyle w:val="AERbody"/>
        </w:rPr>
        <w:t xml:space="preserve">(in a forward looking manner) should </w:t>
      </w:r>
      <w:r w:rsidRPr="001D0F47">
        <w:rPr>
          <w:rStyle w:val="AERbody"/>
        </w:rPr>
        <w:t xml:space="preserve">result in </w:t>
      </w:r>
      <w:r>
        <w:rPr>
          <w:rStyle w:val="AERbody"/>
        </w:rPr>
        <w:t>the same</w:t>
      </w:r>
      <w:r w:rsidRPr="008A42CE">
        <w:rPr>
          <w:rStyle w:val="AERbody"/>
        </w:rPr>
        <w:t xml:space="preserve"> </w:t>
      </w:r>
      <w:r>
        <w:t>ex-ante compensation for a benchmark efficient entity's ex-ante efficient financing costs over the term of the RAB</w:t>
      </w:r>
      <w:r>
        <w:rPr>
          <w:rStyle w:val="AERbody"/>
        </w:rPr>
        <w:t>.</w:t>
      </w:r>
    </w:p>
    <w:p w:rsidR="0070344D" w:rsidRDefault="0070344D" w:rsidP="0070344D">
      <w:pPr>
        <w:pStyle w:val="Heading8"/>
      </w:pPr>
      <w:bookmarkStart w:id="355" w:name="_Ref447538284"/>
      <w:r>
        <w:t>A full transition satisfies the ARORO</w:t>
      </w:r>
      <w:bookmarkEnd w:id="355"/>
    </w:p>
    <w:p w:rsidR="0070344D" w:rsidRPr="0070344D" w:rsidRDefault="0070344D" w:rsidP="00EB795B">
      <w:r>
        <w:t xml:space="preserve">If moving from </w:t>
      </w:r>
      <w:r w:rsidRPr="0070344D">
        <w:t>the on-the-day to the trailing average approach, we consider a full transition is required to meet the ARORO and the objectives of the NEL/NGL. A full transition is revenue neutral in a present value sense.</w:t>
      </w:r>
      <w:r w:rsidRPr="0070344D">
        <w:rPr>
          <w:rStyle w:val="FootnoteReference"/>
        </w:rPr>
        <w:footnoteReference w:id="1205"/>
      </w:r>
      <w:r w:rsidRPr="0070344D">
        <w:t xml:space="preserve"> Assuming the on-the-day or trailing average approach would contribute to the achievement of the ARORO, a revenue neutral transition will also contribute to the achievement of the ARORO.</w:t>
      </w:r>
    </w:p>
    <w:p w:rsidR="0070344D" w:rsidRDefault="0070344D" w:rsidP="0070344D">
      <w:r>
        <w:t xml:space="preserve">As shown in section </w:t>
      </w:r>
      <w:r>
        <w:fldChar w:fldCharType="begin"/>
      </w:r>
      <w:r>
        <w:instrText xml:space="preserve"> REF _Ref444773920 \r \h </w:instrText>
      </w:r>
      <w:r>
        <w:fldChar w:fldCharType="separate"/>
      </w:r>
      <w:r>
        <w:t>H.3.3</w:t>
      </w:r>
      <w:r>
        <w:fldChar w:fldCharType="end"/>
      </w:r>
      <w:r>
        <w:t>, ex-ante efficient compensation can hold</w:t>
      </w:r>
      <w:r w:rsidRPr="0050083B">
        <w:t xml:space="preserve"> </w:t>
      </w:r>
      <w:r>
        <w:t>under either the on-the-day approach or the trailing average approach (if a transition is applied). As such, both approaches are capable of being approximately equivalent over the term of the RAB (which will be multiple regulatory periods).</w:t>
      </w:r>
    </w:p>
    <w:p w:rsidR="0070344D" w:rsidRDefault="0070344D" w:rsidP="0070344D">
      <w:r>
        <w:t>For this reason, setting the return on debt allowance under the assumption that the service provider does not instantly have a trailing average debt portfolio, but rather has to develop, it should neither have a positive or negative affect on the service provider. Rather, we expect this would be NPV neutral.</w:t>
      </w:r>
    </w:p>
    <w:p w:rsidR="0070344D" w:rsidRDefault="0070344D" w:rsidP="0070344D">
      <w:r>
        <w:t xml:space="preserve">We show in section </w:t>
      </w:r>
      <w:r>
        <w:fldChar w:fldCharType="begin"/>
      </w:r>
      <w:r>
        <w:instrText xml:space="preserve"> REF _Ref444773920 \r \h </w:instrText>
      </w:r>
      <w:r>
        <w:fldChar w:fldCharType="separate"/>
      </w:r>
      <w:r>
        <w:t>H.3.3</w:t>
      </w:r>
      <w:r>
        <w:fldChar w:fldCharType="end"/>
      </w:r>
      <w:r>
        <w:t xml:space="preserve"> that under the trailing average approach, service providers expect to have a reasonable opportunity to recover at least efficient financing costs over the term of the RAB. However, for any given regulatory period, the present value of expected net operating cash flows over the regulatory period plus the closing RAB will not necessarily equal the opening RAB. That is, at the start of any given regulatory </w:t>
      </w:r>
      <w:r w:rsidRPr="0050083B">
        <w:t>period</w:t>
      </w:r>
      <w:r>
        <w:t>, the present value</w:t>
      </w:r>
      <w:r w:rsidRPr="0050083B">
        <w:t xml:space="preserve"> of </w:t>
      </w:r>
      <w:r>
        <w:t xml:space="preserve">expected </w:t>
      </w:r>
      <w:r w:rsidRPr="0050083B">
        <w:t xml:space="preserve">future cash flows will unlikely equal the RAB because </w:t>
      </w:r>
      <w:r>
        <w:t xml:space="preserve">the </w:t>
      </w:r>
      <w:r w:rsidRPr="0050083B">
        <w:t xml:space="preserve">cash flows based on historical interest rates will either be </w:t>
      </w:r>
      <w:r>
        <w:t>higher</w:t>
      </w:r>
      <w:r w:rsidRPr="0050083B">
        <w:t xml:space="preserve"> or too low (relative to the </w:t>
      </w:r>
      <w:r>
        <w:t>prevailing cost of debt in the market). Given this, switching between regimes without a full transition would not satisfy the requirement to</w:t>
      </w:r>
      <w:r w:rsidRPr="00E2587B">
        <w:t xml:space="preserve"> </w:t>
      </w:r>
      <w:r>
        <w:t>provide service providers with a reasonable opportunity to recover at least efficient costs over either the regulatory period or over the term of the RAB.</w:t>
      </w:r>
    </w:p>
    <w:p w:rsidR="0070344D" w:rsidRPr="00414466" w:rsidRDefault="0070344D" w:rsidP="0070344D">
      <w:pPr>
        <w:pStyle w:val="Heading8"/>
      </w:pPr>
      <w:bookmarkStart w:id="356" w:name="_Ref447266532"/>
      <w:r w:rsidRPr="00414466">
        <w:t>An immediate (or hybrid) transition will not satisfy the ARORO</w:t>
      </w:r>
      <w:bookmarkEnd w:id="356"/>
    </w:p>
    <w:p w:rsidR="0070344D" w:rsidRDefault="0070344D" w:rsidP="0070344D">
      <w:r>
        <w:t>We consider a full transition to a trailing average will</w:t>
      </w:r>
      <w:r w:rsidRPr="00F21B32">
        <w:t xml:space="preserve"> result in an ex-ante </w:t>
      </w:r>
      <w:r>
        <w:t>reasonable</w:t>
      </w:r>
      <w:r w:rsidRPr="00F21B32">
        <w:t xml:space="preserve"> return </w:t>
      </w:r>
      <w:r>
        <w:t xml:space="preserve">and would contribute to the achievement of the ARORO (see section </w:t>
      </w:r>
      <w:r>
        <w:fldChar w:fldCharType="begin"/>
      </w:r>
      <w:r>
        <w:instrText xml:space="preserve"> REF _Ref447538284 \r \h </w:instrText>
      </w:r>
      <w:r>
        <w:fldChar w:fldCharType="separate"/>
      </w:r>
      <w:r>
        <w:t>H.4</w:t>
      </w:r>
      <w:r>
        <w:fldChar w:fldCharType="end"/>
      </w:r>
      <w:r>
        <w:t>).</w:t>
      </w:r>
      <w:r w:rsidRPr="00F21B32">
        <w:t xml:space="preserve"> </w:t>
      </w:r>
      <w:r>
        <w:t>Conversely, we do not consider that an immediate (or hybrid) transition to a trailing average will</w:t>
      </w:r>
      <w:r w:rsidRPr="00F21B32">
        <w:t xml:space="preserve"> result in an ex-ante </w:t>
      </w:r>
      <w:r>
        <w:t>reasonable</w:t>
      </w:r>
      <w:r w:rsidRPr="00F21B32">
        <w:t xml:space="preserve"> return </w:t>
      </w:r>
      <w:r>
        <w:t xml:space="preserve">and would contribute to the achievement of the ARORO. This is because these approaches are not revenue neutral (in a present value sense). Rather, because these approaches would not be revenue-neutral, these would result in ex-ante overcompensation if moving from a high to a low interest rate environment. Conversely, these would result in ex-ante undercompensation if moving from a low to a high interest rate environment. We show the difference between our approach and the service providers' proposed approach mathematically in section </w:t>
      </w:r>
      <w:r>
        <w:fldChar w:fldCharType="begin"/>
      </w:r>
      <w:r>
        <w:instrText xml:space="preserve"> REF _Ref447886159 \r \h </w:instrText>
      </w:r>
      <w:r>
        <w:fldChar w:fldCharType="separate"/>
      </w:r>
      <w:r>
        <w:t>H.5.1</w:t>
      </w:r>
      <w:r>
        <w:fldChar w:fldCharType="end"/>
      </w:r>
      <w:r>
        <w:t xml:space="preserve">. </w:t>
      </w:r>
    </w:p>
    <w:p w:rsidR="0070344D" w:rsidRDefault="0070344D" w:rsidP="0070344D">
      <w:r>
        <w:t>It is also worth noting that while</w:t>
      </w:r>
      <w:r w:rsidRPr="00F21B32">
        <w:t xml:space="preserve"> </w:t>
      </w:r>
      <w:r>
        <w:t>stakeholders</w:t>
      </w:r>
      <w:r w:rsidRPr="00F21B32">
        <w:t xml:space="preserve"> </w:t>
      </w:r>
      <w:r>
        <w:t>generally supported</w:t>
      </w:r>
      <w:r w:rsidRPr="00F21B32">
        <w:t xml:space="preserve"> </w:t>
      </w:r>
      <w:r>
        <w:t xml:space="preserve">moving to a trailing average </w:t>
      </w:r>
      <w:r w:rsidRPr="00F21B32">
        <w:t xml:space="preserve">approach </w:t>
      </w:r>
      <w:r>
        <w:t xml:space="preserve">when we developed the Guideline, the </w:t>
      </w:r>
      <w:r w:rsidRPr="00F21B32">
        <w:t>trailing average cannot be consider</w:t>
      </w:r>
      <w:r>
        <w:t>ed</w:t>
      </w:r>
      <w:r w:rsidRPr="00F21B32">
        <w:t xml:space="preserve"> in isola</w:t>
      </w:r>
      <w:r>
        <w:t xml:space="preserve">tion of the </w:t>
      </w:r>
      <w:r w:rsidRPr="00F21B32">
        <w:t xml:space="preserve">transition </w:t>
      </w:r>
      <w:r>
        <w:t>set out in the</w:t>
      </w:r>
      <w:r w:rsidRPr="00F21B32">
        <w:t xml:space="preserve"> Guideline.</w:t>
      </w:r>
      <w:r>
        <w:rPr>
          <w:rStyle w:val="FootnoteReference"/>
        </w:rPr>
        <w:footnoteReference w:id="1206"/>
      </w:r>
      <w:r>
        <w:t xml:space="preserve"> This is supported by the CCP3 in advising:</w:t>
      </w:r>
      <w:r>
        <w:rPr>
          <w:rStyle w:val="FootnoteReference"/>
        </w:rPr>
        <w:footnoteReference w:id="1207"/>
      </w:r>
    </w:p>
    <w:p w:rsidR="0070344D" w:rsidRPr="006C2193" w:rsidRDefault="0070344D" w:rsidP="0070344D">
      <w:pPr>
        <w:pStyle w:val="AERquote"/>
      </w:pPr>
      <w:r w:rsidRPr="00E70879">
        <w:t>consumer acceptance for the 10</w:t>
      </w:r>
      <w:r w:rsidRPr="0070344D">
        <w:rPr>
          <w:rFonts w:ascii="Cambria Math" w:hAnsi="Cambria Math" w:cs="Cambria Math"/>
        </w:rPr>
        <w:t>‐</w:t>
      </w:r>
      <w:r w:rsidRPr="00E70879">
        <w:t xml:space="preserve">year trailing average cost of debt (rather than </w:t>
      </w:r>
      <w:r w:rsidRPr="003E0036">
        <w:t>continuation of the “on</w:t>
      </w:r>
      <w:r w:rsidRPr="0070344D">
        <w:rPr>
          <w:rFonts w:ascii="Cambria Math" w:hAnsi="Cambria Math" w:cs="Cambria Math"/>
        </w:rPr>
        <w:t>‐</w:t>
      </w:r>
      <w:r w:rsidRPr="0019710C">
        <w:t>the</w:t>
      </w:r>
      <w:r w:rsidRPr="0070344D">
        <w:rPr>
          <w:rFonts w:ascii="Cambria Math" w:hAnsi="Cambria Math" w:cs="Cambria Math"/>
        </w:rPr>
        <w:t>‐</w:t>
      </w:r>
      <w:r w:rsidRPr="0019710C">
        <w:t>day” or a 5</w:t>
      </w:r>
      <w:r w:rsidRPr="0070344D">
        <w:rPr>
          <w:rFonts w:ascii="Cambria Math" w:hAnsi="Cambria Math" w:cs="Cambria Math"/>
        </w:rPr>
        <w:t>‐</w:t>
      </w:r>
      <w:r w:rsidRPr="0019710C">
        <w:t>year trailing average aligned with the regulatory</w:t>
      </w:r>
      <w:r w:rsidRPr="006C2193">
        <w:t xml:space="preserve"> period) during the Better Regulation process was, arguably, contingent on the AER having an effective transition process that would prevent windfall gains or losses by either consumers or the businesses. The DNSPs’ revised proposals for transition violate this implicit understanding that has underpinned the consumers’ support of the 10</w:t>
      </w:r>
      <w:r w:rsidRPr="0070344D">
        <w:rPr>
          <w:rFonts w:ascii="Cambria Math" w:hAnsi="Cambria Math" w:cs="Cambria Math"/>
        </w:rPr>
        <w:t>‐</w:t>
      </w:r>
      <w:r w:rsidRPr="006C2193">
        <w:t>year rolling average approach.</w:t>
      </w:r>
    </w:p>
    <w:p w:rsidR="0070344D" w:rsidRDefault="0070344D" w:rsidP="0070344D">
      <w:r>
        <w:t>For this reason, the CCP3 also advised that, '</w:t>
      </w:r>
      <w:r w:rsidRPr="00187AA5">
        <w:t>the significant impact on consumers of the DNSPs’ proposed</w:t>
      </w:r>
      <w:r>
        <w:t xml:space="preserve"> </w:t>
      </w:r>
      <w:r w:rsidRPr="00187AA5">
        <w:t>departure from the RoR Guideline risks a collapse in consumer confidence in the</w:t>
      </w:r>
      <w:r>
        <w:t xml:space="preserve"> </w:t>
      </w:r>
      <w:r w:rsidRPr="00187AA5">
        <w:t>regulatory process</w:t>
      </w:r>
      <w:r>
        <w:t>'</w:t>
      </w:r>
      <w:r w:rsidRPr="00187AA5">
        <w:t>.</w:t>
      </w:r>
      <w:r>
        <w:rPr>
          <w:rStyle w:val="FootnoteReference"/>
        </w:rPr>
        <w:footnoteReference w:id="1208"/>
      </w:r>
      <w:r>
        <w:t xml:space="preserve"> </w:t>
      </w:r>
    </w:p>
    <w:p w:rsidR="0070344D" w:rsidRDefault="0070344D" w:rsidP="0070344D">
      <w:r>
        <w:t>Moreover, Partington and Satchell advise that, given a move to the trailing average approach, our full transition is preferable to an immediate (or hybrid) transition.</w:t>
      </w:r>
      <w:r>
        <w:rPr>
          <w:rStyle w:val="FootnoteReference"/>
        </w:rPr>
        <w:footnoteReference w:id="1209"/>
      </w:r>
      <w:r>
        <w:t xml:space="preserve"> They also state that:</w:t>
      </w:r>
      <w:r>
        <w:rPr>
          <w:rStyle w:val="FootnoteReference"/>
        </w:rPr>
        <w:footnoteReference w:id="1210"/>
      </w:r>
    </w:p>
    <w:p w:rsidR="0070344D" w:rsidRDefault="0070344D" w:rsidP="0070344D">
      <w:pPr>
        <w:pStyle w:val="AERquote"/>
      </w:pPr>
      <w:r>
        <w:t>…</w:t>
      </w:r>
      <w:r w:rsidRPr="001D4F64">
        <w:t>it is appropriate in the present case, of significant divergence between the trailing average and the current cost of debt, that a transition should be made to the trailing average rather than immediately moving to full implementation.</w:t>
      </w:r>
    </w:p>
    <w:p w:rsidR="0070344D" w:rsidRDefault="0070344D" w:rsidP="0070344D">
      <w:r>
        <w:t xml:space="preserve">Consequently, we consider the on-the-day approach should continue in the absence of a full transition to the trailing average approach. This is because the on-the-day approach produces a return on debt estimate that, in conjunction with the return on equity, satisfies the ARORO. As shown in section </w:t>
      </w:r>
      <w:r>
        <w:fldChar w:fldCharType="begin"/>
      </w:r>
      <w:r>
        <w:instrText xml:space="preserve"> REF _Ref448326736 \r \h </w:instrText>
      </w:r>
      <w:r>
        <w:fldChar w:fldCharType="separate"/>
      </w:r>
      <w:r>
        <w:t>H.3.3</w:t>
      </w:r>
      <w:r>
        <w:fldChar w:fldCharType="end"/>
      </w:r>
      <w:r>
        <w:t xml:space="preserve">, the on-the-day approach provides ex-ante efficient compensation for a benchmark efficient entity's efficient cost of financing over each regulatory period and over the term of the RAB. </w:t>
      </w:r>
    </w:p>
    <w:p w:rsidR="0070344D" w:rsidRDefault="0070344D" w:rsidP="0070344D">
      <w:pPr>
        <w:pStyle w:val="Heading9"/>
      </w:pPr>
      <w:bookmarkStart w:id="357" w:name="_Ref447886159"/>
      <w:bookmarkStart w:id="358" w:name="_Ref451538254"/>
      <w:r>
        <w:t>Mathematical explanation</w:t>
      </w:r>
      <w:bookmarkEnd w:id="357"/>
      <w:bookmarkEnd w:id="358"/>
    </w:p>
    <w:p w:rsidR="0070344D" w:rsidRPr="00275DE0" w:rsidRDefault="0070344D" w:rsidP="0070344D">
      <w:r w:rsidRPr="00275DE0">
        <w:t>This section demonstrates the difference (in present value terms) between our full transition and the service providers' immediate transition to the trailing average approach. We use the following notation:</w:t>
      </w:r>
    </w:p>
    <w:p w:rsidR="0070344D" w:rsidRPr="0070344D" w:rsidRDefault="0091035C" w:rsidP="0070344D">
      <w:pPr>
        <w:pStyle w:val="AERbulletlistfirststyle"/>
      </w:pPr>
      <m:oMath>
        <m:sSub>
          <m:sSubPr>
            <m:ctrlPr>
              <w:rPr>
                <w:rFonts w:ascii="Cambria Math" w:hAnsi="Cambria Math"/>
                <w:i/>
              </w:rPr>
            </m:ctrlPr>
          </m:sSubPr>
          <m:e>
            <m:r>
              <w:rPr>
                <w:rFonts w:ascii="Cambria Math" w:hAnsi="Cambria Math"/>
              </w:rPr>
              <m:t>PV</m:t>
            </m:r>
          </m:e>
          <m:sub>
            <m:r>
              <w:rPr>
                <w:rFonts w:ascii="Cambria Math" w:hAnsi="Cambria Math"/>
              </w:rPr>
              <m:t>t</m:t>
            </m:r>
          </m:sub>
        </m:sSub>
      </m:oMath>
      <w:r w:rsidR="0070344D" w:rsidRPr="0070344D">
        <w:t xml:space="preserve"> denotes present value, at year t </w:t>
      </w:r>
    </w:p>
    <w:p w:rsidR="0070344D" w:rsidRPr="0070344D" w:rsidRDefault="0070344D" w:rsidP="0070344D">
      <w:pPr>
        <w:pStyle w:val="AERbulletlistfirststyle"/>
      </w:pPr>
      <m:oMath>
        <m:r>
          <w:rPr>
            <w:rFonts w:ascii="Cambria Math" w:hAnsi="Cambria Math"/>
          </w:rPr>
          <m:t>E</m:t>
        </m:r>
        <m:d>
          <m:dPr>
            <m:begChr m:val="["/>
            <m:endChr m:val="]"/>
            <m:ctrlPr>
              <w:rPr>
                <w:rFonts w:ascii="Cambria Math" w:hAnsi="Cambria Math"/>
              </w:rPr>
            </m:ctrlPr>
          </m:dPr>
          <m:e>
            <m:r>
              <m:rPr>
                <m:sty m:val="p"/>
              </m:rPr>
              <w:rPr>
                <w:rFonts w:ascii="Cambria Math" w:hAnsi="Cambria Math"/>
              </w:rPr>
              <m:t>.</m:t>
            </m:r>
          </m:e>
        </m:d>
      </m:oMath>
      <w:r w:rsidRPr="0070344D">
        <w:t xml:space="preserve"> denotes expected value</w:t>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K</m:t>
            </m:r>
          </m:e>
          <m:sub>
            <m:r>
              <w:rPr>
                <w:rFonts w:ascii="Cambria Math" w:hAnsi="Cambria Math"/>
              </w:rPr>
              <m:t>t</m:t>
            </m:r>
          </m:sub>
        </m:sSub>
      </m:oMath>
      <w:r w:rsidR="0070344D" w:rsidRPr="0070344D">
        <w:t xml:space="preserve"> is the closing RAB at the end of year </w:t>
      </w:r>
      <m:oMath>
        <m:r>
          <w:rPr>
            <w:rFonts w:ascii="Cambria Math" w:hAnsi="Cambria Math"/>
          </w:rPr>
          <m:t>t</m:t>
        </m:r>
      </m:oMath>
      <w:r w:rsidR="0070344D" w:rsidRPr="0070344D">
        <w:t xml:space="preserve"> (which equals the opening RAB at the beginning of year </w:t>
      </w:r>
      <m:oMath>
        <m:r>
          <w:rPr>
            <w:rFonts w:ascii="Cambria Math" w:hAnsi="Cambria Math"/>
          </w:rPr>
          <m:t>t+1</m:t>
        </m:r>
      </m:oMath>
      <w:r w:rsidR="0070344D" w:rsidRPr="0070344D">
        <w:t>).</w:t>
      </w:r>
    </w:p>
    <w:p w:rsidR="0070344D" w:rsidRDefault="0070344D" w:rsidP="0070344D">
      <w:pPr>
        <w:pStyle w:val="AERbulletlistfirststyle"/>
      </w:pPr>
      <w:r>
        <w:t>0.6 is the proportion of the RAB that is debt financed</w:t>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rd</m:t>
            </m:r>
          </m:e>
          <m:sub>
            <m:r>
              <w:rPr>
                <w:rFonts w:ascii="Cambria Math" w:hAnsi="Cambria Math"/>
              </w:rPr>
              <m:t xml:space="preserve">t </m:t>
            </m:r>
          </m:sub>
        </m:sSub>
      </m:oMath>
      <w:r w:rsidR="0070344D" w:rsidRPr="0070344D">
        <w:t xml:space="preserve"> </w:t>
      </w:r>
      <w:r w:rsidR="00BF7C8D">
        <w:t>are</w:t>
      </w:r>
      <w:r w:rsidR="00BF7C8D" w:rsidRPr="00D56F4E">
        <w:t xml:space="preserve"> </w:t>
      </w:r>
      <w:r w:rsidR="00BF7C8D">
        <w:t xml:space="preserve">the </w:t>
      </w:r>
      <w:r w:rsidR="00BF7C8D" w:rsidRPr="00D56F4E">
        <w:t>estimate</w:t>
      </w:r>
      <w:r w:rsidR="00BF7C8D">
        <w:t>s</w:t>
      </w:r>
      <w:r w:rsidR="00BF7C8D" w:rsidRPr="00D56F4E">
        <w:t xml:space="preserve"> of the </w:t>
      </w:r>
      <w:r w:rsidR="00BF7C8D">
        <w:t>return on</w:t>
      </w:r>
      <w:r w:rsidR="00BF7C8D" w:rsidRPr="00D56F4E">
        <w:t xml:space="preserve"> debt used to calculate the return on capital cash flow</w:t>
      </w:r>
      <w:r w:rsidR="00BF7C8D">
        <w:t>s</w:t>
      </w:r>
    </w:p>
    <w:p w:rsidR="0070344D" w:rsidRPr="0070344D" w:rsidRDefault="0091035C" w:rsidP="0070344D">
      <w:pPr>
        <w:pStyle w:val="AERbulletlistfirststyle"/>
      </w:pPr>
      <m:oMath>
        <m:sSub>
          <m:sSubPr>
            <m:ctrlPr>
              <w:rPr>
                <w:rFonts w:ascii="Cambria Math" w:hAnsi="Cambria Math"/>
              </w:rPr>
            </m:ctrlPr>
          </m:sSubPr>
          <m:e>
            <m:r>
              <w:rPr>
                <w:rFonts w:ascii="Cambria Math" w:hAnsi="Cambria Math"/>
              </w:rPr>
              <m:t>r</m:t>
            </m:r>
          </m:e>
          <m:sub>
            <m:r>
              <w:rPr>
                <w:rFonts w:ascii="Cambria Math" w:hAnsi="Cambria Math"/>
              </w:rPr>
              <m:t>t,j</m:t>
            </m:r>
          </m:sub>
        </m:sSub>
      </m:oMath>
      <w:r w:rsidR="0070344D" w:rsidRPr="0070344D">
        <w:t xml:space="preserve"> is the (spot) discount rate at year </w:t>
      </w:r>
      <m:oMath>
        <m:r>
          <w:rPr>
            <w:rFonts w:ascii="Cambria Math" w:hAnsi="Cambria Math"/>
          </w:rPr>
          <m:t>t</m:t>
        </m:r>
      </m:oMath>
      <w:r w:rsidR="0070344D" w:rsidRPr="0070344D">
        <w:t xml:space="preserve"> for a term of </w:t>
      </w:r>
      <m:oMath>
        <m:r>
          <w:rPr>
            <w:rFonts w:ascii="Cambria Math" w:hAnsi="Cambria Math"/>
          </w:rPr>
          <m:t>j</m:t>
        </m:r>
      </m:oMath>
      <w:r w:rsidR="0070344D" w:rsidRPr="0070344D">
        <w:t xml:space="preserve"> years.</w:t>
      </w:r>
    </w:p>
    <w:p w:rsidR="0070344D" w:rsidRPr="00622F41" w:rsidRDefault="0070344D" w:rsidP="0070344D">
      <w:r w:rsidRPr="00622F41">
        <w:t xml:space="preserve">The present value of </w:t>
      </w:r>
      <w:r>
        <w:t>our</w:t>
      </w:r>
      <w:r w:rsidRPr="00622F41">
        <w:t xml:space="preserve"> proposed return on debt allowance </w:t>
      </w:r>
      <w:r>
        <w:t xml:space="preserve">over the next ten years </w:t>
      </w:r>
      <w:r w:rsidRPr="00622F41">
        <w:t>(under a full transition)</w:t>
      </w:r>
      <w:r>
        <w:t xml:space="preserve"> at time </w:t>
      </w:r>
      <m:oMath>
        <m:r>
          <w:rPr>
            <w:rFonts w:ascii="Cambria Math" w:hAnsi="Cambria Math"/>
          </w:rPr>
          <m:t>t=0</m:t>
        </m:r>
      </m:oMath>
      <w:r w:rsidRPr="00622F41">
        <w:t xml:space="preserve"> is as follows:</w:t>
      </w:r>
      <w:r>
        <w:rPr>
          <w:rStyle w:val="FootnoteReference"/>
        </w:rPr>
        <w:footnoteReference w:id="1211"/>
      </w:r>
    </w:p>
    <w:p w:rsidR="0070344D" w:rsidRDefault="0091035C" w:rsidP="0070344D">
      <m:oMath>
        <m:sSub>
          <m:sSubPr>
            <m:ctrlPr>
              <w:rPr>
                <w:rFonts w:ascii="Cambria Math" w:hAnsi="Cambria Math"/>
                <w:i/>
              </w:rPr>
            </m:ctrlPr>
          </m:sSubPr>
          <m:e>
            <m:r>
              <w:rPr>
                <w:rFonts w:ascii="Cambria Math" w:hAnsi="Cambria Math"/>
              </w:rPr>
              <m:t>PV[AER]</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×0.6×</m:t>
            </m:r>
            <m:sSub>
              <m:sSubPr>
                <m:ctrlPr>
                  <w:rPr>
                    <w:rFonts w:ascii="Cambria Math" w:hAnsi="Cambria Math"/>
                  </w:rPr>
                </m:ctrlPr>
              </m:sSubPr>
              <m:e>
                <m:r>
                  <w:rPr>
                    <w:rFonts w:ascii="Cambria Math" w:hAnsi="Cambria Math"/>
                  </w:rPr>
                  <m:t>K</m:t>
                </m:r>
              </m:e>
              <m:sub>
                <m:r>
                  <w:rPr>
                    <w:rFonts w:ascii="Cambria Math" w:hAnsi="Cambria Math"/>
                  </w:rPr>
                  <m:t>0</m:t>
                </m:r>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70344D" w:rsidRPr="00BB7CBA">
        <w:t xml:space="preserve"> </w:t>
      </w:r>
    </w:p>
    <w:p w:rsidR="0070344D" w:rsidRDefault="0070344D" w:rsidP="0070344D">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×0.9</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]×0.1)×0.6×E[K</m:t>
                </m:r>
              </m:e>
              <m:sub>
                <m:r>
                  <w:rPr>
                    <w:rFonts w:ascii="Cambria Math" w:hAnsi="Cambria Math"/>
                  </w:rPr>
                  <m:t>1</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70344D" w:rsidRPr="00622F41" w:rsidRDefault="0070344D" w:rsidP="0070344D">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×0.8</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E[rd</m:t>
                    </m:r>
                  </m:e>
                  <m:sub>
                    <m:r>
                      <w:rPr>
                        <w:rFonts w:ascii="Cambria Math" w:hAnsi="Cambria Math"/>
                      </w:rPr>
                      <m:t>1</m:t>
                    </m:r>
                  </m:sub>
                </m:sSub>
                <m:r>
                  <w:rPr>
                    <w:rFonts w:ascii="Cambria Math" w:hAnsi="Cambria Math"/>
                  </w:rPr>
                  <m:t>]×0.1+E[</m:t>
                </m:r>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]×0.1)×0.6×E[K</m:t>
                </m:r>
              </m:e>
              <m:sub>
                <m:r>
                  <w:rPr>
                    <w:rFonts w:ascii="Cambria Math" w:hAnsi="Cambria Math"/>
                  </w:rPr>
                  <m:t>2</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ParaPr>
          <m:jc m:val="left"/>
        </m:oMathParaPr>
        <m:oMath>
          <m:r>
            <w:rPr>
              <w:rFonts w:ascii="Cambria Math" w:hAnsi="Cambria Math"/>
            </w:rPr>
            <m:t>+…</m:t>
          </m:r>
          <m:r>
            <m:rPr>
              <m:sty m:val="p"/>
            </m:rPr>
            <w:rPr>
              <w:rFonts w:ascii="Cambria Math" w:hAnsi="Cambria Math"/>
            </w:rPr>
            <w:br/>
          </m:r>
        </m:oMath>
      </m:oMathPara>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rsidRPr="00BB7CBA">
        <w:t xml:space="preserve"> </w:t>
      </w:r>
      <w:r w:rsidRPr="00BB7CBA">
        <w:br/>
      </w:r>
      <w:r w:rsidRPr="00622F41">
        <w:t xml:space="preserve">The present value of the service providers' proposed return on debt allowance </w:t>
      </w:r>
      <w:r>
        <w:t xml:space="preserve">over the next ten years </w:t>
      </w:r>
      <w:r w:rsidRPr="00622F41">
        <w:t>(under an immediate transition</w:t>
      </w:r>
      <w:r>
        <w:t xml:space="preserve">) at time </w:t>
      </w:r>
      <m:oMath>
        <m:r>
          <w:rPr>
            <w:rFonts w:ascii="Cambria Math" w:hAnsi="Cambria Math"/>
          </w:rPr>
          <m:t>t=0</m:t>
        </m:r>
      </m:oMath>
      <w:r w:rsidRPr="00622F41">
        <w:t xml:space="preserve">  is as follows:</w:t>
      </w:r>
    </w:p>
    <w:p w:rsidR="0070344D" w:rsidRDefault="0091035C" w:rsidP="0070344D">
      <m:oMath>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m:t>
                        </m:r>
                      </m:sub>
                    </m:sSub>
                  </m:e>
                </m:d>
              </m:e>
              <m:sup>
                <m:r>
                  <w:rPr>
                    <w:rFonts w:ascii="Cambria Math" w:hAnsi="Cambria Math"/>
                  </w:rPr>
                  <m:t>1</m:t>
                </m:r>
              </m:sup>
            </m:sSup>
          </m:den>
        </m:f>
      </m:oMath>
      <w:r w:rsidR="0070344D" w:rsidRPr="00BB7CBA">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E[</m:t>
                </m:r>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rsidRPr="00BB7CBA">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E[ </m:t>
                </m:r>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w:rPr>
                                <w:rFonts w:ascii="Cambria Math" w:hAnsi="Cambria Math"/>
                              </w:rPr>
                              <m:t>rd</m:t>
                            </m:r>
                          </m:e>
                          <m:sub>
                            <m:r>
                              <w:rPr>
                                <w:rFonts w:ascii="Cambria Math" w:hAnsi="Cambria Math"/>
                              </w:rPr>
                              <m:t>2</m:t>
                            </m:r>
                          </m:sub>
                        </m:sSub>
                        <m:r>
                          <w:rPr>
                            <w:rFonts w:ascii="Cambria Math" w:hAnsi="Cambria Math"/>
                          </w:rPr>
                          <m:t>]+E[rd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0</m:t>
                        </m:r>
                      </m:sub>
                    </m:sSub>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t xml:space="preserve"> </w:t>
      </w:r>
    </w:p>
    <w:p w:rsidR="0070344D" w:rsidRPr="00622F41" w:rsidRDefault="0070344D" w:rsidP="0070344D">
      <m:oMath>
        <m:r>
          <w:rPr>
            <w:rFonts w:ascii="Cambria Math" w:hAnsi="Cambria Math"/>
          </w:rPr>
          <m:t>+</m:t>
        </m:r>
        <m:r>
          <m:rPr>
            <m:sty m:val="p"/>
          </m:rPr>
          <w:rPr>
            <w:rFonts w:ascii="Cambria Math" w:hAnsi="Cambria Math"/>
          </w:rPr>
          <m:t>…</m:t>
        </m:r>
      </m:oMath>
      <w:r>
        <w:t xml:space="preserve"> </w:t>
      </w:r>
      <w:r w:rsidRPr="00622F41">
        <w:br/>
      </w:r>
      <m:oMath>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0.1×(rd</m:t>
                </m:r>
              </m:e>
              <m:sub>
                <m:r>
                  <w:rPr>
                    <w:rFonts w:ascii="Cambria Math" w:hAnsi="Cambria Math"/>
                  </w:rPr>
                  <m:t>0</m:t>
                </m:r>
              </m:sub>
            </m:sSub>
            <m:sSub>
              <m:sSubPr>
                <m:ctrlPr>
                  <w:rPr>
                    <w:rFonts w:ascii="Cambria Math" w:hAnsi="Cambria Math"/>
                  </w:rPr>
                </m:ctrlPr>
              </m:sSubPr>
              <m:e>
                <m:r>
                  <w:rPr>
                    <w:rFonts w:ascii="Cambria Math" w:hAnsi="Cambria Math"/>
                  </w:rPr>
                  <m:t>+E[</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])×0.6×E[K</m:t>
                            </m:r>
                          </m:e>
                          <m:sub>
                            <m:r>
                              <w:rPr>
                                <w:rFonts w:ascii="Cambria Math" w:hAnsi="Cambria Math"/>
                              </w:rPr>
                              <m:t>9</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0,10</m:t>
                        </m:r>
                      </m:sub>
                    </m:sSub>
                  </m:e>
                </m:d>
              </m:e>
              <m:sup>
                <m:r>
                  <w:rPr>
                    <w:rFonts w:ascii="Cambria Math" w:hAnsi="Cambria Math"/>
                  </w:rPr>
                  <m:t>10</m:t>
                </m:r>
              </m:sup>
            </m:sSup>
          </m:den>
        </m:f>
      </m:oMath>
      <w:r>
        <w:t xml:space="preserve"> </w:t>
      </w:r>
    </w:p>
    <w:p w:rsidR="0070344D" w:rsidRDefault="0070344D" w:rsidP="0070344D">
      <w:r w:rsidRPr="00622F41">
        <w:t xml:space="preserve">Subtracting the present value of </w:t>
      </w:r>
      <w:r>
        <w:t>our</w:t>
      </w:r>
      <w:r w:rsidRPr="00622F41">
        <w:t xml:space="preserve"> return on debt allowance </w:t>
      </w:r>
      <w:r>
        <w:t xml:space="preserve">over the next ten years </w:t>
      </w:r>
      <w:r w:rsidRPr="00622F41">
        <w:t xml:space="preserve">from the present value of the service providers' proposed return on debt allowance </w:t>
      </w:r>
      <w:r>
        <w:t xml:space="preserve">over the next ten years </w:t>
      </w:r>
      <w:r w:rsidRPr="00622F41">
        <w:t>gives the following difference in present value terms:</w:t>
      </w:r>
    </w:p>
    <w:p w:rsidR="0070344D" w:rsidRPr="00622F41" w:rsidRDefault="0091035C" w:rsidP="0070344D">
      <m:oMath>
        <m:sSub>
          <m:sSubPr>
            <m:ctrlPr>
              <w:rPr>
                <w:rFonts w:ascii="Cambria Math" w:hAnsi="Cambria Math"/>
              </w:rPr>
            </m:ctrlPr>
          </m:sSubPr>
          <m:e>
            <m:sSub>
              <m:sSubPr>
                <m:ctrlPr>
                  <w:rPr>
                    <w:rFonts w:ascii="Cambria Math" w:hAnsi="Cambria Math"/>
                  </w:rPr>
                </m:ctrlPr>
              </m:sSubPr>
              <m:e>
                <m:r>
                  <w:rPr>
                    <w:rFonts w:ascii="Cambria Math" w:hAnsi="Cambria Math"/>
                  </w:rPr>
                  <m:t>PV[SP]</m:t>
                </m:r>
              </m:e>
              <m:sub>
                <m:r>
                  <w:rPr>
                    <w:rFonts w:ascii="Cambria Math" w:hAnsi="Cambria Math"/>
                  </w:rPr>
                  <m:t>0</m:t>
                </m:r>
              </m:sub>
            </m:sSub>
            <m:r>
              <w:rPr>
                <w:rFonts w:ascii="Cambria Math" w:hAnsi="Cambria Math"/>
              </w:rPr>
              <m:t>-PV[AER]</m:t>
            </m:r>
          </m:e>
          <m:sub>
            <m:r>
              <w:rPr>
                <w:rFonts w:ascii="Cambria Math" w:hAnsi="Cambria Math"/>
              </w:rPr>
              <m:t>0</m:t>
            </m:r>
          </m:sub>
        </m:sSub>
      </m:oMath>
      <w:r w:rsidR="0070344D">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-9</m:t>
                                </m:r>
                              </m:sub>
                            </m:sSub>
                            <m:r>
                              <w:rPr>
                                <w:rFonts w:ascii="Cambria Math" w:hAnsi="Cambria Math"/>
                              </w:rPr>
                              <m:t>)-</m:t>
                            </m:r>
                            <m:sSub>
                              <m:sSubPr>
                                <m:ctrlPr>
                                  <w:rPr>
                                    <w:rFonts w:ascii="Cambria Math" w:hAnsi="Cambria Math"/>
                                  </w:rPr>
                                </m:ctrlPr>
                              </m:sSubPr>
                              <m:e>
                                <m:r>
                                  <w:rPr>
                                    <w:rFonts w:ascii="Cambria Math" w:hAnsi="Cambria Math"/>
                                  </w:rPr>
                                  <m:t>0.9×rd</m:t>
                                </m:r>
                              </m:e>
                              <m:sub>
                                <m:r>
                                  <w:rPr>
                                    <w:rFonts w:ascii="Cambria Math" w:hAnsi="Cambria Math"/>
                                  </w:rPr>
                                  <m:t>0</m:t>
                                </m:r>
                              </m:sub>
                            </m:sSub>
                            <m:r>
                              <w:rPr>
                                <w:rFonts w:ascii="Cambria Math" w:hAnsi="Cambria Math"/>
                              </w:rPr>
                              <m:t>)×0.6×K</m:t>
                            </m:r>
                          </m:e>
                          <m:sub>
                            <m:r>
                              <w:rPr>
                                <w:rFonts w:ascii="Cambria Math" w:hAnsi="Cambria Math"/>
                              </w:rPr>
                              <m:t>0</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0, 1</m:t>
                        </m:r>
                      </m:sub>
                    </m:sSub>
                  </m:e>
                </m:d>
              </m:e>
              <m:sup>
                <m:r>
                  <w:rPr>
                    <w:rFonts w:ascii="Cambria Math" w:hAnsi="Cambria Math"/>
                  </w:rPr>
                  <m:t>1</m:t>
                </m:r>
              </m:sup>
            </m:sSup>
          </m:den>
        </m:f>
      </m:oMath>
      <w:r w:rsidRPr="00BB7CBA">
        <w:t xml:space="preserve"> </w:t>
      </w:r>
    </w:p>
    <w:p w:rsidR="0070344D" w:rsidRPr="00622F41"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+rd</m:t>
                            </m:r>
                          </m:e>
                          <m:sub>
                            <m:r>
                              <w:rPr>
                                <w:rFonts w:ascii="Cambria Math" w:hAnsi="Cambria Math"/>
                              </w:rPr>
                              <m:t>-8</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0.8×rd</m:t>
                                </m:r>
                              </m:e>
                              <m:sub>
                                <m:r>
                                  <w:rPr>
                                    <w:rFonts w:ascii="Cambria Math" w:hAnsi="Cambria Math"/>
                                  </w:rPr>
                                  <m:t>0</m:t>
                                </m:r>
                              </m:sub>
                            </m:sSub>
                            <m:r>
                              <w:rPr>
                                <w:rFonts w:ascii="Cambria Math" w:hAnsi="Cambria Math"/>
                              </w:rPr>
                              <m:t>)×0.6×E[K</m:t>
                            </m:r>
                          </m:e>
                          <m:sub>
                            <m:r>
                              <w:rPr>
                                <w:rFonts w:ascii="Cambria Math" w:hAnsi="Cambria Math"/>
                              </w:rPr>
                              <m:t>1</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0,2</m:t>
                        </m:r>
                      </m:sub>
                    </m:sSub>
                  </m:e>
                </m:d>
              </m:e>
              <m:sup>
                <m:r>
                  <w:rPr>
                    <w:rFonts w:ascii="Cambria Math" w:hAnsi="Cambria Math"/>
                  </w:rPr>
                  <m:t>2</m:t>
                </m:r>
              </m:sup>
            </m:sSup>
          </m:den>
        </m:f>
      </m:oMath>
      <w:r>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-7</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0.7×rd</m:t>
                                </m:r>
                              </m:e>
                              <m:sub>
                                <m:r>
                                  <w:rPr>
                                    <w:rFonts w:ascii="Cambria Math" w:hAnsi="Cambria Math"/>
                                  </w:rPr>
                                  <m:t>0</m:t>
                                </m:r>
                              </m:sub>
                            </m:sSub>
                            <m:r>
                              <w:rPr>
                                <w:rFonts w:ascii="Cambria Math" w:hAnsi="Cambria Math"/>
                              </w:rPr>
                              <m:t>)×0.6×E[K</m:t>
                            </m:r>
                          </m:e>
                          <m:sub>
                            <m:r>
                              <w:rPr>
                                <w:rFonts w:ascii="Cambria Math" w:hAnsi="Cambria Math"/>
                              </w:rPr>
                              <m:t>2</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0,3</m:t>
                        </m:r>
                      </m:sub>
                    </m:sSub>
                  </m:e>
                </m:d>
              </m:e>
              <m:sup>
                <m:r>
                  <w:rPr>
                    <w:rFonts w:ascii="Cambria Math" w:hAnsi="Cambria Math"/>
                  </w:rPr>
                  <m:t>3</m:t>
                </m:r>
              </m:sup>
            </m:sSup>
          </m:den>
        </m:f>
      </m:oMath>
      <w:r w:rsidRPr="00BB7CBA">
        <w:t xml:space="preserve"> </w:t>
      </w:r>
      <w:r w:rsidRPr="00BB7CBA">
        <w:br/>
      </w:r>
      <m:oMathPara>
        <m:oMath>
          <m:r>
            <m:rPr>
              <m:sty m:val="p"/>
            </m:rPr>
            <w:rPr>
              <w:rFonts w:ascii="Cambria Math" w:hAnsi="Cambria Math"/>
            </w:rPr>
            <w:br/>
          </m:r>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m:t>
                      </m:r>
                      <m:sSub>
                        <m:sSubPr>
                          <m:ctrlPr>
                            <w:rPr>
                              <w:rFonts w:ascii="Cambria Math" w:hAnsi="Cambria Math"/>
                            </w:rPr>
                          </m:ctrlPr>
                        </m:sSub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-6</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0.6×rd</m:t>
                                  </m:r>
                                </m:e>
                                <m:sub>
                                  <m:r>
                                    <w:rPr>
                                      <w:rFonts w:ascii="Cambria Math" w:hAnsi="Cambria Math"/>
                                    </w:rPr>
                                    <m:t>0</m:t>
                                  </m:r>
                                </m:sub>
                              </m:sSub>
                              <m:r>
                                <w:rPr>
                                  <w:rFonts w:ascii="Cambria Math" w:hAnsi="Cambria Math"/>
                                </w:rPr>
                                <m:t>)×0.6×E[K</m:t>
                              </m:r>
                            </m:e>
                            <m:sub>
                              <m:r>
                                <w:rPr>
                                  <w:rFonts w:ascii="Cambria Math" w:hAnsi="Cambria Math"/>
                                </w:rPr>
                                <m:t>3</m:t>
                              </m:r>
                            </m:sub>
                          </m:sSub>
                          <m:r>
                            <w:rPr>
                              <w:rFonts w:ascii="Cambria Math" w:hAnsi="Cambria Math"/>
                            </w:rPr>
                            <m:t xml:space="preserve">] </m:t>
                          </m:r>
                        </m:e>
                        <m:sub/>
                      </m:sSub>
                    </m:e>
                    <m:sub/>
                  </m:sSub>
                </m:e>
                <m:sub/>
              </m:sSub>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0,4</m:t>
                          </m:r>
                        </m:sub>
                      </m:sSub>
                    </m:e>
                  </m:d>
                </m:e>
                <m:sup>
                  <m:r>
                    <w:rPr>
                      <w:rFonts w:ascii="Cambria Math" w:hAnsi="Cambria Math"/>
                    </w:rPr>
                    <m:t>4</m:t>
                  </m:r>
                </m:sup>
              </m:sSup>
            </m:den>
          </m:f>
        </m:oMath>
      </m:oMathPara>
      <w:r w:rsidRPr="00BB7CBA">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-5</m:t>
                            </m:r>
                          </m:sub>
                        </m:sSub>
                        <m:r>
                          <w:rPr>
                            <w:rFonts w:ascii="Cambria Math" w:hAnsi="Cambria Math"/>
                          </w:rPr>
                          <m:t>)-0.5×rd</m:t>
                        </m:r>
                      </m:e>
                      <m:sub>
                        <m:r>
                          <w:rPr>
                            <w:rFonts w:ascii="Cambria Math" w:hAnsi="Cambria Math"/>
                          </w:rPr>
                          <m:t>0</m:t>
                        </m:r>
                      </m:sub>
                    </m:sSub>
                  </m:e>
                </m:d>
                <m:r>
                  <w:rPr>
                    <w:rFonts w:ascii="Cambria Math" w:hAnsi="Cambria Math"/>
                  </w:rPr>
                  <m:t>×0.6×E[K</m:t>
                </m:r>
              </m:e>
              <m:sub>
                <m:r>
                  <w:rPr>
                    <w:rFonts w:ascii="Cambria Math" w:hAnsi="Cambria Math"/>
                  </w:rPr>
                  <m:t>4</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0,5</m:t>
                        </m:r>
                      </m:sub>
                    </m:sSub>
                  </m:e>
                </m:d>
              </m:e>
              <m:sup>
                <m:r>
                  <w:rPr>
                    <w:rFonts w:ascii="Cambria Math" w:hAnsi="Cambria Math"/>
                  </w:rPr>
                  <m:t>5</m:t>
                </m:r>
              </m:sup>
            </m:sSup>
          </m:den>
        </m:f>
      </m:oMath>
      <w:r w:rsidRPr="00BB7CBA">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-4</m:t>
                            </m:r>
                          </m:sub>
                        </m:sSub>
                        <m:r>
                          <w:rPr>
                            <w:rFonts w:ascii="Cambria Math" w:hAnsi="Cambria Math"/>
                          </w:rPr>
                          <m:t>)-0.4×rd</m:t>
                        </m:r>
                      </m:e>
                      <m:sub>
                        <m:r>
                          <w:rPr>
                            <w:rFonts w:ascii="Cambria Math" w:hAnsi="Cambria Math"/>
                          </w:rPr>
                          <m:t>0</m:t>
                        </m:r>
                      </m:sub>
                    </m:sSub>
                  </m:e>
                </m:d>
                <m:r>
                  <w:rPr>
                    <w:rFonts w:ascii="Cambria Math" w:hAnsi="Cambria Math"/>
                  </w:rPr>
                  <m:t>×0.6×E[K</m:t>
                </m:r>
              </m:e>
              <m:sub>
                <m:r>
                  <w:rPr>
                    <w:rFonts w:ascii="Cambria Math" w:hAnsi="Cambria Math"/>
                  </w:rPr>
                  <m:t>5</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0,6</m:t>
                        </m:r>
                      </m:sub>
                    </m:sSub>
                  </m:e>
                </m:d>
              </m:e>
              <m:sup>
                <m:r>
                  <w:rPr>
                    <w:rFonts w:ascii="Cambria Math" w:hAnsi="Cambria Math"/>
                  </w:rPr>
                  <m:t>6</m:t>
                </m:r>
              </m:sup>
            </m:sSup>
          </m:den>
        </m:f>
      </m:oMath>
      <w:r w:rsidRPr="00BB7CBA">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+rd</m:t>
                        </m:r>
                      </m:e>
                      <m:sub>
                        <m:r>
                          <w:rPr>
                            <w:rFonts w:ascii="Cambria Math" w:hAnsi="Cambria Math"/>
                          </w:rPr>
                          <m:t>-3</m:t>
                        </m:r>
                      </m:sub>
                    </m:sSub>
                    <m:sSub>
                      <m:sSubPr>
                        <m:ctrlPr>
                          <w:rPr>
                            <w:rFonts w:ascii="Cambria Math" w:hAnsi="Cambria Math"/>
                          </w:rPr>
                        </m:ctrlPr>
                      </m:sSubPr>
                      <m:e>
                        <m:r>
                          <w:rPr>
                            <w:rFonts w:ascii="Cambria Math" w:hAnsi="Cambria Math"/>
                          </w:rPr>
                          <m:t>)-0.3×rd</m:t>
                        </m:r>
                      </m:e>
                      <m:sub>
                        <m:r>
                          <w:rPr>
                            <w:rFonts w:ascii="Cambria Math" w:hAnsi="Cambria Math"/>
                          </w:rPr>
                          <m:t>0</m:t>
                        </m:r>
                      </m:sub>
                    </m:sSub>
                  </m:e>
                </m:d>
                <m:r>
                  <w:rPr>
                    <w:rFonts w:ascii="Cambria Math" w:hAnsi="Cambria Math"/>
                  </w:rPr>
                  <m:t>×0.6×E[K</m:t>
                </m:r>
              </m:e>
              <m:sub>
                <m:r>
                  <w:rPr>
                    <w:rFonts w:ascii="Cambria Math" w:hAnsi="Cambria Math"/>
                  </w:rPr>
                  <m:t>6</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0,7</m:t>
                        </m:r>
                      </m:sub>
                    </m:sSub>
                  </m:e>
                </m:d>
              </m:e>
              <m:sup>
                <m:r>
                  <w:rPr>
                    <w:rFonts w:ascii="Cambria Math" w:hAnsi="Cambria Math"/>
                  </w:rPr>
                  <m:t>7</m:t>
                </m:r>
              </m:sup>
            </m:sSup>
          </m:den>
        </m:f>
      </m:oMath>
      <w:r w:rsidRPr="00BB7CBA">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-2</m:t>
                        </m:r>
                      </m:sub>
                    </m:sSub>
                    <m:sSub>
                      <m:sSubPr>
                        <m:ctrlPr>
                          <w:rPr>
                            <w:rFonts w:ascii="Cambria Math" w:hAnsi="Cambria Math"/>
                          </w:rPr>
                        </m:ctrlPr>
                      </m:sSubPr>
                      <m:e>
                        <m:r>
                          <w:rPr>
                            <w:rFonts w:ascii="Cambria Math" w:hAnsi="Cambria Math"/>
                          </w:rPr>
                          <m:t>)-0.2×rd</m:t>
                        </m:r>
                      </m:e>
                      <m:sub>
                        <m:r>
                          <w:rPr>
                            <w:rFonts w:ascii="Cambria Math" w:hAnsi="Cambria Math"/>
                          </w:rPr>
                          <m:t>0</m:t>
                        </m:r>
                      </m:sub>
                    </m:sSub>
                  </m:e>
                </m:d>
                <m:r>
                  <w:rPr>
                    <w:rFonts w:ascii="Cambria Math" w:hAnsi="Cambria Math"/>
                  </w:rPr>
                  <m:t>×0.6×E[K</m:t>
                </m:r>
              </m:e>
              <m:sub>
                <m:r>
                  <w:rPr>
                    <w:rFonts w:ascii="Cambria Math" w:hAnsi="Cambria Math"/>
                  </w:rPr>
                  <m:t>7</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0,8</m:t>
                        </m:r>
                      </m:sub>
                    </m:sSub>
                  </m:e>
                </m:d>
              </m:e>
              <m:sup>
                <m:r>
                  <w:rPr>
                    <w:rFonts w:ascii="Cambria Math" w:hAnsi="Cambria Math"/>
                  </w:rPr>
                  <m:t>8</m:t>
                </m:r>
              </m:sup>
            </m:sSup>
          </m:den>
        </m:f>
      </m:oMath>
      <w:r>
        <w:t xml:space="preserve"> </w:t>
      </w:r>
    </w:p>
    <w:p w:rsidR="0070344D" w:rsidRDefault="0070344D" w:rsidP="0070344D">
      <m:oMath>
        <m:r>
          <w:rPr>
            <w:rFonts w:ascii="Cambria Math" w:hAnsi="Cambria Math"/>
          </w:rPr>
          <m:t>+</m:t>
        </m:r>
        <m:f>
          <m:fPr>
            <m:ctrlPr>
              <w:rPr>
                <w:rFonts w:ascii="Cambria Math" w:hAnsi="Cambria Math"/>
              </w:rPr>
            </m:ctrlPr>
          </m:fPr>
          <m:num>
            <m:r>
              <w:rPr>
                <w:rFonts w:ascii="Cambria Math" w:hAnsi="Cambria Math"/>
              </w:rPr>
              <m:t>(0.1×</m:t>
            </m:r>
            <m:sSub>
              <m:sSubPr>
                <m:ctrlPr>
                  <w:rPr>
                    <w:rFonts w:ascii="Cambria Math" w:hAnsi="Cambria Math"/>
                  </w:rPr>
                </m:ctrlPr>
              </m:sSubPr>
              <m:e>
                <m:d>
                  <m:dPr>
                    <m:ctrlPr>
                      <w:rPr>
                        <w:rFonts w:ascii="Cambria Math" w:hAnsi="Cambria Math"/>
                      </w:rPr>
                    </m:ctrlPr>
                  </m:dPr>
                  <m:e>
                    <m:r>
                      <w:rPr>
                        <w:rFonts w:ascii="Cambria Math" w:hAnsi="Cambria Math"/>
                      </w:rPr>
                      <m:t xml:space="preserve"> </m:t>
                    </m:r>
                    <m:sSub>
                      <m:sSubPr>
                        <m:ctrlPr>
                          <w:rPr>
                            <w:rFonts w:ascii="Cambria Math" w:hAnsi="Cambria Math"/>
                          </w:rPr>
                        </m:ctrlPr>
                      </m:sSubPr>
                      <m:e>
                        <m:r>
                          <w:rPr>
                            <w:rFonts w:ascii="Cambria Math" w:hAnsi="Cambria Math"/>
                          </w:rPr>
                          <m:t>rd</m:t>
                        </m:r>
                      </m:e>
                      <m:sub>
                        <m:r>
                          <w:rPr>
                            <w:rFonts w:ascii="Cambria Math" w:hAnsi="Cambria Math"/>
                          </w:rPr>
                          <m:t>-1</m:t>
                        </m:r>
                      </m:sub>
                    </m:sSub>
                    <m:sSub>
                      <m:sSubPr>
                        <m:ctrlPr>
                          <w:rPr>
                            <w:rFonts w:ascii="Cambria Math" w:hAnsi="Cambria Math"/>
                          </w:rPr>
                        </m:ctrlPr>
                      </m:sSubPr>
                      <m:e>
                        <m:r>
                          <w:rPr>
                            <w:rFonts w:ascii="Cambria Math" w:hAnsi="Cambria Math"/>
                          </w:rPr>
                          <m:t>)-0.1×rd</m:t>
                        </m:r>
                      </m:e>
                      <m:sub>
                        <m:r>
                          <w:rPr>
                            <w:rFonts w:ascii="Cambria Math" w:hAnsi="Cambria Math"/>
                          </w:rPr>
                          <m:t>0</m:t>
                        </m:r>
                      </m:sub>
                    </m:sSub>
                  </m:e>
                </m:d>
                <m:r>
                  <w:rPr>
                    <w:rFonts w:ascii="Cambria Math" w:hAnsi="Cambria Math"/>
                  </w:rPr>
                  <m:t>×0.6×E[K</m:t>
                </m:r>
              </m:e>
              <m:sub>
                <m:r>
                  <w:rPr>
                    <w:rFonts w:ascii="Cambria Math" w:hAnsi="Cambria Math"/>
                  </w:rPr>
                  <m:t>8</m:t>
                </m:r>
              </m:sub>
            </m:sSub>
            <m:r>
              <w:rPr>
                <w:rFonts w:ascii="Cambria Math" w:hAnsi="Cambria Math"/>
              </w:rPr>
              <m:t>]</m:t>
            </m:r>
          </m:num>
          <m:den>
            <m:sSup>
              <m:sSupPr>
                <m:ctrlPr>
                  <w:rPr>
                    <w:rFonts w:ascii="Cambria Math" w:hAnsi="Cambria Math"/>
                  </w:rPr>
                </m:ctrlPr>
              </m:sSupPr>
              <m:e>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0,9</m:t>
                        </m:r>
                      </m:sub>
                    </m:sSub>
                  </m:e>
                </m:d>
              </m:e>
              <m:sup>
                <m:r>
                  <w:rPr>
                    <w:rFonts w:ascii="Cambria Math" w:hAnsi="Cambria Math"/>
                  </w:rPr>
                  <m:t>9</m:t>
                </m:r>
              </m:sup>
            </m:sSup>
          </m:den>
        </m:f>
      </m:oMath>
      <w:r w:rsidRPr="00BB7CBA">
        <w:t xml:space="preserve"> </w:t>
      </w:r>
    </w:p>
    <w:p w:rsidR="0070344D" w:rsidRDefault="0070344D" w:rsidP="0070344D">
      <m:oMath>
        <m:r>
          <w:rPr>
            <w:rFonts w:ascii="Cambria Math" w:hAnsi="Cambria Math"/>
          </w:rPr>
          <m:t>+0</m:t>
        </m:r>
      </m:oMath>
      <w:r>
        <w:t xml:space="preserve"> </w:t>
      </w:r>
    </w:p>
    <w:p w:rsidR="0070344D" w:rsidRPr="00374BCA" w:rsidRDefault="0070344D" w:rsidP="0070344D">
      <w:r>
        <w:t>We can conclude s</w:t>
      </w:r>
      <w:r w:rsidRPr="00374BCA">
        <w:t>everal things from the</w:t>
      </w:r>
      <w:r>
        <w:t xml:space="preserve"> above</w:t>
      </w:r>
      <w:r w:rsidRPr="00374BCA">
        <w:t xml:space="preserve"> calculation in relation to the expected </w:t>
      </w:r>
      <w:r>
        <w:t>return on debt</w:t>
      </w:r>
      <w:r w:rsidRPr="00374BCA">
        <w:t xml:space="preserve"> allowance:</w:t>
      </w:r>
    </w:p>
    <w:p w:rsidR="0070344D" w:rsidRPr="0070344D" w:rsidRDefault="0070344D" w:rsidP="0070344D">
      <w:pPr>
        <w:pStyle w:val="AERbulletlistfirststyle"/>
      </w:pPr>
      <w:r w:rsidRPr="00374BCA">
        <w:t>Assuming you use the same data series, term and</w:t>
      </w:r>
      <w:r w:rsidRPr="0070344D">
        <w:t xml:space="preserve"> credit rating, the difference between our proposed return on debt allowance and the service providers' proposed return on debt allowance is a fixed amount in each of the first nine years.</w:t>
      </w:r>
      <w:r w:rsidRPr="0070344D">
        <w:rPr>
          <w:rStyle w:val="FootnoteReference"/>
        </w:rPr>
        <w:footnoteReference w:id="1212"/>
      </w:r>
    </w:p>
    <w:p w:rsidR="0070344D" w:rsidRPr="0070344D" w:rsidRDefault="0070344D" w:rsidP="0070344D">
      <w:pPr>
        <w:pStyle w:val="AERbulletlistfirststyle"/>
      </w:pPr>
      <w:r w:rsidRPr="00374BCA">
        <w:t xml:space="preserve">Assuming you use the same data series, term and credit rating, there is no difference between </w:t>
      </w:r>
      <w:r w:rsidRPr="0070344D">
        <w:t>our proposed return on debt allowance and the service providers' proposed return on debt allowance from year ten onwards.</w:t>
      </w:r>
    </w:p>
    <w:p w:rsidR="0070344D" w:rsidRPr="0070344D" w:rsidRDefault="0070344D" w:rsidP="0070344D">
      <w:pPr>
        <w:pStyle w:val="AERbulletlistfirststyle"/>
      </w:pPr>
      <w:r w:rsidRPr="00374BCA">
        <w:t xml:space="preserve">The present value of the difference in </w:t>
      </w:r>
      <w:r w:rsidRPr="0070344D">
        <w:t>our proposed return on debt allowance and the service providers' proposed return on debt allowance for each of the next nine years can be calculated today.</w:t>
      </w:r>
      <w:r w:rsidRPr="0070344D">
        <w:rPr>
          <w:rStyle w:val="FootnoteReference"/>
        </w:rPr>
        <w:footnoteReference w:id="1213"/>
      </w:r>
      <w:r w:rsidRPr="0070344D">
        <w:t xml:space="preserve"> This total present value is a sum of the difference in values for each of the next nine years (as shown above).</w:t>
      </w:r>
    </w:p>
    <w:p w:rsidR="0070344D" w:rsidRPr="0070344D" w:rsidRDefault="0070344D" w:rsidP="0070344D">
      <w:pPr>
        <w:pStyle w:val="AERbulletlistfirststyle"/>
      </w:pPr>
      <w:r w:rsidRPr="00374BCA">
        <w:t xml:space="preserve">Given that current interest rates are well below average historical rates over the last </w:t>
      </w:r>
      <w:r w:rsidRPr="0070344D">
        <w:t>nine years, the service providers' proposed return on debt allowance will have a materially higher present value than our proposed return on debt allowance (over both the upcoming regulatory period and the next nine years). For the reasons discussed earlier, this is inconsistent with the zero NPV investment condition and will not meet the ARORO or NEO/NGO. It is worth noting that current interest rates could have similarly moved above historical rates and this would have required a transition to avoid undercompensating a benchmark efficient entity.</w:t>
      </w:r>
    </w:p>
    <w:p w:rsidR="0070344D" w:rsidRPr="00374BCA" w:rsidRDefault="0070344D" w:rsidP="0070344D">
      <w:r w:rsidRPr="00374BCA">
        <w:t xml:space="preserve">We note that </w:t>
      </w:r>
      <w:r>
        <w:t xml:space="preserve">although the service providers have proposed an immediate transition, many have also proposed a partial hybrid transition as a second preference to their proposals (explained in section </w:t>
      </w:r>
      <w:r>
        <w:fldChar w:fldCharType="begin"/>
      </w:r>
      <w:r>
        <w:instrText xml:space="preserve"> REF _Ref447886226 \r \h </w:instrText>
      </w:r>
      <w:r>
        <w:fldChar w:fldCharType="separate"/>
      </w:r>
      <w:r>
        <w:t>H.5.2</w:t>
      </w:r>
      <w:r>
        <w:fldChar w:fldCharType="end"/>
      </w:r>
      <w:r>
        <w:t>).</w:t>
      </w:r>
      <w:r>
        <w:rPr>
          <w:rStyle w:val="FootnoteReference"/>
        </w:rPr>
        <w:footnoteReference w:id="1214"/>
      </w:r>
      <w:r>
        <w:t xml:space="preserve"> U</w:t>
      </w:r>
      <w:r w:rsidRPr="00374BCA">
        <w:t>nder the</w:t>
      </w:r>
      <w:r>
        <w:t>se</w:t>
      </w:r>
      <w:r w:rsidRPr="00374BCA">
        <w:t xml:space="preserve"> proposed alternative approaches the above propositions also hold (</w:t>
      </w:r>
      <w:r>
        <w:t>that is,</w:t>
      </w:r>
      <w:r w:rsidRPr="00374BCA">
        <w:t xml:space="preserve"> the difference in each year will be a fixed amount that can be quantified and valued), although the difference in each of the next nine years between </w:t>
      </w:r>
      <w:r>
        <w:t>our</w:t>
      </w:r>
      <w:r w:rsidRPr="00374BCA">
        <w:t xml:space="preserve"> approach and the </w:t>
      </w:r>
      <w:r>
        <w:t>service provider</w:t>
      </w:r>
      <w:r w:rsidRPr="00374BCA">
        <w:t>s</w:t>
      </w:r>
      <w:r>
        <w:t>'</w:t>
      </w:r>
      <w:r w:rsidRPr="00374BCA">
        <w:t xml:space="preserve"> proposed approach will differ depending on the approach proposed.</w:t>
      </w:r>
    </w:p>
    <w:p w:rsidR="0070344D" w:rsidRDefault="0070344D" w:rsidP="0070344D">
      <w:r>
        <w:t>I</w:t>
      </w:r>
      <w:r w:rsidRPr="00374BCA">
        <w:t xml:space="preserve">n relation to the </w:t>
      </w:r>
      <w:r>
        <w:t>risk associated with</w:t>
      </w:r>
      <w:r w:rsidRPr="00374BCA">
        <w:t xml:space="preserve"> the alternative return on debt allowances, </w:t>
      </w:r>
      <w:r>
        <w:t>the key interest rate risk associated with the allowed return on debt cash flow streams in each future year appears to come from rolling future interest rates into the trailing average. As all proposed allowances roll the same future interest rates in at a rate of 1/10 per year, the risk associated with the uncertainty from these rates should be the same across transition approaches. This implies that any mismatch risk associated with future interest rate uncertainty might be expected to be the same or similar under all transition approaches.</w:t>
      </w:r>
      <w:r>
        <w:rPr>
          <w:rStyle w:val="FootnoteReference"/>
        </w:rPr>
        <w:footnoteReference w:id="1215"/>
      </w:r>
      <w:r>
        <w:t xml:space="preserve"> </w:t>
      </w:r>
    </w:p>
    <w:p w:rsidR="0070344D" w:rsidRDefault="0070344D" w:rsidP="0070344D">
      <w:r>
        <w:t>This above analysis implies the key difference between our proposed return on debt allowance and the service providers' alternatives appears to be fixed changes in the present value of a benchmark efficient entity from the change in methodology. This change in value would represent a transfer between a benchmark efficient entity's shareholders and consumers, which would vary in quantum depending on the particular transition proposed. Partington and Satchell support this view, stating:</w:t>
      </w:r>
      <w:r>
        <w:rPr>
          <w:rStyle w:val="FootnoteReference"/>
        </w:rPr>
        <w:footnoteReference w:id="1216"/>
      </w:r>
    </w:p>
    <w:p w:rsidR="0070344D" w:rsidRDefault="0070344D" w:rsidP="0070344D">
      <w:pPr>
        <w:pStyle w:val="AERquote"/>
      </w:pPr>
      <w:r w:rsidRPr="004951FD">
        <w:t>It is also clear that the change to a trailing average if fully implemented immediately has substantial wealth effects. Substantial wealth transfers, whether to or from the regulated businesses, simply as a consequence of a relatively sudden regulatory change is undesirable.</w:t>
      </w:r>
    </w:p>
    <w:p w:rsidR="0070344D" w:rsidRPr="00374BCA" w:rsidRDefault="0070344D" w:rsidP="0070344D">
      <w:pPr>
        <w:pStyle w:val="Heading9"/>
      </w:pPr>
      <w:bookmarkStart w:id="359" w:name="_Ref447886226"/>
      <w:r>
        <w:t>Revised regulatory proposals</w:t>
      </w:r>
      <w:bookmarkEnd w:id="359"/>
      <w:r w:rsidRPr="00374BCA">
        <w:t xml:space="preserve"> </w:t>
      </w:r>
    </w:p>
    <w:p w:rsidR="0070344D" w:rsidRDefault="0070344D" w:rsidP="0070344D">
      <w:r>
        <w:t>Initially, the service providers currently under assessment proposed a 'hybrid transition'. This combined a 10 year transition of the base rate</w:t>
      </w:r>
      <w:r w:rsidRPr="007D2546">
        <w:t xml:space="preserve"> into a trailing average approach with a backwards looking trailing average </w:t>
      </w:r>
      <w:r>
        <w:t xml:space="preserve">DRP. </w:t>
      </w:r>
    </w:p>
    <w:p w:rsidR="0070344D" w:rsidRDefault="0070344D" w:rsidP="0070344D">
      <w:r>
        <w:t>In their revised regulatory proposals, these services providers have changed their preferences towards immediately adopting</w:t>
      </w:r>
      <w:r w:rsidRPr="007D2546">
        <w:t xml:space="preserve"> a backwards looking trailing average approach.</w:t>
      </w:r>
      <w:r>
        <w:t xml:space="preserve"> However, they generally also submitted a second preference for a hybrid transition under partial hedging.</w:t>
      </w:r>
      <w:r w:rsidRPr="00032CB4">
        <w:rPr>
          <w:rStyle w:val="FootnoteReference"/>
        </w:rPr>
        <w:footnoteReference w:id="1217"/>
      </w:r>
      <w:r>
        <w:t xml:space="preserve"> The hybrid transition under partial hedging entails assuming</w:t>
      </w:r>
      <w:r w:rsidRPr="00032CB4">
        <w:t xml:space="preserve"> a benchmark efficient entity hedged </w:t>
      </w:r>
      <w:r>
        <w:t>one third</w:t>
      </w:r>
      <w:r w:rsidRPr="00032CB4">
        <w:t xml:space="preserve"> of the base rate </w:t>
      </w:r>
      <w:r>
        <w:t>and only transitioning this component of the return on debt</w:t>
      </w:r>
      <w:r w:rsidRPr="00032CB4">
        <w:t>.</w:t>
      </w:r>
      <w:r w:rsidRPr="00032CB4">
        <w:rPr>
          <w:rStyle w:val="FootnoteReference"/>
        </w:rPr>
        <w:footnoteReference w:id="1218"/>
      </w:r>
      <w:r>
        <w:t xml:space="preserve"> We do not agree with the reasons provided for adopting either of these preferences, which we respond to separately in the following sections.</w:t>
      </w:r>
    </w:p>
    <w:p w:rsidR="0070344D" w:rsidRDefault="0070344D" w:rsidP="0070344D">
      <w:r>
        <w:t>It is also worth noting that this change in service providers' positions results in a notable increase in the allowed return on debt. The CCP3 submits that following this new position, service providers are now proposing a higher effective DRP than what they would have incurred during the Global Financial Crisis.</w:t>
      </w:r>
      <w:r>
        <w:rPr>
          <w:rStyle w:val="FootnoteReference"/>
        </w:rPr>
        <w:footnoteReference w:id="1219"/>
      </w:r>
      <w:r>
        <w:t xml:space="preserve"> It subsequently advises:</w:t>
      </w:r>
      <w:r>
        <w:rPr>
          <w:rStyle w:val="FootnoteReference"/>
        </w:rPr>
        <w:footnoteReference w:id="1220"/>
      </w:r>
    </w:p>
    <w:p w:rsidR="0070344D" w:rsidRDefault="0070344D" w:rsidP="0070344D">
      <w:pPr>
        <w:pStyle w:val="AERquote"/>
      </w:pPr>
      <w:r w:rsidRPr="00BA615F">
        <w:t>CCP3 does not consider that the DNSPs’ revised RoD proposals for 2016</w:t>
      </w:r>
      <w:r w:rsidRPr="0070344D">
        <w:rPr>
          <w:rFonts w:ascii="Cambria Math" w:hAnsi="Cambria Math" w:cs="Cambria Math"/>
        </w:rPr>
        <w:t>‐</w:t>
      </w:r>
      <w:r>
        <w:t xml:space="preserve">20 reflect a </w:t>
      </w:r>
      <w:r w:rsidRPr="00BA615F">
        <w:t xml:space="preserve">reasonable expectation of their current overall efficient </w:t>
      </w:r>
      <w:r>
        <w:t xml:space="preserve">debt portfolio costs; nor do the </w:t>
      </w:r>
      <w:r w:rsidRPr="00BA615F">
        <w:t>RoD proposals reflect</w:t>
      </w:r>
      <w:r>
        <w:t xml:space="preserve"> expected future debt costs.</w:t>
      </w:r>
    </w:p>
    <w:p w:rsidR="0070344D" w:rsidRPr="008B2981" w:rsidRDefault="0070344D" w:rsidP="0070344D">
      <w:pPr>
        <w:pStyle w:val="HeadingBoldBlue"/>
      </w:pPr>
      <w:r w:rsidRPr="008B2981">
        <w:t>Proposals for immediately adopting a trailing average</w:t>
      </w:r>
    </w:p>
    <w:p w:rsidR="0070344D" w:rsidRDefault="0070344D" w:rsidP="0070344D">
      <w:r>
        <w:t xml:space="preserve">Service providers submitted a range of (often interrelated) reasons for supporting the change in preference seen in their revised proposals towards immediately transitioning to a trailing average. We do not agree with the logic driving this change in preference, which </w:t>
      </w:r>
      <w:r>
        <w:fldChar w:fldCharType="begin"/>
      </w:r>
      <w:r>
        <w:instrText xml:space="preserve"> REF  _Ref447807493 \* Lower \h </w:instrText>
      </w:r>
      <w:r>
        <w:fldChar w:fldCharType="separate"/>
      </w:r>
      <w:r>
        <w:t xml:space="preserve">table </w:t>
      </w:r>
      <w:r w:rsidRPr="0070344D">
        <w:t>3</w:t>
      </w:r>
      <w:r>
        <w:noBreakHyphen/>
      </w:r>
      <w:r w:rsidRPr="0070344D">
        <w:t>40</w:t>
      </w:r>
      <w:r>
        <w:fldChar w:fldCharType="end"/>
      </w:r>
      <w:r>
        <w:t xml:space="preserve"> addresses. </w:t>
      </w:r>
    </w:p>
    <w:p w:rsidR="0070344D" w:rsidRDefault="0070344D" w:rsidP="0070344D">
      <w:pPr>
        <w:pStyle w:val="Caption"/>
      </w:pPr>
      <w:bookmarkStart w:id="360" w:name="_Ref447807493"/>
      <w:r>
        <w:t xml:space="preserve">Table </w:t>
      </w:r>
      <w:r w:rsidRPr="00BB7CBA">
        <w:fldChar w:fldCharType="begin"/>
      </w:r>
      <w:r>
        <w:instrText xml:space="preserve"> STYLEREF 1 \s </w:instrText>
      </w:r>
      <w:r w:rsidRPr="00BB7CBA">
        <w:fldChar w:fldCharType="separate"/>
      </w:r>
      <w:r w:rsidRPr="0070344D">
        <w:t>3</w:t>
      </w:r>
      <w:r w:rsidRPr="00BB7CBA">
        <w:fldChar w:fldCharType="end"/>
      </w:r>
      <w:r>
        <w:noBreakHyphen/>
      </w:r>
      <w:r w:rsidRPr="00BB7CBA">
        <w:fldChar w:fldCharType="begin"/>
      </w:r>
      <w:r>
        <w:instrText xml:space="preserve"> SEQ Table \* ARABIC \s 1 </w:instrText>
      </w:r>
      <w:r w:rsidRPr="00BB7CBA">
        <w:fldChar w:fldCharType="separate"/>
      </w:r>
      <w:r w:rsidRPr="0070344D">
        <w:t>40</w:t>
      </w:r>
      <w:r w:rsidRPr="00BB7CBA">
        <w:fldChar w:fldCharType="end"/>
      </w:r>
      <w:bookmarkEnd w:id="360"/>
      <w:r>
        <w:t xml:space="preserve"> </w:t>
      </w:r>
      <w:r>
        <w:tab/>
        <w:t>AER view of reasons in revised regulatory proposals</w:t>
      </w:r>
    </w:p>
    <w:tbl>
      <w:tblPr>
        <w:tblStyle w:val="AERtable-text0"/>
        <w:tblW w:w="0" w:type="auto"/>
        <w:tblLook w:val="04A0" w:firstRow="1" w:lastRow="0" w:firstColumn="1" w:lastColumn="0" w:noHBand="0" w:noVBand="1"/>
      </w:tblPr>
      <w:tblGrid>
        <w:gridCol w:w="2802"/>
        <w:gridCol w:w="5891"/>
      </w:tblGrid>
      <w:tr w:rsidR="0070344D" w:rsidTr="009C74CF">
        <w:trPr>
          <w:cnfStyle w:val="100000000000" w:firstRow="1" w:lastRow="0" w:firstColumn="0" w:lastColumn="0" w:oddVBand="0" w:evenVBand="0" w:oddHBand="0" w:evenHBand="0" w:firstRowFirstColumn="0" w:firstRowLastColumn="0" w:lastRowFirstColumn="0" w:lastRowLastColumn="0"/>
        </w:trPr>
        <w:tc>
          <w:tcPr>
            <w:tcW w:w="2802" w:type="dxa"/>
          </w:tcPr>
          <w:p w:rsidR="0070344D" w:rsidRPr="0070344D" w:rsidRDefault="0070344D" w:rsidP="0070344D">
            <w:r>
              <w:t>Reason provided in revised regulatory proposals</w:t>
            </w:r>
          </w:p>
        </w:tc>
        <w:tc>
          <w:tcPr>
            <w:tcW w:w="5891" w:type="dxa"/>
          </w:tcPr>
          <w:p w:rsidR="0070344D" w:rsidRPr="0070344D" w:rsidRDefault="0070344D" w:rsidP="0070344D">
            <w:r>
              <w:t>AER view</w:t>
            </w:r>
          </w:p>
        </w:tc>
      </w:tr>
      <w:tr w:rsidR="0070344D" w:rsidTr="009C74CF">
        <w:tc>
          <w:tcPr>
            <w:tcW w:w="2802" w:type="dxa"/>
          </w:tcPr>
          <w:p w:rsidR="0070344D" w:rsidRPr="0070344D" w:rsidRDefault="0070344D" w:rsidP="0070344D">
            <w:r>
              <w:t>A</w:t>
            </w:r>
            <w:r w:rsidRPr="0070344D">
              <w:t xml:space="preserve">n immediate (or hybrid) transition is consistent with a historically-based definition of efficient financing costs. </w:t>
            </w:r>
          </w:p>
        </w:tc>
        <w:tc>
          <w:tcPr>
            <w:tcW w:w="5891" w:type="dxa"/>
          </w:tcPr>
          <w:p w:rsidR="0070344D" w:rsidRPr="0070344D" w:rsidRDefault="0070344D" w:rsidP="0070344D">
            <w:r>
              <w:t>We do not consider 'efficient financing costs' in the ARORO refers to historical costs, requiring compensation for losses</w:t>
            </w:r>
            <w:r w:rsidRPr="0070344D">
              <w:t xml:space="preserve"> (or gains) from unhedged mismatch with the previous regulatory allowance. Rather, achieving the ARORO requires a benchmark efficient entity be ex-ante appropriately compensated in present value terms and for the allowance to lead to efficient compensation (see section </w:t>
            </w:r>
            <w:r w:rsidRPr="0070344D">
              <w:fldChar w:fldCharType="begin"/>
            </w:r>
            <w:r w:rsidRPr="0070344D">
              <w:instrText xml:space="preserve"> REF _Ref446603900 \r \h </w:instrText>
            </w:r>
            <w:r w:rsidRPr="0070344D">
              <w:fldChar w:fldCharType="separate"/>
            </w:r>
            <w:r w:rsidRPr="0070344D">
              <w:t>H.2.1</w:t>
            </w:r>
            <w:r w:rsidRPr="0070344D">
              <w:fldChar w:fldCharType="end"/>
            </w:r>
            <w:r w:rsidRPr="0070344D">
              <w:t xml:space="preserve">). If provided with ex-ante efficient compensation, then a benchmark efficient entity has a reasonable opportunity to recover its efficient debt financing costs. </w:t>
            </w:r>
          </w:p>
          <w:p w:rsidR="0070344D" w:rsidRPr="0070344D" w:rsidRDefault="0070344D" w:rsidP="0070344D">
            <w:r>
              <w:t>The</w:t>
            </w:r>
            <w:r w:rsidRPr="0070344D">
              <w:t xml:space="preserve"> on-the-day rate is an appropriate measure of 'efficient financing costs' and reflects the prevailing cost of debt in the capital market near the commencement of the regulatory period. This is consistent with the cost of capital being a forward-looking opportunity cost (see section </w:t>
            </w:r>
            <w:r w:rsidRPr="0070344D">
              <w:fldChar w:fldCharType="begin"/>
            </w:r>
            <w:r w:rsidRPr="0070344D">
              <w:instrText xml:space="preserve"> REF _Ref446405872 \r \h </w:instrText>
            </w:r>
            <w:r w:rsidRPr="0070344D">
              <w:fldChar w:fldCharType="separate"/>
            </w:r>
            <w:r w:rsidRPr="0070344D">
              <w:t>H.1.1</w:t>
            </w:r>
            <w:r w:rsidRPr="0070344D">
              <w:fldChar w:fldCharType="end"/>
            </w:r>
            <w:r w:rsidRPr="0070344D">
              <w:t>).</w:t>
            </w:r>
            <w:r w:rsidRPr="0070344D">
              <w:rPr>
                <w:rStyle w:val="FootnoteReference"/>
              </w:rPr>
              <w:footnoteReference w:id="1221"/>
            </w:r>
          </w:p>
          <w:p w:rsidR="0070344D" w:rsidRPr="0070344D" w:rsidRDefault="0070344D" w:rsidP="0070344D">
            <w:r>
              <w:t>The</w:t>
            </w:r>
            <w:r w:rsidRPr="0070344D">
              <w:t xml:space="preserve"> trailing average approach can also reflect prevailing market rates because one-tenth of the historical average is updated each year to reflect prevailing market rates (see section </w:t>
            </w:r>
            <w:r w:rsidRPr="0070344D">
              <w:fldChar w:fldCharType="begin"/>
            </w:r>
            <w:r w:rsidRPr="0070344D">
              <w:instrText xml:space="preserve"> REF _Ref444773920 \r \h </w:instrText>
            </w:r>
            <w:r w:rsidRPr="0070344D">
              <w:fldChar w:fldCharType="separate"/>
            </w:r>
            <w:r w:rsidRPr="0070344D">
              <w:t>H.3.3</w:t>
            </w:r>
            <w:r w:rsidRPr="0070344D">
              <w:fldChar w:fldCharType="end"/>
            </w:r>
            <w:r w:rsidRPr="0070344D">
              <w:t>). However, it is important to transition into this approach in a forward-looking manner using efficient prevailing market rates (as our full transition does). Without this, we would be providing an allowance based on historical costs, which unless by chance, will differ from prevailing (or current) market rates and is therefore not reflective of efficient costs.</w:t>
            </w:r>
          </w:p>
        </w:tc>
      </w:tr>
      <w:tr w:rsidR="0070344D" w:rsidTr="009C74CF">
        <w:trPr>
          <w:cnfStyle w:val="000000010000" w:firstRow="0" w:lastRow="0" w:firstColumn="0" w:lastColumn="0" w:oddVBand="0" w:evenVBand="0" w:oddHBand="0" w:evenHBand="1" w:firstRowFirstColumn="0" w:firstRowLastColumn="0" w:lastRowFirstColumn="0" w:lastRowLastColumn="0"/>
        </w:trPr>
        <w:tc>
          <w:tcPr>
            <w:tcW w:w="2802" w:type="dxa"/>
          </w:tcPr>
          <w:p w:rsidR="0070344D" w:rsidRPr="0070344D" w:rsidRDefault="0070344D" w:rsidP="0070344D">
            <w:r>
              <w:t>I</w:t>
            </w:r>
            <w:r w:rsidRPr="0070344D">
              <w:t>mmediately implementing a trailing average (in whole or part) would reduce the ex-post 'mismatch' between the allowed return on debt cash flows and a benchmark efficient entity's actual (historical) debt costs (or cash outflows).</w:t>
            </w:r>
            <w:r w:rsidRPr="0070344D">
              <w:rPr>
                <w:rStyle w:val="FootnoteReference"/>
              </w:rPr>
              <w:footnoteReference w:id="1222"/>
            </w:r>
            <w:r w:rsidRPr="0070344D">
              <w:t xml:space="preserve"> </w:t>
            </w:r>
          </w:p>
        </w:tc>
        <w:tc>
          <w:tcPr>
            <w:tcW w:w="5891" w:type="dxa"/>
          </w:tcPr>
          <w:p w:rsidR="0070344D" w:rsidRPr="0070344D" w:rsidRDefault="0070344D" w:rsidP="0070344D">
            <w:r>
              <w:t xml:space="preserve">As discussed in </w:t>
            </w:r>
            <w:r w:rsidRPr="0070344D">
              <w:t xml:space="preserve">section </w:t>
            </w:r>
            <w:r w:rsidRPr="0070344D">
              <w:fldChar w:fldCharType="begin"/>
            </w:r>
            <w:r w:rsidRPr="0070344D">
              <w:instrText xml:space="preserve"> REF _Ref446603900 \r \h </w:instrText>
            </w:r>
            <w:r w:rsidRPr="0070344D">
              <w:fldChar w:fldCharType="separate"/>
            </w:r>
            <w:r w:rsidRPr="0070344D">
              <w:t>H.2.1</w:t>
            </w:r>
            <w:r w:rsidRPr="0070344D">
              <w:fldChar w:fldCharType="end"/>
            </w:r>
            <w:r w:rsidRPr="0070344D">
              <w:t>, some mismatch between the allowed return on debt cash flows and a benchmark efficient entity's actual (historical) debt costs is expected under an ex-ante regime and this is consistent with the ARORO. However, we do not consider that removing the realisations of mismatch risk ex-post would meet the requirement to appropriately compensate a benchmark efficient entity (ex-ante) for its efficient financing costs. This is particularly because we ex-ante compensate a benchmark efficient entity for bearing this risk.</w:t>
            </w:r>
            <w:r w:rsidRPr="0070344D">
              <w:rPr>
                <w:rStyle w:val="FootnoteReference"/>
              </w:rPr>
              <w:footnoteReference w:id="1223"/>
            </w:r>
          </w:p>
          <w:p w:rsidR="0070344D" w:rsidRPr="0070344D" w:rsidRDefault="0070344D" w:rsidP="0070344D">
            <w:r>
              <w:t xml:space="preserve">We consider that </w:t>
            </w:r>
            <w:r w:rsidRPr="0070344D">
              <w:t>under ex-ante regulation, we are required to have regard to the desirability of reducing the risk of a mismatch (going forward).</w:t>
            </w:r>
            <w:r w:rsidRPr="0070344D">
              <w:rPr>
                <w:rStyle w:val="FootnoteReference"/>
              </w:rPr>
              <w:footnoteReference w:id="1224"/>
            </w:r>
            <w:r w:rsidRPr="0070344D">
              <w:t xml:space="preserve"> In contrast to what service providers suggest, we are not required to remove a mismatch that has eventuated (ex-post). Ex-post mismatch reflects the realisation of interest rate risk that has already occurred and cannot be hedged.</w:t>
            </w:r>
            <w:r w:rsidRPr="0070344D">
              <w:rPr>
                <w:rStyle w:val="FootnoteReference"/>
              </w:rPr>
              <w:footnoteReference w:id="1225"/>
            </w:r>
            <w:r w:rsidRPr="0070344D">
              <w:t xml:space="preserve"> The equity value of the service providers we regulate should already reflect the value of any losses (or gains) from interest rate movements.</w:t>
            </w:r>
            <w:r w:rsidRPr="0070344D">
              <w:rPr>
                <w:rStyle w:val="FootnoteReference"/>
              </w:rPr>
              <w:footnoteReference w:id="1226"/>
            </w:r>
          </w:p>
          <w:p w:rsidR="0070344D" w:rsidRPr="0070344D" w:rsidRDefault="0070344D" w:rsidP="0070344D">
            <w:r w:rsidRPr="006E1707">
              <w:t xml:space="preserve">We consider the desirability of reducing mismatch risk is only applicable to new debt. </w:t>
            </w:r>
            <w:r w:rsidRPr="0070344D">
              <w:t xml:space="preserve">All proposed approaches (immediate, hybrid and full transition) have 10 per cent of the allowed return on debt reset each year (see section </w:t>
            </w:r>
            <w:r w:rsidRPr="0070344D">
              <w:fldChar w:fldCharType="begin"/>
            </w:r>
            <w:r w:rsidRPr="0070344D">
              <w:instrText xml:space="preserve"> REF _Ref447886159 \r \h </w:instrText>
            </w:r>
            <w:r w:rsidRPr="0070344D">
              <w:fldChar w:fldCharType="separate"/>
            </w:r>
            <w:r w:rsidRPr="0070344D">
              <w:t>H.5.1</w:t>
            </w:r>
            <w:r w:rsidRPr="0070344D">
              <w:fldChar w:fldCharType="end"/>
            </w:r>
            <w:r w:rsidRPr="0070344D">
              <w:t>). Therefore, all proposed approaches should have the same exposure to future interest rate risk and result in the same level of genuine mismatch risk from changes in future interest rates.</w:t>
            </w:r>
          </w:p>
        </w:tc>
      </w:tr>
      <w:tr w:rsidR="0070344D" w:rsidTr="009C74CF">
        <w:tc>
          <w:tcPr>
            <w:tcW w:w="2802" w:type="dxa"/>
          </w:tcPr>
          <w:p w:rsidR="0070344D" w:rsidRPr="0070344D" w:rsidRDefault="0070344D" w:rsidP="0070344D">
            <w:r>
              <w:t>An immediate transition to a trailing average is consistent with outcomes in a workably competitive market because unregulated infrastructure businesses tend to hold staggered debt portfolios.</w:t>
            </w:r>
            <w:r w:rsidRPr="0070344D">
              <w:t xml:space="preserve"> That is, because the intent of legislation is to replicate a workably competitive market, an immediate transition is necessary to replicate the (ex-post) cost outcomes that one would expect absent regulation.</w:t>
            </w:r>
            <w:r w:rsidRPr="0070344D">
              <w:rPr>
                <w:rStyle w:val="FootnoteReference"/>
              </w:rPr>
              <w:footnoteReference w:id="1227"/>
            </w:r>
          </w:p>
        </w:tc>
        <w:tc>
          <w:tcPr>
            <w:tcW w:w="5891" w:type="dxa"/>
          </w:tcPr>
          <w:p w:rsidR="0070344D" w:rsidRPr="0070344D" w:rsidRDefault="0070344D" w:rsidP="0070344D">
            <w:r>
              <w:t>Given the</w:t>
            </w:r>
            <w:r w:rsidRPr="0070344D">
              <w:t xml:space="preserve"> current market (and efficient) cost of debt is below the average market cost of debt over the past ten years, service providers' proposed transition paths would not achieve ex ante efficient compensation in present value terms, based on prevailing efficient market rates. We do not consider this is consistent with any outcome that might be expected in a workably competitive market in general. In workably competitive markets, the costs of new entrants often set prices irrespective of incumbent firms' sunk costs, and the equilibrium is that investments in assets are zero NPV (see section </w:t>
            </w:r>
            <w:r w:rsidRPr="0070344D">
              <w:fldChar w:fldCharType="begin"/>
            </w:r>
            <w:r w:rsidRPr="0070344D">
              <w:instrText xml:space="preserve"> REF _Ref445131744 \r \h </w:instrText>
            </w:r>
            <w:r w:rsidRPr="0070344D">
              <w:fldChar w:fldCharType="separate"/>
            </w:r>
            <w:r w:rsidRPr="0070344D">
              <w:t>H.3.1</w:t>
            </w:r>
            <w:r w:rsidRPr="0070344D">
              <w:fldChar w:fldCharType="end"/>
            </w:r>
            <w:r w:rsidRPr="0070344D">
              <w:t xml:space="preserve">). </w:t>
            </w:r>
          </w:p>
          <w:p w:rsidR="0070344D" w:rsidRPr="0070344D" w:rsidRDefault="0070344D" w:rsidP="0070344D">
            <w:r w:rsidRPr="00B71027">
              <w:t xml:space="preserve">Also, we consider </w:t>
            </w:r>
            <w:r w:rsidRPr="0070344D">
              <w:t>the outcome that the regulated firms are currently seeking is only possible due to their monopoly position in providing essential services (which would not exist in a workably competitive market). Firms have limited bargaining power in a workably competitive market. As such, we do not consider that consumers in a workably competitive market would freely enter into a bargain that would result in an immediate transition. In the current market, this would constitute a change of methodology that materially increases the firm's value at the expense of its consumers.</w:t>
            </w:r>
          </w:p>
        </w:tc>
      </w:tr>
      <w:tr w:rsidR="0070344D" w:rsidTr="009C74CF">
        <w:trPr>
          <w:cnfStyle w:val="000000010000" w:firstRow="0" w:lastRow="0" w:firstColumn="0" w:lastColumn="0" w:oddVBand="0" w:evenVBand="0" w:oddHBand="0" w:evenHBand="1" w:firstRowFirstColumn="0" w:firstRowLastColumn="0" w:lastRowFirstColumn="0" w:lastRowLastColumn="0"/>
        </w:trPr>
        <w:tc>
          <w:tcPr>
            <w:tcW w:w="2802" w:type="dxa"/>
          </w:tcPr>
          <w:p w:rsidR="0070344D" w:rsidRPr="0070344D" w:rsidRDefault="0070344D" w:rsidP="0070344D">
            <w:r>
              <w:t>CEG advised that i</w:t>
            </w:r>
            <w:r w:rsidRPr="0070344D">
              <w:t>ncentives created by the on-the-day regime may not have resulted in efficient financing practices and may not be commensurate with 'efficient financing costs' referenced in the ARORO.</w:t>
            </w:r>
            <w:r w:rsidRPr="0070344D">
              <w:rPr>
                <w:rStyle w:val="FootnoteReference"/>
              </w:rPr>
              <w:footnoteReference w:id="1228"/>
            </w:r>
            <w:r w:rsidRPr="0070344D">
              <w:t xml:space="preserve"> </w:t>
            </w:r>
          </w:p>
          <w:p w:rsidR="0070344D" w:rsidRDefault="0070344D" w:rsidP="0070344D"/>
        </w:tc>
        <w:tc>
          <w:tcPr>
            <w:tcW w:w="5891" w:type="dxa"/>
          </w:tcPr>
          <w:p w:rsidR="0070344D" w:rsidRPr="0070344D" w:rsidRDefault="0070344D" w:rsidP="0070344D">
            <w:r w:rsidRPr="002E1E42">
              <w:t xml:space="preserve">We observe that CEG did not </w:t>
            </w:r>
            <w:r w:rsidRPr="0070344D">
              <w:t xml:space="preserve">indicate what it considered 'efficient financing costs' meant in the context of the ARORO. As explained in section </w:t>
            </w:r>
            <w:r w:rsidRPr="0070344D">
              <w:fldChar w:fldCharType="begin"/>
            </w:r>
            <w:r w:rsidRPr="0070344D">
              <w:instrText xml:space="preserve"> REF _Ref444778432 \r \h  \* MERGEFORMAT </w:instrText>
            </w:r>
            <w:r w:rsidRPr="0070344D">
              <w:fldChar w:fldCharType="separate"/>
            </w:r>
            <w:r w:rsidRPr="0070344D">
              <w:t>H.2</w:t>
            </w:r>
            <w:r w:rsidRPr="0070344D">
              <w:fldChar w:fldCharType="end"/>
            </w:r>
            <w:r w:rsidRPr="0070344D">
              <w:t>, we consider efficient financing costs in the context of the ARORO mean we must provide a benchmark efficient entity with ex ante efficient compensation in present value terms, based on prevailing efficient market rates. We consider our transition approach achieves this. Further, we consider an interpretation of the ARORO that leads to materially higher (or lower) compensation (in present value terms) is inconsistent with achieving efficient investment and the objectives of the NEL/NGL.</w:t>
            </w:r>
          </w:p>
        </w:tc>
      </w:tr>
      <w:tr w:rsidR="0070344D" w:rsidTr="009C74CF">
        <w:tc>
          <w:tcPr>
            <w:tcW w:w="2802" w:type="dxa"/>
          </w:tcPr>
          <w:p w:rsidR="0070344D" w:rsidRPr="0070344D" w:rsidRDefault="0070344D" w:rsidP="0070344D">
            <w:r>
              <w:t xml:space="preserve">The AER should define a benchmark efficient entity as </w:t>
            </w:r>
            <w:r w:rsidRPr="0070344D">
              <w:t>unregulated rather than regulated.</w:t>
            </w:r>
            <w:r w:rsidRPr="0070344D">
              <w:rPr>
                <w:rStyle w:val="FootnoteReference"/>
              </w:rPr>
              <w:footnoteReference w:id="1229"/>
            </w:r>
          </w:p>
          <w:p w:rsidR="0070344D" w:rsidRPr="0070344D" w:rsidRDefault="0070344D" w:rsidP="0070344D">
            <w:r>
              <w:t xml:space="preserve">An unregulated benchmark efficient entity is consistent with the intent of the law to </w:t>
            </w:r>
            <w:r w:rsidRPr="0070344D">
              <w:t xml:space="preserve">replicate workably competitive market outcomes. </w:t>
            </w:r>
          </w:p>
        </w:tc>
        <w:tc>
          <w:tcPr>
            <w:tcW w:w="5891" w:type="dxa"/>
          </w:tcPr>
          <w:p w:rsidR="0070344D" w:rsidRPr="0070344D" w:rsidRDefault="0070344D" w:rsidP="0070344D">
            <w:r>
              <w:t>Section 3.3 of the rate of return attachment discusses why we consider that defining a benchmark efficient entity as regulated is required to give effect to the rules and the NEL/NGL.</w:t>
            </w:r>
          </w:p>
          <w:p w:rsidR="0070344D" w:rsidRPr="0070344D" w:rsidRDefault="0070344D" w:rsidP="0070344D">
            <w:r>
              <w:t>S</w:t>
            </w:r>
            <w:r w:rsidRPr="0070344D">
              <w:t>eeking to replicate the outcomes of a workably competitive market does not require defining a benchmark efficient entity as unregulated. Rather, it requires that we replicate the efficiency outcomes that we would expect under a workably competitive market (and the resul</w:t>
            </w:r>
            <w:r w:rsidR="002D581C">
              <w:t>ting prices and service levels)</w:t>
            </w:r>
            <w:r w:rsidRPr="0070344D">
              <w:t>.</w:t>
            </w:r>
            <w:r w:rsidRPr="0070344D">
              <w:rPr>
                <w:rStyle w:val="FootnoteReference"/>
              </w:rPr>
              <w:footnoteReference w:id="1230"/>
            </w:r>
          </w:p>
          <w:p w:rsidR="0070344D" w:rsidRPr="0070344D" w:rsidRDefault="0070344D" w:rsidP="0070344D">
            <w:r>
              <w:t>We consider our approach preferable for achieving efficiency outcomes expected in a workably competitive market</w:t>
            </w:r>
            <w:r w:rsidRPr="0070344D">
              <w:t>. We consider our approach will promote productive efficiency because it is not expected to over- or under-compensate a benchmark efficient entity for its efficient cost of debt capital. This should also reduce regulatory uncertainty. We consider our approach will promote dynamic efficiency as we have designed our full transition so that methodological changes do not affect the value of the investment. This allows the investment to be appropriately valued to avoid directing excessive or insufficient resources towards network investment. Similarly, this promotes allocative efficiency by avoiding greater or fewer consumer resources being directed towards network investment than what consumers are willing to pay (thus maximises social welfare and allocative efficiency).</w:t>
            </w:r>
          </w:p>
        </w:tc>
      </w:tr>
      <w:tr w:rsidR="0070344D" w:rsidTr="009C74CF">
        <w:trPr>
          <w:cnfStyle w:val="000000010000" w:firstRow="0" w:lastRow="0" w:firstColumn="0" w:lastColumn="0" w:oddVBand="0" w:evenVBand="0" w:oddHBand="0" w:evenHBand="1" w:firstRowFirstColumn="0" w:firstRowLastColumn="0" w:lastRowFirstColumn="0" w:lastRowLastColumn="0"/>
        </w:trPr>
        <w:tc>
          <w:tcPr>
            <w:tcW w:w="2802" w:type="dxa"/>
          </w:tcPr>
          <w:p w:rsidR="0070344D" w:rsidRPr="0070344D" w:rsidRDefault="0070344D" w:rsidP="0070344D">
            <w:r w:rsidRPr="00327CCF">
              <w:t>Efficient financing costs are properly identified by reference to financing practices that would be adopted in workably competitive markets</w:t>
            </w:r>
            <w:r w:rsidRPr="0070344D">
              <w:t>.</w:t>
            </w:r>
            <w:r w:rsidRPr="0070344D">
              <w:rPr>
                <w:rStyle w:val="FootnoteReference"/>
              </w:rPr>
              <w:footnoteReference w:id="1231"/>
            </w:r>
          </w:p>
        </w:tc>
        <w:tc>
          <w:tcPr>
            <w:tcW w:w="5891" w:type="dxa"/>
          </w:tcPr>
          <w:p w:rsidR="0070344D" w:rsidRPr="0070344D" w:rsidRDefault="0070344D" w:rsidP="0070344D">
            <w:r w:rsidRPr="00327CCF">
              <w:t xml:space="preserve">We do not consider a benchmark efficient entity's </w:t>
            </w:r>
            <w:r w:rsidRPr="0070344D">
              <w:t xml:space="preserve">past financing practices determine its efficient financing costs (although we note we benchmark current gearing, credit rating  and debt term at issuance in determining a benchmark efficient entity's ex ante efficient allowed </w:t>
            </w:r>
            <w:r w:rsidR="001355DE" w:rsidRPr="0070344D">
              <w:t>return</w:t>
            </w:r>
            <w:r w:rsidRPr="0070344D">
              <w:t xml:space="preserve"> on debt). Rather, we consider achieving the ARORO requires a benchmark efficient entity be ex-ante appropriately compensated for its efficient financing costs in present value terms, where efficient financing costs are based on prevailing market rates (see section </w:t>
            </w:r>
            <w:r w:rsidRPr="0070344D">
              <w:fldChar w:fldCharType="begin"/>
            </w:r>
            <w:r w:rsidRPr="0070344D">
              <w:instrText xml:space="preserve"> REF _Ref446603900 \r \h </w:instrText>
            </w:r>
            <w:r w:rsidRPr="0070344D">
              <w:fldChar w:fldCharType="separate"/>
            </w:r>
            <w:r w:rsidRPr="0070344D">
              <w:t>H.2.1</w:t>
            </w:r>
            <w:r w:rsidRPr="0070344D">
              <w:fldChar w:fldCharType="end"/>
            </w:r>
            <w:r w:rsidRPr="0070344D">
              <w:t>). However, we consider what may be a reasonable benchmark efficient financing practice (under a given regulatory approach) in having regard to the likelihood of an ex-post mismatch between a benchmark efficient entity's actual debt costs and the regulatory debt allowance (as the rules require). We discuss this in more detail below under 'Proposals for a hybrid approach based on partial hedging'.</w:t>
            </w:r>
          </w:p>
          <w:p w:rsidR="0070344D" w:rsidRPr="0070344D" w:rsidRDefault="0070344D" w:rsidP="0070344D">
            <w:r>
              <w:t xml:space="preserve">We note that Partington and Satchell also advise against </w:t>
            </w:r>
            <w:r w:rsidRPr="0070344D">
              <w:t>interpreting the efficient financing costs as relating to some assumed financing strategy. They state a number of reasons to support their view, including that what constitutes a benchmark efficient financing practice is ambiguous.</w:t>
            </w:r>
            <w:r w:rsidRPr="0070344D">
              <w:rPr>
                <w:rStyle w:val="FootnoteReference"/>
              </w:rPr>
              <w:footnoteReference w:id="1232"/>
            </w:r>
          </w:p>
        </w:tc>
      </w:tr>
    </w:tbl>
    <w:p w:rsidR="0070344D" w:rsidRPr="00032CB4" w:rsidRDefault="0070344D" w:rsidP="0070344D">
      <w:pPr>
        <w:pStyle w:val="AERtablesource"/>
      </w:pPr>
      <w:r>
        <w:t>Source:</w:t>
      </w:r>
      <w:r>
        <w:tab/>
        <w:t>AER analysis, service providers' revised proposals and supporting material.</w:t>
      </w:r>
    </w:p>
    <w:p w:rsidR="0070344D" w:rsidRPr="008B2981" w:rsidRDefault="0070344D" w:rsidP="0070344D">
      <w:pPr>
        <w:pStyle w:val="HeadingBoldBlue"/>
      </w:pPr>
      <w:r w:rsidRPr="008B2981">
        <w:t>Proposals for a hybrid approach based on</w:t>
      </w:r>
      <w:r>
        <w:t xml:space="preserve"> partial</w:t>
      </w:r>
      <w:r w:rsidRPr="008B2981">
        <w:t xml:space="preserve"> hedging </w:t>
      </w:r>
    </w:p>
    <w:p w:rsidR="0070344D" w:rsidRDefault="0070344D" w:rsidP="0070344D">
      <w:r>
        <w:t>Several service providers submitted that if we do not accept their first preference to adopt an immediate transition, we</w:t>
      </w:r>
      <w:r w:rsidRPr="00FA259F">
        <w:t xml:space="preserve"> should apply a hybrid transition based on the assumption that a benchmark efficient entity would only hedge one third of the base rate.</w:t>
      </w:r>
      <w:r>
        <w:rPr>
          <w:rStyle w:val="FootnoteReference"/>
        </w:rPr>
        <w:footnoteReference w:id="1233"/>
      </w:r>
      <w:r>
        <w:t xml:space="preserve"> In expressing this preference, these service providers assume it would have been optimal for a benchmark efficient entity to hedge one third (rather than 100 per cent) of the base rate under the on-the-day approach.</w:t>
      </w:r>
      <w:r>
        <w:rPr>
          <w:rStyle w:val="FootnoteReference"/>
        </w:rPr>
        <w:footnoteReference w:id="1234"/>
      </w:r>
    </w:p>
    <w:p w:rsidR="0070344D" w:rsidRDefault="0070344D" w:rsidP="0070344D">
      <w:r>
        <w:t>Under</w:t>
      </w:r>
      <w:r w:rsidRPr="003F0287">
        <w:t xml:space="preserve"> the on-the-day regime, there are multiple ways that service providers could finance their debt whilst still having a reasonable opportunity to recover at least efficient costs over the life of their assets. While hedging interest rate risk should not change a service provider's ability to recover at least efficient costs ex-ante, it affects its ability to recover its actual </w:t>
      </w:r>
      <w:r>
        <w:t>(</w:t>
      </w:r>
      <w:r w:rsidRPr="003F0287">
        <w:t>historic</w:t>
      </w:r>
      <w:r>
        <w:t>al)</w:t>
      </w:r>
      <w:r w:rsidRPr="003F0287">
        <w:t xml:space="preserve"> cost over any given regulatory period. We do not base our reasons for a </w:t>
      </w:r>
      <w:r>
        <w:t>full</w:t>
      </w:r>
      <w:r w:rsidRPr="003F0287">
        <w:t xml:space="preserve"> transition on actual (historical) debt costs or </w:t>
      </w:r>
      <w:r>
        <w:t xml:space="preserve">debt financing (or </w:t>
      </w:r>
      <w:r w:rsidRPr="003F0287">
        <w:t>hedging</w:t>
      </w:r>
      <w:r>
        <w:t>)</w:t>
      </w:r>
      <w:r w:rsidRPr="003F0287">
        <w:t xml:space="preserve"> practices</w:t>
      </w:r>
      <w:r>
        <w:t xml:space="preserve"> because we are operating under an ex-ante regulatory regime rather than a cost of service model (see </w:t>
      </w:r>
      <w:r>
        <w:fldChar w:fldCharType="begin"/>
      </w:r>
      <w:r>
        <w:instrText xml:space="preserve"> REF  _Ref447807493 \* Lower \h </w:instrText>
      </w:r>
      <w:r>
        <w:fldChar w:fldCharType="separate"/>
      </w:r>
      <w:r>
        <w:t xml:space="preserve">table </w:t>
      </w:r>
      <w:r w:rsidRPr="0070344D">
        <w:t>3</w:t>
      </w:r>
      <w:r>
        <w:noBreakHyphen/>
      </w:r>
      <w:r w:rsidRPr="0070344D">
        <w:t>40</w:t>
      </w:r>
      <w:r>
        <w:fldChar w:fldCharType="end"/>
      </w:r>
      <w:r>
        <w:t xml:space="preserve"> above)</w:t>
      </w:r>
      <w:r w:rsidRPr="003F0287">
        <w:t>.</w:t>
      </w:r>
    </w:p>
    <w:p w:rsidR="0070344D" w:rsidRPr="003F0287" w:rsidRDefault="0070344D" w:rsidP="0070344D">
      <w:r>
        <w:t>Nevertheless, we reviewed the service providers' submissions and CEG's 2016 report in detail.</w:t>
      </w:r>
      <w:r w:rsidRPr="003F0287">
        <w:t xml:space="preserve"> We are not satisfied it is reasonable to assume (in isolation) the benchmark efficient financing strategy under the on-the-day approach involved hedging only one third of the base rate.</w:t>
      </w:r>
    </w:p>
    <w:p w:rsidR="0070344D" w:rsidRDefault="0070344D" w:rsidP="0070344D">
      <w:r>
        <w:t>First, o</w:t>
      </w:r>
      <w:r w:rsidRPr="003F0287">
        <w:t>bserved practices of regulated energy network firms appear more consistent wit</w:t>
      </w:r>
      <w:r>
        <w:t>h a benchmark assumption of 100 per cent</w:t>
      </w:r>
      <w:r w:rsidRPr="003F0287">
        <w:t xml:space="preserve"> </w:t>
      </w:r>
      <w:r>
        <w:t>hedging than one third hedging (</w:t>
      </w:r>
      <w:r w:rsidRPr="003F0287">
        <w:t>of the base rate). For example, in the 2009 WACC review, we observed that Treasurers' statements and Macquarie Research indicated that typically businesses hedged the base interest rate risk for nearly 100 per cent of their debt portfolios at the time of the regulatory reset.</w:t>
      </w:r>
      <w:r w:rsidRPr="003F0287">
        <w:rPr>
          <w:rStyle w:val="FootnoteReference"/>
        </w:rPr>
        <w:footnoteReference w:id="1235"/>
      </w:r>
      <w:r w:rsidRPr="003F0287">
        <w:t xml:space="preserve"> More recently, we collected return on debt data from a number of regulated energy network service providers. This data corroborated our findings from the 2009 WACC review.</w:t>
      </w:r>
      <w:r w:rsidRPr="003F0287">
        <w:rPr>
          <w:rStyle w:val="FootnoteReference"/>
        </w:rPr>
        <w:footnoteReference w:id="1236"/>
      </w:r>
      <w:r w:rsidRPr="003F0287">
        <w:t xml:space="preserve"> Recent annual reports</w:t>
      </w:r>
      <w:r>
        <w:t xml:space="preserve"> also</w:t>
      </w:r>
      <w:r w:rsidRPr="003F0287">
        <w:t xml:space="preserve"> show similar findings.</w:t>
      </w:r>
      <w:r w:rsidRPr="003F0287">
        <w:rPr>
          <w:rStyle w:val="FootnoteReference"/>
        </w:rPr>
        <w:footnoteReference w:id="1237"/>
      </w:r>
      <w:r w:rsidRPr="003F0287">
        <w:t xml:space="preserve"> </w:t>
      </w:r>
    </w:p>
    <w:p w:rsidR="0070344D" w:rsidRDefault="0070344D" w:rsidP="0070344D">
      <w:r>
        <w:t>Second, we consider p</w:t>
      </w:r>
      <w:r w:rsidRPr="009B427E">
        <w:t xml:space="preserve">roposals to depart from specific aspects of </w:t>
      </w:r>
      <w:r>
        <w:t>our preferred benchmark efficient financing practices s</w:t>
      </w:r>
      <w:r w:rsidRPr="009B427E">
        <w:t>hould not be viewed in isolation.</w:t>
      </w:r>
      <w:r>
        <w:t xml:space="preserve"> CEG has assessed in isolation a more complex hedging strategy (of one third of the base rate) without regard to the other simplifications associated with our preferred benchmark efficient financing practice under the on-the-day approach. We are not satisfied that CEG's analysis shows our benchmark efficient financing practice under the on-the-day approach as a whole is unreasonable. CEG has not analysed the other simplifications we have employed in forming our view, and has not demonstrated that a more complex benchmark efficient financing practice (overall) leads to a materially preferable outcome. On the other hand, in forming its view that our proposed benchmark efficient financing practice is appropriate, Chairmont assessed a range of variations to this financing practice, including variations in hedging, term, and timing and type of debt issuance.</w:t>
      </w:r>
      <w:r>
        <w:rPr>
          <w:rStyle w:val="FootnoteReference"/>
        </w:rPr>
        <w:footnoteReference w:id="1238"/>
      </w:r>
    </w:p>
    <w:p w:rsidR="0070344D" w:rsidRDefault="0070344D" w:rsidP="0070344D">
      <w:r>
        <w:t>Third, we responded to submissions supporting an optimal hedging ratio of less than one third (including CEG's June 2015 report) in our recent decisions, based on advice from Lally and Chairmont.</w:t>
      </w:r>
      <w:r>
        <w:rPr>
          <w:rStyle w:val="FootnoteReference"/>
        </w:rPr>
        <w:footnoteReference w:id="1239"/>
      </w:r>
      <w:r>
        <w:t xml:space="preserve"> CEG has responded to Lally and Chairmont's advice in its most recent (2016) report. However, our reasons for a gradual transition in this decision are not based on the actual debt financing and/or hedging practices of service providers (efficient or not). Further, we consider the reasoning provided above is sufficient to show that 100 per cent hedging (of the base rate) is a reasonable benchmark. Therefore, we have not commissioned further advice from them in response to CEG's 2016 report. </w:t>
      </w:r>
    </w:p>
    <w:p w:rsidR="0070344D" w:rsidRDefault="0070344D" w:rsidP="0070344D">
      <w:r>
        <w:t xml:space="preserve">Further, we do not consider an on-the-day approach would require compensation for swap transaction costs. Several service providers currently under assessment proposed to add an allowance for swap </w:t>
      </w:r>
      <w:r w:rsidRPr="00B873D6">
        <w:t xml:space="preserve">transaction costs </w:t>
      </w:r>
      <w:r>
        <w:t>to their return on debt each year if a hybrid transition (full or partial) is used.</w:t>
      </w:r>
      <w:r>
        <w:rPr>
          <w:rStyle w:val="FootnoteReference"/>
        </w:rPr>
        <w:footnoteReference w:id="1240"/>
      </w:r>
      <w:r>
        <w:t xml:space="preserve"> This is in line with CEG's advice (or references to Chairmont).</w:t>
      </w:r>
      <w:r>
        <w:rPr>
          <w:rStyle w:val="FootnoteReference"/>
        </w:rPr>
        <w:footnoteReference w:id="1241"/>
      </w:r>
      <w:r>
        <w:t xml:space="preserve"> We note that service providers request this allowance if we apply a hybrid transition to a trailing average.</w:t>
      </w:r>
      <w:r>
        <w:rPr>
          <w:rStyle w:val="FootnoteReference"/>
        </w:rPr>
        <w:footnoteReference w:id="1242"/>
      </w:r>
      <w:r>
        <w:t xml:space="preserve"> We maintain our view from our recent decisions.</w:t>
      </w:r>
      <w:r>
        <w:rPr>
          <w:rStyle w:val="FootnoteReference"/>
        </w:rPr>
        <w:footnoteReference w:id="1243"/>
      </w:r>
      <w:r>
        <w:t xml:space="preserve"> That is:</w:t>
      </w:r>
    </w:p>
    <w:p w:rsidR="0070344D" w:rsidRPr="0070344D" w:rsidRDefault="0070344D" w:rsidP="0070344D">
      <w:pPr>
        <w:pStyle w:val="AERbulletlistfirststyle"/>
      </w:pPr>
      <w:r>
        <w:t xml:space="preserve">We </w:t>
      </w:r>
      <w:r w:rsidRPr="0070344D">
        <w:t>are not satisfied that customers should pay for the service providers' reduction in interest rate risk that results from hedging. CEG disputed our reference to a NERA report supporting this view because it considered the reference is only relevant under the old rules. CEG considered the current rules require a benchmark efficient entity to be compensated for the costs associated with its debt financing strategy.</w:t>
      </w:r>
      <w:r w:rsidRPr="0070344D">
        <w:rPr>
          <w:rStyle w:val="FootnoteReference"/>
        </w:rPr>
        <w:footnoteReference w:id="1244"/>
      </w:r>
      <w:r w:rsidRPr="0070344D">
        <w:t xml:space="preserve"> We disagree. We consider a rate of return that meets the ARORO must provide for ex-ante efficient compensation (see section </w:t>
      </w:r>
      <w:r w:rsidRPr="0070344D">
        <w:fldChar w:fldCharType="begin"/>
      </w:r>
      <w:r w:rsidRPr="0070344D">
        <w:instrText xml:space="preserve"> REF _Ref444778432 \r \h </w:instrText>
      </w:r>
      <w:r w:rsidRPr="0070344D">
        <w:fldChar w:fldCharType="separate"/>
      </w:r>
      <w:r w:rsidRPr="0070344D">
        <w:t>H.2</w:t>
      </w:r>
      <w:r w:rsidRPr="0070344D">
        <w:fldChar w:fldCharType="end"/>
      </w:r>
      <w:r w:rsidRPr="0070344D">
        <w:t>), and this view does not invalidate our reference to the NERA report.</w:t>
      </w:r>
    </w:p>
    <w:p w:rsidR="0070344D" w:rsidRPr="0070344D" w:rsidRDefault="0070344D" w:rsidP="0070344D">
      <w:pPr>
        <w:pStyle w:val="AERbulletlistfirststyle"/>
      </w:pPr>
      <w:r>
        <w:t>Similarly, Partington and Satchell do not consider the transaction costs of hedging to be part of the efficient financing costs of a benchmark efficient entity that should be compensated for through the return on debt allowance. They consider hedging is a choice and firms will rationally choose to</w:t>
      </w:r>
      <w:r w:rsidRPr="0070344D">
        <w:t xml:space="preserve"> hedge when the benefits outweigh the costs, stating that this 'suggests the costs are covered by the value enhancement that results'.</w:t>
      </w:r>
      <w:r w:rsidRPr="0070344D">
        <w:rPr>
          <w:rStyle w:val="FootnoteReference"/>
        </w:rPr>
        <w:footnoteReference w:id="1245"/>
      </w:r>
    </w:p>
    <w:p w:rsidR="00B42AC6" w:rsidRPr="00284B88" w:rsidRDefault="0070344D" w:rsidP="0070344D">
      <w:pPr>
        <w:pStyle w:val="AERbulletlistfirststyle"/>
      </w:pPr>
      <w:r>
        <w:t xml:space="preserve">We agree with </w:t>
      </w:r>
      <w:r w:rsidRPr="001F445F">
        <w:t>Lally</w:t>
      </w:r>
      <w:r>
        <w:t>'s</w:t>
      </w:r>
      <w:r w:rsidRPr="001F445F">
        <w:t xml:space="preserve"> </w:t>
      </w:r>
      <w:r>
        <w:t>advice</w:t>
      </w:r>
      <w:r w:rsidRPr="001F445F">
        <w:t xml:space="preserve"> </w:t>
      </w:r>
      <w:r>
        <w:t xml:space="preserve">that </w:t>
      </w:r>
      <w:r w:rsidRPr="001F445F">
        <w:t xml:space="preserve">hedging would have been self-funding because the saving in converting 10 year debt into </w:t>
      </w:r>
      <w:r>
        <w:t>five</w:t>
      </w:r>
      <w:r w:rsidRPr="001F445F">
        <w:t xml:space="preserve"> year debt would have offset the cost of the hedge.</w:t>
      </w:r>
      <w:r>
        <w:t xml:space="preserve"> Moreover, there is wide support for the view that interest rates on longer-term debt securities are often higher than those on shorter-term debt securities.</w:t>
      </w:r>
      <w:r>
        <w:rPr>
          <w:rStyle w:val="FootnoteReference"/>
        </w:rPr>
        <w:footnoteReference w:id="1246"/>
      </w:r>
      <w:r>
        <w:t xml:space="preserve"> Therefore, even if we are incorrect in assuming hedging costs do not need compensation, we have effectively provided an allowance for these costs by using a ten year term on the base rate</w:t>
      </w:r>
      <w:r w:rsidR="00284B88">
        <w:t>.</w:t>
      </w:r>
    </w:p>
    <w:p w:rsidR="00B42AC6" w:rsidRDefault="00B42AC6" w:rsidP="00B42AC6">
      <w:pPr>
        <w:pStyle w:val="Heading7"/>
      </w:pPr>
      <w:bookmarkStart w:id="361" w:name="_Ref451266050"/>
      <w:bookmarkStart w:id="362" w:name="_Toc451678692"/>
      <w:r>
        <w:t>Return on debt implementation</w:t>
      </w:r>
      <w:bookmarkEnd w:id="361"/>
      <w:bookmarkEnd w:id="362"/>
    </w:p>
    <w:p w:rsidR="009E492A" w:rsidRDefault="009E492A" w:rsidP="009E492A">
      <w:r>
        <w:t>This section sets out our detailed analysis of the key issues raised by stakeholders relating to the implementation of the return on debt approach. The analysis is set out in the following sections:</w:t>
      </w:r>
    </w:p>
    <w:p w:rsidR="009E492A" w:rsidRDefault="009E492A" w:rsidP="009E492A">
      <w:pPr>
        <w:pStyle w:val="AERbulletlistfirststyle"/>
      </w:pPr>
      <w:r>
        <w:t>the Thomson Reuters curve</w:t>
      </w:r>
    </w:p>
    <w:p w:rsidR="009E492A" w:rsidRDefault="009E492A" w:rsidP="009E492A">
      <w:pPr>
        <w:pStyle w:val="AERbulletlistfirststyle"/>
      </w:pPr>
      <w:r>
        <w:t>new criticisms of the BVAL curve</w:t>
      </w:r>
    </w:p>
    <w:p w:rsidR="009E492A" w:rsidRDefault="009E492A" w:rsidP="009E492A">
      <w:pPr>
        <w:pStyle w:val="AERbulletlistsecondstyle"/>
      </w:pPr>
      <w:r>
        <w:t>comparative movement of yield estimates</w:t>
      </w:r>
    </w:p>
    <w:p w:rsidR="009E492A" w:rsidRDefault="009E492A" w:rsidP="009E492A">
      <w:pPr>
        <w:pStyle w:val="AERbulletlistsecondstyle"/>
      </w:pPr>
      <w:r>
        <w:t>the Asciano bond</w:t>
      </w:r>
    </w:p>
    <w:p w:rsidR="009E492A" w:rsidRDefault="009E492A" w:rsidP="009E492A">
      <w:pPr>
        <w:pStyle w:val="AERbulletlistsecondstyle"/>
      </w:pPr>
      <w:r>
        <w:t>CEG's analysis of sample size</w:t>
      </w:r>
    </w:p>
    <w:p w:rsidR="009E492A" w:rsidRPr="00A47C51" w:rsidRDefault="009E492A" w:rsidP="009E492A">
      <w:pPr>
        <w:pStyle w:val="AERbulletlistsecondstyle"/>
      </w:pPr>
      <w:r>
        <w:t>CEG's analysis of foreign bonds</w:t>
      </w:r>
    </w:p>
    <w:p w:rsidR="009E492A" w:rsidRDefault="009E492A" w:rsidP="009E492A">
      <w:pPr>
        <w:pStyle w:val="AERbulletlistfirststyle"/>
      </w:pPr>
      <w:r>
        <w:t>other issues</w:t>
      </w:r>
    </w:p>
    <w:p w:rsidR="009E492A" w:rsidRDefault="009E492A" w:rsidP="009E492A">
      <w:pPr>
        <w:pStyle w:val="AERbulletlistsecondstyle"/>
      </w:pPr>
      <w:r>
        <w:t>CEG's new criteria and weightings</w:t>
      </w:r>
    </w:p>
    <w:p w:rsidR="009E492A" w:rsidRDefault="009E492A" w:rsidP="009E492A">
      <w:pPr>
        <w:pStyle w:val="AERbulletlistsecondstyle"/>
      </w:pPr>
      <w:r>
        <w:t>analysis of mean squared error (MSE).</w:t>
      </w:r>
    </w:p>
    <w:p w:rsidR="009E492A" w:rsidRDefault="009E492A" w:rsidP="009E492A">
      <w:pPr>
        <w:pStyle w:val="AERbulletlistfirststyle"/>
      </w:pPr>
      <w:r>
        <w:t>averaging periods</w:t>
      </w:r>
    </w:p>
    <w:p w:rsidR="007D0518" w:rsidRPr="007D0518" w:rsidRDefault="007D0518" w:rsidP="007D0518">
      <w:r w:rsidRPr="007D0518">
        <w:t xml:space="preserve">Overall, we consider that much of this analysis indicates the shortcomings of annual testing or re-evaluation of the choice of data series at each decision stage. Much of the new analysis submitted prior to this decision is based on ex-post analysis of the performance of yield curves over a short averaging period. In contrast, we require service providers to specify averaging periods ahead of time because this avoids the introduction of bias into the analysis that can arise where the outcome of the choice is already known. Especially where this analysis is highly qualitative, we are not satisfied that this process can be automatically implemented by application of a formula. </w:t>
      </w:r>
    </w:p>
    <w:p w:rsidR="007D0518" w:rsidRPr="007D0518" w:rsidRDefault="007D0518" w:rsidP="007D0518">
      <w:r w:rsidRPr="007D0518">
        <w:t>Importantly, we must be satisfied that the approach that we adopt will continue to contribute to estimates which achieve the allowed rate of return objective for each annual update over the five year regulatory period. For this reason, we consider it is most critical that the approach we adopt is reasonable and fit for purpose over an extended period. At any points in time, it is possible that one curve or the other will better reflect the costs of the benchmark entity. However, for the reasons set out in this and previous decisions, we are not satisfied that there is a robust means to quantitatively identify which of the curves this is using the information currently before us. For this reason, our detailed analysis and expert advice focused on the underlying characteristics of the curve, their fitness for purpose, and their representativeness of the benchmark efficient entity. Having done so, we remain satisfied that a simple average of the BVAL and RBA curves will contribute to an estimate that achieves the allowed rate of return objective.</w:t>
      </w:r>
    </w:p>
    <w:p w:rsidR="007D0518" w:rsidRPr="007D0518" w:rsidRDefault="007D0518" w:rsidP="007B1C84">
      <w:pPr>
        <w:pStyle w:val="Heading8"/>
        <w:numPr>
          <w:ilvl w:val="1"/>
          <w:numId w:val="42"/>
        </w:numPr>
      </w:pPr>
      <w:bookmarkStart w:id="363" w:name="_Toc449624775"/>
      <w:bookmarkStart w:id="364" w:name="_Toc451678693"/>
      <w:r w:rsidRPr="007D0518">
        <w:t>The Thomson Reuters curve</w:t>
      </w:r>
      <w:bookmarkEnd w:id="363"/>
      <w:bookmarkEnd w:id="364"/>
    </w:p>
    <w:p w:rsidR="007D0518" w:rsidRPr="007D0518" w:rsidRDefault="007D0518" w:rsidP="007D0518">
      <w:r w:rsidRPr="007D0518">
        <w:t>Our final decision is not to adopt the Thomson Reuters Curve for the following reasons:</w:t>
      </w:r>
    </w:p>
    <w:p w:rsidR="007D0518" w:rsidRPr="007D0518" w:rsidRDefault="007D0518" w:rsidP="007D0518">
      <w:pPr>
        <w:pStyle w:val="AERbulletlistfirststyle"/>
      </w:pPr>
      <w:r w:rsidRPr="007D0518">
        <w:t>The Thomson Reuters curve was proposed for the first time in this revised proposal. This results in two distinct problems:</w:t>
      </w:r>
    </w:p>
    <w:p w:rsidR="007D0518" w:rsidRPr="007D0518" w:rsidRDefault="007D0518" w:rsidP="007D0518">
      <w:pPr>
        <w:pStyle w:val="AERbulletlistsecondstyle"/>
      </w:pPr>
      <w:r w:rsidRPr="007D0518">
        <w:t>we have insufficient time to properly assess and consult on the Reuters curve. We discuss this in attachment 3.</w:t>
      </w:r>
    </w:p>
    <w:p w:rsidR="007D0518" w:rsidRPr="007D0518" w:rsidRDefault="007D0518" w:rsidP="007D0518">
      <w:pPr>
        <w:pStyle w:val="AERbulletlistsecondstyle"/>
      </w:pPr>
      <w:r w:rsidRPr="007D0518">
        <w:t>at the time the service providers departed from their initial proposals, their averaging periods had either elapsed, were underway, or were about to commence. We are therefore not satisfied that the proposal is unbiased.</w:t>
      </w:r>
    </w:p>
    <w:p w:rsidR="007D0518" w:rsidRPr="007D0518" w:rsidRDefault="007D0518" w:rsidP="007D0518">
      <w:pPr>
        <w:pStyle w:val="AERbulletlistfirststyle"/>
      </w:pPr>
      <w:r w:rsidRPr="007D0518">
        <w:t>From the limited assessment of the Thomson Reuters curve that we have been able to undertake in the time available, both the underlying characteristics and outcomes of the bond appear to be immaterially different from the existing combination. Therefore, even if the Thomson Reuters curve is fit for purpose, we are not persuaded that an approach which does not include this curve would fail to achieve the allowed rate of return objective.  In these circumstances, we do not consider the information that has been submitted to us demonstrates that use of the Reuters curve would lead to a materially preferable NEO decision.</w:t>
      </w:r>
    </w:p>
    <w:p w:rsidR="007D0518" w:rsidRPr="007D0518" w:rsidRDefault="007D0518" w:rsidP="007D0518">
      <w:r w:rsidRPr="007D0518">
        <w:t xml:space="preserve">Nonetheless, we are open to further consideration of the Thomson Reuters curve in future determinations following a proper period of consultation. </w:t>
      </w:r>
    </w:p>
    <w:p w:rsidR="007D0518" w:rsidRPr="007D0518" w:rsidRDefault="007D0518" w:rsidP="007D0518">
      <w:pPr>
        <w:pStyle w:val="Heading9"/>
      </w:pPr>
      <w:bookmarkStart w:id="365" w:name="_Toc449624776"/>
      <w:bookmarkStart w:id="366" w:name="_Toc451678694"/>
      <w:r w:rsidRPr="007D0518">
        <w:t>Timing of proposal</w:t>
      </w:r>
      <w:bookmarkEnd w:id="365"/>
      <w:bookmarkEnd w:id="366"/>
    </w:p>
    <w:p w:rsidR="007D0518" w:rsidRPr="007D0518" w:rsidRDefault="007D0518" w:rsidP="007D0518">
      <w:r w:rsidRPr="007D0518">
        <w:t>The Thomson Reuters curve was submitted for consideration for the first time in the revised proposals. This left minimal time to run a robust process of analysis and consultation on the Thomson Reuters curve prior to publication of the final decisions. The process of assessing the Bloomberg and RBA curves took several stages of consultation between April 2014 until their use in a final decision in April 2015.</w:t>
      </w:r>
      <w:r w:rsidRPr="007D0518">
        <w:rPr>
          <w:rStyle w:val="FootnoteReference"/>
        </w:rPr>
        <w:footnoteReference w:id="1247"/>
      </w:r>
      <w:r w:rsidRPr="007D0518">
        <w:t xml:space="preserve"> This multi-stage process allowed detailed analysis from third party experts, as well as submissions from all affected stakeholders. In contrast, the service providers' proposal to adopt the Reuters curve allows significantly less time for analysis and consultation.</w:t>
      </w:r>
      <w:r w:rsidRPr="007D0518">
        <w:rPr>
          <w:rStyle w:val="FootnoteReference"/>
        </w:rPr>
        <w:footnoteReference w:id="1248"/>
      </w:r>
      <w:r w:rsidRPr="007D0518">
        <w:t xml:space="preserve"> Due to the uncertainty involved in ‘locking in’ a curve to generate estimates annually over the 5 year regulatory period, this consultation and analysis is critical in satisfying ourselves that the approach will achieve the rate of return objective. This notwithstanding, we have corresponded with Thompson Reuters and have assessed the curve to the fullest extent possible.</w:t>
      </w:r>
    </w:p>
    <w:p w:rsidR="007D0518" w:rsidRPr="007D0518" w:rsidRDefault="007D0518" w:rsidP="007D0518">
      <w:r w:rsidRPr="007D0518">
        <w:t>In addition, of the service providers that proposed to adopt the Reuters curve, their nominated averaging periods had either elapsed, commenced, or were scheduled to commence shortly after the submission of the revised proposal. This can give rise to bias. It is for this reason that we only accept averaging periods specified ahead of time.</w:t>
      </w:r>
    </w:p>
    <w:p w:rsidR="007D0518" w:rsidRDefault="007D0518" w:rsidP="007D0518">
      <w:r w:rsidRPr="007D0518">
        <w:t xml:space="preserve">In their initial proposals, all of the Victorian distribution service providers proposed to adopt a combination of the RBA and BVAL curves in some form.  For the service providers now proposing to include the Thomson Reuters curve in estimates, </w:t>
      </w:r>
      <w:r w:rsidR="00A6197A">
        <w:fldChar w:fldCharType="begin"/>
      </w:r>
      <w:r w:rsidR="00A6197A">
        <w:instrText xml:space="preserve"> REF _Ref451518283 \h </w:instrText>
      </w:r>
      <w:r w:rsidR="00A6197A">
        <w:fldChar w:fldCharType="separate"/>
      </w:r>
      <w:r w:rsidR="00BA2E8E">
        <w:t xml:space="preserve">Figure </w:t>
      </w:r>
      <w:r w:rsidR="00BA2E8E">
        <w:rPr>
          <w:noProof/>
        </w:rPr>
        <w:t>3</w:t>
      </w:r>
      <w:r w:rsidR="00BA2E8E">
        <w:noBreakHyphen/>
      </w:r>
      <w:r w:rsidR="00BA2E8E">
        <w:rPr>
          <w:noProof/>
        </w:rPr>
        <w:t>19</w:t>
      </w:r>
      <w:r w:rsidR="00A6197A">
        <w:fldChar w:fldCharType="end"/>
      </w:r>
      <w:r w:rsidR="00A6197A">
        <w:t xml:space="preserve"> </w:t>
      </w:r>
      <w:r w:rsidRPr="007D0518">
        <w:t xml:space="preserve">illustrates the timing of proposals and averaging periods compared to the results produced by the curve options. </w:t>
      </w:r>
    </w:p>
    <w:p w:rsidR="00A6197A" w:rsidRPr="007D0518" w:rsidRDefault="00A6197A" w:rsidP="00A6197A">
      <w:pPr>
        <w:pStyle w:val="Caption"/>
      </w:pPr>
      <w:bookmarkStart w:id="367" w:name="_Ref451518283"/>
      <w:r>
        <w:t xml:space="preserve">Figure </w:t>
      </w:r>
      <w:fldSimple w:instr=" STYLEREF 1 \s ">
        <w:r w:rsidR="00BA2E8E">
          <w:rPr>
            <w:noProof/>
          </w:rPr>
          <w:t>3</w:t>
        </w:r>
      </w:fldSimple>
      <w:r>
        <w:noBreakHyphen/>
      </w:r>
      <w:fldSimple w:instr=" SEQ Figure \* ARABIC \s 1 ">
        <w:r w:rsidR="00BA2E8E">
          <w:rPr>
            <w:noProof/>
          </w:rPr>
          <w:t>19</w:t>
        </w:r>
      </w:fldSimple>
      <w:bookmarkEnd w:id="367"/>
      <w:r>
        <w:tab/>
      </w:r>
      <w:r>
        <w:tab/>
      </w:r>
      <w:r w:rsidRPr="00A6197A">
        <w:t>Thomson Reuters compared to the AER's approach</w:t>
      </w:r>
    </w:p>
    <w:p w:rsidR="007D0518" w:rsidRPr="007D0518" w:rsidRDefault="007D0518" w:rsidP="007D0518">
      <w:r w:rsidRPr="007D0518">
        <w:rPr>
          <w:noProof/>
          <w:lang w:eastAsia="en-AU"/>
        </w:rPr>
        <w:drawing>
          <wp:inline distT="0" distB="0" distL="0" distR="0" wp14:anchorId="64E3EB4B" wp14:editId="16C6824D">
            <wp:extent cx="5401310" cy="4060190"/>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1310" cy="4060190"/>
                    </a:xfrm>
                    <a:prstGeom prst="rect">
                      <a:avLst/>
                    </a:prstGeom>
                    <a:noFill/>
                  </pic:spPr>
                </pic:pic>
              </a:graphicData>
            </a:graphic>
          </wp:inline>
        </w:drawing>
      </w:r>
    </w:p>
    <w:p w:rsidR="007D0518" w:rsidRPr="007D0518" w:rsidRDefault="007D0518" w:rsidP="007D0518">
      <w:pPr>
        <w:pStyle w:val="AERtablesource"/>
      </w:pPr>
      <w:r w:rsidRPr="007D0518">
        <w:t>Source:</w:t>
      </w:r>
      <w:r w:rsidRPr="007D0518">
        <w:tab/>
        <w:t>CEG, AER analysis</w:t>
      </w:r>
    </w:p>
    <w:p w:rsidR="007D0518" w:rsidRPr="007D0518" w:rsidRDefault="007D0518" w:rsidP="007D0518">
      <w:pPr>
        <w:pStyle w:val="AERtablesource"/>
      </w:pPr>
      <w:r w:rsidRPr="007D0518">
        <w:t>Note:</w:t>
      </w:r>
      <w:r w:rsidRPr="007D0518">
        <w:tab/>
        <w:t>The vertical line indicates the date on which revised proposals were submitted.</w:t>
      </w:r>
    </w:p>
    <w:p w:rsidR="007D0518" w:rsidRPr="007D0518" w:rsidRDefault="007D0518" w:rsidP="007D0518">
      <w:r w:rsidRPr="007D0518">
        <w:t xml:space="preserve">When the revised proposals were submitted, the Thomson Reuters curve had recently diverged from the AER combination to produce materially higher results. At this time, the service providers could have either calculated precisely or had reasonable expectations that including the Reuters curve in addition to or instead of the BVAL and RBA curves would result in higher revenue over their averaging periods. However, from its initial publication (May 2015) until October 2015, and since mid-January 2016, the Reuters curve has tracked very closely with the AER combination. </w:t>
      </w:r>
    </w:p>
    <w:p w:rsidR="007D0518" w:rsidRPr="007D0518" w:rsidRDefault="007D0518" w:rsidP="007D0518">
      <w:r w:rsidRPr="007D0518">
        <w:t>In contrast, service providers would have had little or no incentive to depart from their initial proposals if the Thomson Reuters curve had generated lower results than the existing combination. As at April 2015, CEG recommended adopting an average of the RBA and BVAL curves extrapolated using the AER method for the historical period from 2005–06 to 2013–14.</w:t>
      </w:r>
      <w:r w:rsidRPr="007D0518">
        <w:rPr>
          <w:rStyle w:val="FootnoteReference"/>
        </w:rPr>
        <w:footnoteReference w:id="1249"/>
      </w:r>
    </w:p>
    <w:p w:rsidR="007D0518" w:rsidRPr="007D0518" w:rsidRDefault="007D0518" w:rsidP="007D0518">
      <w:r w:rsidRPr="007D0518">
        <w:t>Overall, we consider that using ex-post assessments of results in the service provider's actual averaging periods is likely to result in upwardly-biased decision making. We are not satisfied that a decision made on this basis would contribute to achievement of the allowed rate of return objective, or that it would appropriately reflect the revenue and pricing principles.</w:t>
      </w:r>
    </w:p>
    <w:p w:rsidR="007D0518" w:rsidRPr="007D0518" w:rsidRDefault="007D0518" w:rsidP="007D0518">
      <w:pPr>
        <w:pStyle w:val="Heading9"/>
      </w:pPr>
      <w:bookmarkStart w:id="368" w:name="_Toc449624777"/>
      <w:bookmarkStart w:id="369" w:name="_Toc451678695"/>
      <w:r w:rsidRPr="007D0518">
        <w:t>Limited assessment of the Thomson Reuters curve</w:t>
      </w:r>
      <w:bookmarkEnd w:id="368"/>
      <w:bookmarkEnd w:id="369"/>
    </w:p>
    <w:p w:rsidR="007D0518" w:rsidRPr="007D0518" w:rsidRDefault="007D0518" w:rsidP="007D0518">
      <w:r w:rsidRPr="007D0518">
        <w:t>We have not reached a definitive view on whether use of the Thomson Reuters curve would contribute to an estimate that achieves the allowed rate of return objective. However, based on our analysis, we consider the impact of including or excluding the Thomson Reuters curve appears to be of limited materiality except over a historical period of two months. Our analysis is set out in the following sections:</w:t>
      </w:r>
    </w:p>
    <w:p w:rsidR="007D0518" w:rsidRPr="007D0518" w:rsidRDefault="007D0518" w:rsidP="007D0518">
      <w:pPr>
        <w:pStyle w:val="AERbulletlistfirststyle"/>
      </w:pPr>
      <w:r w:rsidRPr="007D0518">
        <w:t>comparison of yield curve characteristics</w:t>
      </w:r>
    </w:p>
    <w:p w:rsidR="007D0518" w:rsidRPr="007D0518" w:rsidRDefault="007D0518" w:rsidP="007D0518">
      <w:pPr>
        <w:pStyle w:val="AERbulletlistfirststyle"/>
      </w:pPr>
      <w:r w:rsidRPr="007D0518">
        <w:t>comparison of outcomes</w:t>
      </w:r>
    </w:p>
    <w:p w:rsidR="007D0518" w:rsidRPr="007D0518" w:rsidRDefault="007D0518" w:rsidP="007D0518">
      <w:pPr>
        <w:pStyle w:val="HeadingBoldBlue"/>
      </w:pPr>
      <w:r w:rsidRPr="007D0518">
        <w:t>Comparison of yield curve characteristics</w:t>
      </w:r>
    </w:p>
    <w:p w:rsidR="002D2307" w:rsidRPr="002D2307" w:rsidRDefault="002D2307" w:rsidP="002D2307">
      <w:r w:rsidRPr="002D2307">
        <w:t>To assist in our assessment of the Thomson Reuters curve, we sought further information from Thomson Reuters,</w:t>
      </w:r>
      <w:r w:rsidRPr="002D2307">
        <w:rPr>
          <w:rStyle w:val="FootnoteReference"/>
        </w:rPr>
        <w:footnoteReference w:id="1250"/>
      </w:r>
      <w:r w:rsidRPr="002D2307">
        <w:t xml:space="preserve"> and from CEG.</w:t>
      </w:r>
      <w:r w:rsidRPr="002D2307">
        <w:rPr>
          <w:rStyle w:val="FootnoteReference"/>
        </w:rPr>
        <w:footnoteReference w:id="1251"/>
      </w:r>
      <w:r w:rsidRPr="002D2307">
        <w:t xml:space="preserve"> Thomson Reuters advised that some data filtering aspects of the bond selection criteria are discretionary and therefore proprietary. However, they indicated that:</w:t>
      </w:r>
    </w:p>
    <w:p w:rsidR="007D0518" w:rsidRPr="007D0518" w:rsidRDefault="007D0518" w:rsidP="007D0518">
      <w:pPr>
        <w:pStyle w:val="AERbulletlistfirststyle"/>
      </w:pPr>
      <w:r w:rsidRPr="007D0518">
        <w:t>the curve fitting methodology is a 'basis spline' model</w:t>
      </w:r>
      <w:r w:rsidR="000B4C65">
        <w:t>.</w:t>
      </w:r>
    </w:p>
    <w:p w:rsidR="007D0518" w:rsidRPr="007D0518" w:rsidRDefault="007D0518" w:rsidP="007D0518">
      <w:pPr>
        <w:pStyle w:val="AERbulletlistfirststyle"/>
      </w:pPr>
      <w:r w:rsidRPr="007D0518">
        <w:t>the bond selection criteria includes the following characteristics:</w:t>
      </w:r>
    </w:p>
    <w:p w:rsidR="007D0518" w:rsidRPr="007D0518" w:rsidRDefault="007D0518" w:rsidP="007D0518">
      <w:pPr>
        <w:pStyle w:val="AERbulletlistsecondstyle"/>
      </w:pPr>
      <w:r w:rsidRPr="007D0518">
        <w:t>only fixed-rate (</w:t>
      </w:r>
      <w:r w:rsidR="000273D3" w:rsidRPr="007D0518">
        <w:t>i.e.</w:t>
      </w:r>
      <w:r w:rsidRPr="007D0518">
        <w:t xml:space="preserve"> no floating) senior unsecured bonds</w:t>
      </w:r>
    </w:p>
    <w:p w:rsidR="007D0518" w:rsidRPr="007D0518" w:rsidRDefault="007D0518" w:rsidP="007D0518">
      <w:pPr>
        <w:pStyle w:val="AERbulletlistsecondstyle"/>
      </w:pPr>
      <w:r w:rsidRPr="007D0518">
        <w:t>no bonds with embedded options</w:t>
      </w:r>
    </w:p>
    <w:p w:rsidR="007D0518" w:rsidRPr="007D0518" w:rsidRDefault="007D0518" w:rsidP="007D0518">
      <w:pPr>
        <w:pStyle w:val="AERbulletlistsecondstyle"/>
      </w:pPr>
      <w:r w:rsidRPr="007D0518">
        <w:t>Thomson Reuters specifically avoids including bonds issued in other markets because it requires strong assumptions to generate meaningful comparative pricing data.</w:t>
      </w:r>
    </w:p>
    <w:p w:rsidR="007D0518" w:rsidRPr="007D0518" w:rsidRDefault="007D0518" w:rsidP="007D0518">
      <w:pPr>
        <w:pStyle w:val="AERbulletlistsecondstyle"/>
      </w:pPr>
      <w:r w:rsidRPr="007D0518">
        <w:t>Thomson Reuters removes outliers from the bond universe based on a fairly straightforward standard deviation style filter in comparison to the universe of bonds in term/rating ‘buckets’.</w:t>
      </w:r>
    </w:p>
    <w:p w:rsidR="007D0518" w:rsidRPr="007D0518" w:rsidRDefault="007D0518" w:rsidP="007D0518">
      <w:pPr>
        <w:pStyle w:val="AERbulletlistsecondstyle"/>
      </w:pPr>
      <w:r w:rsidRPr="007D0518">
        <w:fldChar w:fldCharType="begin"/>
      </w:r>
      <w:r w:rsidRPr="007D0518">
        <w:instrText xml:space="preserve"> REF _Ref450900503 \h </w:instrText>
      </w:r>
      <w:r w:rsidRPr="007D0518">
        <w:fldChar w:fldCharType="separate"/>
      </w:r>
      <w:r w:rsidR="00BA2E8E" w:rsidRPr="007D0518">
        <w:t xml:space="preserve">Table </w:t>
      </w:r>
      <w:r w:rsidR="00BA2E8E">
        <w:rPr>
          <w:noProof/>
        </w:rPr>
        <w:t>3</w:t>
      </w:r>
      <w:r w:rsidR="00BA2E8E">
        <w:noBreakHyphen/>
      </w:r>
      <w:r w:rsidR="00BA2E8E">
        <w:rPr>
          <w:noProof/>
        </w:rPr>
        <w:t>42</w:t>
      </w:r>
      <w:r w:rsidRPr="007D0518">
        <w:fldChar w:fldCharType="end"/>
      </w:r>
      <w:r w:rsidRPr="007D0518">
        <w:t>, below, sets out the comparable characteristics in the three data series. Overall, we note that BVAL and Thomson Reuters have both chosen to exclude bonds with embedded options and bonds issued in other currencies. This appears to enhance the data quality and comparability of bonds within the sample at the expense of sample size. For the reasons set out in this and previous decisions, we are not persuaded that either the RBA or the BVAL selection criteria are clearly superior. However, the Thomson Reuters bond selection criteria appear to be only incrementally different from the BVAL selection criteria.</w:t>
      </w:r>
    </w:p>
    <w:p w:rsidR="007D0518" w:rsidRPr="007D0518" w:rsidRDefault="007D0518" w:rsidP="007D0518">
      <w:pPr>
        <w:pStyle w:val="Caption"/>
      </w:pPr>
      <w:bookmarkStart w:id="370" w:name="_Ref450900503"/>
      <w:r w:rsidRPr="007D0518">
        <w:t xml:space="preserve">Table </w:t>
      </w:r>
      <w:fldSimple w:instr=" STYLEREF 1 \s ">
        <w:r w:rsidR="00BA2E8E">
          <w:rPr>
            <w:noProof/>
          </w:rPr>
          <w:t>3</w:t>
        </w:r>
      </w:fldSimple>
      <w:r w:rsidR="000F4BC3">
        <w:noBreakHyphen/>
      </w:r>
      <w:fldSimple w:instr=" SEQ Table \* ARABIC \s 1 ">
        <w:r w:rsidR="00BA2E8E">
          <w:rPr>
            <w:noProof/>
          </w:rPr>
          <w:t>42</w:t>
        </w:r>
      </w:fldSimple>
      <w:bookmarkEnd w:id="370"/>
      <w:r w:rsidRPr="007D0518">
        <w:tab/>
        <w:t>Comparison of known bond selection criteria</w:t>
      </w:r>
    </w:p>
    <w:tbl>
      <w:tblPr>
        <w:tblStyle w:val="AERtable-text1"/>
        <w:tblW w:w="0" w:type="auto"/>
        <w:tblInd w:w="0" w:type="dxa"/>
        <w:tblLook w:val="04A0" w:firstRow="1" w:lastRow="0" w:firstColumn="1" w:lastColumn="0" w:noHBand="0" w:noVBand="1"/>
      </w:tblPr>
      <w:tblGrid>
        <w:gridCol w:w="2173"/>
        <w:gridCol w:w="2173"/>
        <w:gridCol w:w="2173"/>
        <w:gridCol w:w="2174"/>
      </w:tblGrid>
      <w:tr w:rsidR="007D0518" w:rsidTr="00170917">
        <w:trPr>
          <w:cnfStyle w:val="100000000000" w:firstRow="1" w:lastRow="0" w:firstColumn="0" w:lastColumn="0" w:oddVBand="0" w:evenVBand="0" w:oddHBand="0" w:evenHBand="0" w:firstRowFirstColumn="0" w:firstRowLastColumn="0" w:lastRowFirstColumn="0" w:lastRowLastColumn="0"/>
        </w:trPr>
        <w:tc>
          <w:tcPr>
            <w:tcW w:w="2173" w:type="dxa"/>
          </w:tcPr>
          <w:p w:rsidR="007D0518" w:rsidRPr="007D0518" w:rsidRDefault="007D0518" w:rsidP="007D0518">
            <w:r w:rsidRPr="007D0518">
              <w:t>Criteria</w:t>
            </w:r>
          </w:p>
        </w:tc>
        <w:tc>
          <w:tcPr>
            <w:tcW w:w="2173" w:type="dxa"/>
          </w:tcPr>
          <w:p w:rsidR="007D0518" w:rsidRPr="007D0518" w:rsidRDefault="007D0518" w:rsidP="007D0518">
            <w:r w:rsidRPr="007D0518">
              <w:t>RBA</w:t>
            </w:r>
          </w:p>
        </w:tc>
        <w:tc>
          <w:tcPr>
            <w:tcW w:w="2173" w:type="dxa"/>
          </w:tcPr>
          <w:p w:rsidR="007D0518" w:rsidRPr="007D0518" w:rsidRDefault="007D0518" w:rsidP="007D0518">
            <w:r w:rsidRPr="007D0518">
              <w:t>BVAL</w:t>
            </w:r>
          </w:p>
        </w:tc>
        <w:tc>
          <w:tcPr>
            <w:tcW w:w="2174" w:type="dxa"/>
          </w:tcPr>
          <w:p w:rsidR="007D0518" w:rsidRPr="007D0518" w:rsidRDefault="007D0518" w:rsidP="007D0518">
            <w:r w:rsidRPr="007D0518">
              <w:t>Thomson Reuters</w:t>
            </w:r>
          </w:p>
        </w:tc>
      </w:tr>
      <w:tr w:rsidR="007D0518" w:rsidTr="00170917">
        <w:tc>
          <w:tcPr>
            <w:tcW w:w="2173" w:type="dxa"/>
          </w:tcPr>
          <w:p w:rsidR="007D0518" w:rsidRPr="007D0518" w:rsidRDefault="007D0518" w:rsidP="007D0518">
            <w:r w:rsidRPr="007D0518">
              <w:t>Size of issue/quality of pricing data</w:t>
            </w:r>
          </w:p>
        </w:tc>
        <w:tc>
          <w:tcPr>
            <w:tcW w:w="2173" w:type="dxa"/>
          </w:tcPr>
          <w:p w:rsidR="007D0518" w:rsidRPr="007D0518" w:rsidRDefault="007D0518" w:rsidP="007D0518">
            <w:r w:rsidRPr="007D0518">
              <w:t>At least A$100 million (or equivalent) and at least one year remaining term to maturity</w:t>
            </w:r>
          </w:p>
        </w:tc>
        <w:tc>
          <w:tcPr>
            <w:tcW w:w="2173" w:type="dxa"/>
          </w:tcPr>
          <w:p w:rsidR="007D0518" w:rsidRPr="007D0518" w:rsidRDefault="007D0518" w:rsidP="007D0518">
            <w:r w:rsidRPr="007D0518">
              <w:t>BVAL score of 6 or higher , and at least two months remaining term to maturity</w:t>
            </w:r>
          </w:p>
        </w:tc>
        <w:tc>
          <w:tcPr>
            <w:tcW w:w="2174" w:type="dxa"/>
          </w:tcPr>
          <w:p w:rsidR="007D0518" w:rsidRPr="007D0518" w:rsidRDefault="007D0518" w:rsidP="007D0518">
            <w:r w:rsidRPr="007D0518">
              <w:t xml:space="preserve">Simple outlier-style filter, in addition to other discretionary filtering. </w:t>
            </w:r>
          </w:p>
        </w:tc>
      </w:tr>
      <w:tr w:rsidR="007D0518" w:rsidTr="00170917">
        <w:trPr>
          <w:cnfStyle w:val="000000010000" w:firstRow="0" w:lastRow="0" w:firstColumn="0" w:lastColumn="0" w:oddVBand="0" w:evenVBand="0" w:oddHBand="0" w:evenHBand="1" w:firstRowFirstColumn="0" w:firstRowLastColumn="0" w:lastRowFirstColumn="0" w:lastRowLastColumn="0"/>
        </w:trPr>
        <w:tc>
          <w:tcPr>
            <w:tcW w:w="2173" w:type="dxa"/>
          </w:tcPr>
          <w:p w:rsidR="007D0518" w:rsidRPr="007D0518" w:rsidRDefault="007D0518" w:rsidP="007D0518">
            <w:r w:rsidRPr="007D0518">
              <w:t>Secured/unsecured</w:t>
            </w:r>
          </w:p>
        </w:tc>
        <w:tc>
          <w:tcPr>
            <w:tcW w:w="2173" w:type="dxa"/>
          </w:tcPr>
          <w:p w:rsidR="007D0518" w:rsidRPr="007D0518" w:rsidRDefault="007D0518" w:rsidP="007D0518">
            <w:r w:rsidRPr="007D0518">
              <w:t>Both secured and unsecured bonds</w:t>
            </w:r>
          </w:p>
        </w:tc>
        <w:tc>
          <w:tcPr>
            <w:tcW w:w="2173" w:type="dxa"/>
          </w:tcPr>
          <w:p w:rsidR="007D0518" w:rsidRPr="007D0518" w:rsidRDefault="007D0518" w:rsidP="007D0518">
            <w:r w:rsidRPr="007D0518">
              <w:t>Unsecured senior bonds only</w:t>
            </w:r>
          </w:p>
        </w:tc>
        <w:tc>
          <w:tcPr>
            <w:tcW w:w="2174" w:type="dxa"/>
          </w:tcPr>
          <w:p w:rsidR="007D0518" w:rsidRPr="007D0518" w:rsidRDefault="007D0518" w:rsidP="007D0518">
            <w:r w:rsidRPr="007D0518">
              <w:t>Unsecured senior bonds only</w:t>
            </w:r>
          </w:p>
        </w:tc>
      </w:tr>
      <w:tr w:rsidR="007D0518" w:rsidTr="00170917">
        <w:tc>
          <w:tcPr>
            <w:tcW w:w="2173" w:type="dxa"/>
          </w:tcPr>
          <w:p w:rsidR="007D0518" w:rsidRPr="007D0518" w:rsidRDefault="007D0518" w:rsidP="007D0518">
            <w:r w:rsidRPr="007D0518">
              <w:t>Embedded options</w:t>
            </w:r>
          </w:p>
        </w:tc>
        <w:tc>
          <w:tcPr>
            <w:tcW w:w="2173" w:type="dxa"/>
          </w:tcPr>
          <w:p w:rsidR="007D0518" w:rsidRPr="007D0518" w:rsidRDefault="007D0518" w:rsidP="007D0518">
            <w:r w:rsidRPr="007D0518">
              <w:t>Includes bonds with embedded options</w:t>
            </w:r>
          </w:p>
        </w:tc>
        <w:tc>
          <w:tcPr>
            <w:tcW w:w="2173" w:type="dxa"/>
          </w:tcPr>
          <w:p w:rsidR="007D0518" w:rsidRPr="007D0518" w:rsidRDefault="007D0518" w:rsidP="007D0518">
            <w:r w:rsidRPr="007D0518">
              <w:t>Excludes bonds with embedded options</w:t>
            </w:r>
          </w:p>
        </w:tc>
        <w:tc>
          <w:tcPr>
            <w:tcW w:w="2174" w:type="dxa"/>
          </w:tcPr>
          <w:p w:rsidR="007D0518" w:rsidRPr="007D0518" w:rsidRDefault="007D0518" w:rsidP="007D0518">
            <w:r w:rsidRPr="007D0518">
              <w:t>Excludes bonds with embedded options</w:t>
            </w:r>
          </w:p>
        </w:tc>
      </w:tr>
      <w:tr w:rsidR="007D0518" w:rsidTr="00170917">
        <w:trPr>
          <w:cnfStyle w:val="000000010000" w:firstRow="0" w:lastRow="0" w:firstColumn="0" w:lastColumn="0" w:oddVBand="0" w:evenVBand="0" w:oddHBand="0" w:evenHBand="1" w:firstRowFirstColumn="0" w:firstRowLastColumn="0" w:lastRowFirstColumn="0" w:lastRowLastColumn="0"/>
        </w:trPr>
        <w:tc>
          <w:tcPr>
            <w:tcW w:w="2173" w:type="dxa"/>
          </w:tcPr>
          <w:p w:rsidR="007D0518" w:rsidRPr="007D0518" w:rsidRDefault="007D0518" w:rsidP="007D0518">
            <w:r w:rsidRPr="007D0518">
              <w:t>Currency of issue</w:t>
            </w:r>
          </w:p>
        </w:tc>
        <w:tc>
          <w:tcPr>
            <w:tcW w:w="2173" w:type="dxa"/>
          </w:tcPr>
          <w:p w:rsidR="007D0518" w:rsidRPr="007D0518" w:rsidRDefault="007D0518" w:rsidP="007D0518">
            <w:r w:rsidRPr="007D0518">
              <w:t>AUD, EU, USD</w:t>
            </w:r>
          </w:p>
        </w:tc>
        <w:tc>
          <w:tcPr>
            <w:tcW w:w="2173" w:type="dxa"/>
          </w:tcPr>
          <w:p w:rsidR="007D0518" w:rsidRPr="007D0518" w:rsidRDefault="007D0518" w:rsidP="007D0518">
            <w:r w:rsidRPr="007D0518">
              <w:t>AUD only</w:t>
            </w:r>
          </w:p>
        </w:tc>
        <w:tc>
          <w:tcPr>
            <w:tcW w:w="2174" w:type="dxa"/>
          </w:tcPr>
          <w:p w:rsidR="007D0518" w:rsidRPr="007D0518" w:rsidRDefault="007D0518" w:rsidP="007D0518">
            <w:r w:rsidRPr="007D0518">
              <w:t>AUD only</w:t>
            </w:r>
          </w:p>
        </w:tc>
      </w:tr>
    </w:tbl>
    <w:p w:rsidR="007D0518" w:rsidRPr="007D0518" w:rsidRDefault="007D0518" w:rsidP="007D0518">
      <w:pPr>
        <w:pStyle w:val="AERtablesource"/>
      </w:pPr>
      <w:r w:rsidRPr="007D0518">
        <w:t>Source:</w:t>
      </w:r>
      <w:r w:rsidRPr="007D0518">
        <w:tab/>
        <w:t>RBA, BVAL, Thomson Reuters.</w:t>
      </w:r>
    </w:p>
    <w:p w:rsidR="007D0518" w:rsidRPr="007D0518" w:rsidRDefault="007D0518" w:rsidP="007D0518">
      <w:pPr>
        <w:pStyle w:val="HeadingBoldBlue"/>
      </w:pPr>
      <w:r w:rsidRPr="007D0518">
        <w:t>Comparison of outcomes</w:t>
      </w:r>
    </w:p>
    <w:p w:rsidR="007D0518" w:rsidRPr="007D0518" w:rsidRDefault="007D0518" w:rsidP="007D0518">
      <w:r w:rsidRPr="007D0518">
        <w:t xml:space="preserve">Since publication of the 10 year Thomson Reuters yield estimate, it appears to produce results that are comparable to the existing combination, except for a temporary and material divergence over November and December 2015. This is illustrated in </w:t>
      </w:r>
      <w:r w:rsidRPr="007D0518">
        <w:fldChar w:fldCharType="begin"/>
      </w:r>
      <w:r w:rsidRPr="007D0518">
        <w:instrText xml:space="preserve"> REF _Ref450900769 \h </w:instrText>
      </w:r>
      <w:r w:rsidRPr="007D0518">
        <w:fldChar w:fldCharType="separate"/>
      </w:r>
      <w:r w:rsidR="00BA2E8E" w:rsidRPr="007D0518">
        <w:t xml:space="preserve">Figure </w:t>
      </w:r>
      <w:r w:rsidR="00BA2E8E">
        <w:rPr>
          <w:noProof/>
        </w:rPr>
        <w:t>3</w:t>
      </w:r>
      <w:r w:rsidR="00BA2E8E">
        <w:noBreakHyphen/>
      </w:r>
      <w:r w:rsidR="00BA2E8E">
        <w:rPr>
          <w:noProof/>
        </w:rPr>
        <w:t>20</w:t>
      </w:r>
      <w:r w:rsidRPr="007D0518">
        <w:fldChar w:fldCharType="end"/>
      </w:r>
      <w:r w:rsidRPr="007D0518">
        <w:t>.</w:t>
      </w:r>
    </w:p>
    <w:p w:rsidR="007D0518" w:rsidRPr="007D0518" w:rsidRDefault="007D0518" w:rsidP="007D0518">
      <w:pPr>
        <w:pStyle w:val="Caption"/>
      </w:pPr>
      <w:bookmarkStart w:id="371" w:name="_Ref450900769"/>
      <w:r w:rsidRPr="007D0518">
        <w:t xml:space="preserve">Figure </w:t>
      </w:r>
      <w:fldSimple w:instr=" STYLEREF 1 \s ">
        <w:r w:rsidR="00BA2E8E">
          <w:rPr>
            <w:noProof/>
          </w:rPr>
          <w:t>3</w:t>
        </w:r>
      </w:fldSimple>
      <w:r w:rsidR="00A6197A">
        <w:noBreakHyphen/>
      </w:r>
      <w:fldSimple w:instr=" SEQ Figure \* ARABIC \s 1 ">
        <w:r w:rsidR="00BA2E8E">
          <w:rPr>
            <w:noProof/>
          </w:rPr>
          <w:t>20</w:t>
        </w:r>
      </w:fldSimple>
      <w:bookmarkEnd w:id="371"/>
      <w:r w:rsidRPr="007D0518">
        <w:tab/>
        <w:t>Comparison of Thomson Reuters 10 year estimate against the AER approach</w:t>
      </w:r>
    </w:p>
    <w:p w:rsidR="007D0518" w:rsidRPr="007D0518" w:rsidRDefault="007D0518" w:rsidP="007D0518">
      <w:r w:rsidRPr="007D0518">
        <w:rPr>
          <w:noProof/>
          <w:lang w:eastAsia="en-AU"/>
        </w:rPr>
        <w:drawing>
          <wp:inline distT="0" distB="0" distL="0" distR="0" wp14:anchorId="58818695" wp14:editId="7C14EE52">
            <wp:extent cx="5401310" cy="3596640"/>
            <wp:effectExtent l="0" t="0" r="889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7D0518" w:rsidRPr="007D0518" w:rsidRDefault="007D0518" w:rsidP="007D0518">
      <w:pPr>
        <w:pStyle w:val="AERtablesource"/>
      </w:pPr>
      <w:r w:rsidRPr="007D0518">
        <w:t>Source:</w:t>
      </w:r>
      <w:r w:rsidRPr="007D0518">
        <w:tab/>
        <w:t>AER analysis, RBA, Bloomberg, Thompson Reuters.</w:t>
      </w:r>
    </w:p>
    <w:p w:rsidR="007D0518" w:rsidRPr="007D0518" w:rsidRDefault="007D0518" w:rsidP="007D0518">
      <w:r w:rsidRPr="007D0518">
        <w:t xml:space="preserve">As at November 2016 the Thomson Reuters curve rose above the existing curves. However, from May 2015 until that time, and since February 2016, it has produced results that are very close to the existing combination. This does not imply these curves will continue to produce similar results. Further, we consider that analysis of the yield curve's underlying characteristics is the most informative means of evaluating the curves. </w:t>
      </w:r>
    </w:p>
    <w:p w:rsidR="007D0518" w:rsidRPr="007D0518" w:rsidRDefault="007D0518" w:rsidP="007D0518">
      <w:r w:rsidRPr="007D0518">
        <w:t>Nonetheless, CEG has relied on comparative analysis of yields in support of adopting the Thomson Reuters curve.</w:t>
      </w:r>
      <w:r w:rsidRPr="007D0518">
        <w:rPr>
          <w:rStyle w:val="FootnoteReference"/>
        </w:rPr>
        <w:footnoteReference w:id="1252"/>
      </w:r>
      <w:r w:rsidRPr="007D0518">
        <w:t xml:space="preserve"> To the extent that a comparison of outcomes is informative, we are not satisfied that there is sufficient evidence the addition of a third curve would, in expectation, have any more than incremental impact on the outcomes of our current approach. </w:t>
      </w:r>
      <w:r w:rsidRPr="007D0518">
        <w:fldChar w:fldCharType="begin"/>
      </w:r>
      <w:r w:rsidRPr="007D0518">
        <w:instrText xml:space="preserve"> REF _Ref450900734 \h </w:instrText>
      </w:r>
      <w:r w:rsidRPr="007D0518">
        <w:fldChar w:fldCharType="separate"/>
      </w:r>
      <w:r w:rsidR="00BA2E8E" w:rsidRPr="007D0518">
        <w:t xml:space="preserve">Table </w:t>
      </w:r>
      <w:r w:rsidR="00BA2E8E">
        <w:rPr>
          <w:noProof/>
        </w:rPr>
        <w:t>3</w:t>
      </w:r>
      <w:r w:rsidR="00BA2E8E">
        <w:noBreakHyphen/>
      </w:r>
      <w:r w:rsidR="00BA2E8E">
        <w:rPr>
          <w:noProof/>
        </w:rPr>
        <w:t>43</w:t>
      </w:r>
      <w:r w:rsidRPr="007D0518">
        <w:fldChar w:fldCharType="end"/>
      </w:r>
      <w:r w:rsidRPr="007D0518">
        <w:t xml:space="preserve"> illustrates that over the full period for which the Thomson Reuters 10 year estimate has been published, the difference between the Thomson Reuters curve and the existing combination is 9 basis points. Excluding the two month divergence within an eleven month sample, the difference is only 2 basis points. </w:t>
      </w:r>
    </w:p>
    <w:p w:rsidR="007D0518" w:rsidRPr="007D0518" w:rsidRDefault="007D0518" w:rsidP="007D0518">
      <w:pPr>
        <w:pStyle w:val="Caption"/>
      </w:pPr>
      <w:bookmarkStart w:id="372" w:name="_Ref450900734"/>
      <w:r w:rsidRPr="007D0518">
        <w:t xml:space="preserve">Table </w:t>
      </w:r>
      <w:fldSimple w:instr=" STYLEREF 1 \s ">
        <w:r w:rsidR="00BA2E8E">
          <w:rPr>
            <w:noProof/>
          </w:rPr>
          <w:t>3</w:t>
        </w:r>
      </w:fldSimple>
      <w:r w:rsidR="000F4BC3">
        <w:noBreakHyphen/>
      </w:r>
      <w:fldSimple w:instr=" SEQ Table \* ARABIC \s 1 ">
        <w:r w:rsidR="00BA2E8E">
          <w:rPr>
            <w:noProof/>
          </w:rPr>
          <w:t>43</w:t>
        </w:r>
      </w:fldSimple>
      <w:bookmarkEnd w:id="372"/>
      <w:r w:rsidRPr="007D0518">
        <w:tab/>
        <w:t>Comparison of Thomson Reuters 10 year estimate against the AER approach</w:t>
      </w:r>
    </w:p>
    <w:tbl>
      <w:tblPr>
        <w:tblStyle w:val="AERtable-numbers"/>
        <w:tblW w:w="0" w:type="auto"/>
        <w:tblLook w:val="04A0" w:firstRow="1" w:lastRow="0" w:firstColumn="1" w:lastColumn="0" w:noHBand="0" w:noVBand="1"/>
      </w:tblPr>
      <w:tblGrid>
        <w:gridCol w:w="2339"/>
        <w:gridCol w:w="2118"/>
        <w:gridCol w:w="2118"/>
        <w:gridCol w:w="2118"/>
      </w:tblGrid>
      <w:tr w:rsidR="007D0518" w:rsidTr="00170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7D0518" w:rsidRPr="007D0518" w:rsidRDefault="007D0518" w:rsidP="007D0518">
            <w:r w:rsidRPr="007D0518">
              <w:t>Time period</w:t>
            </w:r>
          </w:p>
        </w:tc>
        <w:tc>
          <w:tcPr>
            <w:tcW w:w="2118" w:type="dxa"/>
          </w:tcPr>
          <w:p w:rsidR="007D0518" w:rsidRPr="007D0518" w:rsidRDefault="007D0518" w:rsidP="007D0518">
            <w:pPr>
              <w:cnfStyle w:val="100000000000" w:firstRow="1" w:lastRow="0" w:firstColumn="0" w:lastColumn="0" w:oddVBand="0" w:evenVBand="0" w:oddHBand="0" w:evenHBand="0" w:firstRowFirstColumn="0" w:firstRowLastColumn="0" w:lastRowFirstColumn="0" w:lastRowLastColumn="0"/>
            </w:pPr>
            <w:r w:rsidRPr="007D0518">
              <w:t>AER approach (BVAL and RBA)</w:t>
            </w:r>
          </w:p>
        </w:tc>
        <w:tc>
          <w:tcPr>
            <w:tcW w:w="2118" w:type="dxa"/>
          </w:tcPr>
          <w:p w:rsidR="007D0518" w:rsidRPr="007D0518" w:rsidRDefault="007D0518" w:rsidP="007D0518">
            <w:pPr>
              <w:cnfStyle w:val="100000000000" w:firstRow="1" w:lastRow="0" w:firstColumn="0" w:lastColumn="0" w:oddVBand="0" w:evenVBand="0" w:oddHBand="0" w:evenHBand="0" w:firstRowFirstColumn="0" w:firstRowLastColumn="0" w:lastRowFirstColumn="0" w:lastRowLastColumn="0"/>
            </w:pPr>
            <w:r w:rsidRPr="007D0518">
              <w:t>Reuters curve</w:t>
            </w:r>
          </w:p>
        </w:tc>
        <w:tc>
          <w:tcPr>
            <w:tcW w:w="2118" w:type="dxa"/>
          </w:tcPr>
          <w:p w:rsidR="007D0518" w:rsidRPr="007D0518" w:rsidRDefault="007D0518" w:rsidP="007D0518">
            <w:pPr>
              <w:cnfStyle w:val="100000000000" w:firstRow="1" w:lastRow="0" w:firstColumn="0" w:lastColumn="0" w:oddVBand="0" w:evenVBand="0" w:oddHBand="0" w:evenHBand="0" w:firstRowFirstColumn="0" w:firstRowLastColumn="0" w:lastRowFirstColumn="0" w:lastRowLastColumn="0"/>
            </w:pPr>
            <w:r w:rsidRPr="007D0518">
              <w:t>Difference</w:t>
            </w:r>
          </w:p>
        </w:tc>
      </w:tr>
      <w:tr w:rsidR="007D0518" w:rsidTr="00170917">
        <w:tc>
          <w:tcPr>
            <w:cnfStyle w:val="001000000000" w:firstRow="0" w:lastRow="0" w:firstColumn="1" w:lastColumn="0" w:oddVBand="0" w:evenVBand="0" w:oddHBand="0" w:evenHBand="0" w:firstRowFirstColumn="0" w:firstRowLastColumn="0" w:lastRowFirstColumn="0" w:lastRowLastColumn="0"/>
            <w:tcW w:w="2339" w:type="dxa"/>
          </w:tcPr>
          <w:p w:rsidR="007D0518" w:rsidRPr="007D0518" w:rsidRDefault="007D0518" w:rsidP="007D0518">
            <w:r w:rsidRPr="007D0518">
              <w:t>Since Reuters publication</w:t>
            </w:r>
          </w:p>
        </w:tc>
        <w:tc>
          <w:tcPr>
            <w:tcW w:w="2118" w:type="dxa"/>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5.39</w:t>
            </w:r>
          </w:p>
        </w:tc>
        <w:tc>
          <w:tcPr>
            <w:tcW w:w="2118" w:type="dxa"/>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5.48</w:t>
            </w:r>
          </w:p>
        </w:tc>
        <w:tc>
          <w:tcPr>
            <w:tcW w:w="2118" w:type="dxa"/>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9 basis points</w:t>
            </w:r>
          </w:p>
        </w:tc>
      </w:tr>
      <w:tr w:rsidR="007D0518" w:rsidTr="00170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9" w:type="dxa"/>
          </w:tcPr>
          <w:p w:rsidR="007D0518" w:rsidRPr="007D0518" w:rsidRDefault="007D0518" w:rsidP="007D0518">
            <w:r w:rsidRPr="007D0518">
              <w:t>Excluding November and December 2015</w:t>
            </w:r>
          </w:p>
        </w:tc>
        <w:tc>
          <w:tcPr>
            <w:tcW w:w="2118" w:type="dxa"/>
          </w:tcPr>
          <w:p w:rsidR="007D0518" w:rsidRPr="007D0518" w:rsidRDefault="007D0518" w:rsidP="007D0518">
            <w:pPr>
              <w:cnfStyle w:val="000000010000" w:firstRow="0" w:lastRow="0" w:firstColumn="0" w:lastColumn="0" w:oddVBand="0" w:evenVBand="0" w:oddHBand="0" w:evenHBand="1" w:firstRowFirstColumn="0" w:firstRowLastColumn="0" w:lastRowFirstColumn="0" w:lastRowLastColumn="0"/>
            </w:pPr>
            <w:r w:rsidRPr="007D0518">
              <w:t>5.31</w:t>
            </w:r>
          </w:p>
        </w:tc>
        <w:tc>
          <w:tcPr>
            <w:tcW w:w="2118" w:type="dxa"/>
          </w:tcPr>
          <w:p w:rsidR="007D0518" w:rsidRPr="007D0518" w:rsidRDefault="007D0518" w:rsidP="007D0518">
            <w:pPr>
              <w:cnfStyle w:val="000000010000" w:firstRow="0" w:lastRow="0" w:firstColumn="0" w:lastColumn="0" w:oddVBand="0" w:evenVBand="0" w:oddHBand="0" w:evenHBand="1" w:firstRowFirstColumn="0" w:firstRowLastColumn="0" w:lastRowFirstColumn="0" w:lastRowLastColumn="0"/>
            </w:pPr>
            <w:r w:rsidRPr="007D0518">
              <w:t>5.34</w:t>
            </w:r>
          </w:p>
        </w:tc>
        <w:tc>
          <w:tcPr>
            <w:tcW w:w="2118" w:type="dxa"/>
          </w:tcPr>
          <w:p w:rsidR="007D0518" w:rsidRPr="007D0518" w:rsidRDefault="007D0518" w:rsidP="007D0518">
            <w:pPr>
              <w:cnfStyle w:val="000000010000" w:firstRow="0" w:lastRow="0" w:firstColumn="0" w:lastColumn="0" w:oddVBand="0" w:evenVBand="0" w:oddHBand="0" w:evenHBand="1" w:firstRowFirstColumn="0" w:firstRowLastColumn="0" w:lastRowFirstColumn="0" w:lastRowLastColumn="0"/>
            </w:pPr>
            <w:r w:rsidRPr="007D0518">
              <w:t>2 basis points</w:t>
            </w:r>
          </w:p>
        </w:tc>
      </w:tr>
      <w:tr w:rsidR="007D0518" w:rsidTr="00170917">
        <w:tc>
          <w:tcPr>
            <w:cnfStyle w:val="001000000000" w:firstRow="0" w:lastRow="0" w:firstColumn="1" w:lastColumn="0" w:oddVBand="0" w:evenVBand="0" w:oddHBand="0" w:evenHBand="0" w:firstRowFirstColumn="0" w:firstRowLastColumn="0" w:lastRowFirstColumn="0" w:lastRowLastColumn="0"/>
            <w:tcW w:w="2339" w:type="dxa"/>
          </w:tcPr>
          <w:p w:rsidR="007D0518" w:rsidRPr="007D0518" w:rsidRDefault="007D0518" w:rsidP="007D0518">
            <w:r w:rsidRPr="007D0518">
              <w:t>Only November and December 2015</w:t>
            </w:r>
          </w:p>
        </w:tc>
        <w:tc>
          <w:tcPr>
            <w:tcW w:w="2118" w:type="dxa"/>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5.57</w:t>
            </w:r>
          </w:p>
        </w:tc>
        <w:tc>
          <w:tcPr>
            <w:tcW w:w="2118" w:type="dxa"/>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5.85</w:t>
            </w:r>
          </w:p>
        </w:tc>
        <w:tc>
          <w:tcPr>
            <w:tcW w:w="2118" w:type="dxa"/>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27 basis points</w:t>
            </w:r>
          </w:p>
        </w:tc>
      </w:tr>
    </w:tbl>
    <w:p w:rsidR="007D0518" w:rsidRPr="007D0518" w:rsidRDefault="007D0518" w:rsidP="007D0518">
      <w:pPr>
        <w:pStyle w:val="AERtablesource"/>
      </w:pPr>
      <w:r w:rsidRPr="007D0518">
        <w:t>Source:</w:t>
      </w:r>
      <w:r w:rsidRPr="007D0518">
        <w:tab/>
        <w:t>AER analysis, RBA, Bloomberg, Thompson Reuters.</w:t>
      </w:r>
    </w:p>
    <w:p w:rsidR="007D0518" w:rsidRPr="007D0518" w:rsidRDefault="007D0518" w:rsidP="007D0518">
      <w:pPr>
        <w:pStyle w:val="Heading8"/>
      </w:pPr>
      <w:bookmarkStart w:id="373" w:name="_Toc449624778"/>
      <w:bookmarkStart w:id="374" w:name="_Ref450660756"/>
      <w:bookmarkStart w:id="375" w:name="_Toc451678696"/>
      <w:r w:rsidRPr="007D0518">
        <w:t>Criticisms of the BVAL curve</w:t>
      </w:r>
      <w:bookmarkEnd w:id="373"/>
      <w:bookmarkEnd w:id="374"/>
      <w:bookmarkEnd w:id="375"/>
    </w:p>
    <w:p w:rsidR="007D0518" w:rsidRPr="007D0518" w:rsidRDefault="007D0518" w:rsidP="007D0518">
      <w:r w:rsidRPr="007D0518">
        <w:t>Some service providers made updated criticisms of the BVAL curve. Most of these criticisms drew upon new analysis by CEG.</w:t>
      </w:r>
      <w:r w:rsidRPr="007D0518">
        <w:rPr>
          <w:rStyle w:val="FootnoteReference"/>
        </w:rPr>
        <w:footnoteReference w:id="1253"/>
      </w:r>
      <w:r w:rsidRPr="007D0518">
        <w:t xml:space="preserve"> In a new report, and in two memoranda submitted after the revised proposals,</w:t>
      </w:r>
      <w:r w:rsidRPr="007D0518">
        <w:rPr>
          <w:rStyle w:val="FootnoteReference"/>
        </w:rPr>
        <w:footnoteReference w:id="1254"/>
      </w:r>
      <w:r w:rsidRPr="007D0518">
        <w:t xml:space="preserve"> CEG submitted that:</w:t>
      </w:r>
    </w:p>
    <w:p w:rsidR="007D0518" w:rsidRPr="007D0518" w:rsidRDefault="007D0518" w:rsidP="007D0518">
      <w:pPr>
        <w:pStyle w:val="AERbulletlistfirststyle"/>
      </w:pPr>
      <w:r w:rsidRPr="007D0518">
        <w:t>the Bloomberg curve appears to be influenced at the 10 year term exclusively by the Asciano bond</w:t>
      </w:r>
    </w:p>
    <w:p w:rsidR="007D0518" w:rsidRPr="007D0518" w:rsidRDefault="007D0518" w:rsidP="007D0518">
      <w:pPr>
        <w:pStyle w:val="AERbulletlistfirststyle"/>
      </w:pPr>
      <w:r w:rsidRPr="007D0518">
        <w:t>There are market specific factors influencing the Asciano bond which imply it is not reflective of the typical BBB bond</w:t>
      </w:r>
    </w:p>
    <w:p w:rsidR="007D0518" w:rsidRPr="007D0518" w:rsidRDefault="007D0518" w:rsidP="007D0518">
      <w:pPr>
        <w:pStyle w:val="AERbulletlistfirststyle"/>
      </w:pPr>
      <w:r w:rsidRPr="007D0518">
        <w:t>The BVAL curve does not include foreign bonds and is therefore not representative of the benchmark efficient firm given the tendency of Australian firms to issue longer term debt in overseas markets</w:t>
      </w:r>
    </w:p>
    <w:p w:rsidR="007D0518" w:rsidRPr="007D0518" w:rsidRDefault="007D0518" w:rsidP="007D0518">
      <w:pPr>
        <w:pStyle w:val="AERbulletlistfirststyle"/>
      </w:pPr>
      <w:r w:rsidRPr="007D0518">
        <w:t>The BVAL bond sample is smaller than the RBA bond sample.</w:t>
      </w:r>
    </w:p>
    <w:p w:rsidR="007D0518" w:rsidRPr="007D0518" w:rsidRDefault="007D0518" w:rsidP="007D0518">
      <w:r w:rsidRPr="007D0518">
        <w:t xml:space="preserve">We remain satisfied that the BVAL curve is fit-for-purpose and will contribute to an estimate that satisfies the allowed rate of return objective. Further, we are not persuaded that there is evidence suggesting that a simple average of the BVAL and RBA curves would not contribute to an estimate that achieves the allowed rate of return objective. Broadly, we consider that most of the analysis submitted by AusNet Services and CEG supports a conclusion that the BVAL curve and the RBA curve may at points in time produce divergent results. However, this does not indicate that either the RBA curve or the BVAL curve produces an estimate that is more reflective of the benchmark efficient entity. </w:t>
      </w:r>
    </w:p>
    <w:p w:rsidR="007D0518" w:rsidRPr="007D0518" w:rsidRDefault="007D0518" w:rsidP="007D0518">
      <w:r w:rsidRPr="007D0518">
        <w:t>In decisions since publication of the guideline, we have concluded that at various points in time, it is likely that one curve or the other is more likely to produce an estimate that is more reflective of the costs faced by the benchmark efficient entity.</w:t>
      </w:r>
      <w:r w:rsidRPr="007D0518">
        <w:rPr>
          <w:rStyle w:val="FootnoteReference"/>
        </w:rPr>
        <w:footnoteReference w:id="1255"/>
      </w:r>
      <w:r w:rsidRPr="007D0518">
        <w:t xml:space="preserve"> However, we have undertaken extensive analysis on the RBA and BVAL curves, have consulted widely on the technical characteristics of curves, and have had regard to independent expert advice. Based on this process, we are not satisfied that either is clearly superior. Further, the approach we adopt must produce annual estimates each year over the five year period that will achieve the allowed rate of return objective. We have therefore adopted an approach that we are satisfied will contribute to estimates that will, across the regulatory period, achieve the allowed rate of return objective. In contrast, we consider that AusNet and CEG's proposal to adopt different approaches based on ad-hoc analysis of the curves over short periods will introduce bias and uncertainty into the approach for estimating the return on debt. We consider this bias will prevent achievement of the allowed rate of return objective.</w:t>
      </w:r>
    </w:p>
    <w:p w:rsidR="007D0518" w:rsidRPr="007D0518" w:rsidRDefault="007D0518" w:rsidP="007D0518">
      <w:r w:rsidRPr="007D0518">
        <w:t>In addition,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maintain our conclusion that in the absence of a BVAL 10 year estimate, the 7 year estimate extrapolated to 10 years would contribute to an estimate that achieves the allowed rate of return objective.</w:t>
      </w:r>
    </w:p>
    <w:p w:rsidR="00964FD6" w:rsidRPr="00964FD6" w:rsidRDefault="00964FD6" w:rsidP="00964FD6">
      <w:r w:rsidRPr="00964FD6">
        <w:t>Finally, we note that as of October 2015 the RBA made retrospective changes to its yield curve.</w:t>
      </w:r>
      <w:r w:rsidRPr="00964FD6">
        <w:rPr>
          <w:rStyle w:val="FootnoteReference"/>
        </w:rPr>
        <w:footnoteReference w:id="1256"/>
      </w:r>
      <w:r w:rsidRPr="00964FD6">
        <w:t xml:space="preserve"> These changes resulted in retrospective changes to bond samples as well as changes to yield and spread estimates. AER staff corresponded with RBA staff about the causes and impact of these retrospective changes and remain satisfied that the combination of RBA and BVAL curves will contribute to an estimate which achieves the allowed rate of return objective.</w:t>
      </w:r>
      <w:r w:rsidRPr="00964FD6">
        <w:rPr>
          <w:rStyle w:val="FootnoteReference"/>
        </w:rPr>
        <w:footnoteReference w:id="1257"/>
      </w:r>
      <w:r w:rsidRPr="00964FD6">
        <w:t xml:space="preserve"> Nonetheless, we note that none of the service providers appear to have engaged in the revised proposals or subsequent submissions with the potential risks and implications of material retrospective changes made to the RBA curve.</w:t>
      </w:r>
    </w:p>
    <w:p w:rsidR="007D0518" w:rsidRPr="007D0518" w:rsidRDefault="007D0518" w:rsidP="007D0518">
      <w:r w:rsidRPr="007D0518">
        <w:t>In this section, we have addressed the following substantially new issues raised by the service providers and their consultants:</w:t>
      </w:r>
    </w:p>
    <w:p w:rsidR="007D0518" w:rsidRPr="007D0518" w:rsidRDefault="007D0518" w:rsidP="007D0518">
      <w:pPr>
        <w:pStyle w:val="AERbulletlistfirststyle"/>
      </w:pPr>
      <w:r w:rsidRPr="007D0518">
        <w:t>the comparative movement of the yield estimates between the RBA and BVAL curves</w:t>
      </w:r>
    </w:p>
    <w:p w:rsidR="007D0518" w:rsidRPr="007D0518" w:rsidRDefault="007D0518" w:rsidP="007D0518">
      <w:pPr>
        <w:pStyle w:val="AERbulletlistfirststyle"/>
      </w:pPr>
      <w:r w:rsidRPr="007D0518">
        <w:t>the incremental impact of the Asciano bond on the implied DRPs in the Bloomberg curve</w:t>
      </w:r>
    </w:p>
    <w:p w:rsidR="007D0518" w:rsidRPr="007D0518" w:rsidRDefault="007D0518" w:rsidP="007D0518">
      <w:pPr>
        <w:pStyle w:val="AERbulletlistfirststyle"/>
      </w:pPr>
      <w:r w:rsidRPr="007D0518">
        <w:t>CEG's analysis of sample size</w:t>
      </w:r>
    </w:p>
    <w:p w:rsidR="007D0518" w:rsidRPr="007D0518" w:rsidRDefault="007D0518" w:rsidP="007D0518">
      <w:pPr>
        <w:pStyle w:val="AERbulletlistfirststyle"/>
      </w:pPr>
      <w:r w:rsidRPr="007D0518">
        <w:t xml:space="preserve">CEG's analysis of foreign bonds </w:t>
      </w:r>
    </w:p>
    <w:p w:rsidR="007D0518" w:rsidRPr="007D0518" w:rsidRDefault="007D0518" w:rsidP="007D0518">
      <w:pPr>
        <w:pStyle w:val="HeadingBoldBlue"/>
        <w:rPr>
          <w:rStyle w:val="AERtextitalic"/>
        </w:rPr>
      </w:pPr>
      <w:r w:rsidRPr="007D0518">
        <w:rPr>
          <w:rStyle w:val="AERtextitalic"/>
        </w:rPr>
        <w:t>Comparative movement of yield estimates</w:t>
      </w:r>
    </w:p>
    <w:p w:rsidR="007D0518" w:rsidRPr="007D0518" w:rsidRDefault="007D0518" w:rsidP="007D0518">
      <w:r w:rsidRPr="007D0518">
        <w:t>In its reports and memoranda, CEG has used comparative movements of yield estimates to compare and critique the BVAL curve compared to the RBA and Reuters curves.</w:t>
      </w:r>
      <w:r w:rsidRPr="007D0518">
        <w:rPr>
          <w:rStyle w:val="FootnoteReference"/>
        </w:rPr>
        <w:footnoteReference w:id="1258"/>
      </w:r>
      <w:r w:rsidRPr="007D0518">
        <w:t xml:space="preserve"> We are not satisfied that this type of analysis can robustly demonstrate that either curve clearly better reflects the costs faced by a benchmark efficient entity. More generally, we are not persuaded that time-series or cross-sectional comparisons between curve outputs are reliable or consistent ways to determine which curve produces a result that is most consistent with benchmark efficient costs. This is because the published yield curves are the best available source of information on costs of debt in prevailing market circumstances. </w:t>
      </w:r>
    </w:p>
    <w:p w:rsidR="007D0518" w:rsidRPr="007D0518" w:rsidRDefault="007D0518" w:rsidP="007D0518">
      <w:r w:rsidRPr="007D0518">
        <w:t>Different market experts may come to different views about the best approaches to estimating yield curves. For example, Bloomberg, the RBA and Thompson Reuters appear all to adopt distinct bond selection criteria and distinct curve fitting methodologies. We have assessed the RBA and BVAL curves through a detailed analysis of their underlying technical characteristics, including analysis from expert consultants.</w:t>
      </w:r>
      <w:r w:rsidRPr="007D0518">
        <w:rPr>
          <w:rStyle w:val="FootnoteReference"/>
        </w:rPr>
        <w:footnoteReference w:id="1259"/>
      </w:r>
      <w:r w:rsidRPr="007D0518">
        <w:t xml:space="preserve"> Our analysis and expert advice supported a conclusion that both curves had strengths and weaknesses, but that neither was clearly superior. Therefore, we do not agree that it is robust or informative to compare the outputs of the two curves against each other. </w:t>
      </w:r>
    </w:p>
    <w:p w:rsidR="007D0518" w:rsidRPr="007D0518" w:rsidRDefault="007D0518" w:rsidP="007D0518">
      <w:r w:rsidRPr="007D0518">
        <w:t xml:space="preserve">Nonetheless, to the extent that these comparisons are informative, we are not persuaded that a comparison of the Bloomberg and RBA curves suggest anomalous performance of either curve. </w:t>
      </w:r>
      <w:r w:rsidRPr="007D0518">
        <w:fldChar w:fldCharType="begin"/>
      </w:r>
      <w:r w:rsidRPr="007D0518">
        <w:instrText xml:space="preserve"> REF _Ref448326341 \h </w:instrText>
      </w:r>
      <w:r w:rsidRPr="007D0518">
        <w:fldChar w:fldCharType="separate"/>
      </w:r>
      <w:r w:rsidR="00BA2E8E" w:rsidRPr="007D0518">
        <w:t xml:space="preserve">Figure </w:t>
      </w:r>
      <w:r w:rsidR="00BA2E8E">
        <w:rPr>
          <w:noProof/>
        </w:rPr>
        <w:t>3</w:t>
      </w:r>
      <w:r w:rsidR="00BA2E8E">
        <w:noBreakHyphen/>
      </w:r>
      <w:r w:rsidR="00BA2E8E">
        <w:rPr>
          <w:noProof/>
        </w:rPr>
        <w:t>21</w:t>
      </w:r>
      <w:r w:rsidRPr="007D0518">
        <w:fldChar w:fldCharType="end"/>
      </w:r>
      <w:r w:rsidRPr="007D0518">
        <w:t xml:space="preserve"> illustrates the comparative movement of the curves since publication of the AER's guideline. While the curves produce materially different results at specific points in time, they appear to have consistently reflected the same underlying debt market movements</w:t>
      </w:r>
    </w:p>
    <w:p w:rsidR="007D0518" w:rsidRPr="007D0518" w:rsidRDefault="007D0518" w:rsidP="007D0518">
      <w:pPr>
        <w:pStyle w:val="Caption"/>
      </w:pPr>
      <w:bookmarkStart w:id="376" w:name="_Ref448326341"/>
      <w:r w:rsidRPr="007D0518">
        <w:t xml:space="preserve">Figure </w:t>
      </w:r>
      <w:fldSimple w:instr=" STYLEREF 1 \s ">
        <w:r w:rsidR="00BA2E8E">
          <w:rPr>
            <w:noProof/>
          </w:rPr>
          <w:t>3</w:t>
        </w:r>
      </w:fldSimple>
      <w:r w:rsidR="00A6197A">
        <w:noBreakHyphen/>
      </w:r>
      <w:fldSimple w:instr=" SEQ Figure \* ARABIC \s 1 ">
        <w:r w:rsidR="00BA2E8E">
          <w:rPr>
            <w:noProof/>
          </w:rPr>
          <w:t>21</w:t>
        </w:r>
      </w:fldSimple>
      <w:bookmarkEnd w:id="376"/>
      <w:r w:rsidRPr="007D0518">
        <w:tab/>
        <w:t xml:space="preserve">Comparison of RBA and BVAL yields </w:t>
      </w:r>
    </w:p>
    <w:p w:rsidR="007D0518" w:rsidRPr="007D0518" w:rsidRDefault="007D0518" w:rsidP="007D0518">
      <w:r w:rsidRPr="007D0518">
        <w:rPr>
          <w:noProof/>
          <w:lang w:eastAsia="en-AU"/>
        </w:rPr>
        <w:drawing>
          <wp:inline distT="0" distB="0" distL="0" distR="0" wp14:anchorId="4A07CB15" wp14:editId="2806B1E2">
            <wp:extent cx="5401310" cy="360299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7D0518" w:rsidRPr="007D0518" w:rsidRDefault="007D0518" w:rsidP="007D0518">
      <w:pPr>
        <w:pStyle w:val="AERtablesource"/>
      </w:pPr>
      <w:r w:rsidRPr="007D0518">
        <w:t>Source:</w:t>
      </w:r>
      <w:r w:rsidRPr="007D0518">
        <w:tab/>
        <w:t>AER analysis, Bloomberg, RBA.</w:t>
      </w:r>
    </w:p>
    <w:p w:rsidR="007D0518" w:rsidRPr="007D0518" w:rsidRDefault="007D0518" w:rsidP="007D0518">
      <w:pPr>
        <w:pStyle w:val="HeadingBoldBlue"/>
        <w:rPr>
          <w:rStyle w:val="AERtextitalic"/>
        </w:rPr>
      </w:pPr>
      <w:r w:rsidRPr="007D0518">
        <w:rPr>
          <w:rStyle w:val="AERtextitalic"/>
        </w:rPr>
        <w:t>The Asciano bond</w:t>
      </w:r>
    </w:p>
    <w:p w:rsidR="007D0518" w:rsidRPr="007D0518" w:rsidRDefault="007D0518" w:rsidP="007D0518">
      <w:r w:rsidRPr="007D0518">
        <w:t>CEG and AusNet Services submit that the Asciano bond is having a disproportionate downward impact on the 10 year spread-to-swap estimate implied by the BVAL curve.</w:t>
      </w:r>
      <w:r w:rsidRPr="007D0518">
        <w:rPr>
          <w:rStyle w:val="FootnoteReference"/>
        </w:rPr>
        <w:footnoteReference w:id="1260"/>
      </w:r>
      <w:r w:rsidRPr="007D0518">
        <w:t xml:space="preserve"> Further, they submit that the movement of the Asciano bond is substantially affected by firm specific factors and therefore is not reflective of the benchmark BBB+ bond.</w:t>
      </w:r>
      <w:r w:rsidRPr="007D0518">
        <w:rPr>
          <w:rStyle w:val="FootnoteReference"/>
        </w:rPr>
        <w:footnoteReference w:id="1261"/>
      </w:r>
      <w:r w:rsidRPr="007D0518">
        <w:t xml:space="preserve"> However, this criticism of the BVAL curve relates to the lack of available bonds in the band beyond 7 years' term to maturity. We are not persuaded that this analysis submitted by AusNet Services of CEG raises material new issues that have not been considered previously in reaching the AER's approach prior to Bloomberg's publication of a 10 year BVAL estimate.</w:t>
      </w:r>
      <w:r w:rsidRPr="007D0518">
        <w:br/>
      </w:r>
      <w:r w:rsidRPr="007D0518">
        <w:br/>
        <w:t>In summary of its analysis, CEG submits that the BVAL bond selection criteria 'results in a sample containing only a single bond'.</w:t>
      </w:r>
      <w:r w:rsidRPr="007D0518">
        <w:rPr>
          <w:rStyle w:val="FootnoteReference"/>
        </w:rPr>
        <w:footnoteReference w:id="1262"/>
      </w:r>
      <w:r w:rsidRPr="007D0518">
        <w:t xml:space="preserve"> As noted in recent decisions,</w:t>
      </w:r>
      <w:r w:rsidRPr="007D0518">
        <w:rPr>
          <w:rStyle w:val="FootnoteReference"/>
        </w:rPr>
        <w:footnoteReference w:id="1263"/>
      </w:r>
      <w:r w:rsidRPr="007D0518">
        <w:t xml:space="preserve"> this is not a correct characterisation of Bloomberg's approach. In a recent report, CEG submitted that the Bloomberg estimate from beyond 7 years was exclusively informed by the CGS curve.</w:t>
      </w:r>
      <w:r w:rsidRPr="007D0518">
        <w:rPr>
          <w:rStyle w:val="FootnoteReference"/>
        </w:rPr>
        <w:footnoteReference w:id="1264"/>
      </w:r>
      <w:r w:rsidRPr="007D0518">
        <w:t xml:space="preserve"> In response, we corresponded with Bloomberg who confirmed that the yield estimate at 10 years is influenced by all of the constituent bonds within the curve, even where there are few or no constituent bonds within the 7 to 10 year band.</w:t>
      </w:r>
      <w:r w:rsidRPr="007D0518">
        <w:rPr>
          <w:rStyle w:val="FootnoteReference"/>
        </w:rPr>
        <w:footnoteReference w:id="1265"/>
      </w:r>
      <w:r w:rsidRPr="007D0518">
        <w:t xml:space="preserve"> This means that the entire bond sample within the BVAL curve is used to derive the 10 year estimate, not a single bond as CEG has submitted. While bonds closer to the 10 year term may exert a relatively greater influence on the yield estimate at points around that term, CEG's characterisation does not accurately reflect the operation of the curve.</w:t>
      </w:r>
    </w:p>
    <w:p w:rsidR="007D0518" w:rsidRPr="007D0518" w:rsidRDefault="007D0518" w:rsidP="007D0518">
      <w:r w:rsidRPr="007D0518">
        <w:t xml:space="preserve">Overall, we conclude that there appears to be a correlative relationship between the Asciano bond and the BVAL 10 year estimate. However, we are not persuaded that there is clear evidence to suggest that the 10 year BVAL estimate is not fit for purpose. In particular, we are satisfied that the 10 year BVAL spread-to-swap estimate appears to be broadly consistent with other bonds that meet the BVAL curve's bond selection criteria. In contrast, over 2016 the spread-to-swap for the 10 year RBA estimate has been below the spreads to swap at its published 3, 5 and 7 year terms. </w:t>
      </w:r>
    </w:p>
    <w:p w:rsidR="007D0518" w:rsidRPr="007D0518" w:rsidRDefault="007D0518" w:rsidP="007D0518">
      <w:r w:rsidRPr="007D0518">
        <w:t>We have assessed these new submissions in two sections:</w:t>
      </w:r>
    </w:p>
    <w:p w:rsidR="007D0518" w:rsidRPr="007D0518" w:rsidRDefault="007D0518" w:rsidP="007D0518">
      <w:pPr>
        <w:pStyle w:val="AERbulletlistfirststyle"/>
      </w:pPr>
      <w:r w:rsidRPr="007D0518">
        <w:t>how sensitive the 10 year BVAL estimate is to the Asciano bond</w:t>
      </w:r>
    </w:p>
    <w:p w:rsidR="007D0518" w:rsidRPr="007D0518" w:rsidRDefault="007D0518" w:rsidP="007D0518">
      <w:pPr>
        <w:pStyle w:val="AERbulletlistfirststyle"/>
      </w:pPr>
      <w:r w:rsidRPr="007D0518">
        <w:t>what impact this is exerting on BVAL curve estimates</w:t>
      </w:r>
    </w:p>
    <w:p w:rsidR="007D0518" w:rsidRPr="007D0518" w:rsidRDefault="007D0518" w:rsidP="007D0518">
      <w:pPr>
        <w:pStyle w:val="HeadingItalic"/>
      </w:pPr>
      <w:r w:rsidRPr="007D0518">
        <w:t>Sensitivity of the BVAL estimate to the Asciano bond</w:t>
      </w:r>
    </w:p>
    <w:p w:rsidR="007D0518" w:rsidRPr="007D0518" w:rsidRDefault="007D0518" w:rsidP="007D0518">
      <w:r w:rsidRPr="007D0518">
        <w:t>In its report submitted with the revised proposals, CEG highlighted the similar movements between the Asciano 10 year bond yield and the BVAL 10 year yield estimate.</w:t>
      </w:r>
      <w:r w:rsidRPr="007D0518">
        <w:rPr>
          <w:rStyle w:val="FootnoteReference"/>
        </w:rPr>
        <w:footnoteReference w:id="1266"/>
      </w:r>
      <w:r w:rsidRPr="007D0518">
        <w:t xml:space="preserve"> We agree that there appears to be correlation between these two yields. However, we are not persuaded that this indicates that the BVAL curve estimate is not representative of its sample more broadly. We would expect that the underlying swap curve is a key driver of yields both for individual bonds and for the BVAL 10 year estimate. Therefore, holding other things constant, it is unsurprising that there would be evidence of correlation, especially where the bond was representative of the rest of the sample underlying the yield curve. We discuss this issue in greater detail in subsequent sections. </w:t>
      </w:r>
    </w:p>
    <w:p w:rsidR="007D0518" w:rsidRPr="007D0518" w:rsidRDefault="007D0518" w:rsidP="007D0518">
      <w:r w:rsidRPr="007D0518">
        <w:t>More recently, CEG submitted regression analysis to establish a causative relationship between the 10 year Asciano spread to swap.</w:t>
      </w:r>
      <w:r w:rsidRPr="007D0518">
        <w:rPr>
          <w:rStyle w:val="FootnoteReference"/>
        </w:rPr>
        <w:footnoteReference w:id="1267"/>
      </w:r>
      <w:r w:rsidRPr="007D0518">
        <w:t xml:space="preserve"> </w:t>
      </w:r>
      <w:r w:rsidR="00A61C07">
        <w:t xml:space="preserve">As </w:t>
      </w:r>
      <w:r w:rsidRPr="007D0518">
        <w:t>CEG's regression analysis was submitted for the first time in a late submission,</w:t>
      </w:r>
      <w:r w:rsidRPr="007D0518">
        <w:rPr>
          <w:rStyle w:val="FootnoteReference"/>
        </w:rPr>
        <w:footnoteReference w:id="1268"/>
      </w:r>
      <w:r w:rsidRPr="007D0518">
        <w:t xml:space="preserve"> we have had limited time to assess the new analysis in detail. However, CEG has not included a variable for an underlying base rate component (either the swap curve or CEG) in its regressions. This is important, because the swap curve is a key driver of pricing: </w:t>
      </w:r>
    </w:p>
    <w:p w:rsidR="007D0518" w:rsidRPr="007D0518" w:rsidRDefault="007D0518" w:rsidP="007D0518">
      <w:pPr>
        <w:pStyle w:val="AERbulletlistfirststyle"/>
      </w:pPr>
      <w:r w:rsidRPr="007D0518">
        <w:t>Since the Asciano bond was issued, there is a strong negative correlation between the swap curve matching the Asciano bond’s term to maturity and the spread-to-swap on the Asciano bond.</w:t>
      </w:r>
      <w:r w:rsidRPr="007D0518">
        <w:rPr>
          <w:rStyle w:val="FootnoteReference"/>
        </w:rPr>
        <w:footnoteReference w:id="1269"/>
      </w:r>
      <w:r w:rsidRPr="007D0518">
        <w:t xml:space="preserve"> This suggests that, for the Asciano bond, the swap curve may be an important driver of the spread-to-swap on the Asciano bond. In turn, this might suggest that the base rate and not the spread-to-swap on the Asciano bond is a key determinant of the BVAL 10 year spread-to-swap.</w:t>
      </w:r>
    </w:p>
    <w:p w:rsidR="007D0518" w:rsidRPr="007D0518" w:rsidRDefault="007D0518" w:rsidP="007D0518">
      <w:pPr>
        <w:pStyle w:val="AERbulletlistfirststyle"/>
      </w:pPr>
      <w:r w:rsidRPr="007D0518">
        <w:t>Similarly, we mirrored CEG's approach and regressed the BVAL 10 year spread-to-swap against the swap rate. This regression produced a higher R</w:t>
      </w:r>
      <w:r w:rsidRPr="007D0518">
        <w:rPr>
          <w:rStyle w:val="AERsuperscript"/>
        </w:rPr>
        <w:t>2</w:t>
      </w:r>
      <w:r w:rsidRPr="007D0518">
        <w:t xml:space="preserve"> value (0.95) than CEG's regression (0.93). This might indicate a degree of multicollinearity within the regression, which would in turn suggest that CEG's results should be interpreted cautiously.</w:t>
      </w:r>
    </w:p>
    <w:p w:rsidR="007D0518" w:rsidRPr="007D0518" w:rsidRDefault="007D0518" w:rsidP="007D0518">
      <w:r w:rsidRPr="007D0518">
        <w:t>CEG also does not appear to have tested:</w:t>
      </w:r>
    </w:p>
    <w:p w:rsidR="007D0518" w:rsidRPr="007D0518" w:rsidRDefault="007D0518" w:rsidP="007D0518">
      <w:pPr>
        <w:pStyle w:val="AERbulletlistfirststyle"/>
      </w:pPr>
      <w:r w:rsidRPr="007D0518">
        <w:t>the impact of any variable for the base rate, either a risk free rate (CGS) or a swap rate (ADSWAP)</w:t>
      </w:r>
    </w:p>
    <w:p w:rsidR="007D0518" w:rsidRPr="007D0518" w:rsidRDefault="007D0518" w:rsidP="007D0518">
      <w:pPr>
        <w:pStyle w:val="AERbulletlistfirststyle"/>
      </w:pPr>
      <w:r w:rsidRPr="007D0518">
        <w:t>whether spreads to swap within either the RBA or BVAL samples are substantially influenced by movements in the risk free rate or swap curve</w:t>
      </w:r>
    </w:p>
    <w:p w:rsidR="007D0518" w:rsidRPr="007D0518" w:rsidRDefault="007D0518" w:rsidP="007D0518">
      <w:pPr>
        <w:pStyle w:val="AERbulletlistfirststyle"/>
      </w:pPr>
      <w:r w:rsidRPr="007D0518">
        <w:t>the consequences of these issues for the explanatory power of its submission.</w:t>
      </w:r>
    </w:p>
    <w:p w:rsidR="007D0518" w:rsidRPr="007D0518" w:rsidRDefault="007D0518" w:rsidP="007D0518">
      <w:r w:rsidRPr="007D0518">
        <w:t>In addition, CEG has not explained methodological choices and assumptions in its regression. For example, CEG has:</w:t>
      </w:r>
    </w:p>
    <w:p w:rsidR="007D0518" w:rsidRPr="007D0518" w:rsidRDefault="007D0518" w:rsidP="007D0518">
      <w:pPr>
        <w:pStyle w:val="AERbulletlistfirststyle"/>
      </w:pPr>
      <w:r w:rsidRPr="007D0518">
        <w:t>combined spreads to swaps for individual bonds into weekly averages prior to undertaking regressions—it is unclear how this improves the efficacy of the regression, but it does appear to reduce the number of observations and mask potential variation in these underlying data points</w:t>
      </w:r>
    </w:p>
    <w:p w:rsidR="007D0518" w:rsidRPr="007D0518" w:rsidRDefault="007D0518" w:rsidP="007D0518">
      <w:pPr>
        <w:pStyle w:val="AERbulletlistfirststyle"/>
      </w:pPr>
      <w:r w:rsidRPr="007D0518">
        <w:t>averaged all bond data within term-to-maturity bands—again, it is unclear how this improves the efficacy of the regression, but it does appear to reduce the number of observations and mask potential variation in these underlying data points.</w:t>
      </w:r>
    </w:p>
    <w:p w:rsidR="007D0518" w:rsidRPr="007D0518" w:rsidRDefault="007D0518" w:rsidP="007D0518">
      <w:r w:rsidRPr="007D0518">
        <w:t xml:space="preserve">Overall, we are not satisfied that CEG's regression analysis persuasively indicates that the 10 year BVAL estimate is not fit for purpose. Further, </w:t>
      </w:r>
      <w:r w:rsidR="00631CFA">
        <w:t>t</w:t>
      </w:r>
      <w:r w:rsidRPr="007D0518">
        <w:t>his analysis was submitted allowing very little time for assessment, and CEG has undertaken minimal testing and explanation of its methodological choices.</w:t>
      </w:r>
    </w:p>
    <w:p w:rsidR="007D0518" w:rsidRPr="007D0518" w:rsidRDefault="007D0518" w:rsidP="007D0518">
      <w:pPr>
        <w:pStyle w:val="HeadingItalic"/>
      </w:pPr>
      <w:r w:rsidRPr="007D0518">
        <w:t>Impact of the Asciano bond on the BVAL estimate</w:t>
      </w:r>
    </w:p>
    <w:p w:rsidR="007D0518" w:rsidRPr="007D0518" w:rsidRDefault="007D0518" w:rsidP="007D0518">
      <w:r w:rsidRPr="007D0518">
        <w:t>If the 10 year spread-to-swap estimate is disproportionately and downwardly impacted by an influential and unrepresentative bond, we would expect to see this reflected in the margin between 7 and 10 year spread-to-swap estimates. Specifically, in these circumstances we would expect to see a relatively smaller margin between the 7 and 10 year spread-to-swap estimates compared to the RBA curve, which CEG submits is not affected by this disproportionate impact.</w:t>
      </w:r>
      <w:r w:rsidRPr="007D0518">
        <w:rPr>
          <w:rStyle w:val="FootnoteReference"/>
        </w:rPr>
        <w:footnoteReference w:id="1270"/>
      </w:r>
      <w:r w:rsidRPr="007D0518">
        <w:t xml:space="preserve"> </w:t>
      </w:r>
    </w:p>
    <w:p w:rsidR="007D0518" w:rsidRPr="007D0518" w:rsidRDefault="007D0518" w:rsidP="007D0518">
      <w:pPr>
        <w:pStyle w:val="Caption"/>
      </w:pPr>
      <w:bookmarkStart w:id="377" w:name="_Ref444068389"/>
      <w:r w:rsidRPr="007D0518">
        <w:t xml:space="preserve">Figure </w:t>
      </w:r>
      <w:fldSimple w:instr=" STYLEREF 1 \s ">
        <w:r w:rsidR="00BA2E8E">
          <w:rPr>
            <w:noProof/>
          </w:rPr>
          <w:t>3</w:t>
        </w:r>
      </w:fldSimple>
      <w:r w:rsidR="00A6197A">
        <w:noBreakHyphen/>
      </w:r>
      <w:fldSimple w:instr=" SEQ Figure \* ARABIC \s 1 ">
        <w:r w:rsidR="00BA2E8E">
          <w:rPr>
            <w:noProof/>
          </w:rPr>
          <w:t>22</w:t>
        </w:r>
      </w:fldSimple>
      <w:bookmarkEnd w:id="377"/>
      <w:r w:rsidRPr="007D0518">
        <w:tab/>
        <w:t>Comparison of 7 to 10 year spreads to swap between the published 10 year Bloomberg estimate and the extrapolated RBA estimates</w:t>
      </w:r>
    </w:p>
    <w:p w:rsidR="007D0518" w:rsidRPr="007D0518" w:rsidRDefault="000F36CD" w:rsidP="007D0518">
      <w:r>
        <w:rPr>
          <w:noProof/>
          <w:lang w:eastAsia="en-AU"/>
        </w:rPr>
        <w:drawing>
          <wp:inline distT="0" distB="0" distL="0" distR="0" wp14:anchorId="23E2E8FF" wp14:editId="53113376">
            <wp:extent cx="5047615" cy="3426460"/>
            <wp:effectExtent l="0" t="0" r="63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7615" cy="3426460"/>
                    </a:xfrm>
                    <a:prstGeom prst="rect">
                      <a:avLst/>
                    </a:prstGeom>
                    <a:noFill/>
                  </pic:spPr>
                </pic:pic>
              </a:graphicData>
            </a:graphic>
          </wp:inline>
        </w:drawing>
      </w:r>
    </w:p>
    <w:p w:rsidR="007D0518" w:rsidRPr="007D0518" w:rsidRDefault="007D0518" w:rsidP="007D0518">
      <w:pPr>
        <w:pStyle w:val="AERtablesource"/>
      </w:pPr>
      <w:r w:rsidRPr="007D0518">
        <w:t>Note:</w:t>
      </w:r>
      <w:r w:rsidRPr="007D0518">
        <w:tab/>
        <w:t>In this chart, we have charted the published RBA figures, rather than the interpolated figures. This is because, in comparing the performance of the underlying curves, we consider it is appropriate to do so with the fewest possible manipulations to its published form. This allows us to differentiate between spread movements caused by the inherent characteristics of the published curve, as opposed to further adjustments made in the regulatory process. When calculating the return on debt for specific averaging periods, we are required to interpolate between these month end estimates.</w:t>
      </w:r>
    </w:p>
    <w:p w:rsidR="007D0518" w:rsidRPr="007D0518" w:rsidRDefault="007D0518" w:rsidP="007D0518">
      <w:r w:rsidRPr="007D0518">
        <w:t xml:space="preserve">As set out in </w:t>
      </w:r>
      <w:r w:rsidRPr="007D0518">
        <w:fldChar w:fldCharType="begin"/>
      </w:r>
      <w:r w:rsidRPr="007D0518">
        <w:instrText xml:space="preserve"> REF _Ref444068389 \h  \* MERGEFORMAT </w:instrText>
      </w:r>
      <w:r w:rsidRPr="007D0518">
        <w:fldChar w:fldCharType="separate"/>
      </w:r>
      <w:r w:rsidR="00BA2E8E" w:rsidRPr="007D0518">
        <w:t xml:space="preserve">Figure </w:t>
      </w:r>
      <w:r w:rsidR="00BA2E8E">
        <w:t>3</w:t>
      </w:r>
      <w:r w:rsidR="00BA2E8E">
        <w:noBreakHyphen/>
        <w:t>22</w:t>
      </w:r>
      <w:r w:rsidRPr="007D0518">
        <w:fldChar w:fldCharType="end"/>
      </w:r>
      <w:r w:rsidRPr="007D0518">
        <w:t>, the DRP margin between the BVAL 10 and 7 year estimates has been similar to or higher than the same margin for the RBA curve since August 2015. This may reflect a range of different factors in underlying bond market conditions at the seven year term or at shorter terms. However, we are not persuaded that there is evidence the Bloomberg 10 year spread-to-swap is artificially depressed compared to peer bonds that meet Bloomberg's bond selection criteria.</w:t>
      </w:r>
    </w:p>
    <w:p w:rsidR="007D0518" w:rsidRPr="007D0518" w:rsidRDefault="007D0518" w:rsidP="00237A86">
      <w:pPr>
        <w:pStyle w:val="HeadingItalic"/>
        <w:keepNext/>
      </w:pPr>
      <w:r w:rsidRPr="007D0518">
        <w:t>Representativeness of the Asciano bond</w:t>
      </w:r>
    </w:p>
    <w:p w:rsidR="007D0518" w:rsidRPr="007D0518" w:rsidRDefault="007D0518" w:rsidP="00237A86">
      <w:pPr>
        <w:keepNext/>
      </w:pPr>
      <w:r w:rsidRPr="007D0518">
        <w:t>In CEG's analysis, it compares the movement of the Asciano curve over January 2015 to bonds issued exclusively in Europe or the United States.</w:t>
      </w:r>
      <w:r w:rsidRPr="007D0518">
        <w:rPr>
          <w:rStyle w:val="FootnoteReference"/>
        </w:rPr>
        <w:footnoteReference w:id="1271"/>
      </w:r>
      <w:r w:rsidRPr="007D0518">
        <w:t xml:space="preserve"> Its analysis suggests that the Asciano bond has performed differently to the comparator bonds and that this indicates it is not representative of the benchmark entity. However, it is unsurprising that different market circumstances would divergently affect bonds issued in different markets. </w:t>
      </w:r>
    </w:p>
    <w:p w:rsidR="007D0518" w:rsidRPr="007D0518" w:rsidRDefault="007D0518" w:rsidP="007D0518">
      <w:r w:rsidRPr="007D0518">
        <w:t xml:space="preserve">To illustrate this, </w:t>
      </w:r>
      <w:r w:rsidRPr="007D0518">
        <w:fldChar w:fldCharType="begin"/>
      </w:r>
      <w:r w:rsidRPr="007D0518">
        <w:instrText xml:space="preserve"> REF _Ref447617152 \h </w:instrText>
      </w:r>
      <w:r w:rsidRPr="007D0518">
        <w:fldChar w:fldCharType="separate"/>
      </w:r>
      <w:r w:rsidR="00BA2E8E" w:rsidRPr="007D0518">
        <w:t xml:space="preserve">Figure </w:t>
      </w:r>
      <w:r w:rsidR="00BA2E8E">
        <w:rPr>
          <w:noProof/>
        </w:rPr>
        <w:t>3</w:t>
      </w:r>
      <w:r w:rsidR="00BA2E8E">
        <w:noBreakHyphen/>
      </w:r>
      <w:r w:rsidR="00BA2E8E">
        <w:rPr>
          <w:noProof/>
        </w:rPr>
        <w:t>23</w:t>
      </w:r>
      <w:r w:rsidRPr="007D0518">
        <w:fldChar w:fldCharType="end"/>
      </w:r>
      <w:r w:rsidRPr="007D0518">
        <w:t xml:space="preserve"> sets out the spreads to swap for the published RBA and BVAL estimates over Jan</w:t>
      </w:r>
      <w:r w:rsidR="00631CFA">
        <w:t>uary</w:t>
      </w:r>
      <w:r w:rsidRPr="007D0518">
        <w:t xml:space="preserve"> 2016 to March 2016.</w:t>
      </w:r>
    </w:p>
    <w:p w:rsidR="007D0518" w:rsidRPr="007D0518" w:rsidRDefault="007D0518" w:rsidP="007D0518">
      <w:pPr>
        <w:pStyle w:val="Caption"/>
      </w:pPr>
      <w:bookmarkStart w:id="378" w:name="_Ref447617152"/>
      <w:r w:rsidRPr="007D0518">
        <w:t xml:space="preserve">Figure </w:t>
      </w:r>
      <w:fldSimple w:instr=" STYLEREF 1 \s ">
        <w:r w:rsidR="00BA2E8E">
          <w:rPr>
            <w:noProof/>
          </w:rPr>
          <w:t>3</w:t>
        </w:r>
      </w:fldSimple>
      <w:r w:rsidR="00A6197A">
        <w:noBreakHyphen/>
      </w:r>
      <w:fldSimple w:instr=" SEQ Figure \* ARABIC \s 1 ">
        <w:r w:rsidR="00BA2E8E">
          <w:rPr>
            <w:noProof/>
          </w:rPr>
          <w:t>23</w:t>
        </w:r>
      </w:fldSimple>
      <w:bookmarkEnd w:id="378"/>
      <w:r w:rsidRPr="007D0518">
        <w:t xml:space="preserve"> Spread-to-swap profile for published curves in 2016</w:t>
      </w:r>
    </w:p>
    <w:p w:rsidR="007D0518" w:rsidRPr="007D0518" w:rsidRDefault="007D0518" w:rsidP="007D0518">
      <w:r w:rsidRPr="007D0518">
        <w:rPr>
          <w:noProof/>
          <w:lang w:eastAsia="en-AU"/>
        </w:rPr>
        <w:drawing>
          <wp:inline distT="0" distB="0" distL="0" distR="0" wp14:anchorId="55F011E1" wp14:editId="75EAC0AC">
            <wp:extent cx="5218430" cy="318833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8430" cy="3188335"/>
                    </a:xfrm>
                    <a:prstGeom prst="rect">
                      <a:avLst/>
                    </a:prstGeom>
                    <a:noFill/>
                  </pic:spPr>
                </pic:pic>
              </a:graphicData>
            </a:graphic>
          </wp:inline>
        </w:drawing>
      </w:r>
    </w:p>
    <w:p w:rsidR="007D0518" w:rsidRPr="007D0518" w:rsidRDefault="007D0518" w:rsidP="007D0518">
      <w:pPr>
        <w:pStyle w:val="AERtablesource"/>
      </w:pPr>
      <w:r w:rsidRPr="007D0518">
        <w:t>Source: AER analysis, RBA</w:t>
      </w:r>
    </w:p>
    <w:p w:rsidR="007D0518" w:rsidRPr="007D0518" w:rsidRDefault="007D0518" w:rsidP="007D0518">
      <w:r w:rsidRPr="007D0518">
        <w:t>The different shapes of these spreads to swaps across the entire term spectrum suggest that significant factors other rather than simply the Asciano bond are influencing the different spreads to swap between the two curves. It is not clear which shape is more accurately reflecting debt market conditions</w:t>
      </w:r>
      <w:r w:rsidR="008575D5">
        <w:t>;</w:t>
      </w:r>
      <w:r w:rsidRPr="007D0518">
        <w:t xml:space="preserve"> however:</w:t>
      </w:r>
    </w:p>
    <w:p w:rsidR="007D0518" w:rsidRPr="007D0518" w:rsidRDefault="007D0518" w:rsidP="007D0518">
      <w:pPr>
        <w:pStyle w:val="AERbulletlistfirststyle"/>
      </w:pPr>
      <w:r w:rsidRPr="007D0518">
        <w:t>the BVAL spread-to-swap curve reflects a more 'typical' upward sloping yield curve</w:t>
      </w:r>
    </w:p>
    <w:p w:rsidR="007D0518" w:rsidRPr="007D0518" w:rsidRDefault="007D0518" w:rsidP="007D0518">
      <w:pPr>
        <w:pStyle w:val="AERbulletlistfirststyle"/>
      </w:pPr>
      <w:r w:rsidRPr="007D0518">
        <w:t xml:space="preserve">the RBA curve in 2016 has consistently exhibited a higher spread-to-swap at the 3 year published estimate compared to the 10 year published estimate. </w:t>
      </w:r>
    </w:p>
    <w:p w:rsidR="007D0518" w:rsidRPr="007D0518" w:rsidRDefault="007D0518" w:rsidP="007D0518">
      <w:r w:rsidRPr="007D0518">
        <w:t>Specifically, in its most recent report,</w:t>
      </w:r>
      <w:r w:rsidRPr="007D0518">
        <w:rPr>
          <w:rStyle w:val="FootnoteReference"/>
        </w:rPr>
        <w:footnoteReference w:id="1272"/>
      </w:r>
      <w:r w:rsidRPr="007D0518">
        <w:t xml:space="preserve"> CEG cited a prior report in which it submitted the following argument for not recommending sole use of Bloomberg's prior curve (the BFVC) during the GFC:</w:t>
      </w:r>
    </w:p>
    <w:p w:rsidR="007D0518" w:rsidRPr="007D0518" w:rsidRDefault="007D0518" w:rsidP="007D0518">
      <w:pPr>
        <w:pStyle w:val="AERquote"/>
      </w:pPr>
      <w:r w:rsidRPr="007D0518">
        <w:t>It would give rise to estimates that are inconsistent with standard predictions of finance theory in that it would impose a downward sloping term structure for credit spreads (and inconsistent with a clear upward slope where there is available data);</w:t>
      </w:r>
    </w:p>
    <w:p w:rsidR="007D0518" w:rsidRPr="007D0518" w:rsidRDefault="007D0518" w:rsidP="007D0518">
      <w:r w:rsidRPr="007D0518">
        <w:t>CEG has not indicated in its recent reports that it considers this reason is no longer valid, and has directly cited this passage of text in its most recent report. However, this observation would appear equally to suggest that the RBA curve in current circumstances gives rise to estimates which are 'inconsistent with the standard predictions of finance theory'. In contrast, the BVAL curve has remained consistently upward sloping, and by this standard would appear to be more consistent with CEG's interpretation of finance theory. CEG has not addressed this issue in its report or in its 2016 memoranda, nor explained why it remains unconcerned at the consistent downward sloping observations observed in the RBA curve. In addition, we note that we do not agree that an inverted yield curve appears to be 'inconsistent with finance theory'.</w:t>
      </w:r>
    </w:p>
    <w:p w:rsidR="007D0518" w:rsidRPr="007D0518" w:rsidRDefault="007D0518" w:rsidP="007D0518">
      <w:r w:rsidRPr="007D0518">
        <w:t>AusNet Services submitted further qualitative analysis of why it considers the Asciano bond would artificially depress the BVAL estimates.</w:t>
      </w:r>
      <w:r w:rsidRPr="007D0518">
        <w:rPr>
          <w:rStyle w:val="FootnoteReference"/>
        </w:rPr>
        <w:footnoteReference w:id="1273"/>
      </w:r>
      <w:r w:rsidRPr="007D0518">
        <w:t xml:space="preserve"> Overall, we consider AusNet's analysis draws unsubstantiated qualitative conclusions about an empirical question of relative valuation. AusNet Services argues that the impact of the takeover bid for Asciano:</w:t>
      </w:r>
    </w:p>
    <w:p w:rsidR="007D0518" w:rsidRPr="007D0518" w:rsidRDefault="007D0518" w:rsidP="007D0518">
      <w:pPr>
        <w:pStyle w:val="AERbulletlistfirststyle"/>
      </w:pPr>
      <w:r w:rsidRPr="007D0518">
        <w:t>would necessarily have led to a downward impact on the yield of the Asciano bond</w:t>
      </w:r>
    </w:p>
    <w:p w:rsidR="007D0518" w:rsidRPr="007D0518" w:rsidRDefault="007D0518" w:rsidP="007D0518">
      <w:pPr>
        <w:pStyle w:val="AERbulletlistfirststyle"/>
      </w:pPr>
      <w:r w:rsidRPr="007D0518">
        <w:t>would have swamped other market impacts on the spread-to-swap of the Asciano bond, such that it was unrepresentative of its sample group.</w:t>
      </w:r>
    </w:p>
    <w:p w:rsidR="007D0518" w:rsidRPr="007D0518" w:rsidRDefault="007D0518" w:rsidP="007D0518">
      <w:r w:rsidRPr="007D0518">
        <w:t>However, we are not satisfied that there is persuasive evidence in support of these arguments. The analysis submitted by CEG and AusNet services may support a conclusion that the movements in the Asciano bond are not representative in the movements of bonds issued in European and American bond markets. However, yields on both the Reuters and BVAL curves have trended downwards since November 2015, where the RBA curve has trended upwards.</w:t>
      </w:r>
      <w:r w:rsidRPr="007D0518">
        <w:rPr>
          <w:rStyle w:val="FootnoteReference"/>
        </w:rPr>
        <w:footnoteReference w:id="1274"/>
      </w:r>
      <w:r w:rsidRPr="007D0518">
        <w:t xml:space="preserve"> As set out in our previous decisions, the BVAL bond criteria includes only AUD denominated bonds.</w:t>
      </w:r>
      <w:r w:rsidRPr="007D0518">
        <w:rPr>
          <w:rStyle w:val="FootnoteReference"/>
        </w:rPr>
        <w:footnoteReference w:id="1275"/>
      </w:r>
      <w:r w:rsidRPr="007D0518">
        <w:t xml:space="preserve"> The Reuters </w:t>
      </w:r>
      <w:r w:rsidR="00631CFA" w:rsidRPr="007D0518">
        <w:t>criteria similarly allow</w:t>
      </w:r>
      <w:r w:rsidRPr="007D0518">
        <w:t xml:space="preserve"> only AUD denominated bonds.</w:t>
      </w:r>
      <w:r w:rsidRPr="007D0518">
        <w:rPr>
          <w:rStyle w:val="FootnoteReference"/>
        </w:rPr>
        <w:footnoteReference w:id="1276"/>
      </w:r>
      <w:r w:rsidRPr="007D0518">
        <w:t xml:space="preserve"> In contrast, the RBA curve includes AUD denominated bonds, but the majority of bonds within the RBA curve are USD or EU denominated.</w:t>
      </w:r>
      <w:r w:rsidRPr="007D0518">
        <w:rPr>
          <w:rStyle w:val="FootnoteReference"/>
        </w:rPr>
        <w:footnoteReference w:id="1277"/>
      </w:r>
      <w:r w:rsidRPr="007D0518">
        <w:t xml:space="preserve"> </w:t>
      </w:r>
    </w:p>
    <w:p w:rsidR="007D0518" w:rsidRPr="007D0518" w:rsidRDefault="007D0518" w:rsidP="007D0518">
      <w:r w:rsidRPr="007D0518">
        <w:t>Further, even to the extent there is a transient downward bias, it is not clear that this would result in a worse estimate of the costs faced by a benchmark efficient entity. We consider that our implementation of the return on debt estimate includes several conservative features:</w:t>
      </w:r>
    </w:p>
    <w:p w:rsidR="007D0518" w:rsidRPr="007D0518" w:rsidRDefault="007D0518" w:rsidP="007D0518">
      <w:pPr>
        <w:pStyle w:val="AERbulletlistfirststyle"/>
      </w:pPr>
      <w:r w:rsidRPr="007D0518">
        <w:t>While we have adopted a 10 year benchmark term, this was based on a weighted average term to maturity of 8.7 years.</w:t>
      </w:r>
      <w:r w:rsidRPr="007D0518">
        <w:rPr>
          <w:rStyle w:val="FootnoteReference"/>
        </w:rPr>
        <w:footnoteReference w:id="1278"/>
      </w:r>
      <w:r w:rsidRPr="007D0518">
        <w:t xml:space="preserve"> We have extrapolated both the RBA and Bloomberg curves for consistency with our benchmark. However, this arguably introduces an upward bias into our estimate in more common circumstances where the yield curve is upward sloping.</w:t>
      </w:r>
    </w:p>
    <w:p w:rsidR="007D0518" w:rsidRPr="007D0518" w:rsidRDefault="007D0518" w:rsidP="007D0518">
      <w:pPr>
        <w:pStyle w:val="AERbulletlistfirststyle"/>
      </w:pPr>
      <w:r w:rsidRPr="007D0518">
        <w:t xml:space="preserve">While we have adopted an industry benchmark credit rating of BBB+, both the BVAL and RBA curves include BBB+, BBB and BBB– rated bonds. </w:t>
      </w:r>
    </w:p>
    <w:p w:rsidR="007D0518" w:rsidRPr="007D0518" w:rsidRDefault="007D0518" w:rsidP="007D0518">
      <w:r w:rsidRPr="007D0518">
        <w:t>Finally, even if we were not to adopt the BVAL 10 year estimate, our final decision would be to adopt the BVAL 7 year estimate extrapolated as per the methodology set out in our contingencies. We are not satisfied that any information submitted by stakeholders raises material new concerns with the BVAL's 7 year estimate that were not considered in previous decisions. Therefore, we remain satisfied that the reasons underlying our choice of approach, as upheld by the Tribunal, remain valid.</w:t>
      </w:r>
      <w:r w:rsidRPr="007D0518">
        <w:rPr>
          <w:rStyle w:val="FootnoteReference"/>
        </w:rPr>
        <w:footnoteReference w:id="1279"/>
      </w:r>
      <w:r w:rsidRPr="007D0518">
        <w:t xml:space="preserve"> To the extent that there are shortcomings in the BVAL curve beyond </w:t>
      </w:r>
      <w:r w:rsidR="000273D3" w:rsidRPr="007D0518">
        <w:t>its</w:t>
      </w:r>
      <w:r w:rsidRPr="007D0518">
        <w:t xml:space="preserve"> 7 year published estimate, we are not persuaded it is appropriate to discard the BVAL curve altogether. We consider it would remain an important and robust source of information, and would adopt the approach that we used in decisions prior to Bloomberg's publication of a 10 year estimate.</w:t>
      </w:r>
    </w:p>
    <w:p w:rsidR="007D0518" w:rsidRPr="007D0518" w:rsidRDefault="007D0518" w:rsidP="007D0518">
      <w:r w:rsidRPr="007D0518">
        <w:t xml:space="preserve">Over AusNet Services' averaging period, the average 7–10 year extrapolation margins are as set out in </w:t>
      </w:r>
      <w:r w:rsidRPr="007D0518">
        <w:fldChar w:fldCharType="begin"/>
      </w:r>
      <w:r w:rsidRPr="007D0518">
        <w:instrText xml:space="preserve"> REF _Ref449100287 \h </w:instrText>
      </w:r>
      <w:r w:rsidRPr="007D0518">
        <w:fldChar w:fldCharType="separate"/>
      </w:r>
      <w:r w:rsidR="00BA2E8E" w:rsidRPr="007D0518">
        <w:t xml:space="preserve">Table </w:t>
      </w:r>
      <w:r w:rsidR="00BA2E8E">
        <w:rPr>
          <w:noProof/>
        </w:rPr>
        <w:t>3</w:t>
      </w:r>
      <w:r w:rsidR="00BA2E8E">
        <w:noBreakHyphen/>
      </w:r>
      <w:r w:rsidR="00BA2E8E">
        <w:rPr>
          <w:noProof/>
        </w:rPr>
        <w:t>44</w:t>
      </w:r>
      <w:r w:rsidRPr="007D0518">
        <w:fldChar w:fldCharType="end"/>
      </w:r>
      <w:r w:rsidRPr="007D0518">
        <w:t>, below.</w:t>
      </w:r>
    </w:p>
    <w:p w:rsidR="007D0518" w:rsidRPr="007D0518" w:rsidRDefault="007D0518" w:rsidP="007D0518">
      <w:pPr>
        <w:pStyle w:val="Caption"/>
      </w:pPr>
      <w:bookmarkStart w:id="379" w:name="_Ref449100287"/>
      <w:r w:rsidRPr="007D0518">
        <w:t xml:space="preserve">Table </w:t>
      </w:r>
      <w:fldSimple w:instr=" STYLEREF 1 \s ">
        <w:r w:rsidR="00BA2E8E">
          <w:rPr>
            <w:noProof/>
          </w:rPr>
          <w:t>3</w:t>
        </w:r>
      </w:fldSimple>
      <w:r w:rsidR="000F4BC3">
        <w:noBreakHyphen/>
      </w:r>
      <w:fldSimple w:instr=" SEQ Table \* ARABIC \s 1 ">
        <w:r w:rsidR="00BA2E8E">
          <w:rPr>
            <w:noProof/>
          </w:rPr>
          <w:t>44</w:t>
        </w:r>
      </w:fldSimple>
      <w:bookmarkEnd w:id="379"/>
      <w:r w:rsidRPr="007D0518">
        <w:tab/>
        <w:t>Extrapolation margins—Final decision approach compared to the contingency approach</w:t>
      </w:r>
    </w:p>
    <w:tbl>
      <w:tblPr>
        <w:tblStyle w:val="AERtable-numbers"/>
        <w:tblW w:w="5000" w:type="pct"/>
        <w:tblLook w:val="04A0" w:firstRow="1" w:lastRow="0" w:firstColumn="1" w:lastColumn="0" w:noHBand="0" w:noVBand="1"/>
      </w:tblPr>
      <w:tblGrid>
        <w:gridCol w:w="2898"/>
        <w:gridCol w:w="2897"/>
        <w:gridCol w:w="2898"/>
      </w:tblGrid>
      <w:tr w:rsidR="007D0518" w:rsidTr="001709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D0518" w:rsidRPr="007D0518" w:rsidRDefault="007D0518" w:rsidP="007D0518">
            <w:r w:rsidRPr="007D0518">
              <w:t>Approach</w:t>
            </w:r>
          </w:p>
        </w:tc>
        <w:tc>
          <w:tcPr>
            <w:tcW w:w="1666" w:type="pct"/>
          </w:tcPr>
          <w:p w:rsidR="007D0518" w:rsidRPr="007D0518" w:rsidRDefault="007D0518" w:rsidP="007D0518">
            <w:pPr>
              <w:cnfStyle w:val="100000000000" w:firstRow="1" w:lastRow="0" w:firstColumn="0" w:lastColumn="0" w:oddVBand="0" w:evenVBand="0" w:oddHBand="0" w:evenHBand="0" w:firstRowFirstColumn="0" w:firstRowLastColumn="0" w:lastRowFirstColumn="0" w:lastRowLastColumn="0"/>
            </w:pPr>
            <w:r w:rsidRPr="007D0518">
              <w:t>BVAL extrapolation formula</w:t>
            </w:r>
          </w:p>
        </w:tc>
        <w:tc>
          <w:tcPr>
            <w:tcW w:w="1667" w:type="pct"/>
          </w:tcPr>
          <w:p w:rsidR="007D0518" w:rsidRPr="007D0518" w:rsidRDefault="007D0518" w:rsidP="007D0518">
            <w:pPr>
              <w:cnfStyle w:val="100000000000" w:firstRow="1" w:lastRow="0" w:firstColumn="0" w:lastColumn="0" w:oddVBand="0" w:evenVBand="0" w:oddHBand="0" w:evenHBand="0" w:firstRowFirstColumn="0" w:firstRowLastColumn="0" w:lastRowFirstColumn="0" w:lastRowLastColumn="0"/>
            </w:pPr>
            <w:r w:rsidRPr="007D0518">
              <w:t>BVAL extrapolation margin</w:t>
            </w:r>
          </w:p>
        </w:tc>
      </w:tr>
      <w:tr w:rsidR="007D0518" w:rsidTr="00170917">
        <w:tc>
          <w:tcPr>
            <w:cnfStyle w:val="001000000000" w:firstRow="0" w:lastRow="0" w:firstColumn="1" w:lastColumn="0" w:oddVBand="0" w:evenVBand="0" w:oddHBand="0" w:evenHBand="0" w:firstRowFirstColumn="0" w:firstRowLastColumn="0" w:lastRowFirstColumn="0" w:lastRowLastColumn="0"/>
            <w:tcW w:w="1666" w:type="pct"/>
          </w:tcPr>
          <w:p w:rsidR="007D0518" w:rsidRPr="007D0518" w:rsidRDefault="007D0518" w:rsidP="007D0518">
            <w:r w:rsidRPr="007D0518">
              <w:t>Final decision approach</w:t>
            </w:r>
          </w:p>
        </w:tc>
        <w:tc>
          <w:tcPr>
            <w:tcW w:w="1666" w:type="pct"/>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Uses published BVAL 10 year yield estimate</w:t>
            </w:r>
          </w:p>
        </w:tc>
        <w:tc>
          <w:tcPr>
            <w:tcW w:w="1667" w:type="pct"/>
          </w:tcPr>
          <w:p w:rsidR="007D0518" w:rsidRPr="007D0518" w:rsidRDefault="007D0518" w:rsidP="007D0518">
            <w:pPr>
              <w:cnfStyle w:val="000000000000" w:firstRow="0" w:lastRow="0" w:firstColumn="0" w:lastColumn="0" w:oddVBand="0" w:evenVBand="0" w:oddHBand="0" w:evenHBand="0" w:firstRowFirstColumn="0" w:firstRowLastColumn="0" w:lastRowFirstColumn="0" w:lastRowLastColumn="0"/>
            </w:pPr>
            <w:r w:rsidRPr="007D0518">
              <w:t>+39 basis points</w:t>
            </w:r>
          </w:p>
        </w:tc>
      </w:tr>
      <w:tr w:rsidR="007D0518" w:rsidTr="0017091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7D0518" w:rsidRPr="007D0518" w:rsidRDefault="007D0518" w:rsidP="007D0518">
            <w:r w:rsidRPr="007D0518">
              <w:t>Contingency approach— where BVAL 10 year published estimate is unavailable</w:t>
            </w:r>
          </w:p>
        </w:tc>
        <w:tc>
          <w:tcPr>
            <w:tcW w:w="1666" w:type="pct"/>
          </w:tcPr>
          <w:p w:rsidR="007D0518" w:rsidRPr="007D0518" w:rsidRDefault="007D0518" w:rsidP="007D0518">
            <w:pPr>
              <w:cnfStyle w:val="000000010000" w:firstRow="0" w:lastRow="0" w:firstColumn="0" w:lastColumn="0" w:oddVBand="0" w:evenVBand="0" w:oddHBand="0" w:evenHBand="1" w:firstRowFirstColumn="0" w:firstRowLastColumn="0" w:lastRowFirstColumn="0" w:lastRowLastColumn="0"/>
            </w:pPr>
            <w:r w:rsidRPr="007D0518">
              <w:t>BVAL 10 year yield = BVAL published 7 year yield + RBA 10 year yield – RBA 7 year yield</w:t>
            </w:r>
          </w:p>
        </w:tc>
        <w:tc>
          <w:tcPr>
            <w:tcW w:w="1667" w:type="pct"/>
          </w:tcPr>
          <w:p w:rsidR="007D0518" w:rsidRPr="007D0518" w:rsidRDefault="007D0518" w:rsidP="007D0518">
            <w:pPr>
              <w:cnfStyle w:val="000000010000" w:firstRow="0" w:lastRow="0" w:firstColumn="0" w:lastColumn="0" w:oddVBand="0" w:evenVBand="0" w:oddHBand="0" w:evenHBand="1" w:firstRowFirstColumn="0" w:firstRowLastColumn="0" w:lastRowFirstColumn="0" w:lastRowLastColumn="0"/>
            </w:pPr>
            <w:r w:rsidRPr="007D0518">
              <w:t>–16 basis points</w:t>
            </w:r>
          </w:p>
        </w:tc>
      </w:tr>
    </w:tbl>
    <w:p w:rsidR="007D0518" w:rsidRPr="007D0518" w:rsidRDefault="007D0518" w:rsidP="007D0518">
      <w:pPr>
        <w:pStyle w:val="AERtablesource"/>
      </w:pPr>
      <w:r w:rsidRPr="007D0518">
        <w:t>Source:</w:t>
      </w:r>
      <w:r w:rsidRPr="007D0518">
        <w:tab/>
        <w:t>AER, RBA, Bloomberg.</w:t>
      </w:r>
    </w:p>
    <w:p w:rsidR="007D0518" w:rsidRPr="007D0518" w:rsidRDefault="007D0518" w:rsidP="007D0518">
      <w:r w:rsidRPr="007D0518">
        <w:t>Therefore, if we were to agree with CEG and AusNet Services' criticisms of the published BVAL 10 year estimate, our next preferred approach would result in a reduction to the BVAL estimate of 55 basis points. We note that this extrapolation approach was upheld by the Tribunal after being appealed by Ausgrid, Endeavour Energy, Essential Energy and Jemena Gas Network and that no party sought to challenge those findings on appeal.</w:t>
      </w:r>
      <w:r w:rsidRPr="007D0518">
        <w:rPr>
          <w:rStyle w:val="FootnoteReference"/>
        </w:rPr>
        <w:footnoteReference w:id="1280"/>
      </w:r>
    </w:p>
    <w:p w:rsidR="007D0518" w:rsidRPr="007D0518" w:rsidRDefault="007D0518" w:rsidP="007D0518">
      <w:pPr>
        <w:pStyle w:val="HeadingBoldBlue"/>
        <w:rPr>
          <w:rStyle w:val="AERtextitalic"/>
        </w:rPr>
      </w:pPr>
      <w:r w:rsidRPr="007D0518">
        <w:rPr>
          <w:rStyle w:val="AERtextitalic"/>
        </w:rPr>
        <w:t>CEG's analysis of sample size</w:t>
      </w:r>
    </w:p>
    <w:p w:rsidR="007D0518" w:rsidRPr="007D0518" w:rsidRDefault="007D0518" w:rsidP="007D0518">
      <w:r w:rsidRPr="007D0518">
        <w:t>In its reports, CEG has criticised the relatively smaller sample size arising from the BVAL selection criteria compared to the RBA selection criteria.</w:t>
      </w:r>
      <w:r w:rsidRPr="007D0518">
        <w:rPr>
          <w:rStyle w:val="FootnoteReference"/>
        </w:rPr>
        <w:footnoteReference w:id="1281"/>
      </w:r>
      <w:r w:rsidRPr="007D0518">
        <w:t xml:space="preserve"> We agree that a large sample size is clearly preferable to a smaller sample where it is clear that the data is of as good or better quality. However:</w:t>
      </w:r>
    </w:p>
    <w:p w:rsidR="007D0518" w:rsidRPr="007D0518" w:rsidRDefault="007D0518" w:rsidP="007D0518">
      <w:pPr>
        <w:pStyle w:val="AERbulletlistfirststyle"/>
      </w:pPr>
      <w:r w:rsidRPr="007D0518">
        <w:t>where it is not clear that the data is of as good or better quality, it is a complex exercise to determine whether the benefits of a larger sample outweigh the disadvantages of lower quality data</w:t>
      </w:r>
    </w:p>
    <w:p w:rsidR="007D0518" w:rsidRPr="007D0518" w:rsidRDefault="007D0518" w:rsidP="007D0518">
      <w:pPr>
        <w:pStyle w:val="AERbulletlistfirststyle"/>
      </w:pPr>
      <w:r w:rsidRPr="007D0518">
        <w:t>a smaller sample does not imply that a curve is not fit for purpose. A larger sample of high quality data is an advantageous feature of a curve</w:t>
      </w:r>
      <w:r w:rsidR="008575D5">
        <w:t>;</w:t>
      </w:r>
      <w:r w:rsidRPr="007D0518">
        <w:t xml:space="preserve"> however</w:t>
      </w:r>
      <w:r w:rsidR="00BC3ED9">
        <w:t>,</w:t>
      </w:r>
      <w:r w:rsidRPr="007D0518">
        <w:t xml:space="preserve"> it needs to be considered in the context of all of the curve's other features and criteria.</w:t>
      </w:r>
    </w:p>
    <w:p w:rsidR="007D0518" w:rsidRPr="007D0518" w:rsidRDefault="007D0518" w:rsidP="007D0518">
      <w:r w:rsidRPr="007D0518">
        <w:t>Importantly, the size of the bond sample underlying a particular curve is an outcome of the bond selection criteria. Both Lally and the ACCC Regulatory Economics unit assessed the bond selection criteria and advised that while the two sets of criteria were different, neither was clearly superior.</w:t>
      </w:r>
      <w:r w:rsidRPr="007D0518">
        <w:rPr>
          <w:rStyle w:val="FootnoteReference"/>
        </w:rPr>
        <w:footnoteReference w:id="1282"/>
      </w:r>
      <w:r w:rsidRPr="007D0518">
        <w:t xml:space="preserve"> While we agree that individual estimates RBA curve is based on a larger data sample, we are not persuaded that the relatively smaller BVAL sample will not contribute to an estimate which achieves the allowed rate of return objective.</w:t>
      </w:r>
    </w:p>
    <w:p w:rsidR="007D0518" w:rsidRPr="007D0518" w:rsidRDefault="007D0518" w:rsidP="007D0518">
      <w:r w:rsidRPr="007D0518">
        <w:t>In addition, we consider CEG has not fully addressed the impact of sample size on the estimates. Where the RBA curve may include more bonds in each individual observation, the RBA only publishes estimates for one day in each month. As a consequence, we need to interpolate between month-end estimates in order to have a daily yield series. The impact of this is that, where we adopt the RBA estimate, we only have 12 data points for the spread to CGS that are used to produce a full year of estimates. In contrast, the BVAL curve is published daily, which means that we have approximately 20 times as many data points for estimating the spread-to-swap over the course of a month compared to the RBA curve.</w:t>
      </w:r>
      <w:r w:rsidRPr="007D0518">
        <w:rPr>
          <w:rStyle w:val="FootnoteReference"/>
        </w:rPr>
        <w:footnoteReference w:id="1283"/>
      </w:r>
    </w:p>
    <w:p w:rsidR="007D0518" w:rsidRPr="007D0518" w:rsidRDefault="007D0518" w:rsidP="007D0518">
      <w:r w:rsidRPr="007D0518">
        <w:t xml:space="preserve">We are broadly satisfied that linear interpolation is reasonable and is unlikely to be biased. However, service providers can and have adopted averaging periods as short as 10 business days within a month. It is plausible that linear interpolation for these short averaging periods results in an underestimate or overestimate of the daily spreads to swap. </w:t>
      </w:r>
    </w:p>
    <w:p w:rsidR="007D0518" w:rsidRPr="007D0518" w:rsidRDefault="007D0518" w:rsidP="007D0518">
      <w:pPr>
        <w:pStyle w:val="Caption"/>
      </w:pPr>
      <w:r w:rsidRPr="007D0518">
        <w:t xml:space="preserve">Figure </w:t>
      </w:r>
      <w:fldSimple w:instr=" STYLEREF 1 \s ">
        <w:r w:rsidR="00BA2E8E">
          <w:rPr>
            <w:noProof/>
          </w:rPr>
          <w:t>3</w:t>
        </w:r>
      </w:fldSimple>
      <w:r w:rsidR="00A6197A">
        <w:noBreakHyphen/>
      </w:r>
      <w:fldSimple w:instr=" SEQ Figure \* ARABIC \s 1 ">
        <w:r w:rsidR="00BA2E8E">
          <w:rPr>
            <w:noProof/>
          </w:rPr>
          <w:t>24</w:t>
        </w:r>
      </w:fldSimple>
      <w:r w:rsidRPr="007D0518">
        <w:tab/>
        <w:t>Illustration of monthly publication on sample size and error</w:t>
      </w:r>
    </w:p>
    <w:p w:rsidR="007D0518" w:rsidRPr="007D0518" w:rsidRDefault="007D0518" w:rsidP="007D0518">
      <w:r w:rsidRPr="007D0518">
        <w:rPr>
          <w:noProof/>
          <w:lang w:eastAsia="en-AU"/>
        </w:rPr>
        <w:drawing>
          <wp:inline distT="0" distB="0" distL="0" distR="0" wp14:anchorId="49EE81D1" wp14:editId="5DF70804">
            <wp:extent cx="5334635" cy="32435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4635" cy="3243580"/>
                    </a:xfrm>
                    <a:prstGeom prst="rect">
                      <a:avLst/>
                    </a:prstGeom>
                    <a:noFill/>
                  </pic:spPr>
                </pic:pic>
              </a:graphicData>
            </a:graphic>
          </wp:inline>
        </w:drawing>
      </w:r>
    </w:p>
    <w:p w:rsidR="007D0518" w:rsidRPr="007D0518" w:rsidRDefault="007D0518" w:rsidP="007D0518">
      <w:r w:rsidRPr="007D0518">
        <w:t xml:space="preserve">In addition, the RBA's publication of data on one day a month masks any underlying daily volatility in its estimates. </w:t>
      </w:r>
    </w:p>
    <w:p w:rsidR="007D0518" w:rsidRPr="007D0518" w:rsidRDefault="007D0518" w:rsidP="007D0518">
      <w:r w:rsidRPr="007D0518">
        <w:t>In its February 2016 submission, AusNet Services criticised the BVAL curve on the basis that '[h]owever, despite the high level of volatility in financial markets, the spread implied by the BVAL 10 year curve has remained flat between December 2015 and January 2016.'</w:t>
      </w:r>
      <w:r w:rsidRPr="007D0518">
        <w:rPr>
          <w:rStyle w:val="FootnoteReference"/>
        </w:rPr>
        <w:footnoteReference w:id="1284"/>
      </w:r>
      <w:r w:rsidRPr="007D0518">
        <w:t xml:space="preserve"> We do not agree that AusNet Services' submission should inform conclusions about the underlying performance of the curve. Its conclusion depends on a qualitative comparison of the movements in a yield curve that is published by an independent third party market expert against AusNet Services' own expectations of how yields should have reacted. However, it is not reliably possible to assess the underlying volatility in the RBA curve due to its publication of substantially fewer estimates. We therefore are not satisfied that this is a reasonable basis on which to reach a conclusion about which of the RBA or BVAL curves is more likely to result in an estimate which contributes to achievement of the allowed rate of return objective.  </w:t>
      </w:r>
    </w:p>
    <w:p w:rsidR="007D0518" w:rsidRPr="007D0518" w:rsidRDefault="007D0518" w:rsidP="007D0518">
      <w:pPr>
        <w:pStyle w:val="HeadingBoldBlue"/>
        <w:rPr>
          <w:rStyle w:val="AERtextitalic"/>
        </w:rPr>
      </w:pPr>
      <w:r w:rsidRPr="007D0518">
        <w:rPr>
          <w:rStyle w:val="AERtextitalic"/>
        </w:rPr>
        <w:t>CEG's analysis of foreign bonds</w:t>
      </w:r>
    </w:p>
    <w:p w:rsidR="007D0518" w:rsidRPr="007D0518" w:rsidRDefault="007D0518" w:rsidP="007D0518">
      <w:r w:rsidRPr="007D0518">
        <w:t>We are not persuaded that CEG's analysis of foreign bond issuance demonstrates that a combination of the RBA and BVAL curves will not contribute to an estimate which achieves the allowed rate of return objective. CEG has made two distinct arguments relating to foreign bond issuance:</w:t>
      </w:r>
    </w:p>
    <w:p w:rsidR="007D0518" w:rsidRPr="007D0518" w:rsidRDefault="007D0518" w:rsidP="007D0518">
      <w:pPr>
        <w:pStyle w:val="AERbulletlistfirststyle"/>
      </w:pPr>
      <w:r w:rsidRPr="007D0518">
        <w:t>CEG submits that Australian companies have tended to issue long term debt in foreign debt markets</w:t>
      </w:r>
    </w:p>
    <w:p w:rsidR="007D0518" w:rsidRPr="007D0518" w:rsidRDefault="007D0518" w:rsidP="007D0518">
      <w:pPr>
        <w:pStyle w:val="AERbulletlistfirststyle"/>
      </w:pPr>
      <w:r w:rsidRPr="007D0518">
        <w:t>CEG has argued that the Asciano bond is behaving in a way unrepresentative of the benchmark entity with exclusive reference to price movements of foreign bonds.</w:t>
      </w:r>
    </w:p>
    <w:p w:rsidR="007D0518" w:rsidRPr="007D0518" w:rsidRDefault="007D0518" w:rsidP="007D0518">
      <w:r w:rsidRPr="007D0518">
        <w:t>CEG has also submitted analysis suggesting that the RBA curve better reflects the benchmark efficient entity's debt raising practices because Australian companies with long term debt currently on issue have typically done so in overseas markets.</w:t>
      </w:r>
      <w:r w:rsidRPr="007D0518">
        <w:rPr>
          <w:rStyle w:val="FootnoteReference"/>
        </w:rPr>
        <w:footnoteReference w:id="1285"/>
      </w:r>
      <w:r w:rsidRPr="007D0518">
        <w:t xml:space="preserve"> CEG submits that there are two primary reasons for Australian firms commonly issuing foreign currency debt, being:</w:t>
      </w:r>
      <w:r w:rsidRPr="007D0518">
        <w:rPr>
          <w:rStyle w:val="FootnoteReference"/>
        </w:rPr>
        <w:footnoteReference w:id="1286"/>
      </w:r>
    </w:p>
    <w:p w:rsidR="007D0518" w:rsidRPr="007D0518" w:rsidRDefault="007D0518" w:rsidP="007D0518">
      <w:pPr>
        <w:pStyle w:val="AERquotebullet1"/>
      </w:pPr>
      <w:r w:rsidRPr="007D0518">
        <w:t>First, the demand for long dated corporate debt is deepest in foreign currency markets, which means that this will often be the least expensive market in which to issue long dated debt. This is consistent with the data that suggests that the use of foreign currency debt is higher for longer dated debt.</w:t>
      </w:r>
    </w:p>
    <w:p w:rsidR="007D0518" w:rsidRPr="007D0518" w:rsidRDefault="007D0518" w:rsidP="007D0518">
      <w:pPr>
        <w:pStyle w:val="AERquotebullet1"/>
      </w:pPr>
      <w:r w:rsidRPr="007D0518">
        <w:t>Second, there are benefits from diversifying funding sources and maintaining a presence (relationship with funders) in a number of markets so that these markets can be used in future as needed</w:t>
      </w:r>
    </w:p>
    <w:p w:rsidR="007D0518" w:rsidRPr="007D0518" w:rsidRDefault="007D0518" w:rsidP="007D0518">
      <w:r w:rsidRPr="007D0518">
        <w:t>However, in recommending a choice of data series over this period, CEG has recommended adopting the Bloomberg and RBA estimates extrapolated using the AER approach. For example, in an April 2015 report submitted by AusNet Services, CEG concluded that:</w:t>
      </w:r>
      <w:r w:rsidRPr="007D0518">
        <w:rPr>
          <w:rStyle w:val="FootnoteReference"/>
        </w:rPr>
        <w:footnoteReference w:id="1287"/>
      </w:r>
    </w:p>
    <w:p w:rsidR="007D0518" w:rsidRPr="007D0518" w:rsidRDefault="007D0518" w:rsidP="007D0518">
      <w:pPr>
        <w:pStyle w:val="AERquote"/>
      </w:pPr>
      <w:r w:rsidRPr="007D0518">
        <w:t>Our best estimate of the 9 year trailing average DRP is 2.41%, which sits in the middle of the single lowest and highest values. Our best estimate is derived by giving equal weight to the Bloomberg and RBA curves, and using the AER draft decision extrapolation methodology for the years 2005/06 to 2013/14.</w:t>
      </w:r>
    </w:p>
    <w:p w:rsidR="007D0518" w:rsidRPr="007D0518" w:rsidRDefault="007D0518" w:rsidP="007D0518">
      <w:r w:rsidRPr="007D0518">
        <w:t xml:space="preserve">For the reasons set out in this and previous decisions, we are not persuaded by the approach CEG has adopted for testing which curve or combination of curves should apply. Nonetheless, its own analysis appears to indicate that a simple average of the Bloomberg and RBA curves is representative of the costs faced by a benchmark efficient entity over the preceding 9 years. Therefore, regardless of whether Australian bond issuance is predominantly domestic or foreign, CEG's analysis appears to suggest that a combination of the BVAL and RBA curves has been reflective of those costs over multiple regulatory periods. </w:t>
      </w:r>
    </w:p>
    <w:p w:rsidR="007D0518" w:rsidRPr="007D0518" w:rsidRDefault="007D0518" w:rsidP="007D0518">
      <w:r w:rsidRPr="007D0518">
        <w:t>Further, to the extent that foreign debt issuance becomes materially more expensive than domestic debt issuance, we would expect that a benchmark efficient entity might seek to issue a greater proportion of its new debt domestically, and/or at shorter terms. We are satisfied that this is an available and viable strategy. It also appears to be consistent with CEG's submission that longer term foreign debt issuance is attractive because it is relatively less expensive.</w:t>
      </w:r>
      <w:r w:rsidRPr="007D0518">
        <w:rPr>
          <w:rStyle w:val="FootnoteReference"/>
        </w:rPr>
        <w:footnoteReference w:id="1288"/>
      </w:r>
      <w:r w:rsidRPr="007D0518">
        <w:t xml:space="preserve"> Specifically, CEG's analysis suggests that service providers will seek debt raising strategies at least in part where they are less costly.</w:t>
      </w:r>
    </w:p>
    <w:p w:rsidR="007D0518" w:rsidRPr="007D0518" w:rsidRDefault="007D0518" w:rsidP="007D0518">
      <w:r w:rsidRPr="007D0518">
        <w:t>As identified by Chairmont, service providers have a number of options for efficiently departing from the strict benchmark characteristics, including amongst other strategies:</w:t>
      </w:r>
    </w:p>
    <w:p w:rsidR="007D0518" w:rsidRPr="007D0518" w:rsidRDefault="007D0518" w:rsidP="007D0518">
      <w:pPr>
        <w:pStyle w:val="AERbulletlistfirststyle"/>
      </w:pPr>
      <w:r w:rsidRPr="007D0518">
        <w:t>issuing shorter term debt or longer term debt than the 10 year benchmark</w:t>
      </w:r>
    </w:p>
    <w:p w:rsidR="007D0518" w:rsidRPr="007D0518" w:rsidRDefault="007D0518" w:rsidP="007D0518">
      <w:pPr>
        <w:pStyle w:val="AERbulletlistfirststyle"/>
      </w:pPr>
      <w:r w:rsidRPr="007D0518">
        <w:t>issuing 'lumpy' debt where market conditions are favourable and reducing debt issuance where they are unfavourable.</w:t>
      </w:r>
      <w:r w:rsidRPr="007D0518">
        <w:rPr>
          <w:rStyle w:val="FootnoteReference"/>
        </w:rPr>
        <w:footnoteReference w:id="1289"/>
      </w:r>
    </w:p>
    <w:p w:rsidR="007D0518" w:rsidRPr="007D0518" w:rsidRDefault="007D0518" w:rsidP="007D0518">
      <w:r w:rsidRPr="007D0518">
        <w:t xml:space="preserve">These options appear to be consistent with the actual practices of the service providers. For example, during the </w:t>
      </w:r>
      <w:r w:rsidR="002211EB">
        <w:t>G</w:t>
      </w:r>
      <w:r w:rsidRPr="007D0518">
        <w:t>uideline, the ENA provided debt issuance information for eleven privately owned service providers.</w:t>
      </w:r>
      <w:r w:rsidRPr="007D0518">
        <w:rPr>
          <w:rStyle w:val="FootnoteReference"/>
        </w:rPr>
        <w:footnoteReference w:id="1290"/>
      </w:r>
      <w:r w:rsidRPr="007D0518">
        <w:t xml:space="preserve"> This evidence supported a conclusion that service providers raised debt using:</w:t>
      </w:r>
    </w:p>
    <w:p w:rsidR="007D0518" w:rsidRPr="007D0518" w:rsidRDefault="007D0518" w:rsidP="007D0518">
      <w:pPr>
        <w:pStyle w:val="AERbulletlistfirststyle"/>
      </w:pPr>
      <w:r w:rsidRPr="007D0518">
        <w:t>bank debt and commercial paper which have issuance tenors of between 1 month and 7.0 years</w:t>
      </w:r>
    </w:p>
    <w:p w:rsidR="007D0518" w:rsidRPr="007D0518" w:rsidRDefault="007D0518" w:rsidP="007D0518">
      <w:pPr>
        <w:pStyle w:val="AERbulletlistfirststyle"/>
      </w:pPr>
      <w:r w:rsidRPr="007D0518">
        <w:t>Australian bonds which have issuance tenors of between 2.7 and 21.3 years</w:t>
      </w:r>
    </w:p>
    <w:p w:rsidR="007D0518" w:rsidRPr="007D0518" w:rsidRDefault="007D0518" w:rsidP="007D0518">
      <w:pPr>
        <w:pStyle w:val="AERbulletlistfirststyle"/>
      </w:pPr>
      <w:r w:rsidRPr="007D0518">
        <w:t>offshore bonds which have tenors of between 4 and 30 years.</w:t>
      </w:r>
      <w:r w:rsidRPr="007D0518">
        <w:rPr>
          <w:rStyle w:val="FootnoteReference"/>
        </w:rPr>
        <w:footnoteReference w:id="1291"/>
      </w:r>
    </w:p>
    <w:p w:rsidR="007D0518" w:rsidRPr="007D0518" w:rsidRDefault="007D0518" w:rsidP="007D0518">
      <w:r w:rsidRPr="007D0518">
        <w:fldChar w:fldCharType="begin"/>
      </w:r>
      <w:r w:rsidRPr="007D0518">
        <w:instrText xml:space="preserve"> REF _Ref444861217 \h </w:instrText>
      </w:r>
      <w:r w:rsidRPr="007D0518">
        <w:fldChar w:fldCharType="separate"/>
      </w:r>
      <w:r w:rsidR="00BA2E8E" w:rsidRPr="007D0518">
        <w:t xml:space="preserve">Figure </w:t>
      </w:r>
      <w:r w:rsidR="00BA2E8E">
        <w:rPr>
          <w:noProof/>
        </w:rPr>
        <w:t>3</w:t>
      </w:r>
      <w:r w:rsidR="00BA2E8E">
        <w:noBreakHyphen/>
      </w:r>
      <w:r w:rsidR="00BA2E8E">
        <w:rPr>
          <w:noProof/>
        </w:rPr>
        <w:t>25</w:t>
      </w:r>
      <w:r w:rsidRPr="007D0518">
        <w:fldChar w:fldCharType="end"/>
      </w:r>
      <w:r w:rsidRPr="007D0518">
        <w:t>, below, charts the range of term issuances. This illustrates that while many bond issuances are at 10 years or more, service providers commonly raise debt at shorter terms as part of their portfolio. Further, with respect to bond issuance since 2009, a greater proportion of borrowing appears to have been done at terms less than 10 years.</w:t>
      </w:r>
    </w:p>
    <w:p w:rsidR="007D0518" w:rsidRPr="007D0518" w:rsidRDefault="007D0518" w:rsidP="007D0518">
      <w:pPr>
        <w:pStyle w:val="Caption"/>
      </w:pPr>
      <w:bookmarkStart w:id="380" w:name="_Ref444861217"/>
      <w:r w:rsidRPr="007D0518">
        <w:t xml:space="preserve">Figure </w:t>
      </w:r>
      <w:fldSimple w:instr=" STYLEREF 1 \s ">
        <w:r w:rsidR="00BA2E8E">
          <w:rPr>
            <w:noProof/>
          </w:rPr>
          <w:t>3</w:t>
        </w:r>
      </w:fldSimple>
      <w:r w:rsidR="00A6197A">
        <w:noBreakHyphen/>
      </w:r>
      <w:fldSimple w:instr=" SEQ Figure \* ARABIC \s 1 ">
        <w:r w:rsidR="00BA2E8E">
          <w:rPr>
            <w:noProof/>
          </w:rPr>
          <w:t>25</w:t>
        </w:r>
      </w:fldSimple>
      <w:bookmarkEnd w:id="380"/>
      <w:r w:rsidRPr="007D0518">
        <w:tab/>
        <w:t>Service providers' terms at issuance of bonds (as at 30 June-20 September 2013, years)</w:t>
      </w:r>
    </w:p>
    <w:p w:rsidR="007D0518" w:rsidRPr="007D0518" w:rsidRDefault="007D0518" w:rsidP="007D0518">
      <w:pPr>
        <w:pStyle w:val="AERbulletlistfirststyle"/>
      </w:pPr>
      <w:r w:rsidRPr="007D0518">
        <w:rPr>
          <w:noProof/>
          <w:lang w:eastAsia="en-AU"/>
        </w:rPr>
        <w:drawing>
          <wp:inline distT="0" distB="0" distL="0" distR="0" wp14:anchorId="68FB5A2B" wp14:editId="0DBEFFDC">
            <wp:extent cx="5180953" cy="3485715"/>
            <wp:effectExtent l="0" t="0" r="127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80953" cy="3485715"/>
                    </a:xfrm>
                    <a:prstGeom prst="rect">
                      <a:avLst/>
                    </a:prstGeom>
                  </pic:spPr>
                </pic:pic>
              </a:graphicData>
            </a:graphic>
          </wp:inline>
        </w:drawing>
      </w:r>
    </w:p>
    <w:p w:rsidR="007D0518" w:rsidRPr="007D0518" w:rsidRDefault="007D0518" w:rsidP="007D0518">
      <w:pPr>
        <w:pStyle w:val="AERtablesource"/>
      </w:pPr>
      <w:r w:rsidRPr="007D0518">
        <w:t xml:space="preserve">Source: </w:t>
      </w:r>
      <w:r w:rsidRPr="007D0518">
        <w:tab/>
        <w:t>ENA provided eleven business debt portfolios, AER analysis.</w:t>
      </w:r>
    </w:p>
    <w:p w:rsidR="007D0518" w:rsidRPr="007D0518" w:rsidRDefault="007D0518" w:rsidP="007D0518">
      <w:pPr>
        <w:pStyle w:val="AERtablesource"/>
      </w:pPr>
      <w:r w:rsidRPr="007D0518">
        <w:t xml:space="preserve">Note: </w:t>
      </w:r>
      <w:r w:rsidRPr="007D0518">
        <w:tab/>
        <w:t>Two businesses provided portfolio information as at 30 June 2013, eight as at 30 August 2013 and one as at 20 September 2013.</w:t>
      </w:r>
    </w:p>
    <w:p w:rsidR="007D0518" w:rsidRPr="007D0518" w:rsidRDefault="007D0518" w:rsidP="007D0518">
      <w:r w:rsidRPr="007D0518">
        <w:t>Therefore, while there may be divergent conditions between domestic and foreign bond markets at a point in time, we are not persuaded that a simple average of the BVAL and RBA curves will not result in an estimate that reflects the costs faced by a benchmark efficient entity. To the extent that domestic debt as captured in the BVAL curve appears to be relatively less costly than overseas debt, we are satisfied that service providers are able to respond to these changing conditions. We remain satisfied that a simple average of the BVAL and RBA curves will contribute to an estimate that achieves the allowed rate of return objective.</w:t>
      </w:r>
    </w:p>
    <w:p w:rsidR="007D0518" w:rsidRPr="007D0518" w:rsidRDefault="007D0518" w:rsidP="007D0518">
      <w:pPr>
        <w:pStyle w:val="Heading8"/>
      </w:pPr>
      <w:bookmarkStart w:id="381" w:name="_Toc449624779"/>
      <w:bookmarkStart w:id="382" w:name="_Toc451678697"/>
      <w:r w:rsidRPr="007D0518">
        <w:t>Other issues</w:t>
      </w:r>
      <w:bookmarkEnd w:id="381"/>
      <w:bookmarkEnd w:id="382"/>
    </w:p>
    <w:p w:rsidR="007D0518" w:rsidRPr="007D0518" w:rsidRDefault="007D0518" w:rsidP="007D0518">
      <w:r w:rsidRPr="007D0518">
        <w:t>This section sets out our analysis of other issues raised by CEG. Specifically, we address:</w:t>
      </w:r>
    </w:p>
    <w:p w:rsidR="007D0518" w:rsidRPr="007D0518" w:rsidRDefault="007D0518" w:rsidP="007D0518">
      <w:pPr>
        <w:pStyle w:val="AERbulletlistfirststyle"/>
      </w:pPr>
      <w:r w:rsidRPr="007D0518">
        <w:t>CEG's new criteria for selecting bonds and their impact on weighting</w:t>
      </w:r>
    </w:p>
    <w:p w:rsidR="007D0518" w:rsidRPr="007D0518" w:rsidRDefault="007D0518" w:rsidP="007D0518">
      <w:pPr>
        <w:pStyle w:val="AERbulletlistfirststyle"/>
      </w:pPr>
      <w:r w:rsidRPr="007D0518">
        <w:t>Analysis of the mean squared error (MSE) for determining weighting</w:t>
      </w:r>
    </w:p>
    <w:p w:rsidR="007D0518" w:rsidRPr="007D0518" w:rsidRDefault="007D0518" w:rsidP="006E33D8">
      <w:pPr>
        <w:pStyle w:val="HeadingBoldBlue"/>
        <w:keepNext/>
        <w:rPr>
          <w:rStyle w:val="AERtextitalic"/>
        </w:rPr>
      </w:pPr>
      <w:r w:rsidRPr="007D0518">
        <w:rPr>
          <w:rStyle w:val="AERtextitalic"/>
        </w:rPr>
        <w:t>Weighting and criteria</w:t>
      </w:r>
    </w:p>
    <w:p w:rsidR="007D0518" w:rsidRPr="007D0518" w:rsidRDefault="007D0518" w:rsidP="006E33D8">
      <w:pPr>
        <w:keepNext/>
      </w:pPr>
      <w:r w:rsidRPr="007D0518">
        <w:t>In the event that we were to consider inclusion of additional curves in future, we are not persuaded by the methodology adopted by CEG to justify a recommendation of either 100% reliance on the RBA curve, or of unequal weighting between curves.</w:t>
      </w:r>
      <w:r w:rsidRPr="007D0518">
        <w:rPr>
          <w:rStyle w:val="FootnoteReference"/>
        </w:rPr>
        <w:footnoteReference w:id="1292"/>
      </w:r>
      <w:r w:rsidRPr="007D0518">
        <w:t xml:space="preserve"> This particular weighting appears arbitrary and is based on qualitative criteria set out by CEG which do not appear to improve on or replace the set of principles that were set out in the </w:t>
      </w:r>
      <w:r w:rsidR="002211EB">
        <w:t>G</w:t>
      </w:r>
      <w:r w:rsidRPr="007D0518">
        <w:t>uideline and consulted on more widely.</w:t>
      </w:r>
      <w:r w:rsidRPr="007D0518">
        <w:rPr>
          <w:rStyle w:val="FootnoteReference"/>
        </w:rPr>
        <w:footnoteReference w:id="1293"/>
      </w:r>
      <w:r w:rsidRPr="007D0518">
        <w:t xml:space="preserve"> As noted recently by the Tribunal in relation to the choice of data sets adopted in our guideline:</w:t>
      </w:r>
    </w:p>
    <w:p w:rsidR="007D0518" w:rsidRPr="007D0518" w:rsidRDefault="007D0518" w:rsidP="007D0518">
      <w:pPr>
        <w:pStyle w:val="AERquote"/>
      </w:pPr>
      <w:r w:rsidRPr="007D0518">
        <w:t>The AER had a choice to make as to what data services, or combination of data services, it should use.  Its reasons for selecting the combination of data services are cogent, and reasonable.   It is not shown to have misunderstood or overlooked material information.  Although there are facts underlying the choice of the AER, the Tribunal is not persuaded of any particular material factual finding which is different from those made by the AER.  For the purposes of the relevant Final Decisions, the AER does not positively find that the RBA curve was clearly superior to the BVAL curve, so that its averaging of the two curves was an acceptable measure of the DRP.</w:t>
      </w:r>
      <w:r w:rsidRPr="007D0518">
        <w:rPr>
          <w:rStyle w:val="FootnoteReference"/>
        </w:rPr>
        <w:footnoteReference w:id="1294"/>
      </w:r>
    </w:p>
    <w:p w:rsidR="007D0518" w:rsidRPr="007D0518" w:rsidRDefault="007D0518" w:rsidP="007D0518">
      <w:r w:rsidRPr="007D0518">
        <w:t xml:space="preserve">We remain satisfied that our criteria developed and applied in the </w:t>
      </w:r>
      <w:r w:rsidR="002211EB">
        <w:t>G</w:t>
      </w:r>
      <w:r w:rsidRPr="007D0518">
        <w:t>uideline and subsequent decisions remain fit for purpose. Further, we are satisfied that application of these criteria will contribute to estimates that will achieve the allowed rate of return objective.</w:t>
      </w:r>
    </w:p>
    <w:p w:rsidR="007D0518" w:rsidRPr="007D0518" w:rsidRDefault="007D0518" w:rsidP="007D0518">
      <w:pPr>
        <w:pStyle w:val="HeadingBoldBlue"/>
        <w:rPr>
          <w:rStyle w:val="AERtextitalic"/>
        </w:rPr>
      </w:pPr>
      <w:r w:rsidRPr="007D0518">
        <w:rPr>
          <w:rStyle w:val="AERtextitalic"/>
        </w:rPr>
        <w:t>Mean squared error</w:t>
      </w:r>
    </w:p>
    <w:p w:rsidR="007D0518" w:rsidRPr="007D0518" w:rsidRDefault="007D0518" w:rsidP="007D0518">
      <w:r w:rsidRPr="007D0518">
        <w:t>We are not persuaded by CEG's analysis of the MSE. In determining the weighting that we would adopt for the average of the BVAL and RBA curves, we have relied on advice from Lally.</w:t>
      </w:r>
      <w:r w:rsidRPr="007D0518">
        <w:rPr>
          <w:rStyle w:val="FootnoteReference"/>
        </w:rPr>
        <w:footnoteReference w:id="1295"/>
      </w:r>
      <w:r w:rsidRPr="007D0518">
        <w:t xml:space="preserve"> Specifically, Lally concluded that a simple average of the BVAL and RBA curves would be likely to minimise the mean squared error (MSE) of the estimator.</w:t>
      </w:r>
      <w:r w:rsidRPr="007D0518">
        <w:rPr>
          <w:rStyle w:val="FootnoteReference"/>
        </w:rPr>
        <w:footnoteReference w:id="1296"/>
      </w:r>
      <w:r w:rsidRPr="007D0518">
        <w:t xml:space="preserve"> CEG disagrees with Lally's analysis of the mean squared error (MSE) of the curve combination, which contributed to our adoption of a simple average between the Bloomberg and RBA curves.</w:t>
      </w:r>
      <w:r w:rsidRPr="007D0518">
        <w:rPr>
          <w:rStyle w:val="FootnoteReference"/>
        </w:rPr>
        <w:footnoteReference w:id="1297"/>
      </w:r>
      <w:r w:rsidRPr="007D0518">
        <w:t xml:space="preserve"> In particular, CEG submits that that the MSE should be evaluated every year, rather than over time,</w:t>
      </w:r>
      <w:r w:rsidRPr="007D0518">
        <w:rPr>
          <w:rStyle w:val="FootnoteReference"/>
        </w:rPr>
        <w:footnoteReference w:id="1298"/>
      </w:r>
      <w:r w:rsidRPr="007D0518">
        <w:t xml:space="preserve"> and that the Bloomberg curve is downwardly biased.</w:t>
      </w:r>
      <w:r w:rsidRPr="007D0518">
        <w:rPr>
          <w:rStyle w:val="FootnoteReference"/>
        </w:rPr>
        <w:footnoteReference w:id="1299"/>
      </w:r>
      <w:r w:rsidRPr="007D0518">
        <w:t xml:space="preserve"> </w:t>
      </w:r>
    </w:p>
    <w:p w:rsidR="007D0518" w:rsidRPr="007D0518" w:rsidRDefault="007D0518" w:rsidP="007D0518">
      <w:r w:rsidRPr="007D0518">
        <w:t>If the Bloomberg curve were systematically biased, this might indicate that a simple average would not minimise the MSE of the estimator. However, at any point in time it is likely that one curve or the other will produce an estimate that is a better reflection of the costs faced by a benchmark efficient entity. We do not agree that there is a reliable or practical method to quantitatively identify which of the two curves better reflects these benchmark efficient costs at any point in time.</w:t>
      </w:r>
      <w:r w:rsidRPr="007D0518">
        <w:rPr>
          <w:rStyle w:val="FootnoteReference"/>
        </w:rPr>
        <w:footnoteReference w:id="1300"/>
      </w:r>
      <w:r w:rsidRPr="007D0518">
        <w:t xml:space="preserve"> For this reason, we are not persuaded by CEG's recommendation that MSE should or even can be robustly evaluated for each individual estimate. In contrast, we are satisfied that there is no clear reason to expect systematic or nonzero bias in either curve. Nonetheless, the rules require that we determine an approach which can be given effect through automatic application of a formula. This requires that any approach we determine be robust and fit for purpose not just at the time of the final decision. The approach must also be likely to remain robust and fit for purpose for the subsequent five years. We are therefore satisfied that Lally's analysis of the MSE of the estimator is reasonable. </w:t>
      </w:r>
    </w:p>
    <w:p w:rsidR="007D0518" w:rsidRPr="007D0518" w:rsidRDefault="007D0518" w:rsidP="007D0518">
      <w:r w:rsidRPr="007D0518">
        <w:t>Further, we are not satisfied that CEG has substantiated the existence of downward bias within the BVAL curve. In contrast, we consider:</w:t>
      </w:r>
    </w:p>
    <w:p w:rsidR="007D0518" w:rsidRPr="007D0518" w:rsidRDefault="007D0518" w:rsidP="007D0518">
      <w:pPr>
        <w:pStyle w:val="AERbulletlistfirststyle"/>
      </w:pPr>
      <w:r w:rsidRPr="007D0518">
        <w:t xml:space="preserve">CEG has not substantiated evidence of bias in the Bloomberg curve between 7 and 10 years. As discussed in section </w:t>
      </w:r>
      <w:r w:rsidRPr="007D0518">
        <w:fldChar w:fldCharType="begin"/>
      </w:r>
      <w:r w:rsidRPr="007D0518">
        <w:instrText xml:space="preserve"> REF _Ref450660756 \r \h </w:instrText>
      </w:r>
      <w:r w:rsidRPr="007D0518">
        <w:fldChar w:fldCharType="separate"/>
      </w:r>
      <w:r w:rsidR="00BA2E8E">
        <w:t>I.2</w:t>
      </w:r>
      <w:r w:rsidRPr="007D0518">
        <w:fldChar w:fldCharType="end"/>
      </w:r>
      <w:r w:rsidRPr="007D0518">
        <w:t xml:space="preserve"> and in previous decisions, its description of Bloomberg's methodology is inconsistent with the description confirmed by Bloomberg staff. </w:t>
      </w:r>
    </w:p>
    <w:p w:rsidR="007D0518" w:rsidRPr="007D0518" w:rsidRDefault="007D0518" w:rsidP="007D0518">
      <w:pPr>
        <w:pStyle w:val="AERbulletlistfirststyle"/>
      </w:pPr>
      <w:r w:rsidRPr="007D0518">
        <w:t>For the period 2005–2014, CEG has recommended adopting a simple average of the RBA and Bloomberg curves extrapolated using the AER approach.</w:t>
      </w:r>
      <w:r w:rsidRPr="007D0518">
        <w:rPr>
          <w:rStyle w:val="FootnoteReference"/>
        </w:rPr>
        <w:footnoteReference w:id="1301"/>
      </w:r>
      <w:r w:rsidRPr="007D0518">
        <w:t xml:space="preserve"> This appears to suggest that CEG has not observed material downward bias in the BVAL curve over the period for which the curve data is available.</w:t>
      </w:r>
    </w:p>
    <w:p w:rsidR="007D0518" w:rsidRPr="007D0518" w:rsidRDefault="007D0518" w:rsidP="007D0518">
      <w:pPr>
        <w:pStyle w:val="AERbulletlistfirststyle"/>
      </w:pPr>
      <w:r w:rsidRPr="007D0518">
        <w:t xml:space="preserve">Further, as illustrated in </w:t>
      </w:r>
      <w:r w:rsidRPr="007D0518">
        <w:fldChar w:fldCharType="begin"/>
      </w:r>
      <w:r w:rsidRPr="007D0518">
        <w:instrText xml:space="preserve"> REF _Ref444068389 \h </w:instrText>
      </w:r>
      <w:r w:rsidRPr="007D0518">
        <w:fldChar w:fldCharType="separate"/>
      </w:r>
      <w:r w:rsidR="00BA2E8E" w:rsidRPr="007D0518">
        <w:t xml:space="preserve">Figure </w:t>
      </w:r>
      <w:r w:rsidR="00BA2E8E">
        <w:rPr>
          <w:noProof/>
        </w:rPr>
        <w:t>3</w:t>
      </w:r>
      <w:r w:rsidR="00BA2E8E">
        <w:noBreakHyphen/>
      </w:r>
      <w:r w:rsidR="00BA2E8E">
        <w:rPr>
          <w:noProof/>
        </w:rPr>
        <w:t>22</w:t>
      </w:r>
      <w:r w:rsidRPr="007D0518">
        <w:fldChar w:fldCharType="end"/>
      </w:r>
      <w:r w:rsidRPr="007D0518">
        <w:t>, the 7 to 10 year margin of the BVAL DRP relative to CGS is both positive and higher than the same margin implied by the RBA curve. Therefore, we are not persuaded that there is evidence of downward bias in the BVAL curve's estimation beyond 7 years.</w:t>
      </w:r>
    </w:p>
    <w:p w:rsidR="007D0518" w:rsidRPr="007D0518" w:rsidRDefault="007D0518" w:rsidP="007D0518">
      <w:r w:rsidRPr="007D0518">
        <w:t xml:space="preserve">For these reasons, we remain satisfied that a simple average of the RBA and BVAL curves is likely to minimise the MSE of the estimate over time. </w:t>
      </w:r>
    </w:p>
    <w:p w:rsidR="007D0518" w:rsidRPr="007D0518" w:rsidRDefault="009E492A" w:rsidP="009E492A">
      <w:pPr>
        <w:pStyle w:val="Heading8"/>
      </w:pPr>
      <w:bookmarkStart w:id="383" w:name="_Ref451241591"/>
      <w:bookmarkStart w:id="384" w:name="_Toc451678698"/>
      <w:r>
        <w:t>Averaging periods</w:t>
      </w:r>
      <w:bookmarkEnd w:id="383"/>
      <w:bookmarkEnd w:id="384"/>
    </w:p>
    <w:p w:rsidR="007C2935" w:rsidRPr="00986B6E" w:rsidRDefault="007C2935" w:rsidP="007C2935">
      <w:r w:rsidRPr="00986B6E">
        <w:t xml:space="preserve">We set out our decision on CitiPower's </w:t>
      </w:r>
      <w:r>
        <w:t xml:space="preserve">revised </w:t>
      </w:r>
      <w:r w:rsidRPr="00986B6E">
        <w:t xml:space="preserve">proposed debt averaging periods for 2016 to 2020 in section </w:t>
      </w:r>
      <w:r w:rsidR="000A799E">
        <w:fldChar w:fldCharType="begin"/>
      </w:r>
      <w:r w:rsidR="000A799E">
        <w:instrText xml:space="preserve"> REF _Ref451543236 \r \h </w:instrText>
      </w:r>
      <w:r w:rsidR="000A799E">
        <w:fldChar w:fldCharType="separate"/>
      </w:r>
      <w:r w:rsidR="00BA2E8E">
        <w:t>3.4.2</w:t>
      </w:r>
      <w:r w:rsidR="000A799E">
        <w:fldChar w:fldCharType="end"/>
      </w:r>
      <w:r w:rsidRPr="00986B6E">
        <w:t xml:space="preserve">. This </w:t>
      </w:r>
      <w:r w:rsidR="003E2D23">
        <w:t>section</w:t>
      </w:r>
      <w:r w:rsidRPr="00986B6E">
        <w:t xml:space="preserve"> responds to the issues raised in service providers' </w:t>
      </w:r>
      <w:r>
        <w:t xml:space="preserve">proposals and revised </w:t>
      </w:r>
      <w:r w:rsidRPr="00986B6E">
        <w:t>proposals</w:t>
      </w:r>
      <w:r>
        <w:t>,</w:t>
      </w:r>
      <w:r w:rsidRPr="00986B6E">
        <w:t xml:space="preserve"> and submissions from other stakeholders.</w:t>
      </w:r>
    </w:p>
    <w:p w:rsidR="007C2935" w:rsidRPr="00986B6E" w:rsidRDefault="007C2935" w:rsidP="006E33D8">
      <w:pPr>
        <w:pStyle w:val="Heading9"/>
        <w:keepNext/>
      </w:pPr>
      <w:bookmarkStart w:id="385" w:name="_Toc433194224"/>
      <w:bookmarkStart w:id="386" w:name="_Toc433451003"/>
      <w:bookmarkStart w:id="387" w:name="_Toc451678699"/>
      <w:r w:rsidRPr="00986B6E">
        <w:t>Response to key issues raised by stakeholders</w:t>
      </w:r>
      <w:bookmarkEnd w:id="385"/>
      <w:bookmarkEnd w:id="386"/>
      <w:bookmarkEnd w:id="387"/>
    </w:p>
    <w:p w:rsidR="007C2935" w:rsidRPr="00E761F9" w:rsidRDefault="007C2935" w:rsidP="006E33D8">
      <w:pPr>
        <w:keepNext/>
      </w:pPr>
      <w:r w:rsidRPr="00E761F9">
        <w:t>In our current regulatory processes, different service providers have proposed different methods for setting debt averaging periods during the regulatory control or access arrangement period</w:t>
      </w:r>
      <w:r>
        <w:t xml:space="preserve"> (regulatory period)</w:t>
      </w:r>
      <w:r w:rsidRPr="00E761F9">
        <w:t xml:space="preserve">. Many service providers have proposed more complicated approaches to nominating debt averaging periods in order to achieve greater flexibility. This is common to other aspects of the return on debt, such as the choice of third party data series. </w:t>
      </w:r>
      <w:r w:rsidR="00284B88">
        <w:fldChar w:fldCharType="begin"/>
      </w:r>
      <w:r w:rsidR="00284B88">
        <w:instrText xml:space="preserve"> REF _Ref451334204 \h </w:instrText>
      </w:r>
      <w:r w:rsidR="00284B88">
        <w:fldChar w:fldCharType="separate"/>
      </w:r>
      <w:r w:rsidR="00BA2E8E" w:rsidRPr="00E761F9">
        <w:t xml:space="preserve">Table </w:t>
      </w:r>
      <w:r w:rsidR="00BA2E8E">
        <w:rPr>
          <w:noProof/>
        </w:rPr>
        <w:t>3</w:t>
      </w:r>
      <w:r w:rsidR="00BA2E8E">
        <w:noBreakHyphen/>
      </w:r>
      <w:r w:rsidR="00BA2E8E">
        <w:rPr>
          <w:noProof/>
        </w:rPr>
        <w:t>45</w:t>
      </w:r>
      <w:r w:rsidR="00284B88">
        <w:fldChar w:fldCharType="end"/>
      </w:r>
      <w:r w:rsidRPr="00E761F9">
        <w:t xml:space="preserve"> summarises the different approaches to the nomination of debt averaging periods proposed by different service providers. </w:t>
      </w:r>
    </w:p>
    <w:p w:rsidR="007C2935" w:rsidRPr="00E761F9" w:rsidRDefault="007C2935" w:rsidP="007C2935">
      <w:pPr>
        <w:pStyle w:val="Caption"/>
      </w:pPr>
      <w:bookmarkStart w:id="388" w:name="_Ref451334204"/>
      <w:r w:rsidRPr="00E761F9">
        <w:t xml:space="preserve">Table </w:t>
      </w:r>
      <w:fldSimple w:instr=" STYLEREF 1 \s ">
        <w:r w:rsidR="00BA2E8E">
          <w:rPr>
            <w:noProof/>
          </w:rPr>
          <w:t>3</w:t>
        </w:r>
      </w:fldSimple>
      <w:r w:rsidR="000F4BC3">
        <w:noBreakHyphen/>
      </w:r>
      <w:fldSimple w:instr=" SEQ Table \* ARABIC \s 1 ">
        <w:r w:rsidR="00BA2E8E">
          <w:rPr>
            <w:noProof/>
          </w:rPr>
          <w:t>45</w:t>
        </w:r>
      </w:fldSimple>
      <w:bookmarkEnd w:id="388"/>
      <w:r w:rsidRPr="00E761F9">
        <w:tab/>
        <w:t>Summary of service providers' averaging period proposals</w:t>
      </w:r>
    </w:p>
    <w:tbl>
      <w:tblPr>
        <w:tblStyle w:val="AERtable-numbers"/>
        <w:tblW w:w="0" w:type="auto"/>
        <w:tblLook w:val="04A0" w:firstRow="1" w:lastRow="0" w:firstColumn="1" w:lastColumn="0" w:noHBand="0" w:noVBand="1"/>
      </w:tblPr>
      <w:tblGrid>
        <w:gridCol w:w="1448"/>
        <w:gridCol w:w="1449"/>
        <w:gridCol w:w="1449"/>
        <w:gridCol w:w="1449"/>
        <w:gridCol w:w="1449"/>
        <w:gridCol w:w="1449"/>
      </w:tblGrid>
      <w:tr w:rsidR="007C2935" w:rsidTr="00DB04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Service Provider</w:t>
            </w:r>
          </w:p>
        </w:tc>
        <w:tc>
          <w:tcPr>
            <w:tcW w:w="1449" w:type="dxa"/>
          </w:tcPr>
          <w:p w:rsidR="007C2935" w:rsidRPr="007C2935" w:rsidRDefault="007C2935" w:rsidP="007C2935">
            <w:pPr>
              <w:cnfStyle w:val="100000000000" w:firstRow="1" w:lastRow="0" w:firstColumn="0" w:lastColumn="0" w:oddVBand="0" w:evenVBand="0" w:oddHBand="0" w:evenHBand="0" w:firstRowFirstColumn="0" w:firstRowLastColumn="0" w:lastRowFirstColumn="0" w:lastRowLastColumn="0"/>
            </w:pPr>
            <w:r w:rsidRPr="00E761F9">
              <w:t>Number of averaging periods nominated in revised proposal</w:t>
            </w:r>
          </w:p>
        </w:tc>
        <w:tc>
          <w:tcPr>
            <w:tcW w:w="1449" w:type="dxa"/>
          </w:tcPr>
          <w:p w:rsidR="007C2935" w:rsidRPr="007C2935" w:rsidRDefault="007C2935" w:rsidP="007C2935">
            <w:pPr>
              <w:cnfStyle w:val="100000000000" w:firstRow="1" w:lastRow="0" w:firstColumn="0" w:lastColumn="0" w:oddVBand="0" w:evenVBand="0" w:oddHBand="0" w:evenHBand="0" w:firstRowFirstColumn="0" w:firstRowLastColumn="0" w:lastRowFirstColumn="0" w:lastRowLastColumn="0"/>
            </w:pPr>
            <w:r w:rsidRPr="00E761F9">
              <w:t>Annual process for nominating averaging periods</w:t>
            </w:r>
          </w:p>
        </w:tc>
        <w:tc>
          <w:tcPr>
            <w:tcW w:w="1449" w:type="dxa"/>
          </w:tcPr>
          <w:p w:rsidR="007C2935" w:rsidRPr="007C2935" w:rsidRDefault="007C2935" w:rsidP="007C2935">
            <w:pPr>
              <w:cnfStyle w:val="100000000000" w:firstRow="1" w:lastRow="0" w:firstColumn="0" w:lastColumn="0" w:oddVBand="0" w:evenVBand="0" w:oddHBand="0" w:evenHBand="0" w:firstRowFirstColumn="0" w:firstRowLastColumn="0" w:lastRowFirstColumn="0" w:lastRowLastColumn="0"/>
            </w:pPr>
            <w:r w:rsidRPr="00E761F9">
              <w:t>Lag of one year in the annual update process</w:t>
            </w:r>
          </w:p>
        </w:tc>
        <w:tc>
          <w:tcPr>
            <w:tcW w:w="1449" w:type="dxa"/>
          </w:tcPr>
          <w:p w:rsidR="007C2935" w:rsidRPr="007C2935" w:rsidRDefault="007C2935" w:rsidP="007C2935">
            <w:pPr>
              <w:cnfStyle w:val="100000000000" w:firstRow="1" w:lastRow="0" w:firstColumn="0" w:lastColumn="0" w:oddVBand="0" w:evenVBand="0" w:oddHBand="0" w:evenHBand="0" w:firstRowFirstColumn="0" w:firstRowLastColumn="0" w:lastRowFirstColumn="0" w:lastRowLastColumn="0"/>
            </w:pPr>
            <w:r w:rsidRPr="00E761F9">
              <w:t>Separate averaging periods for DRP and base rate</w:t>
            </w:r>
          </w:p>
        </w:tc>
        <w:tc>
          <w:tcPr>
            <w:tcW w:w="1449" w:type="dxa"/>
          </w:tcPr>
          <w:p w:rsidR="007C2935" w:rsidRPr="007C2935" w:rsidRDefault="007C2935" w:rsidP="007C2935">
            <w:pPr>
              <w:cnfStyle w:val="100000000000" w:firstRow="1" w:lastRow="0" w:firstColumn="0" w:lastColumn="0" w:oddVBand="0" w:evenVBand="0" w:oddHBand="0" w:evenHBand="0" w:firstRowFirstColumn="0" w:firstRowLastColumn="0" w:lastRowFirstColumn="0" w:lastRowLastColumn="0"/>
            </w:pPr>
            <w:r w:rsidRPr="00E761F9">
              <w:t xml:space="preserve">Not as close as practically possible to start of each regulatory year </w:t>
            </w:r>
          </w:p>
        </w:tc>
      </w:tr>
      <w:tr w:rsidR="007C2935" w:rsidTr="00DB0499">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AusNet Services</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r>
      <w:tr w:rsidR="007C2935"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United Energy</w:t>
            </w:r>
          </w:p>
        </w:tc>
        <w:tc>
          <w:tcPr>
            <w:tcW w:w="1449" w:type="dxa"/>
          </w:tcPr>
          <w:p w:rsidR="007C2935" w:rsidRPr="007C2935" w:rsidRDefault="007C2935" w:rsidP="007C2935">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r>
      <w:tr w:rsidR="007C2935" w:rsidTr="00DB0499">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JEN</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r>
      <w:tr w:rsidR="007C2935"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CitiPower / Powercor</w:t>
            </w:r>
          </w:p>
        </w:tc>
        <w:tc>
          <w:tcPr>
            <w:tcW w:w="1449" w:type="dxa"/>
          </w:tcPr>
          <w:p w:rsidR="007C2935" w:rsidRPr="007C2935" w:rsidRDefault="007C2935" w:rsidP="007C2935">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r>
      <w:tr w:rsidR="007C2935" w:rsidTr="00DB0499">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ActewAGL</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First year only</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X</w:t>
            </w:r>
          </w:p>
        </w:tc>
      </w:tr>
      <w:tr w:rsidR="007C2935" w:rsidTr="00DB04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AGN</w:t>
            </w:r>
          </w:p>
        </w:tc>
        <w:tc>
          <w:tcPr>
            <w:tcW w:w="1449" w:type="dxa"/>
          </w:tcPr>
          <w:p w:rsidR="007C2935" w:rsidRPr="007C2935" w:rsidRDefault="007C2935" w:rsidP="007C2935">
            <w:pPr>
              <w:cnfStyle w:val="000000010000" w:firstRow="0" w:lastRow="0" w:firstColumn="0" w:lastColumn="0" w:oddVBand="0" w:evenVBand="0" w:oddHBand="0" w:evenHBand="1" w:firstRowFirstColumn="0" w:firstRowLastColumn="0" w:lastRowFirstColumn="0" w:lastRowLastColumn="0"/>
            </w:pPr>
            <w:r w:rsidRPr="00E761F9">
              <w:t>All</w:t>
            </w: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c>
          <w:tcPr>
            <w:tcW w:w="1449" w:type="dxa"/>
          </w:tcPr>
          <w:p w:rsidR="007C2935" w:rsidRPr="007C2935" w:rsidRDefault="007C2935" w:rsidP="007C2935">
            <w:pPr>
              <w:cnfStyle w:val="000000010000" w:firstRow="0" w:lastRow="0" w:firstColumn="0" w:lastColumn="0" w:oddVBand="0" w:evenVBand="0" w:oddHBand="0" w:evenHBand="1" w:firstRowFirstColumn="0" w:firstRowLastColumn="0" w:lastRowFirstColumn="0" w:lastRowLastColumn="0"/>
            </w:pPr>
            <w:r w:rsidRPr="00E761F9">
              <w:t>X</w:t>
            </w:r>
          </w:p>
        </w:tc>
        <w:tc>
          <w:tcPr>
            <w:tcW w:w="1449" w:type="dxa"/>
          </w:tcPr>
          <w:p w:rsidR="007C2935" w:rsidRPr="00E761F9" w:rsidRDefault="007C2935" w:rsidP="007C2935">
            <w:pPr>
              <w:cnfStyle w:val="000000010000" w:firstRow="0" w:lastRow="0" w:firstColumn="0" w:lastColumn="0" w:oddVBand="0" w:evenVBand="0" w:oddHBand="0" w:evenHBand="1" w:firstRowFirstColumn="0" w:firstRowLastColumn="0" w:lastRowFirstColumn="0" w:lastRowLastColumn="0"/>
            </w:pPr>
          </w:p>
        </w:tc>
      </w:tr>
      <w:tr w:rsidR="007C2935" w:rsidTr="00DB0499">
        <w:tc>
          <w:tcPr>
            <w:cnfStyle w:val="001000000000" w:firstRow="0" w:lastRow="0" w:firstColumn="1" w:lastColumn="0" w:oddVBand="0" w:evenVBand="0" w:oddHBand="0" w:evenHBand="0" w:firstRowFirstColumn="0" w:firstRowLastColumn="0" w:lastRowFirstColumn="0" w:lastRowLastColumn="0"/>
            <w:tcW w:w="1448" w:type="dxa"/>
          </w:tcPr>
          <w:p w:rsidR="007C2935" w:rsidRPr="007C2935" w:rsidRDefault="007C2935" w:rsidP="007C2935">
            <w:r w:rsidRPr="00E761F9">
              <w:t>Amadeus</w:t>
            </w:r>
          </w:p>
        </w:tc>
        <w:tc>
          <w:tcPr>
            <w:tcW w:w="1449" w:type="dxa"/>
          </w:tcPr>
          <w:p w:rsidR="007C2935" w:rsidRPr="007C2935" w:rsidRDefault="007C2935" w:rsidP="007C2935">
            <w:pPr>
              <w:cnfStyle w:val="000000000000" w:firstRow="0" w:lastRow="0" w:firstColumn="0" w:lastColumn="0" w:oddVBand="0" w:evenVBand="0" w:oddHBand="0" w:evenHBand="0" w:firstRowFirstColumn="0" w:firstRowLastColumn="0" w:lastRowFirstColumn="0" w:lastRowLastColumn="0"/>
            </w:pPr>
            <w:r w:rsidRPr="00E761F9">
              <w:t>All</w:t>
            </w: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c>
          <w:tcPr>
            <w:tcW w:w="1449" w:type="dxa"/>
          </w:tcPr>
          <w:p w:rsidR="007C2935" w:rsidRPr="00E761F9" w:rsidRDefault="007C2935" w:rsidP="007C2935">
            <w:pPr>
              <w:cnfStyle w:val="000000000000" w:firstRow="0" w:lastRow="0" w:firstColumn="0" w:lastColumn="0" w:oddVBand="0" w:evenVBand="0" w:oddHBand="0" w:evenHBand="0" w:firstRowFirstColumn="0" w:firstRowLastColumn="0" w:lastRowFirstColumn="0" w:lastRowLastColumn="0"/>
            </w:pPr>
          </w:p>
        </w:tc>
      </w:tr>
    </w:tbl>
    <w:p w:rsidR="007C2935" w:rsidRPr="00E761F9" w:rsidRDefault="007C2935" w:rsidP="007C2935">
      <w:pPr>
        <w:pStyle w:val="AERtablesource"/>
      </w:pPr>
      <w:r w:rsidRPr="00E761F9">
        <w:t>Source:</w:t>
      </w:r>
      <w:r w:rsidRPr="00E761F9">
        <w:tab/>
        <w:t xml:space="preserve">AER analysis; AusNet,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w:t>
      </w:r>
      <w:r>
        <w:t>7-36</w:t>
      </w:r>
      <w:r w:rsidRPr="00E761F9">
        <w:t xml:space="preserve">; United Energy, </w:t>
      </w:r>
      <w:r w:rsidRPr="00E761F9">
        <w:rPr>
          <w:rStyle w:val="AERtextitalic"/>
        </w:rPr>
        <w:t>United Energy</w:t>
      </w:r>
      <w:r>
        <w:rPr>
          <w:rStyle w:val="AERtextitalic"/>
        </w:rPr>
        <w:t xml:space="preserve">'s revised regulatory proposal—nominated </w:t>
      </w:r>
      <w:r w:rsidRPr="00E761F9">
        <w:rPr>
          <w:rStyle w:val="AERtextitalic"/>
        </w:rPr>
        <w:t>debt averaging periods</w:t>
      </w:r>
      <w:r>
        <w:rPr>
          <w:rStyle w:val="AERtextitalic"/>
        </w:rPr>
        <w:t xml:space="preserve"> (Confidential)</w:t>
      </w:r>
      <w:r w:rsidRPr="00E761F9">
        <w:t>, 6 January 2016;</w:t>
      </w:r>
      <w:r>
        <w:t xml:space="preserve"> United Energy, </w:t>
      </w:r>
      <w:r w:rsidRPr="004D1E24">
        <w:rPr>
          <w:rStyle w:val="AERtextitalic"/>
        </w:rPr>
        <w:t>R</w:t>
      </w:r>
      <w:r>
        <w:rPr>
          <w:rStyle w:val="AERtextitalic"/>
        </w:rPr>
        <w:t>evised r</w:t>
      </w:r>
      <w:r w:rsidRPr="004D1E24">
        <w:rPr>
          <w:rStyle w:val="AERtextitalic"/>
        </w:rPr>
        <w:t>egulatory proposal</w:t>
      </w:r>
      <w:r>
        <w:t>, 6 January 2016, p. 75;</w:t>
      </w:r>
      <w:r w:rsidRPr="00E761F9">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E761F9">
        <w:t xml:space="preserve">CitiPower,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349; Powercor, </w:t>
      </w:r>
      <w:r w:rsidRPr="00E761F9">
        <w:rPr>
          <w:rStyle w:val="AERtextitalic"/>
        </w:rPr>
        <w:t xml:space="preserve">Revised </w:t>
      </w:r>
      <w:r>
        <w:rPr>
          <w:rStyle w:val="AERtextitalic"/>
        </w:rPr>
        <w:t>r</w:t>
      </w:r>
      <w:r w:rsidRPr="00E761F9">
        <w:rPr>
          <w:rStyle w:val="AERtextitalic"/>
        </w:rPr>
        <w:t>egulatory proposal</w:t>
      </w:r>
      <w:r w:rsidRPr="00E761F9">
        <w:t xml:space="preserve">, 6 January 2016, p. 343;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r w:rsidRPr="00E761F9">
        <w:t xml:space="preserve">; 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r w:rsidRPr="00E761F9">
        <w:t xml:space="preserve">; AGN, </w:t>
      </w:r>
      <w:r w:rsidRPr="00E761F9">
        <w:rPr>
          <w:rStyle w:val="AERtextitalic"/>
        </w:rPr>
        <w:t xml:space="preserve">Revised access arrangement proposal—Attachment 10.2A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Averaging </w:t>
      </w:r>
      <w:r>
        <w:rPr>
          <w:rStyle w:val="AERtextitalic"/>
        </w:rPr>
        <w:t>p</w:t>
      </w:r>
      <w:r w:rsidRPr="00E761F9">
        <w:rPr>
          <w:rStyle w:val="AERtextitalic"/>
        </w:rPr>
        <w:t>eriods</w:t>
      </w:r>
      <w:r>
        <w:rPr>
          <w:rStyle w:val="AERtextitalic"/>
        </w:rPr>
        <w:t xml:space="preserve"> (Confidential)</w:t>
      </w:r>
      <w:r w:rsidRPr="00E761F9">
        <w:t>, 6 January 2016</w:t>
      </w:r>
      <w:r>
        <w:t xml:space="preserve">; </w:t>
      </w:r>
      <w:r w:rsidRPr="00E761F9">
        <w:t xml:space="preserve">Amadeus, </w:t>
      </w:r>
      <w:r w:rsidRPr="00E761F9">
        <w:rPr>
          <w:rStyle w:val="AERtextitalic"/>
        </w:rPr>
        <w:t xml:space="preserve">Revised </w:t>
      </w:r>
      <w:r>
        <w:rPr>
          <w:rStyle w:val="AERtextitalic"/>
        </w:rPr>
        <w:t>a</w:t>
      </w:r>
      <w:r w:rsidRPr="00E761F9">
        <w:rPr>
          <w:rStyle w:val="AERtextitalic"/>
        </w:rPr>
        <w:t xml:space="preserve">ccess arrangement proposal—Attachment E: </w:t>
      </w:r>
      <w:r>
        <w:rPr>
          <w:rStyle w:val="AERtextitalic"/>
        </w:rPr>
        <w:t>A</w:t>
      </w:r>
      <w:r w:rsidRPr="00E761F9">
        <w:rPr>
          <w:rStyle w:val="AERtextitalic"/>
        </w:rPr>
        <w:t>veraging periods</w:t>
      </w:r>
      <w:r>
        <w:rPr>
          <w:rStyle w:val="AERtextitalic"/>
        </w:rPr>
        <w:t xml:space="preserve"> (Confidential)</w:t>
      </w:r>
      <w:r w:rsidRPr="00E761F9">
        <w:t>, 6 January 2016</w:t>
      </w:r>
      <w:r>
        <w:t>.</w:t>
      </w:r>
    </w:p>
    <w:p w:rsidR="007C2935" w:rsidRPr="00E761F9" w:rsidRDefault="007C2935" w:rsidP="007C2935">
      <w:r w:rsidRPr="00E761F9">
        <w:t xml:space="preserve">Our decision is that the service providers' averaging periods: </w:t>
      </w:r>
    </w:p>
    <w:p w:rsidR="007C2935" w:rsidRPr="00E761F9" w:rsidRDefault="007C2935" w:rsidP="007C2935">
      <w:pPr>
        <w:pStyle w:val="AERbulletlistfirststyle"/>
      </w:pPr>
      <w:r w:rsidRPr="00E761F9">
        <w:t>should be nominated before the regulatory period commences</w:t>
      </w:r>
    </w:p>
    <w:p w:rsidR="007C2935" w:rsidRPr="00E761F9" w:rsidRDefault="007C2935" w:rsidP="007C2935">
      <w:pPr>
        <w:pStyle w:val="AERbulletlistfirststyle"/>
      </w:pPr>
      <w:r w:rsidRPr="00E761F9">
        <w:t>should not be separated into DRP and base rate averaging periods</w:t>
      </w:r>
    </w:p>
    <w:p w:rsidR="007C2935" w:rsidRPr="00E761F9" w:rsidRDefault="007C2935" w:rsidP="007C2935">
      <w:pPr>
        <w:pStyle w:val="AERbulletlistfirststyle"/>
      </w:pPr>
      <w:r w:rsidRPr="00E761F9">
        <w:t>are not required to be as close as practically possible to the start of the each regulatory year, but should fall within a particular timeframe.</w:t>
      </w:r>
    </w:p>
    <w:p w:rsidR="007C2935" w:rsidRPr="00E761F9" w:rsidRDefault="007C2935" w:rsidP="007C2935">
      <w:r w:rsidRPr="00492599">
        <w:t>Each of these is</w:t>
      </w:r>
      <w:r>
        <w:t xml:space="preserve"> discussed in more detail below</w:t>
      </w:r>
      <w:r w:rsidRPr="00E761F9">
        <w:t>.</w:t>
      </w:r>
    </w:p>
    <w:p w:rsidR="007C2935" w:rsidRPr="00986B6E" w:rsidRDefault="007C2935" w:rsidP="007C2935">
      <w:r w:rsidRPr="00E761F9">
        <w:t>We have also received submissions from other stakeholders. For example, the CCP does not support the service providers' proposals to nominate an averaging period for each regulatory year just prior to that regulatory year, rather than at the start of the whole regulatory period. It considers this increases the complexity and opportunities for regulatory gaming.</w:t>
      </w:r>
      <w:r w:rsidRPr="00E761F9">
        <w:rPr>
          <w:rStyle w:val="FootnoteReference"/>
        </w:rPr>
        <w:footnoteReference w:id="1302"/>
      </w:r>
    </w:p>
    <w:p w:rsidR="007C2935" w:rsidRPr="004C10CD" w:rsidRDefault="007C2935" w:rsidP="00284B88">
      <w:pPr>
        <w:pStyle w:val="HeadingBoldBlue"/>
      </w:pPr>
      <w:r w:rsidRPr="004C10CD">
        <w:t>Annual process for nominating debt averaging periods</w:t>
      </w:r>
    </w:p>
    <w:p w:rsidR="007C2935" w:rsidRPr="00986B6E" w:rsidRDefault="007C2935" w:rsidP="007C2935">
      <w:r w:rsidRPr="00986B6E">
        <w:t xml:space="preserve">United Energy, Jemena Electricity Networks (JEN), CitiPower, Powercor and ActewAGL </w:t>
      </w:r>
      <w:r>
        <w:t xml:space="preserve">initially </w:t>
      </w:r>
      <w:r w:rsidRPr="00986B6E">
        <w:t>proposed to depart from the Guideline in relation to nominating all averaging periods before the start of the regulatory period (the 'Guideline condition'). Instead, these service providers proposed to nominate their averaging periods in a separate process each year.</w:t>
      </w:r>
      <w:r w:rsidRPr="00986B6E">
        <w:rPr>
          <w:rStyle w:val="FootnoteReference"/>
        </w:rPr>
        <w:footnoteReference w:id="1303"/>
      </w:r>
      <w:r>
        <w:t xml:space="preserve"> JEN and ActewAGL maintained this approach in their revised proposals.</w:t>
      </w:r>
      <w:r>
        <w:rPr>
          <w:rStyle w:val="FootnoteReference"/>
        </w:rPr>
        <w:footnoteReference w:id="1304"/>
      </w:r>
      <w:r>
        <w:t xml:space="preserve"> However, CitiPower, Powercor and United Energy did not press this approach in their revised proposals.</w:t>
      </w:r>
      <w:r>
        <w:rPr>
          <w:rStyle w:val="FootnoteReference"/>
        </w:rPr>
        <w:footnoteReference w:id="1305"/>
      </w:r>
    </w:p>
    <w:p w:rsidR="007C2935" w:rsidRPr="00986B6E" w:rsidRDefault="007C2935" w:rsidP="007C2935">
      <w:r w:rsidRPr="00986B6E">
        <w:t>The service providers</w:t>
      </w:r>
      <w:r>
        <w:t>,</w:t>
      </w:r>
      <w:r w:rsidRPr="00986B6E">
        <w:t xml:space="preserve"> </w:t>
      </w:r>
      <w:r>
        <w:t xml:space="preserve">in their initial proposals, </w:t>
      </w:r>
      <w:r w:rsidRPr="00986B6E">
        <w:t xml:space="preserve">submitted </w:t>
      </w:r>
      <w:r>
        <w:t xml:space="preserve">or implied </w:t>
      </w:r>
      <w:r w:rsidRPr="00986B6E">
        <w:t xml:space="preserve">the Guideline condition </w:t>
      </w:r>
      <w:r>
        <w:t>might be</w:t>
      </w:r>
      <w:r w:rsidRPr="00986B6E">
        <w:t xml:space="preserve"> inconsistent with the </w:t>
      </w:r>
      <w:r>
        <w:t>ARORO</w:t>
      </w:r>
      <w:r w:rsidRPr="00986B6E">
        <w:t>.</w:t>
      </w:r>
      <w:r>
        <w:rPr>
          <w:rStyle w:val="FootnoteReference"/>
        </w:rPr>
        <w:footnoteReference w:id="1306"/>
      </w:r>
      <w:r w:rsidRPr="00986B6E">
        <w:t xml:space="preserve"> Their reasoning for an annual process to nominate debt averaging periods appears to </w:t>
      </w:r>
      <w:r>
        <w:t>centre</w:t>
      </w:r>
      <w:r w:rsidRPr="00986B6E">
        <w:t xml:space="preserve"> on a view that this approach:</w:t>
      </w:r>
      <w:r w:rsidRPr="00986B6E">
        <w:rPr>
          <w:rStyle w:val="FootnoteReference"/>
        </w:rPr>
        <w:footnoteReference w:id="1307"/>
      </w:r>
    </w:p>
    <w:p w:rsidR="007C2935" w:rsidRPr="00986B6E" w:rsidRDefault="007C2935" w:rsidP="007C2935">
      <w:pPr>
        <w:pStyle w:val="AERbulletlistfirststyle"/>
      </w:pPr>
      <w:r w:rsidRPr="00986B6E">
        <w:t>reduces the risk of mismatch between the efficient financing costs of a benchmark efficient entity and the allowed return on debt</w:t>
      </w:r>
      <w:r w:rsidRPr="00986B6E">
        <w:rPr>
          <w:rStyle w:val="FootnoteReference"/>
        </w:rPr>
        <w:footnoteReference w:id="1308"/>
      </w:r>
    </w:p>
    <w:p w:rsidR="007C2935" w:rsidRPr="00986B6E" w:rsidRDefault="007C2935" w:rsidP="007C2935">
      <w:pPr>
        <w:pStyle w:val="AERbulletlistfirststyle"/>
      </w:pPr>
      <w:r w:rsidRPr="00986B6E">
        <w:t>is consistent with the rule requirement for the change in revenue from the annual debt update to result from the automatic application of a formula that is specified in the determination.</w:t>
      </w:r>
      <w:r w:rsidRPr="00986B6E">
        <w:rPr>
          <w:rStyle w:val="FootnoteReference"/>
        </w:rPr>
        <w:footnoteReference w:id="1309"/>
      </w:r>
    </w:p>
    <w:p w:rsidR="007C2935" w:rsidRDefault="007C2935" w:rsidP="007C2935">
      <w:r>
        <w:t>ActewAGL and JEN maintained these views in their revised proposals.</w:t>
      </w:r>
      <w:r>
        <w:rPr>
          <w:rStyle w:val="FootnoteReference"/>
        </w:rPr>
        <w:footnoteReference w:id="1310"/>
      </w:r>
    </w:p>
    <w:p w:rsidR="007C2935" w:rsidRPr="00986B6E" w:rsidRDefault="007C2935" w:rsidP="007C2935">
      <w:r>
        <w:t>As we stated in our preliminary decisions, w</w:t>
      </w:r>
      <w:r w:rsidRPr="00986B6E">
        <w:t xml:space="preserve">e do not agree with the service providers' submissions. Our decision is that the service providers' averaging periods should be nominated before the regulatory period commences. This is consistent with our </w:t>
      </w:r>
      <w:r>
        <w:t>preliminary decision</w:t>
      </w:r>
      <w:r w:rsidRPr="00986B6E">
        <w:t xml:space="preserve">. We consider the Guideline condition is consistent with a return on debt averaging period that satisfies the rules. This contributes to the achievement of the </w:t>
      </w:r>
      <w:r>
        <w:t>ARORO</w:t>
      </w:r>
      <w:r w:rsidRPr="00986B6E">
        <w:t>.</w:t>
      </w:r>
      <w:r w:rsidRPr="00986B6E">
        <w:rPr>
          <w:rStyle w:val="FootnoteReference"/>
        </w:rPr>
        <w:footnoteReference w:id="1311"/>
      </w:r>
      <w:r w:rsidRPr="00986B6E">
        <w:t xml:space="preserve"> We also consider the service providers have overstated the risk associated with nominating averaging periods in advance of the regulatory period commencing. We set out our reasons for these positions in the following paragraphs.</w:t>
      </w:r>
    </w:p>
    <w:p w:rsidR="007C2935" w:rsidRPr="00986B6E" w:rsidRDefault="007C2935" w:rsidP="007C2935">
      <w:r w:rsidRPr="00986B6E">
        <w:t xml:space="preserve">We consider the Guideline condition to nominate averaging periods upfront during the distribution determination process is consistent with a return on debt that contributes to the achievement of the </w:t>
      </w:r>
      <w:r>
        <w:t>ARORO and other rule requirements</w:t>
      </w:r>
      <w:r w:rsidRPr="00986B6E">
        <w:t xml:space="preserve"> because it:</w:t>
      </w:r>
    </w:p>
    <w:p w:rsidR="007C2935" w:rsidRDefault="007C2935" w:rsidP="007C2935">
      <w:pPr>
        <w:pStyle w:val="AERbulletlistfirststyle"/>
      </w:pPr>
      <w:r>
        <w:t>p</w:t>
      </w:r>
      <w:r w:rsidRPr="00986B6E">
        <w:t xml:space="preserve">rovides an appropriate balance between flexibility and certainty that facilitates service providers to organise their financing arrangements in a way that promotes efficient </w:t>
      </w:r>
      <w:r>
        <w:t>financing</w:t>
      </w:r>
      <w:r w:rsidRPr="00986B6E">
        <w:t xml:space="preserve"> decisions and enables them to manage risk </w:t>
      </w:r>
    </w:p>
    <w:p w:rsidR="007C2935" w:rsidRPr="00986B6E" w:rsidRDefault="007C2935" w:rsidP="007C2935">
      <w:pPr>
        <w:pStyle w:val="AERbulletlistfirststyle"/>
      </w:pPr>
      <w:r>
        <w:t>r</w:t>
      </w:r>
      <w:r w:rsidRPr="00986B6E">
        <w:t>esults in an unbiased outcome because it requires service providers to nominate their averaging periods in advance</w:t>
      </w:r>
      <w:r w:rsidRPr="00986B6E">
        <w:rPr>
          <w:rStyle w:val="FootnoteReference"/>
        </w:rPr>
        <w:footnoteReference w:id="1312"/>
      </w:r>
      <w:r>
        <w:t>—this allows us to provide ex-ante compensation for a benchmark efficient entity's efficient financing costs (all else being equal) (see section</w:t>
      </w:r>
      <w:r w:rsidR="000A799E">
        <w:t>s</w:t>
      </w:r>
      <w:r>
        <w:t xml:space="preserve"> </w:t>
      </w:r>
      <w:r w:rsidR="000A799E">
        <w:fldChar w:fldCharType="begin"/>
      </w:r>
      <w:r w:rsidR="000A799E">
        <w:instrText xml:space="preserve"> REF _Ref451543246 \r \h </w:instrText>
      </w:r>
      <w:r w:rsidR="000A799E">
        <w:fldChar w:fldCharType="separate"/>
      </w:r>
      <w:r w:rsidR="00BA2E8E">
        <w:t>3.3.3</w:t>
      </w:r>
      <w:r w:rsidR="000A799E">
        <w:fldChar w:fldCharType="end"/>
      </w:r>
      <w:r w:rsidR="000A799E">
        <w:t xml:space="preserve"> </w:t>
      </w:r>
      <w:r>
        <w:t xml:space="preserve">and </w:t>
      </w:r>
      <w:r w:rsidR="000A799E">
        <w:fldChar w:fldCharType="begin"/>
      </w:r>
      <w:r w:rsidR="000A799E">
        <w:instrText xml:space="preserve"> REF _Ref444778432 \r \h </w:instrText>
      </w:r>
      <w:r w:rsidR="000A799E">
        <w:fldChar w:fldCharType="separate"/>
      </w:r>
      <w:r w:rsidR="00BA2E8E">
        <w:t>H.2</w:t>
      </w:r>
      <w:r w:rsidR="000A799E">
        <w:fldChar w:fldCharType="end"/>
      </w:r>
      <w:r>
        <w:t>)</w:t>
      </w:r>
    </w:p>
    <w:p w:rsidR="007C2935" w:rsidRPr="00986B6E" w:rsidRDefault="007C2935" w:rsidP="007C2935">
      <w:pPr>
        <w:pStyle w:val="AERbulletlistfirststyle"/>
      </w:pPr>
      <w:r>
        <w:t>f</w:t>
      </w:r>
      <w:r w:rsidRPr="00986B6E">
        <w:t xml:space="preserve">acilitates the achievement of the rules requirement that changes to revenue resulting from the annual debt update occur through the 'automatic' application of a formula specified in the </w:t>
      </w:r>
      <w:r w:rsidR="009D3AFA">
        <w:t>distribution determination</w:t>
      </w:r>
      <w:r w:rsidRPr="00986B6E">
        <w:t>.</w:t>
      </w:r>
    </w:p>
    <w:p w:rsidR="007C2935" w:rsidRPr="00986B6E" w:rsidRDefault="007C2935" w:rsidP="007C2935">
      <w:r w:rsidRPr="00986B6E">
        <w:t xml:space="preserve">We provide service providers with flexibility to nominate the length of their averaging periods, which can be anywhere between 10 business days and 12 months. We also provide service providers with the flexibility to nominate the same or different averaging periods for different years in a regulatory period. </w:t>
      </w:r>
    </w:p>
    <w:p w:rsidR="007C2935" w:rsidRPr="00986B6E" w:rsidRDefault="007C2935" w:rsidP="007C2935">
      <w:r w:rsidRPr="00986B6E">
        <w:t>We also provide service providers with the certainty that no matter how interest rates change, we will compensate service providers for the prevailing return on debt during that averaging period by reflecting those interest rates in their revenue allowance. We consider this certainty would provide service providers with confidence to organise their financing around the averaging periods set in the decision. This is consistent with the NEO</w:t>
      </w:r>
      <w:r>
        <w:t>/</w:t>
      </w:r>
      <w:r w:rsidRPr="00986B6E">
        <w:t xml:space="preserve">NGO and revenue and pricing principles which seek to promote decisions that are in the long term interests of consumers through the promotion of efficient investment and the use of effective incentives and appropriate regard to risks. </w:t>
      </w:r>
    </w:p>
    <w:p w:rsidR="007C2935" w:rsidRPr="00986B6E" w:rsidRDefault="007C2935" w:rsidP="007C2935">
      <w:r w:rsidRPr="00986B6E">
        <w:t>We consider a return on debt estimated using an averaging period determined in advance of it occurring can be expected to be unbiased.</w:t>
      </w:r>
      <w:r w:rsidRPr="00986B6E">
        <w:rPr>
          <w:rStyle w:val="FootnoteReference"/>
        </w:rPr>
        <w:footnoteReference w:id="1313"/>
      </w:r>
      <w:r w:rsidRPr="00986B6E">
        <w:t xml:space="preserve"> If an averaging period is chosen after that period occurs, the knowledge of returns at any past point of time influences the choice, creating an inherent bias. It would not matter if the period were chosen by the AER, the service provider, a user or consumer, the Tribunal or another stakeholder. This view has been recognised by experts and expressed by us in the Guideline.</w:t>
      </w:r>
      <w:r w:rsidRPr="00986B6E">
        <w:rPr>
          <w:rStyle w:val="FootnoteReference"/>
        </w:rPr>
        <w:footnoteReference w:id="1314"/>
      </w:r>
      <w:r w:rsidRPr="00986B6E">
        <w:t xml:space="preserve"> </w:t>
      </w:r>
      <w:r>
        <w:t>We consider a biased return on debt estimate would not provide ex-ante compensation for a benchmark efficient entity's efficient financing costs. As such, it would not satisfy the ARORO.</w:t>
      </w:r>
    </w:p>
    <w:p w:rsidR="007C2935" w:rsidRPr="00986B6E" w:rsidRDefault="007C2935" w:rsidP="007C2935">
      <w:r w:rsidRPr="00986B6E">
        <w:t xml:space="preserve">We consider the Guideline condition facilitates a change in revenue from the annual debt update to result from the automatic application of a formula that is specified in the decision. This is consistent with the rules requirement for automatic updating. This is because nominating averaging periods before the regulatory control period or access arrangement period commences simplifies the annual updating process. We consider a sufficiently simple, mechanistic process is required to meet this requirement. It is not clear to us that adding an additional process that requires judgement and assessment is consistent with the rules requirement. </w:t>
      </w:r>
      <w:r>
        <w:t>We consider</w:t>
      </w:r>
      <w:r w:rsidRPr="009F4EA4">
        <w:t xml:space="preserve"> it is difficult to account for the many uncertainties inherent in a process that requires judgement and assessment.</w:t>
      </w:r>
      <w:r>
        <w:t xml:space="preserve"> </w:t>
      </w:r>
      <w:r w:rsidRPr="00986B6E">
        <w:t>Our experience is that agreeing on averaging periods is not necessarily a straightforward exercise. This is because service providers have an incentive to dispute averaging periods when it is in their interests to do so. For example:</w:t>
      </w:r>
    </w:p>
    <w:p w:rsidR="007C2935" w:rsidRPr="00986B6E" w:rsidRDefault="007C2935" w:rsidP="007C2935">
      <w:pPr>
        <w:pStyle w:val="AERbulletlistfirststyle"/>
      </w:pPr>
      <w:r w:rsidRPr="00986B6E">
        <w:t>The NSW electricity distributors recently advocated using a long term historical averaging period for calculating the risk free rate for the return on equity. As an alternative option, they also proposed using a different short term averaging period to what we have proposed to them. The NSW electricity distributors also advocated using different averaging periods to calculate the return on debt by proposing an immediate transition to the trailing average.</w:t>
      </w:r>
      <w:r w:rsidRPr="00986B6E">
        <w:rPr>
          <w:rStyle w:val="FootnoteReference"/>
        </w:rPr>
        <w:footnoteReference w:id="1315"/>
      </w:r>
    </w:p>
    <w:p w:rsidR="007C2935" w:rsidRPr="00986B6E" w:rsidRDefault="007C2935" w:rsidP="007C2935">
      <w:pPr>
        <w:pStyle w:val="AERbulletlistfirststyle"/>
      </w:pPr>
      <w:r w:rsidRPr="00986B6E">
        <w:t>We have had decisions taken to the Tribunal and the Federal Court of Australia over the averaging period.</w:t>
      </w:r>
      <w:r w:rsidRPr="00986B6E">
        <w:rPr>
          <w:rStyle w:val="FootnoteReference"/>
        </w:rPr>
        <w:footnoteReference w:id="1316"/>
      </w:r>
    </w:p>
    <w:p w:rsidR="007C2935" w:rsidRPr="00986B6E" w:rsidRDefault="007C2935" w:rsidP="007C2935">
      <w:pPr>
        <w:pStyle w:val="AERbulletlistfirststyle"/>
      </w:pPr>
      <w:r w:rsidRPr="00986B6E">
        <w:t>The averaging period has been a contentious issue in a number of previous determination processes.</w:t>
      </w:r>
      <w:r w:rsidRPr="00986B6E">
        <w:rPr>
          <w:rStyle w:val="FootnoteReference"/>
        </w:rPr>
        <w:footnoteReference w:id="1317"/>
      </w:r>
      <w:r w:rsidRPr="00986B6E">
        <w:t xml:space="preserve"> </w:t>
      </w:r>
    </w:p>
    <w:p w:rsidR="007C2935" w:rsidRPr="007C2935" w:rsidRDefault="007C2935" w:rsidP="00284B88">
      <w:r w:rsidRPr="00986B6E">
        <w:t xml:space="preserve">Further, </w:t>
      </w:r>
      <w:r w:rsidRPr="007C2935">
        <w:t>the addition of an extra process each year to nominate averaging periods would add further complexity and costs to the administration of regulation. We consider:</w:t>
      </w:r>
    </w:p>
    <w:p w:rsidR="007C2935" w:rsidRDefault="007C2935" w:rsidP="007C2935">
      <w:pPr>
        <w:pStyle w:val="AERbulletlistfirststyle"/>
      </w:pPr>
      <w:r>
        <w:t>T</w:t>
      </w:r>
      <w:r w:rsidRPr="00897ABE">
        <w:t>he service providers proposal to annually nominate averaging periods could complicate the regulatory process. We are concerned that complicating the regulatory regime further could make the trailing average approach impractical to implement. We note that the trailing average approach originated with the UK regulator, Ofgem. Our understanding of Ofgem's approach is that it does not provide service providers with the flexibility to choose their own averaging periods. Instead, it appears that Ofgem uses a continuous data series to implement the trailing average approach.  Accordingly, the service providers' proposed implementation of the trailing average is more complex than our approach and considerably more complex than Ofgem's approach. We are not aware of any economic regulator that adopts a return on debt methodology as complex as what the service providers have proposed.</w:t>
      </w:r>
    </w:p>
    <w:p w:rsidR="007C2935" w:rsidRPr="00986B6E" w:rsidRDefault="007C2935" w:rsidP="007C2935">
      <w:pPr>
        <w:pStyle w:val="AERbulletlistfirststyle"/>
      </w:pPr>
      <w:r w:rsidRPr="00986B6E">
        <w:t xml:space="preserve">This complexity is amplified by </w:t>
      </w:r>
      <w:r>
        <w:t xml:space="preserve">potential </w:t>
      </w:r>
      <w:r w:rsidRPr="00986B6E">
        <w:t xml:space="preserve">differences between the annual processes </w:t>
      </w:r>
      <w:r>
        <w:t xml:space="preserve">that could be </w:t>
      </w:r>
      <w:r w:rsidRPr="00986B6E">
        <w:t>proposed by different service providers. For example</w:t>
      </w:r>
      <w:r>
        <w:t xml:space="preserve">, </w:t>
      </w:r>
      <w:r w:rsidRPr="00986B6E">
        <w:t>JEN's annual process requires nomination of an averaging period for regulatory year t at least 50 business days before the commencement of regulatory year t–1</w:t>
      </w:r>
      <w:r>
        <w:t>. However,</w:t>
      </w:r>
      <w:r w:rsidRPr="00986B6E">
        <w:t xml:space="preserve"> ActewAGL requires nomination by 30 April of regulatory year t–2.</w:t>
      </w:r>
      <w:r w:rsidRPr="00986B6E">
        <w:rPr>
          <w:rStyle w:val="FootnoteReference"/>
        </w:rPr>
        <w:footnoteReference w:id="1318"/>
      </w:r>
    </w:p>
    <w:p w:rsidR="007C2935" w:rsidRPr="00986B6E" w:rsidRDefault="007C2935" w:rsidP="007C2935">
      <w:r w:rsidRPr="00986B6E">
        <w:t>We may accept increased complexity where the benefits clearly outweigh the costs. For example, in the Guideline, we adopted annual updating to the return on debt and provided more flexibility over the averaging periods service providers could nominate (up to 12 months). While we recognised this would increase costs associated with complexity and the administration of regulation, we also considered the benefits would outweigh the costs.</w:t>
      </w:r>
      <w:r w:rsidRPr="00986B6E">
        <w:rPr>
          <w:rStyle w:val="FootnoteReference"/>
        </w:rPr>
        <w:footnoteReference w:id="1319"/>
      </w:r>
      <w:r w:rsidRPr="00986B6E">
        <w:t xml:space="preserve"> In contrast, based on the reasons provided by the service providers</w:t>
      </w:r>
      <w:r>
        <w:t xml:space="preserve"> in the original and revised proposals</w:t>
      </w:r>
      <w:r w:rsidRPr="00986B6E">
        <w:t>, we are not satisfied that there are benefits which outweigh the additional complexity resulting from the service providers' proposals</w:t>
      </w:r>
      <w:r>
        <w:t xml:space="preserve"> and revised proposals</w:t>
      </w:r>
      <w:r w:rsidRPr="00986B6E">
        <w:t>.</w:t>
      </w:r>
    </w:p>
    <w:p w:rsidR="007C2935" w:rsidRPr="00986B6E" w:rsidRDefault="007C2935" w:rsidP="007C2935">
      <w:r>
        <w:t xml:space="preserve">JEN and ActewAGL </w:t>
      </w:r>
      <w:r w:rsidRPr="00986B6E">
        <w:t xml:space="preserve">considered their approach was not overly complex and reduced risk. </w:t>
      </w:r>
      <w:r>
        <w:t>They</w:t>
      </w:r>
      <w:r w:rsidRPr="00986B6E">
        <w:t xml:space="preserve"> submitted that there is significant uncertainty around future spending and when refinancing will need to occur over the next regulatory period. They submitted that a benchmark efficient entity can better match its cash needs with funding if it can nominate the averaging period closer to when it raises or refinances debt because it can more accurately forecast its liquidity position.</w:t>
      </w:r>
      <w:r w:rsidRPr="00986B6E">
        <w:rPr>
          <w:rStyle w:val="FootnoteReference"/>
        </w:rPr>
        <w:footnoteReference w:id="1320"/>
      </w:r>
      <w:r w:rsidRPr="00986B6E">
        <w:t xml:space="preserve"> We consider the risks discussed in the service providers' </w:t>
      </w:r>
      <w:r>
        <w:t xml:space="preserve">initial and revised </w:t>
      </w:r>
      <w:r w:rsidRPr="00986B6E">
        <w:t>proposals have been overstated. We are not satisfied that nominating averaging periods before the regulatory period commences creates significant risk</w:t>
      </w:r>
      <w:r>
        <w:t xml:space="preserve"> or leads to a return on debt estimate that does not satisfy the ARORO </w:t>
      </w:r>
      <w:r w:rsidRPr="00986B6E">
        <w:t>. This is because:</w:t>
      </w:r>
    </w:p>
    <w:p w:rsidR="007C2935" w:rsidRDefault="007C2935" w:rsidP="003E2D23">
      <w:pPr>
        <w:pStyle w:val="AERbulletlistfirststyle"/>
      </w:pPr>
      <w:r>
        <w:t xml:space="preserve">Our objective in setting the allowed return on debt is to </w:t>
      </w:r>
      <w:r w:rsidR="003E2D23">
        <w:t>contribute to the achievement of</w:t>
      </w:r>
      <w:r>
        <w:t xml:space="preserve"> the ARORO. As set out in </w:t>
      </w:r>
      <w:r w:rsidR="000A799E">
        <w:t xml:space="preserve">sections </w:t>
      </w:r>
      <w:r w:rsidR="000A799E">
        <w:fldChar w:fldCharType="begin"/>
      </w:r>
      <w:r w:rsidR="000A799E">
        <w:instrText xml:space="preserve"> REF _Ref451543246 \r \h </w:instrText>
      </w:r>
      <w:r w:rsidR="000A799E">
        <w:fldChar w:fldCharType="separate"/>
      </w:r>
      <w:r w:rsidR="00BA2E8E">
        <w:t>3.3.3</w:t>
      </w:r>
      <w:r w:rsidR="000A799E">
        <w:fldChar w:fldCharType="end"/>
      </w:r>
      <w:r w:rsidR="000A799E">
        <w:t xml:space="preserve"> and </w:t>
      </w:r>
      <w:r w:rsidR="000A799E">
        <w:fldChar w:fldCharType="begin"/>
      </w:r>
      <w:r w:rsidR="000A799E">
        <w:instrText xml:space="preserve"> REF _Ref444778432 \r \h </w:instrText>
      </w:r>
      <w:r w:rsidR="000A799E">
        <w:fldChar w:fldCharType="separate"/>
      </w:r>
      <w:r w:rsidR="00BA2E8E">
        <w:t>H.2</w:t>
      </w:r>
      <w:r w:rsidR="000A799E">
        <w:fldChar w:fldCharType="end"/>
      </w:r>
      <w:r>
        <w:t xml:space="preserve">, we consider this requires us to set an allowed return on debt that provides ex-ante compensation for a benchmark efficient entity's efficient debt financing costs. We have regard to the desirability of reducing any mismatch between the return on debt allowance and a benchmark efficient entity's actual debt cost outcomes (or cash outflows). However, </w:t>
      </w:r>
      <w:r w:rsidRPr="00C53ACF">
        <w:t>some mismatch between the actual debt costs and the regulated debt allowance is an intrinsic part of incentive regulation―whether the allowance is set using a trailing average approach or otherwise.</w:t>
      </w:r>
      <w:r>
        <w:t xml:space="preserve"> </w:t>
      </w:r>
      <w:r w:rsidRPr="00986B6E">
        <w:t>The regulatory regime is not meant to remove all risk from service providers. This is why we provide an allowance for systematic risks (including but not limited to interest rate risk) through the allowed return on equity. Our regulatory approach enables service providers to match their cash inflows and outflows better than most businesses in the economy</w:t>
      </w:r>
      <w:r>
        <w:t>,</w:t>
      </w:r>
      <w:r w:rsidRPr="00986B6E">
        <w:t xml:space="preserve"> </w:t>
      </w:r>
      <w:r>
        <w:t>and t</w:t>
      </w:r>
      <w:r w:rsidRPr="00986B6E">
        <w:t>his position is supported by Chairmont.</w:t>
      </w:r>
      <w:r w:rsidRPr="00986B6E">
        <w:rPr>
          <w:rStyle w:val="FootnoteReference"/>
        </w:rPr>
        <w:footnoteReference w:id="1321"/>
      </w:r>
      <w:r w:rsidRPr="00986B6E">
        <w:t xml:space="preserve"> </w:t>
      </w:r>
      <w:r w:rsidR="003E2D23" w:rsidRPr="003E2D23">
        <w:t xml:space="preserve">Overall, to the extent there is </w:t>
      </w:r>
      <w:r w:rsidR="003E2D23">
        <w:t xml:space="preserve">compensable </w:t>
      </w:r>
      <w:r w:rsidR="003E2D23" w:rsidRPr="003E2D23">
        <w:t xml:space="preserve">risk from a mismatch, we consider it is appropriately compensated </w:t>
      </w:r>
      <w:r w:rsidR="003E2D23">
        <w:t>for ex-ante in</w:t>
      </w:r>
      <w:r w:rsidR="003E2D23" w:rsidRPr="003E2D23">
        <w:t xml:space="preserve"> our allowed rate of </w:t>
      </w:r>
      <w:r w:rsidR="003E2D23">
        <w:t xml:space="preserve">return, which we consider </w:t>
      </w:r>
      <w:r w:rsidR="003E2D23" w:rsidRPr="003E2D23">
        <w:t xml:space="preserve">will </w:t>
      </w:r>
      <w:r w:rsidR="003E2D23">
        <w:t>achieve</w:t>
      </w:r>
      <w:r w:rsidR="003E2D23" w:rsidRPr="003E2D23">
        <w:t xml:space="preserve"> the ARORO.</w:t>
      </w:r>
    </w:p>
    <w:p w:rsidR="007C2935" w:rsidRPr="00986B6E" w:rsidRDefault="007C2935" w:rsidP="007C2935">
      <w:pPr>
        <w:pStyle w:val="AERbulletlistfirststyle"/>
      </w:pPr>
      <w:r w:rsidRPr="00986B6E">
        <w:t xml:space="preserve">Under the trailing average approach, </w:t>
      </w:r>
      <w:r>
        <w:t>we reset</w:t>
      </w:r>
      <w:r w:rsidRPr="00487D60">
        <w:t xml:space="preserve"> one tenth of the return on debt </w:t>
      </w:r>
      <w:r>
        <w:t xml:space="preserve">each year </w:t>
      </w:r>
      <w:r w:rsidRPr="00487D60">
        <w:t xml:space="preserve">to reflect </w:t>
      </w:r>
      <w:r>
        <w:t xml:space="preserve">prevailing </w:t>
      </w:r>
      <w:r w:rsidRPr="00487D60">
        <w:t xml:space="preserve">market </w:t>
      </w:r>
      <w:r>
        <w:t>rates</w:t>
      </w:r>
      <w:r w:rsidRPr="00986B6E">
        <w:t xml:space="preserve">. </w:t>
      </w:r>
      <w:r>
        <w:t xml:space="preserve">We consider </w:t>
      </w:r>
      <w:r w:rsidRPr="00986B6E">
        <w:t>this</w:t>
      </w:r>
      <w:r w:rsidR="003E2D23">
        <w:t>, if anything, is likely to</w:t>
      </w:r>
      <w:r w:rsidRPr="00986B6E">
        <w:t xml:space="preserve"> reduce risk </w:t>
      </w:r>
      <w:r>
        <w:t>relative to the on-the-day approach (</w:t>
      </w:r>
      <w:r w:rsidRPr="00986B6E">
        <w:t xml:space="preserve">for </w:t>
      </w:r>
      <w:r>
        <w:t>a</w:t>
      </w:r>
      <w:r w:rsidRPr="00986B6E">
        <w:t xml:space="preserve"> benchmark efficient entity</w:t>
      </w:r>
      <w:r>
        <w:t>)</w:t>
      </w:r>
      <w:r w:rsidR="003E2D23">
        <w:t>.</w:t>
      </w:r>
      <w:r w:rsidRPr="00986B6E">
        <w:t xml:space="preserve"> This is because</w:t>
      </w:r>
      <w:r>
        <w:t>, relative to the on-the-day approach,</w:t>
      </w:r>
      <w:r w:rsidRPr="00986B6E">
        <w:t xml:space="preserve"> </w:t>
      </w:r>
      <w:r>
        <w:t xml:space="preserve">the trailing average approach is likely to reduce </w:t>
      </w:r>
      <w:r w:rsidRPr="00842C0D">
        <w:t xml:space="preserve">any mismatch between </w:t>
      </w:r>
      <w:r>
        <w:t xml:space="preserve">a benchmark efficient entity's </w:t>
      </w:r>
      <w:r w:rsidRPr="00842C0D">
        <w:t xml:space="preserve">actual </w:t>
      </w:r>
      <w:r>
        <w:t xml:space="preserve">debt </w:t>
      </w:r>
      <w:r w:rsidRPr="00842C0D">
        <w:t xml:space="preserve">costs and </w:t>
      </w:r>
      <w:r>
        <w:t>the allowed return on debt. Therefore,</w:t>
      </w:r>
      <w:r w:rsidRPr="00986B6E">
        <w:t xml:space="preserve"> the timing of the averaging period and the timing that </w:t>
      </w:r>
      <w:r>
        <w:t>a</w:t>
      </w:r>
      <w:r w:rsidRPr="00986B6E">
        <w:t xml:space="preserve"> benchmark efficient entity </w:t>
      </w:r>
      <w:r>
        <w:t xml:space="preserve">may </w:t>
      </w:r>
      <w:r w:rsidRPr="00986B6E">
        <w:t>raise debt is</w:t>
      </w:r>
      <w:r>
        <w:t xml:space="preserve"> likely to be</w:t>
      </w:r>
      <w:r w:rsidRPr="00986B6E">
        <w:t xml:space="preserve"> more closely aligned. </w:t>
      </w:r>
    </w:p>
    <w:p w:rsidR="007C2935" w:rsidRPr="00986B6E" w:rsidRDefault="007C2935" w:rsidP="007C2935">
      <w:pPr>
        <w:pStyle w:val="AERbulletlistfirststyle"/>
      </w:pPr>
      <w:r w:rsidRPr="00986B6E">
        <w:t>We allow service providers to nominate annual averaging periods up to a maximum of 12 months in length.</w:t>
      </w:r>
      <w:r w:rsidRPr="00986B6E">
        <w:rPr>
          <w:rStyle w:val="FootnoteReference"/>
        </w:rPr>
        <w:footnoteReference w:id="1322"/>
      </w:r>
      <w:r w:rsidRPr="00986B6E">
        <w:t xml:space="preserve"> Given this, if service providers chose to, they could create the situation where they could issue debt whenever they wanted and have this fall inside their nominated averaging period.</w:t>
      </w:r>
      <w:r w:rsidRPr="00986B6E">
        <w:rPr>
          <w:rStyle w:val="FootnoteReference"/>
        </w:rPr>
        <w:footnoteReference w:id="1323"/>
      </w:r>
      <w:r w:rsidRPr="00986B6E">
        <w:t xml:space="preserve"> </w:t>
      </w:r>
    </w:p>
    <w:p w:rsidR="007C2935" w:rsidRPr="007C2935" w:rsidRDefault="007C2935" w:rsidP="00284B88">
      <w:pPr>
        <w:pStyle w:val="AERbulletlistfirststyle"/>
      </w:pPr>
      <w:r w:rsidRPr="00986B6E">
        <w:t>Most service providers currently under review have nominated averaging periods for all regulatory years in their proposals. We do not consider this is consistent with the other service providers' submissions that nominating averaging periods before the regulatory period commences creates significant risk.</w:t>
      </w:r>
    </w:p>
    <w:p w:rsidR="007C2935" w:rsidRPr="00D34FDC" w:rsidRDefault="007C2935" w:rsidP="00284B88">
      <w:pPr>
        <w:pStyle w:val="HeadingBoldBlue"/>
      </w:pPr>
      <w:r w:rsidRPr="00D34FDC">
        <w:t>Separate averaging periods for the DRP and base rate</w:t>
      </w:r>
    </w:p>
    <w:p w:rsidR="007C2935" w:rsidRDefault="007C2935" w:rsidP="007C2935">
      <w:r>
        <w:t>Australian Gas Networks (AGN)</w:t>
      </w:r>
      <w:r w:rsidRPr="00256226">
        <w:t xml:space="preserve"> proposed</w:t>
      </w:r>
      <w:r>
        <w:t>, in its initial and revised proposal,</w:t>
      </w:r>
      <w:r w:rsidRPr="00256226">
        <w:t xml:space="preserve"> </w:t>
      </w:r>
      <w:r w:rsidRPr="002605D5">
        <w:t>separate averaging periods for the base rate and DRP components of the return on debt</w:t>
      </w:r>
      <w:r>
        <w:t>.</w:t>
      </w:r>
      <w:r>
        <w:rPr>
          <w:rStyle w:val="FootnoteReference"/>
        </w:rPr>
        <w:footnoteReference w:id="1324"/>
      </w:r>
      <w:r>
        <w:t xml:space="preserve"> To support its position, it submitted two reports by CEG, one in 2015 with its initial proposal, and one in 2016 with its revised proposal.</w:t>
      </w:r>
      <w:r>
        <w:rPr>
          <w:rStyle w:val="FootnoteReference"/>
        </w:rPr>
        <w:footnoteReference w:id="1325"/>
      </w:r>
      <w:r>
        <w:t xml:space="preserve"> AGN was the only service provider to propose this approach. </w:t>
      </w:r>
    </w:p>
    <w:p w:rsidR="007C2935" w:rsidRDefault="007C2935" w:rsidP="007C2935">
      <w:r>
        <w:t xml:space="preserve">AGN (and CEG) considered that this </w:t>
      </w:r>
      <w:r w:rsidRPr="009A6B2B">
        <w:t>reduces the risk of mismatch between the efficient financing costs of a benchmark efficient entity and the allowed return on debt</w:t>
      </w:r>
      <w:r>
        <w:t>.</w:t>
      </w:r>
      <w:r>
        <w:rPr>
          <w:rStyle w:val="FootnoteReference"/>
        </w:rPr>
        <w:footnoteReference w:id="1326"/>
      </w:r>
      <w:r>
        <w:t xml:space="preserve"> AGN (and CEG) submitted that using a longer averaging period for the DRP and a shorter averaging period for the base rate is consistent with an efficient debt management strategy where:</w:t>
      </w:r>
    </w:p>
    <w:p w:rsidR="007C2935" w:rsidRDefault="007C2935" w:rsidP="007C2935">
      <w:pPr>
        <w:pStyle w:val="AERbulletlistfirststyle"/>
      </w:pPr>
      <w:r>
        <w:t>debt issuance cannot be easily managed to short windows each year</w:t>
      </w:r>
    </w:p>
    <w:p w:rsidR="007C2935" w:rsidRDefault="007C2935" w:rsidP="007C2935">
      <w:pPr>
        <w:pStyle w:val="AERbulletlistfirststyle"/>
      </w:pPr>
      <w:r>
        <w:t>swap contracts, being more flexible and liquid, can be used to manage base rates of interest to short windows each year.</w:t>
      </w:r>
    </w:p>
    <w:p w:rsidR="007C2935" w:rsidRDefault="007C2935" w:rsidP="007C2935">
      <w:r>
        <w:t>We did not consider the possibility of separating debt averaging periods in the Guideline. Our decision is that debt averaging periods should not be separated into DRP and base rate components, consistent with our draft decision for AGN.</w:t>
      </w:r>
      <w:r>
        <w:rPr>
          <w:rStyle w:val="FootnoteReference"/>
        </w:rPr>
        <w:footnoteReference w:id="1327"/>
      </w:r>
      <w:r>
        <w:t xml:space="preserve"> We have considered AGN's revised proposal and CEG's latest report, and maintain our position. We consider:</w:t>
      </w:r>
    </w:p>
    <w:p w:rsidR="007C2935" w:rsidRPr="007C2935" w:rsidRDefault="007C2935" w:rsidP="00284B88">
      <w:pPr>
        <w:pStyle w:val="AERbulletlistfirststyle"/>
      </w:pPr>
      <w:r>
        <w:t>As set out under 'Annual process for nominating debt averaging periods' above, o</w:t>
      </w:r>
      <w:r w:rsidRPr="007C2935">
        <w:t>ur objective in setting the allowed return on debt is to satisfy the ARORO. We do not consider the ARORO requires us to set a return on debt that precisely matches the debt cash outflows from a particular debt financing strategy.</w:t>
      </w:r>
      <w:r w:rsidRPr="007C2935">
        <w:rPr>
          <w:rStyle w:val="FootnoteReference"/>
        </w:rPr>
        <w:footnoteReference w:id="1328"/>
      </w:r>
      <w:r w:rsidRPr="007C2935">
        <w:t xml:space="preserve"> We also do not consider it is possible or desirable to define a benchmark efficient financing strategy to the level of detail in AGN's proposals. Partington and Satchell recommended against interpreting efficient debt financing costs as the debt costs that result from an assumed financing strategy (including particular hedging arrangements). In particular, they consider what constitutes benchmark efficient financing practices is ambiguous and differs across firms depending on their objectives and circumstances.</w:t>
      </w:r>
      <w:r w:rsidRPr="007C2935">
        <w:rPr>
          <w:rStyle w:val="FootnoteReference"/>
        </w:rPr>
        <w:footnoteReference w:id="1329"/>
      </w:r>
    </w:p>
    <w:p w:rsidR="007C2935" w:rsidRPr="007C2935" w:rsidRDefault="007C2935" w:rsidP="00284B88">
      <w:pPr>
        <w:pStyle w:val="AERbulletlistfirststyle"/>
      </w:pPr>
      <w:r>
        <w:t>As set out under 'Annual process</w:t>
      </w:r>
      <w:r w:rsidRPr="007C2935">
        <w:t xml:space="preserve"> for nominating debt averaging periods' above, we have regard to the desirability of reducing any mismatch between the return on debt allowance and a benchmark efficient entity's actual debt cost outcomes (or cash outflows).</w:t>
      </w:r>
      <w:r w:rsidRPr="007C2935">
        <w:rPr>
          <w:rStyle w:val="FootnoteReference"/>
        </w:rPr>
        <w:footnoteReference w:id="1330"/>
      </w:r>
      <w:r w:rsidRPr="007C2935">
        <w:t xml:space="preserve"> However, we consider the regulatory regime is not meant to remove all risk from service providers.</w:t>
      </w:r>
      <w:r w:rsidR="003E2D23">
        <w:t xml:space="preserve"> We also consider our allowed return on debt contributes to the achievement of the ARORO.</w:t>
      </w:r>
    </w:p>
    <w:p w:rsidR="007C2935" w:rsidRPr="007C2935" w:rsidRDefault="007C2935" w:rsidP="00284B88">
      <w:pPr>
        <w:pStyle w:val="AERbulletlistfirststyle"/>
      </w:pPr>
      <w:r>
        <w:t xml:space="preserve">AGN (or CEG) has </w:t>
      </w:r>
      <w:r w:rsidRPr="007C2935">
        <w:t>not demonstrated its proposed approach leads to a materially preferable outcome, particularly given our approach allows it to nominate a single averaging period up to 12 months in length.</w:t>
      </w:r>
      <w:r w:rsidRPr="007C2935">
        <w:rPr>
          <w:rStyle w:val="FootnoteReference"/>
        </w:rPr>
        <w:footnoteReference w:id="1331"/>
      </w:r>
      <w:r w:rsidRPr="007C2935">
        <w:t xml:space="preserve"> We consider if service providers prefer to reduce the volatility in their DRP compensation, they can do so by nominating a single long averaging period.  </w:t>
      </w:r>
    </w:p>
    <w:p w:rsidR="007C2935" w:rsidRPr="007C2935" w:rsidRDefault="007C2935" w:rsidP="00284B88">
      <w:pPr>
        <w:pStyle w:val="AERbulletlistfirststyle"/>
      </w:pPr>
      <w:r>
        <w:t>AGN's proposed</w:t>
      </w:r>
      <w:r w:rsidRPr="007C2935">
        <w:t xml:space="preserve"> approach adds further complexity and costs to the administration of regulation. We are not satisfied that AGN has identified there are benefits which outweigh the additional complexity resulting from this approach. We maintain this view after consideration of CEG's (and AGN's) submission that AGN's proposal is not complex.</w:t>
      </w:r>
      <w:r w:rsidRPr="007C2935">
        <w:rPr>
          <w:rStyle w:val="FootnoteReference"/>
        </w:rPr>
        <w:footnoteReference w:id="1332"/>
      </w:r>
      <w:r w:rsidRPr="007C2935">
        <w:t xml:space="preserve"> We consider AGN's proposed approach adds unjustified complexity to the return on debt process, regardless of the computational intensity associated with implementing it. We are satisfied that using a single averaging period (that is consistent with the Guideline conditions) to estimate the return on debt each year satisfies the rules. This contributes to the achievement of the allowed rate of return objective. </w:t>
      </w:r>
    </w:p>
    <w:p w:rsidR="007C2935" w:rsidRPr="007C2935" w:rsidRDefault="007C2935" w:rsidP="00284B88">
      <w:pPr>
        <w:pStyle w:val="AERbulletlistfirststyle"/>
      </w:pPr>
      <w:r w:rsidRPr="00CD2EDB">
        <w:t xml:space="preserve">AGN's </w:t>
      </w:r>
      <w:r w:rsidRPr="007C2935">
        <w:t>proposed approach has similarities with other service providers' proposals to adopt an annual process for nominating averaging periods. Namely, we consider it increases complexity and overstates the risks in our approach.  Therefore, similar reasoning applies to AGN's proposal as that outlined under 'Annual process for nominating debt averaging periods' above. We are satisfied that our approach, which includes the nomination of single averaging periods, provides an appropriate balance between flexibility and certainty.</w:t>
      </w:r>
    </w:p>
    <w:p w:rsidR="007C2935" w:rsidRPr="007C2935" w:rsidRDefault="007C2935" w:rsidP="00284B88">
      <w:pPr>
        <w:pStyle w:val="AERbulletlistfirststyle"/>
      </w:pPr>
      <w:r>
        <w:t>We discussed CEG's submission that the prevailing DRP and base rates of interest are inversely correlated in appendix G of our draft decision for AGN.</w:t>
      </w:r>
      <w:r>
        <w:rPr>
          <w:rStyle w:val="FootnoteReference"/>
        </w:rPr>
        <w:footnoteReference w:id="1333"/>
      </w:r>
      <w:r>
        <w:t xml:space="preserve"> Given AGN (or CEG) has not responded to this point and we do not base our return on debt on a particular financing strategy, we do not reproduce this material in this decision.</w:t>
      </w:r>
    </w:p>
    <w:p w:rsidR="007C2935" w:rsidRPr="00D34FDC" w:rsidRDefault="007C2935" w:rsidP="00284B88">
      <w:pPr>
        <w:pStyle w:val="HeadingBoldBlue"/>
      </w:pPr>
      <w:r w:rsidRPr="00D34FDC">
        <w:t>Guideline condition—as close as practically possible to the commencement of each regulatory year</w:t>
      </w:r>
    </w:p>
    <w:p w:rsidR="007C2935" w:rsidRPr="00986B6E" w:rsidRDefault="007C2935" w:rsidP="007C2935">
      <w:r>
        <w:t xml:space="preserve">In its initial proposal, </w:t>
      </w:r>
      <w:r w:rsidRPr="00986B6E">
        <w:t>AusNet</w:t>
      </w:r>
      <w:r>
        <w:t xml:space="preserve"> Services (AusNet)</w:t>
      </w:r>
      <w:r w:rsidRPr="00986B6E">
        <w:t xml:space="preserve"> proposed to depart from the Guideline in relation to nominating averaging periods that are as close as practical to the commencement of each regulatory year in a regulatory period (the 'Guideline condition').</w:t>
      </w:r>
      <w:r w:rsidRPr="00986B6E">
        <w:rPr>
          <w:rStyle w:val="FootnoteReference"/>
        </w:rPr>
        <w:footnoteReference w:id="1334"/>
      </w:r>
      <w:r w:rsidRPr="00986B6E">
        <w:t xml:space="preserve"> Instead, AusNet proposed to nominate averaging periods in the early, middle or late part of each relevant year. </w:t>
      </w:r>
      <w:r>
        <w:t>AusNet has maintained this position in its revised proposal.</w:t>
      </w:r>
      <w:r>
        <w:rPr>
          <w:rStyle w:val="FootnoteReference"/>
        </w:rPr>
        <w:footnoteReference w:id="1335"/>
      </w:r>
    </w:p>
    <w:p w:rsidR="007C2935" w:rsidRPr="00986B6E" w:rsidRDefault="007C2935" w:rsidP="007C2935">
      <w:r w:rsidRPr="00986B6E">
        <w:t xml:space="preserve">The service providers who </w:t>
      </w:r>
      <w:r>
        <w:t xml:space="preserve">originally </w:t>
      </w:r>
      <w:r w:rsidRPr="00986B6E">
        <w:t xml:space="preserve">proposed an annual process to nominating their averaging periods also implicitly departed from this Guideline condition. </w:t>
      </w:r>
      <w:r>
        <w:t xml:space="preserve">JEN and ActewAGL continue to implicitly depart from this Guideline condition in their revised proposals. </w:t>
      </w:r>
      <w:r w:rsidRPr="00986B6E">
        <w:t xml:space="preserve">This is because </w:t>
      </w:r>
      <w:r>
        <w:t>all of these proposals</w:t>
      </w:r>
      <w:r w:rsidRPr="00986B6E">
        <w:t xml:space="preserve"> specif</w:t>
      </w:r>
      <w:r>
        <w:t>ied</w:t>
      </w:r>
      <w:r w:rsidRPr="00986B6E">
        <w:t xml:space="preserve"> a timeframe (of up to 12 months) within which they can nominate an averaging period for each regulatory year t.</w:t>
      </w:r>
      <w:r w:rsidRPr="00986B6E">
        <w:rPr>
          <w:rStyle w:val="FootnoteReference"/>
        </w:rPr>
        <w:footnoteReference w:id="1336"/>
      </w:r>
      <w:r w:rsidRPr="00986B6E">
        <w:t xml:space="preserve"> While these timeframes end close to the commencement of each regulatory year t, there are no conditions in the process which specify that the nominated averaging periods must fall at the end of the timeframe.</w:t>
      </w:r>
      <w:r>
        <w:t xml:space="preserve"> </w:t>
      </w:r>
    </w:p>
    <w:p w:rsidR="007C2935" w:rsidRPr="00986B6E" w:rsidRDefault="007C2935" w:rsidP="007C2935">
      <w:r>
        <w:t>In this decision w</w:t>
      </w:r>
      <w:r w:rsidRPr="00986B6E">
        <w:t xml:space="preserve">e have assessed AusNet's submission and accept this departure from the Guideline condition. </w:t>
      </w:r>
      <w:r>
        <w:t>This is consistent with our preliminary decision for AusNet.</w:t>
      </w:r>
      <w:r>
        <w:rPr>
          <w:rStyle w:val="FootnoteReference"/>
        </w:rPr>
        <w:footnoteReference w:id="1337"/>
      </w:r>
      <w:r>
        <w:t xml:space="preserve"> We also accept the other service providers' departure from this Guideline condition. </w:t>
      </w:r>
      <w:r w:rsidRPr="00986B6E">
        <w:t>We consider allowing averaging periods to occur anytime within a reasonable timeframe (of 12 months) is consistent with a return on debt averaging period that satisfies the rules. This contributes to the achievement of the allowed rate of return objective. Our decision is based on the following reasoning:</w:t>
      </w:r>
    </w:p>
    <w:p w:rsidR="007C2935" w:rsidRPr="00986B6E" w:rsidRDefault="007C2935" w:rsidP="007C2935">
      <w:pPr>
        <w:pStyle w:val="AERbulletlistfirststyle"/>
      </w:pPr>
      <w:r w:rsidRPr="00986B6E">
        <w:t>The Guideline approach to estimating the return on debt is significantly different to the previous approach under the old rules. Under the old rules (on-the-day approach), the return on debt was estimated once for the entire regulatory period. Therefore, the return on debt of a service provider was estimated as the prevailing return on debt as close as possible to the start of the regulatory period.</w:t>
      </w:r>
      <w:r w:rsidRPr="00986B6E">
        <w:rPr>
          <w:rStyle w:val="FootnoteReference"/>
        </w:rPr>
        <w:footnoteReference w:id="1338"/>
      </w:r>
      <w:r w:rsidRPr="00986B6E">
        <w:t xml:space="preserve"> The same averaging periods was also used for both return on equity and return on debt. Under this approach, </w:t>
      </w:r>
      <w:r>
        <w:t>the</w:t>
      </w:r>
      <w:r w:rsidRPr="00986B6E">
        <w:t xml:space="preserve"> averaging period </w:t>
      </w:r>
      <w:r>
        <w:t xml:space="preserve">should </w:t>
      </w:r>
      <w:r w:rsidRPr="00986B6E">
        <w:t>to be as close as practically possible to the commencement of the regulatory period. We continue to hold this position for the return on equity averaging period. However, under the new rules we have proposed and adopted a trailing average approach with annual updates.</w:t>
      </w:r>
      <w:r w:rsidRPr="00986B6E">
        <w:rPr>
          <w:rStyle w:val="FootnoteReference"/>
        </w:rPr>
        <w:footnoteReference w:id="1339"/>
      </w:r>
      <w:r w:rsidRPr="00986B6E">
        <w:t xml:space="preserve"> This estimates the return on debt as a weighted average of the total return on debt over a period (10 years) spanning up to the start of the regulatory period (or regulatory year).</w:t>
      </w:r>
      <w:r w:rsidRPr="00986B6E">
        <w:rPr>
          <w:rStyle w:val="FootnoteReference"/>
        </w:rPr>
        <w:footnoteReference w:id="1340"/>
      </w:r>
      <w:r w:rsidRPr="00986B6E">
        <w:t xml:space="preserve"> Under this approach, we consider it is less important for the debt averaging periods to be as close as practically possible to the commencement of each regulatory year in the regulatory period. This is because the return on debt is updated each year, and because a different (or potentially different) averaging period is now used for the return on equity and return on debt.</w:t>
      </w:r>
    </w:p>
    <w:p w:rsidR="007C2935" w:rsidRPr="00986B6E" w:rsidRDefault="007C2935" w:rsidP="007C2935">
      <w:pPr>
        <w:pStyle w:val="AERbulletlistfirststyle"/>
      </w:pPr>
      <w:r w:rsidRPr="00986B6E">
        <w:t xml:space="preserve">Relaxing the Guideline condition gives service providers more flexibility in nominating averaging periods without adding significant complexity. </w:t>
      </w:r>
      <w:r>
        <w:t xml:space="preserve">In its initial proposal, </w:t>
      </w:r>
      <w:r w:rsidRPr="00986B6E">
        <w:t>AusNet submitted:</w:t>
      </w:r>
      <w:r w:rsidRPr="00986B6E">
        <w:rPr>
          <w:rStyle w:val="FootnoteReference"/>
        </w:rPr>
        <w:footnoteReference w:id="1341"/>
      </w:r>
    </w:p>
    <w:p w:rsidR="007C2935" w:rsidRPr="00986B6E" w:rsidRDefault="007C2935" w:rsidP="007C2935">
      <w:pPr>
        <w:pStyle w:val="AERquote"/>
      </w:pPr>
      <w:r w:rsidRPr="00986B6E">
        <w:t>…to align actual debt practices with the trailing average approach, it is necessary to align the timing of debt issuance with the timing of the averaging periods used to estimate the regulated return on debt.</w:t>
      </w:r>
    </w:p>
    <w:p w:rsidR="00B42AC6" w:rsidRDefault="007C2935" w:rsidP="00284B88">
      <w:pPr>
        <w:pStyle w:val="ListContinue"/>
      </w:pPr>
      <w:r w:rsidRPr="00986B6E">
        <w:t>We do not agree that our task is to align actual debt practices with the trailing average approach</w:t>
      </w:r>
      <w:r>
        <w:t>.</w:t>
      </w:r>
      <w:r w:rsidRPr="00986B6E">
        <w:t xml:space="preserve"> </w:t>
      </w:r>
      <w:r>
        <w:t>This is because</w:t>
      </w:r>
      <w:r w:rsidRPr="00986B6E">
        <w:t xml:space="preserve"> we are estimating the return on debt </w:t>
      </w:r>
      <w:r>
        <w:t>for</w:t>
      </w:r>
      <w:r w:rsidRPr="00986B6E">
        <w:t xml:space="preserve"> a benchmark efficient entity</w:t>
      </w:r>
      <w:r>
        <w:t xml:space="preserve"> and consider the ARORO requires us to set ex-ante compensation for efficient financing costs</w:t>
      </w:r>
      <w:r w:rsidRPr="00986B6E">
        <w:t>. We are aware of the rules requirement to have regard to the desirability of minimising any difference between the return on debt and the return on debt of a benchmark efficient entity</w:t>
      </w:r>
      <w:r>
        <w:t xml:space="preserve"> (although we do not consider this permits us to set a return on debt that does not satisfy the ARORO)</w:t>
      </w:r>
      <w:r w:rsidRPr="00986B6E">
        <w:t>.</w:t>
      </w:r>
      <w:r w:rsidRPr="00986B6E">
        <w:rPr>
          <w:rStyle w:val="FootnoteReference"/>
        </w:rPr>
        <w:footnoteReference w:id="1342"/>
      </w:r>
      <w:r w:rsidRPr="00986B6E">
        <w:t xml:space="preserve"> We are also aware of the service providers' proposals, which generally advocate for more flexibility in the return on debt estimation process. While we do not agree with many of the service providers' proposed methods to increase flexibility (see above), we consider this decision allows greater flexibility with very little additional complexity of process.</w:t>
      </w:r>
    </w:p>
    <w:p w:rsidR="00B42AC6" w:rsidRDefault="00B42AC6" w:rsidP="00B42AC6">
      <w:pPr>
        <w:pStyle w:val="Heading7"/>
      </w:pPr>
      <w:bookmarkStart w:id="389" w:name="_Ref451265888"/>
      <w:bookmarkStart w:id="390" w:name="_Ref451265966"/>
      <w:bookmarkStart w:id="391" w:name="_Toc451678700"/>
      <w:r>
        <w:t>Methodology to annual update the return on debt</w:t>
      </w:r>
      <w:bookmarkEnd w:id="389"/>
      <w:bookmarkEnd w:id="390"/>
      <w:bookmarkEnd w:id="391"/>
    </w:p>
    <w:p w:rsidR="00AA4D01" w:rsidRPr="00FB18DC" w:rsidRDefault="00AA4D01" w:rsidP="00AA4D01">
      <w:pPr>
        <w:pStyle w:val="ListParagraph"/>
        <w:numPr>
          <w:ilvl w:val="0"/>
          <w:numId w:val="24"/>
        </w:numPr>
      </w:pPr>
      <w:r w:rsidRPr="00FB18DC">
        <w:t>Our decision on the return on debt approach is to:</w:t>
      </w:r>
    </w:p>
    <w:p w:rsidR="00AA4D01" w:rsidRPr="00FB18DC" w:rsidRDefault="00AA4D01" w:rsidP="00AA4D01">
      <w:pPr>
        <w:pStyle w:val="AERbulletlistfirststyle"/>
      </w:pPr>
      <w:r w:rsidRPr="00FB18DC">
        <w:t>estimate the return on debt using an on-the-day rate (that is, based on prevailing market conditions) in the first regulatory year (2016) of the 2016–20 period, and</w:t>
      </w:r>
    </w:p>
    <w:p w:rsidR="00AA4D01" w:rsidRPr="00A42A22" w:rsidRDefault="00AA4D01" w:rsidP="00AA4D01">
      <w:pPr>
        <w:pStyle w:val="AERbulletlistfirststyle"/>
      </w:pPr>
      <w:r w:rsidRPr="00FB18DC">
        <w:t>gradually transition this rate into a trailing average approach (that is, a moving historical average) over 10 years.</w:t>
      </w:r>
      <w:r w:rsidRPr="00A42A22">
        <w:rPr>
          <w:rStyle w:val="FootnoteReference"/>
        </w:rPr>
        <w:footnoteReference w:id="1343"/>
      </w:r>
    </w:p>
    <w:p w:rsidR="00AA4D01" w:rsidRPr="00FB18DC" w:rsidRDefault="00AA4D01" w:rsidP="00AA4D01">
      <w:r w:rsidRPr="00FB18DC">
        <w:t>Because our return on debt approach involves annual updates to the return on debt, this means that the return on debt will be, or potentially will be, different for different regulatory years in the regulatory control period.</w:t>
      </w:r>
      <w:r w:rsidRPr="00FB18DC">
        <w:rPr>
          <w:rStyle w:val="FootnoteReference"/>
        </w:rPr>
        <w:footnoteReference w:id="1344"/>
      </w:r>
      <w:r w:rsidRPr="00FB18DC">
        <w:t xml:space="preserve"> The rules require that the resulting change to </w:t>
      </w:r>
      <w:r w:rsidR="00FE3907">
        <w:t>CitiPower’s</w:t>
      </w:r>
      <w:r w:rsidRPr="00FB18DC">
        <w:t xml:space="preserve"> annual building block revenue requirement is to be effected through a formula specified in the distribution determination.</w:t>
      </w:r>
      <w:r w:rsidRPr="00FB18DC">
        <w:rPr>
          <w:rStyle w:val="FootnoteReference"/>
        </w:rPr>
        <w:footnoteReference w:id="1345"/>
      </w:r>
      <w:r w:rsidRPr="00FB18DC">
        <w:t xml:space="preserve"> For the purposes of clause 6.5.2(L) our final decision is that the resulting change to </w:t>
      </w:r>
      <w:r w:rsidR="001355DE">
        <w:t>CitiPower's</w:t>
      </w:r>
      <w:r w:rsidRPr="00FB18DC">
        <w:t xml:space="preserve"> annual building block revenue requirement is to be effected through:</w:t>
      </w:r>
    </w:p>
    <w:p w:rsidR="00AA4D01" w:rsidRPr="00FB18DC" w:rsidRDefault="00AA4D01" w:rsidP="00AA4D01">
      <w:pPr>
        <w:pStyle w:val="AERbulletlistfirststyle"/>
      </w:pPr>
      <w:r w:rsidRPr="00FB18DC">
        <w:t>the automatic application of the return on debt methodo</w:t>
      </w:r>
      <w:r>
        <w:t>logy specified in this appendix</w:t>
      </w:r>
    </w:p>
    <w:p w:rsidR="00AA4D01" w:rsidRPr="00FB18DC" w:rsidRDefault="00AA4D01" w:rsidP="00AA4D01">
      <w:pPr>
        <w:pStyle w:val="AERbulletlistfirststyle"/>
      </w:pPr>
      <w:r w:rsidRPr="00FB18DC">
        <w:t xml:space="preserve">using the return on debt averaging periods specified in confidential appendix </w:t>
      </w:r>
      <w:r w:rsidR="00E84313">
        <w:fldChar w:fldCharType="begin"/>
      </w:r>
      <w:r w:rsidR="00E84313">
        <w:instrText xml:space="preserve"> REF _Ref451266125 \r \h </w:instrText>
      </w:r>
      <w:r w:rsidR="00E84313">
        <w:fldChar w:fldCharType="separate"/>
      </w:r>
      <w:r w:rsidR="00E84313">
        <w:t>L</w:t>
      </w:r>
      <w:r w:rsidR="00E84313">
        <w:fldChar w:fldCharType="end"/>
      </w:r>
      <w:r w:rsidRPr="00FB18DC">
        <w:t>, and</w:t>
      </w:r>
    </w:p>
    <w:p w:rsidR="00AA4D01" w:rsidRPr="00A42A22" w:rsidRDefault="00AA4D01" w:rsidP="00AA4D01">
      <w:pPr>
        <w:pStyle w:val="AERbulletlistfirststyle"/>
      </w:pPr>
      <w:r w:rsidRPr="00FB18DC">
        <w:t xml:space="preserve">implemented using </w:t>
      </w:r>
      <w:r w:rsidR="001355DE">
        <w:t>CitiPower's</w:t>
      </w:r>
      <w:r w:rsidRPr="00FB18DC">
        <w:t xml:space="preserve"> final determination post-tax revenue model (PTRM) in accordance with section 3 of the AER's PTRM handbook for distribution network service providers.</w:t>
      </w:r>
      <w:r w:rsidRPr="00A42A22">
        <w:rPr>
          <w:rStyle w:val="FootnoteReference"/>
        </w:rPr>
        <w:footnoteReference w:id="1346"/>
      </w:r>
    </w:p>
    <w:p w:rsidR="00AA4D01" w:rsidRPr="00FB18DC" w:rsidRDefault="00AA4D01" w:rsidP="00AA4D01">
      <w:r w:rsidRPr="00FB18DC">
        <w:t>The return on debt methodology in this appendix specifies our final decision:</w:t>
      </w:r>
    </w:p>
    <w:p w:rsidR="00AA4D01" w:rsidRPr="00FB18DC" w:rsidRDefault="00AA4D01" w:rsidP="00AA4D01">
      <w:pPr>
        <w:pStyle w:val="AERbulletlistfirststyle"/>
      </w:pPr>
      <w:r w:rsidRPr="00FB18DC">
        <w:t>methodology on the return on debt approach, and</w:t>
      </w:r>
    </w:p>
    <w:p w:rsidR="00AA4D01" w:rsidRPr="00FB18DC" w:rsidRDefault="00AA4D01" w:rsidP="00AA4D01">
      <w:pPr>
        <w:pStyle w:val="AERbulletlistfirststyle"/>
      </w:pPr>
      <w:r w:rsidRPr="00FB18DC">
        <w:t>methodology to implement the return on debt approach</w:t>
      </w:r>
    </w:p>
    <w:p w:rsidR="00AA4D01" w:rsidRPr="00AA4D01" w:rsidRDefault="00AA4D01" w:rsidP="007114CA">
      <w:pPr>
        <w:pStyle w:val="Heading8"/>
        <w:numPr>
          <w:ilvl w:val="1"/>
          <w:numId w:val="52"/>
        </w:numPr>
      </w:pPr>
      <w:bookmarkStart w:id="392" w:name="_Toc433457165"/>
      <w:bookmarkStart w:id="393" w:name="_Toc450916269"/>
      <w:bookmarkStart w:id="394" w:name="_Toc451678701"/>
      <w:r w:rsidRPr="00FB18DC">
        <w:t>Approach to estimating the return on debt</w:t>
      </w:r>
      <w:bookmarkEnd w:id="392"/>
      <w:bookmarkEnd w:id="393"/>
      <w:bookmarkEnd w:id="394"/>
    </w:p>
    <w:p w:rsidR="00AA4D01" w:rsidRPr="00FB18DC" w:rsidRDefault="00AA4D01" w:rsidP="00AA4D01">
      <w:pPr>
        <w:numPr>
          <w:ilvl w:val="0"/>
          <w:numId w:val="24"/>
        </w:numPr>
      </w:pPr>
      <w:r w:rsidRPr="00FB18DC">
        <w:t>This section sets out our final decision methodology on the return on debt approach. Below we specify the allowed return on debt formulae for each year of the 10 year transition path. In each formula:</w:t>
      </w:r>
    </w:p>
    <w:p w:rsidR="00AA4D01" w:rsidRPr="00FB18DC" w:rsidRDefault="0091035C" w:rsidP="00AA4D01">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AA4D01" w:rsidRPr="00FB18DC">
        <w:t xml:space="preserve"> corresponds to the estimated return on debt that was entered into in year a and matures in year a+10–which is to be calculated using the return on debt implementation methodology in section </w:t>
      </w:r>
      <w:r w:rsidR="00E84313">
        <w:fldChar w:fldCharType="begin"/>
      </w:r>
      <w:r w:rsidR="00E84313">
        <w:instrText xml:space="preserve"> REF _Ref451901319 \r \h </w:instrText>
      </w:r>
      <w:r w:rsidR="00E84313">
        <w:fldChar w:fldCharType="separate"/>
      </w:r>
      <w:r w:rsidR="00E84313">
        <w:t>J.2</w:t>
      </w:r>
      <w:r w:rsidR="00E84313">
        <w:fldChar w:fldCharType="end"/>
      </w:r>
      <w:r w:rsidR="00AA4D01" w:rsidRPr="00FB18DC">
        <w:t xml:space="preserve"> and the service provider's return on debt averaging periods specified in confidential appendix </w:t>
      </w:r>
      <w:r w:rsidR="00E84313">
        <w:fldChar w:fldCharType="begin"/>
      </w:r>
      <w:r w:rsidR="00E84313">
        <w:instrText xml:space="preserve"> REF _Ref451266125 \r \h </w:instrText>
      </w:r>
      <w:r w:rsidR="00E84313">
        <w:fldChar w:fldCharType="separate"/>
      </w:r>
      <w:r w:rsidR="00E84313">
        <w:t>L</w:t>
      </w:r>
      <w:r w:rsidR="00E84313">
        <w:fldChar w:fldCharType="end"/>
      </w:r>
    </w:p>
    <w:p w:rsidR="00AA4D01" w:rsidRPr="00FB18DC" w:rsidRDefault="0091035C" w:rsidP="00AA4D01">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AA4D01" w:rsidRPr="00FB18DC">
        <w:t xml:space="preserve"> refers to the allowed return on debt for regulatory year b+1.</w:t>
      </w:r>
    </w:p>
    <w:p w:rsidR="00AA4D01" w:rsidRPr="00FB18DC" w:rsidRDefault="00AA4D01" w:rsidP="00AA4D01">
      <w:pPr>
        <w:numPr>
          <w:ilvl w:val="0"/>
          <w:numId w:val="24"/>
        </w:numPr>
      </w:pPr>
      <w:r w:rsidRPr="00FB18DC">
        <w:t>In the first regulatory year of the transitional period (2016), the allowed rate of return on debt will be based on the estimated prevailing rate of return on debt for that year (similar to the 'on the day' approach):</w:t>
      </w:r>
    </w:p>
    <w:p w:rsidR="00AA4D01" w:rsidRPr="00FB18DC" w:rsidRDefault="0091035C" w:rsidP="00AA4D01">
      <w:pPr>
        <w:numPr>
          <w:ilvl w:val="0"/>
          <w:numId w:val="24"/>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AA4D01" w:rsidRPr="00FB18DC" w:rsidRDefault="00AA4D01" w:rsidP="00AA4D01">
      <w:pPr>
        <w:numPr>
          <w:ilvl w:val="0"/>
          <w:numId w:val="24"/>
        </w:numPr>
      </w:pPr>
      <w:r w:rsidRPr="00FB18DC">
        <w:t>In the second regulatory year, the allowed rate of return on debt will be the weighted average of the prevailing rates in the first and second regulatory years of the transitional period:</w:t>
      </w:r>
    </w:p>
    <w:p w:rsidR="00AA4D01" w:rsidRPr="00FB18DC" w:rsidRDefault="0091035C" w:rsidP="00AA4D01">
      <w:pPr>
        <w:numPr>
          <w:ilvl w:val="0"/>
          <w:numId w:val="24"/>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AA4D01" w:rsidRPr="00FB18DC" w:rsidRDefault="00AA4D01" w:rsidP="00AA4D01">
      <w:pPr>
        <w:numPr>
          <w:ilvl w:val="0"/>
          <w:numId w:val="24"/>
        </w:numPr>
      </w:pPr>
      <w:r w:rsidRPr="00FB18DC">
        <w:t xml:space="preserve">In the third regulatory year, the allowed rate of return on debt will be the weighted average of the prevailing rates in the first, second, and third regulatory years of the transitional period:  </w:t>
      </w:r>
    </w:p>
    <w:p w:rsidR="00AA4D01" w:rsidRPr="00FB18DC" w:rsidRDefault="0091035C" w:rsidP="00AA4D01">
      <w:pPr>
        <w:numPr>
          <w:ilvl w:val="0"/>
          <w:numId w:val="24"/>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AA4D01" w:rsidRPr="00FB18DC" w:rsidRDefault="00AA4D01" w:rsidP="00AA4D01">
      <w:pPr>
        <w:numPr>
          <w:ilvl w:val="0"/>
          <w:numId w:val="24"/>
        </w:numPr>
      </w:pPr>
      <w:r w:rsidRPr="00FB18DC">
        <w:t xml:space="preserve">In the fourth regulatory year, the allowed rate of return on debt will be the weighted average of the prevailing rates in the first, second, third and fourth regulatory years of the transitional period:  </w:t>
      </w:r>
    </w:p>
    <w:p w:rsidR="00AA4D01" w:rsidRPr="00FB18DC" w:rsidRDefault="0091035C" w:rsidP="00AA4D01">
      <w:pPr>
        <w:numPr>
          <w:ilvl w:val="0"/>
          <w:numId w:val="24"/>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AA4D01" w:rsidRPr="00FB18DC" w:rsidRDefault="00AA4D01" w:rsidP="00AA4D01">
      <w:pPr>
        <w:numPr>
          <w:ilvl w:val="0"/>
          <w:numId w:val="24"/>
        </w:numPr>
      </w:pPr>
      <w:r w:rsidRPr="00FB18DC">
        <w:t xml:space="preserve">In the fifth regulatory year, the allowed rate of return on debt will be the weighted average of the prevailing rates in the first, second, third, fourth and fifth regulatory years of the transitional period:  </w:t>
      </w:r>
    </w:p>
    <w:p w:rsidR="00AA4D01" w:rsidRPr="00FB18DC" w:rsidRDefault="0091035C" w:rsidP="00AA4D01">
      <w:pPr>
        <w:numPr>
          <w:ilvl w:val="0"/>
          <w:numId w:val="24"/>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AA4D01" w:rsidRPr="00FB18DC" w:rsidRDefault="00AA4D01" w:rsidP="00AA4D01">
      <w:pPr>
        <w:numPr>
          <w:ilvl w:val="0"/>
          <w:numId w:val="24"/>
        </w:numPr>
      </w:pPr>
      <w:r w:rsidRPr="00FB18DC">
        <w:t>The calculation for all subsequent regulatory years until the transitional period is completed is set out below:</w:t>
      </w:r>
    </w:p>
    <w:p w:rsidR="00AA4D01" w:rsidRPr="00FB18DC" w:rsidRDefault="0091035C" w:rsidP="00AA4D01">
      <w:pPr>
        <w:numPr>
          <w:ilvl w:val="0"/>
          <w:numId w:val="24"/>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AA4D01" w:rsidRPr="00FB18DC" w:rsidRDefault="0091035C" w:rsidP="00AA4D01">
      <w:pPr>
        <w:numPr>
          <w:ilvl w:val="0"/>
          <w:numId w:val="24"/>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AA4D01" w:rsidRPr="00FB18DC" w:rsidRDefault="0091035C" w:rsidP="00AA4D01">
      <w:pPr>
        <w:numPr>
          <w:ilvl w:val="0"/>
          <w:numId w:val="24"/>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AA4D01" w:rsidRPr="00FB18DC" w:rsidRDefault="0091035C" w:rsidP="00AA4D01">
      <w:pPr>
        <w:numPr>
          <w:ilvl w:val="0"/>
          <w:numId w:val="24"/>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AA4D01" w:rsidRPr="00FB18DC" w:rsidRDefault="0091035C" w:rsidP="00AA4D01">
      <w:pPr>
        <w:numPr>
          <w:ilvl w:val="0"/>
          <w:numId w:val="24"/>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AA4D01" w:rsidRPr="00FB18DC" w:rsidRDefault="00AA4D01" w:rsidP="00AA4D01">
      <w:pPr>
        <w:pStyle w:val="Heading8"/>
      </w:pPr>
      <w:bookmarkStart w:id="395" w:name="_Toc433457166"/>
      <w:bookmarkStart w:id="396" w:name="_Toc450916270"/>
      <w:bookmarkStart w:id="397" w:name="_Toc451678702"/>
      <w:bookmarkStart w:id="398" w:name="_Ref451901319"/>
      <w:r w:rsidRPr="00FB18DC">
        <w:t>Implementing the return on debt approach</w:t>
      </w:r>
      <w:bookmarkEnd w:id="395"/>
      <w:bookmarkEnd w:id="396"/>
      <w:bookmarkEnd w:id="397"/>
      <w:bookmarkEnd w:id="398"/>
    </w:p>
    <w:p w:rsidR="00AA4D01" w:rsidRPr="00FB18DC" w:rsidRDefault="00AA4D01" w:rsidP="00AA4D01">
      <w:pPr>
        <w:numPr>
          <w:ilvl w:val="0"/>
          <w:numId w:val="24"/>
        </w:numPr>
      </w:pPr>
      <w:r w:rsidRPr="00FB18DC">
        <w:t>This section sets out our final decision methodology to implement the return on debt approach. This section specifies:</w:t>
      </w:r>
    </w:p>
    <w:p w:rsidR="00AA4D01" w:rsidRPr="00FB18DC" w:rsidRDefault="00AA4D01" w:rsidP="00AA4D01">
      <w:pPr>
        <w:pStyle w:val="AERbulletlistfirststyle"/>
      </w:pPr>
      <w:r w:rsidRPr="00FB18DC">
        <w:t>our choice of data series</w:t>
      </w:r>
    </w:p>
    <w:p w:rsidR="00AA4D01" w:rsidRPr="00A42A22" w:rsidRDefault="00AA4D01" w:rsidP="00AA4D01">
      <w:pPr>
        <w:pStyle w:val="AERbulletlistfirststyle"/>
      </w:pPr>
      <w:r w:rsidRPr="00FB18DC">
        <w:t>extrapolation and interpo</w:t>
      </w:r>
      <w:r w:rsidRPr="00A42A22">
        <w:t>lation issues with adjusting our choice of data series</w:t>
      </w:r>
    </w:p>
    <w:p w:rsidR="00AA4D01" w:rsidRPr="00FB18DC" w:rsidRDefault="00AA4D01" w:rsidP="00AA4D01">
      <w:pPr>
        <w:pStyle w:val="AERbulletlistfirststyle"/>
      </w:pPr>
      <w:r w:rsidRPr="00FB18DC">
        <w:t>step-by-step calculation to calculating the final RBA and BVAL estimate</w:t>
      </w:r>
    </w:p>
    <w:p w:rsidR="00AA4D01" w:rsidRPr="00FB18DC" w:rsidRDefault="00AA4D01" w:rsidP="00AA4D01">
      <w:pPr>
        <w:pStyle w:val="AERbulletlistfirststyle"/>
      </w:pPr>
      <w:r w:rsidRPr="00FB18DC">
        <w:t>contingencies associated with implementing our choice of data series, if the data series we have chosen to estimate the return on debt are unavailable or change in future regulatory years</w:t>
      </w:r>
    </w:p>
    <w:p w:rsidR="00AA4D01" w:rsidRPr="00FB18DC" w:rsidRDefault="00AA4D01" w:rsidP="00AA4D01">
      <w:pPr>
        <w:pStyle w:val="Heading9"/>
      </w:pPr>
      <w:bookmarkStart w:id="399" w:name="_Toc433457167"/>
      <w:bookmarkStart w:id="400" w:name="_Toc450916271"/>
      <w:bookmarkStart w:id="401" w:name="_Toc451678703"/>
      <w:r w:rsidRPr="00FB18DC">
        <w:t>Choice of data series</w:t>
      </w:r>
      <w:bookmarkEnd w:id="399"/>
      <w:bookmarkEnd w:id="400"/>
      <w:bookmarkEnd w:id="401"/>
    </w:p>
    <w:p w:rsidR="00AA4D01" w:rsidRPr="00FB18DC" w:rsidRDefault="00AA4D01" w:rsidP="00AA4D01">
      <w:r w:rsidRPr="00FB18DC">
        <w:t xml:space="preserve">Our </w:t>
      </w:r>
      <w:r w:rsidR="002211EB">
        <w:t xml:space="preserve">final </w:t>
      </w:r>
      <w:r w:rsidRPr="00FB18DC">
        <w:t xml:space="preserve">decision on the choice of data series is to adopt a simple average of the debt data series published by the </w:t>
      </w:r>
      <w:r w:rsidR="00582F11">
        <w:t>RBA</w:t>
      </w:r>
      <w:r w:rsidR="00582F11" w:rsidRPr="00484372">
        <w:t xml:space="preserve"> </w:t>
      </w:r>
      <w:r w:rsidRPr="00FB18DC">
        <w:t>and Bloomberg that match, as close as available, our benchmarks of a BBB+ credit rating and a 10 year debt term. Specifically our final decision is to adopt a simple average of:</w:t>
      </w:r>
    </w:p>
    <w:p w:rsidR="00AA4D01" w:rsidRPr="00FB18DC" w:rsidRDefault="00AA4D01" w:rsidP="00AA4D01">
      <w:pPr>
        <w:pStyle w:val="AERbulletlistfirststyle"/>
      </w:pPr>
      <w:r w:rsidRPr="00FB18DC">
        <w:t>The RBA broad-BBB rated 10 year curve, extrapolated to an effective term of 10 years (the RBA curve)</w:t>
      </w:r>
    </w:p>
    <w:p w:rsidR="00AA4D01" w:rsidRPr="00FB18DC" w:rsidRDefault="00AA4D01" w:rsidP="00AA4D01">
      <w:pPr>
        <w:pStyle w:val="AERbulletlistfirststyle"/>
      </w:pPr>
      <w:r w:rsidRPr="00FB18DC">
        <w:t xml:space="preserve">The Bloomberg Valuation Service (BVAL) broad-BBB rated curve (the BVAL curve). Depending on the maximum term published at the time, this will be either the BVAL: </w:t>
      </w:r>
    </w:p>
    <w:p w:rsidR="00AA4D01" w:rsidRPr="00FB18DC" w:rsidRDefault="00AA4D01" w:rsidP="00AA4D01">
      <w:pPr>
        <w:pStyle w:val="AERbulletlistsecondstyle"/>
      </w:pPr>
      <w:r w:rsidRPr="00FB18DC">
        <w:t>10 year estimate</w:t>
      </w:r>
      <w:r w:rsidRPr="00FB18DC">
        <w:rPr>
          <w:rStyle w:val="FootnoteReference"/>
        </w:rPr>
        <w:footnoteReference w:id="1347"/>
      </w:r>
      <w:r w:rsidRPr="00FB18DC">
        <w:t xml:space="preserve"> where it is available</w:t>
      </w:r>
    </w:p>
    <w:p w:rsidR="00AA4D01" w:rsidRPr="00FB18DC" w:rsidRDefault="00AA4D01" w:rsidP="00AA4D01">
      <w:pPr>
        <w:pStyle w:val="AERbulletlistsecondstyle"/>
      </w:pPr>
      <w:r w:rsidRPr="00FB18DC">
        <w:t>7 year estimate extrapolated to a 10 year term using the 7</w:t>
      </w:r>
      <w:r w:rsidRPr="00FB18DC">
        <w:softHyphen/>
        <w:t>–10 year margin from the RBA curve. This will be used where the 7 year estimate is available and the 10 year estimate is not available.</w:t>
      </w:r>
    </w:p>
    <w:p w:rsidR="00AA4D01" w:rsidRDefault="00AA4D01" w:rsidP="00AA4D01">
      <w:pPr>
        <w:pStyle w:val="AERbulletlistsecondstyle"/>
      </w:pPr>
      <w:r w:rsidRPr="00FB18DC">
        <w:t>5 year estimate extrapolated to a 10 year term using the 5–10 year margin from the RBA curve. This will be used where the 5 year estimate is available and neither the 10 year nor the 7 year estimate</w:t>
      </w:r>
      <w:r>
        <w:t>s</w:t>
      </w:r>
      <w:r w:rsidRPr="00FB18DC">
        <w:t xml:space="preserve"> are available.</w:t>
      </w:r>
    </w:p>
    <w:p w:rsidR="00AA4D01" w:rsidRPr="00FB18DC" w:rsidRDefault="00AA4D01" w:rsidP="00AA4D01">
      <w:r w:rsidRPr="00D63D95">
        <w:t xml:space="preserve">We do not estimate the allowed return on debt in this decision by reference to the 10 year yield curve published by Thomson Reuters (the Reuters curve). Nonetheless, we do not rule out including the Reuters curve in future determinations following a proper period of consultation. See appendix </w:t>
      </w:r>
      <w:r w:rsidR="00E84313">
        <w:fldChar w:fldCharType="begin"/>
      </w:r>
      <w:r w:rsidR="00E84313">
        <w:instrText xml:space="preserve"> REF _Ref451266050 \r \h </w:instrText>
      </w:r>
      <w:r w:rsidR="00E84313">
        <w:fldChar w:fldCharType="separate"/>
      </w:r>
      <w:r w:rsidR="00E84313">
        <w:t>I</w:t>
      </w:r>
      <w:r w:rsidR="00E84313">
        <w:fldChar w:fldCharType="end"/>
      </w:r>
      <w:r w:rsidRPr="00D63D95">
        <w:t xml:space="preserve"> for our reasoning and further details.</w:t>
      </w:r>
    </w:p>
    <w:p w:rsidR="00AA4D01" w:rsidRPr="00FB18DC" w:rsidRDefault="00AA4D01" w:rsidP="00AA4D01">
      <w:pPr>
        <w:pStyle w:val="Heading9"/>
      </w:pPr>
      <w:bookmarkStart w:id="402" w:name="_Toc433457168"/>
      <w:bookmarkStart w:id="403" w:name="_Toc450916272"/>
      <w:bookmarkStart w:id="404" w:name="_Toc451678704"/>
      <w:r w:rsidRPr="00FB18DC">
        <w:t>Choice of data series—Extrapolation and interpolation issues</w:t>
      </w:r>
      <w:bookmarkEnd w:id="402"/>
      <w:bookmarkEnd w:id="403"/>
      <w:bookmarkEnd w:id="404"/>
    </w:p>
    <w:p w:rsidR="00AA4D01" w:rsidRPr="00FB18DC" w:rsidRDefault="00AA4D01" w:rsidP="00AA4D01">
      <w:r w:rsidRPr="00FB18DC">
        <w:t>Our decision on extrapolation and interpolation issues is to maintain the approach set out in our draft decision. This refers to:</w:t>
      </w:r>
    </w:p>
    <w:p w:rsidR="00AA4D01" w:rsidRPr="00FB18DC" w:rsidRDefault="00AA4D01" w:rsidP="00AA4D01">
      <w:pPr>
        <w:pStyle w:val="AERbulletlistfirststyle"/>
      </w:pPr>
      <w:r w:rsidRPr="00FB18DC">
        <w:t>extrapolation—where we need to extend a curve beyond its observed or published range. For example, before April 2015, Bloomberg publishes its BVAL curve to a maximum term of 7 years, whereas we require an estimate for a 10 year term.</w:t>
      </w:r>
    </w:p>
    <w:p w:rsidR="00AA4D01" w:rsidRPr="00FB18DC" w:rsidRDefault="00AA4D01" w:rsidP="00AA4D01">
      <w:pPr>
        <w:pStyle w:val="AERbulletlistfirststyle"/>
      </w:pPr>
      <w:r w:rsidRPr="00FB18DC">
        <w:t>Interpolation—where we need a value for which there is no published estimate but it lies between two published estimates. For example, the RBA only publishes its curve estimates for one day each month, but we require estimates for each business day.</w:t>
      </w:r>
    </w:p>
    <w:p w:rsidR="00AA4D01" w:rsidRPr="00FB18DC" w:rsidRDefault="00AA4D01" w:rsidP="00AA4D01">
      <w:r w:rsidRPr="00FB18DC">
        <w:t>Specifically, we will make the following adjustments as set out in</w:t>
      </w:r>
      <w:r>
        <w:t xml:space="preserve"> </w:t>
      </w:r>
      <w:r>
        <w:fldChar w:fldCharType="begin"/>
      </w:r>
      <w:r>
        <w:instrText xml:space="preserve"> REF  _Ref450563956 \* Lower \h </w:instrText>
      </w:r>
      <w:r>
        <w:fldChar w:fldCharType="separate"/>
      </w:r>
      <w:r w:rsidR="00BA2E8E" w:rsidRPr="00FB18DC">
        <w:t xml:space="preserve">table </w:t>
      </w:r>
      <w:r w:rsidR="00BA2E8E">
        <w:rPr>
          <w:noProof/>
        </w:rPr>
        <w:t>3</w:t>
      </w:r>
      <w:r w:rsidR="00BA2E8E">
        <w:noBreakHyphen/>
      </w:r>
      <w:r w:rsidR="00BA2E8E">
        <w:rPr>
          <w:noProof/>
        </w:rPr>
        <w:t>46</w:t>
      </w:r>
      <w:r>
        <w:fldChar w:fldCharType="end"/>
      </w:r>
      <w:r>
        <w:t xml:space="preserve"> and </w:t>
      </w:r>
      <w:r>
        <w:fldChar w:fldCharType="begin"/>
      </w:r>
      <w:r>
        <w:instrText xml:space="preserve"> REF  _Ref450563958 \* Lower \h </w:instrText>
      </w:r>
      <w:r>
        <w:fldChar w:fldCharType="separate"/>
      </w:r>
      <w:r w:rsidR="00BA2E8E" w:rsidRPr="00FB18DC">
        <w:t xml:space="preserve">table </w:t>
      </w:r>
      <w:r w:rsidR="00BA2E8E">
        <w:rPr>
          <w:noProof/>
        </w:rPr>
        <w:t>3</w:t>
      </w:r>
      <w:r w:rsidR="00BA2E8E">
        <w:noBreakHyphen/>
      </w:r>
      <w:r w:rsidR="00BA2E8E">
        <w:rPr>
          <w:noProof/>
        </w:rPr>
        <w:t>47</w:t>
      </w:r>
      <w:r>
        <w:fldChar w:fldCharType="end"/>
      </w:r>
      <w:r w:rsidRPr="00FB18DC">
        <w:t>.</w:t>
      </w:r>
    </w:p>
    <w:p w:rsidR="00AA4D01" w:rsidRPr="00FB18DC" w:rsidRDefault="00AA4D01" w:rsidP="00AA4D01">
      <w:pPr>
        <w:pStyle w:val="Caption"/>
      </w:pPr>
      <w:bookmarkStart w:id="405" w:name="_Ref450563956"/>
      <w:r w:rsidRPr="00FB18DC">
        <w:t xml:space="preserve">Table </w:t>
      </w:r>
      <w:fldSimple w:instr=" STYLEREF 1 \s ">
        <w:r w:rsidR="00BA2E8E">
          <w:rPr>
            <w:noProof/>
          </w:rPr>
          <w:t>3</w:t>
        </w:r>
      </w:fldSimple>
      <w:r w:rsidR="000F4BC3">
        <w:noBreakHyphen/>
      </w:r>
      <w:fldSimple w:instr=" SEQ Table \* ARABIC \s 1 ">
        <w:r w:rsidR="00BA2E8E">
          <w:rPr>
            <w:noProof/>
          </w:rPr>
          <w:t>46</w:t>
        </w:r>
      </w:fldSimple>
      <w:bookmarkEnd w:id="405"/>
      <w:r w:rsidRPr="00FB18DC">
        <w:tab/>
        <w:t>Adjustments to the RBA curve</w:t>
      </w:r>
    </w:p>
    <w:tbl>
      <w:tblPr>
        <w:tblStyle w:val="AERtable-text0"/>
        <w:tblW w:w="0" w:type="auto"/>
        <w:tblLook w:val="04A0" w:firstRow="1" w:lastRow="0" w:firstColumn="1" w:lastColumn="0" w:noHBand="0" w:noVBand="1"/>
      </w:tblPr>
      <w:tblGrid>
        <w:gridCol w:w="1763"/>
        <w:gridCol w:w="1262"/>
        <w:gridCol w:w="5668"/>
      </w:tblGrid>
      <w:tr w:rsidR="00AA4D01" w:rsidRPr="00BB7AB1" w:rsidTr="007201E8">
        <w:trPr>
          <w:cnfStyle w:val="100000000000" w:firstRow="1" w:lastRow="0" w:firstColumn="0" w:lastColumn="0" w:oddVBand="0" w:evenVBand="0" w:oddHBand="0" w:evenHBand="0" w:firstRowFirstColumn="0" w:firstRowLastColumn="0" w:lastRowFirstColumn="0" w:lastRowLastColumn="0"/>
          <w:tblHeader/>
        </w:trPr>
        <w:tc>
          <w:tcPr>
            <w:tcW w:w="1763" w:type="dxa"/>
          </w:tcPr>
          <w:p w:rsidR="00AA4D01" w:rsidRPr="00AA4D01" w:rsidRDefault="00AA4D01" w:rsidP="00AA4D01">
            <w:r w:rsidRPr="00FB18DC">
              <w:t xml:space="preserve">Adjustment </w:t>
            </w:r>
            <w:r w:rsidRPr="00AA4D01">
              <w:t>type</w:t>
            </w:r>
          </w:p>
        </w:tc>
        <w:tc>
          <w:tcPr>
            <w:tcW w:w="1262" w:type="dxa"/>
          </w:tcPr>
          <w:p w:rsidR="00AA4D01" w:rsidRPr="00AA4D01" w:rsidRDefault="00AA4D01" w:rsidP="00AA4D01">
            <w:r w:rsidRPr="00FB18DC">
              <w:t>Amendment made?</w:t>
            </w:r>
          </w:p>
        </w:tc>
        <w:tc>
          <w:tcPr>
            <w:tcW w:w="5668" w:type="dxa"/>
          </w:tcPr>
          <w:p w:rsidR="00AA4D01" w:rsidRPr="00AA4D01" w:rsidRDefault="00AA4D01" w:rsidP="00AA4D01">
            <w:r w:rsidRPr="00FB18DC">
              <w:t>Comments</w:t>
            </w:r>
          </w:p>
        </w:tc>
      </w:tr>
      <w:tr w:rsidR="00AA4D01" w:rsidRPr="00BB7AB1" w:rsidTr="007201E8">
        <w:tc>
          <w:tcPr>
            <w:tcW w:w="1763" w:type="dxa"/>
          </w:tcPr>
          <w:p w:rsidR="00AA4D01" w:rsidRPr="00AA4D01" w:rsidRDefault="00AA4D01" w:rsidP="00AA4D01">
            <w:r w:rsidRPr="00FB18DC">
              <w:t>Interpolation to construct daily estimates</w:t>
            </w:r>
          </w:p>
        </w:tc>
        <w:tc>
          <w:tcPr>
            <w:tcW w:w="1262" w:type="dxa"/>
          </w:tcPr>
          <w:p w:rsidR="00AA4D01" w:rsidRPr="00AA4D01" w:rsidRDefault="00AA4D01" w:rsidP="00AA4D01">
            <w:r w:rsidRPr="00FB18DC">
              <w:t>Yes</w:t>
            </w:r>
          </w:p>
        </w:tc>
        <w:tc>
          <w:tcPr>
            <w:tcW w:w="5668" w:type="dxa"/>
          </w:tcPr>
          <w:p w:rsidR="00AA4D01" w:rsidRPr="00AA4D01" w:rsidRDefault="00AA4D01" w:rsidP="00AA4D01">
            <w:r w:rsidRPr="00FB18DC">
              <w:t xml:space="preserve">The RBA curve only provides an estimate for one business day at the end of each month. In our experience, averaging periods commonly start and/or end on dates during the month.  </w:t>
            </w:r>
          </w:p>
          <w:p w:rsidR="00AA4D01" w:rsidRPr="00AA4D01" w:rsidRDefault="00AA4D01" w:rsidP="00AA4D01">
            <w:r w:rsidRPr="00FB18DC">
              <w:t>We will address this issue by linearly interpolating between month end values where possible. While we are satisfied that interpolation over business days is also reasonable, we will interpolate over all days because:</w:t>
            </w:r>
          </w:p>
          <w:p w:rsidR="00AA4D01" w:rsidRPr="00AA4D01" w:rsidRDefault="00AA4D01" w:rsidP="00AA4D01">
            <w:pPr>
              <w:pStyle w:val="AERbulletlistfirststyle"/>
            </w:pPr>
            <w:r w:rsidRPr="00FB18DC">
              <w:t>this is consistent with our widely accepted approach to interpolate estimates of the risk free rate using CGS</w:t>
            </w:r>
          </w:p>
          <w:p w:rsidR="00AA4D01" w:rsidRPr="00AA4D01" w:rsidRDefault="00AA4D01" w:rsidP="00AA4D01">
            <w:pPr>
              <w:pStyle w:val="AERbulletlistfirststyle"/>
            </w:pPr>
            <w:r w:rsidRPr="00FB18DC">
              <w:t>interpolating over all days is simpler to implement</w:t>
            </w:r>
          </w:p>
          <w:p w:rsidR="00AA4D01" w:rsidRPr="00AA4D01" w:rsidRDefault="00AA4D01" w:rsidP="00AA4D01">
            <w:pPr>
              <w:pStyle w:val="AERbulletlistfirststyle"/>
            </w:pPr>
            <w:r w:rsidRPr="00FB18DC">
              <w:t>it is impractical to interpolate over business days for estimating the risk free rate, as this would require calculations relative to specific trading days 10 years in advance</w:t>
            </w:r>
          </w:p>
          <w:p w:rsidR="00AA4D01" w:rsidRPr="00AA4D01" w:rsidRDefault="00AA4D01" w:rsidP="00AA4D01">
            <w:pPr>
              <w:pStyle w:val="AERbulletlistfirststyle"/>
            </w:pPr>
            <w:r w:rsidRPr="00FB18DC">
              <w:t>the difference to the estimates between interpolating over business days or interpolating over all days is immaterial.</w:t>
            </w:r>
            <w:r w:rsidRPr="00AA4D01">
              <w:rPr>
                <w:rStyle w:val="AERsuperscript"/>
              </w:rPr>
              <w:footnoteReference w:id="1348"/>
            </w:r>
          </w:p>
          <w:p w:rsidR="00AA4D01" w:rsidRPr="00AA4D01" w:rsidRDefault="00AA4D01" w:rsidP="00AA4D01">
            <w:r w:rsidRPr="00FB18DC">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final decision on the annual debt update process is set out in </w:t>
            </w:r>
            <w:r w:rsidRPr="00AA4D01">
              <w:t xml:space="preserve">this appendix. </w:t>
            </w:r>
          </w:p>
        </w:tc>
      </w:tr>
      <w:tr w:rsidR="00AA4D01" w:rsidRPr="00BB7AB1" w:rsidTr="007201E8">
        <w:trPr>
          <w:cnfStyle w:val="000000010000" w:firstRow="0" w:lastRow="0" w:firstColumn="0" w:lastColumn="0" w:oddVBand="0" w:evenVBand="0" w:oddHBand="0" w:evenHBand="1" w:firstRowFirstColumn="0" w:firstRowLastColumn="0" w:lastRowFirstColumn="0" w:lastRowLastColumn="0"/>
        </w:trPr>
        <w:tc>
          <w:tcPr>
            <w:tcW w:w="1763" w:type="dxa"/>
          </w:tcPr>
          <w:p w:rsidR="00AA4D01" w:rsidRPr="00AA4D01" w:rsidRDefault="00AA4D01" w:rsidP="00AA4D01">
            <w:r w:rsidRPr="00FB18DC">
              <w:t>Extrapolation to target term</w:t>
            </w:r>
          </w:p>
        </w:tc>
        <w:tc>
          <w:tcPr>
            <w:tcW w:w="1262" w:type="dxa"/>
          </w:tcPr>
          <w:p w:rsidR="00AA4D01" w:rsidRPr="00AA4D01" w:rsidRDefault="00AA4D01" w:rsidP="00AA4D01">
            <w:r w:rsidRPr="00FB18DC">
              <w:t>Yes</w:t>
            </w:r>
          </w:p>
        </w:tc>
        <w:tc>
          <w:tcPr>
            <w:tcW w:w="5668" w:type="dxa"/>
          </w:tcPr>
          <w:p w:rsidR="00AA4D01" w:rsidRPr="00AA4D01" w:rsidRDefault="00AA4D01" w:rsidP="00AA4D01">
            <w:r w:rsidRPr="00FB18DC">
              <w:t>The 'effective term' of the RBA bond sample is commonly less than 10 years. For this reason, Lally recommended that the spread component of the yield should be extrapolated from its effective term at publication to the benchmark term (10 years).</w:t>
            </w:r>
            <w:r w:rsidRPr="00AA4D01">
              <w:rPr>
                <w:rStyle w:val="AERsuperscript"/>
              </w:rPr>
              <w:footnoteReference w:id="1349"/>
            </w:r>
            <w:r w:rsidRPr="00AA4D01">
              <w:rPr>
                <w:rStyle w:val="AERsuperscript"/>
              </w:rPr>
              <w:t xml:space="preserve"> </w:t>
            </w:r>
          </w:p>
          <w:p w:rsidR="00AA4D01" w:rsidRPr="00AA4D01" w:rsidRDefault="00AA4D01" w:rsidP="00AA4D01">
            <w:r w:rsidRPr="00FB18DC">
              <w:t>We agree with Lally's recommendation to extrapolate the spread component of the RBA's published yield in order to match it with the benchmark term of debt. However, we do not agree it is necessary to extrapolate the base component. As identified by the RBA and Lally,</w:t>
            </w:r>
            <w:r w:rsidRPr="00AA4D01">
              <w:rPr>
                <w:rStyle w:val="AERsuperscript"/>
              </w:rPr>
              <w:footnoteReference w:id="1350"/>
            </w:r>
            <w:r w:rsidRPr="00AA4D01">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AA4D01" w:rsidRPr="00BB7AB1" w:rsidTr="007201E8">
        <w:tc>
          <w:tcPr>
            <w:tcW w:w="1763" w:type="dxa"/>
          </w:tcPr>
          <w:p w:rsidR="00AA4D01" w:rsidRPr="00AA4D01" w:rsidRDefault="00AA4D01" w:rsidP="00AA4D01">
            <w:r w:rsidRPr="00FB18DC">
              <w:t>Conversion to effective annual rate</w:t>
            </w:r>
          </w:p>
        </w:tc>
        <w:tc>
          <w:tcPr>
            <w:tcW w:w="1262" w:type="dxa"/>
          </w:tcPr>
          <w:p w:rsidR="00AA4D01" w:rsidRPr="00AA4D01" w:rsidRDefault="00AA4D01" w:rsidP="00AA4D01">
            <w:r w:rsidRPr="00FB18DC">
              <w:t>Yes</w:t>
            </w:r>
          </w:p>
        </w:tc>
        <w:tc>
          <w:tcPr>
            <w:tcW w:w="5668" w:type="dxa"/>
          </w:tcPr>
          <w:p w:rsidR="00AA4D01" w:rsidRPr="00AA4D01" w:rsidRDefault="00AA4D01" w:rsidP="00AA4D01">
            <w:r w:rsidRPr="00FB18DC">
              <w:t>The RBA's published methodology does not explicitly specify whether the published yields should be interpreted as 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AA4D01">
              <w:rPr>
                <w:rStyle w:val="AERsuperscript"/>
              </w:rPr>
              <w:footnoteReference w:id="1351"/>
            </w:r>
            <w:r w:rsidRPr="00AA4D01">
              <w:t xml:space="preserve"> Therefore, this would require conversion into an effective annual rate, using the same approach as is applied to the BVAL yield estimate. </w:t>
            </w:r>
          </w:p>
        </w:tc>
      </w:tr>
    </w:tbl>
    <w:p w:rsidR="00AA4D01" w:rsidRPr="00FB18DC" w:rsidRDefault="00AA4D01" w:rsidP="00AA4D01">
      <w:pPr>
        <w:pStyle w:val="AERtablesource"/>
      </w:pPr>
      <w:r w:rsidRPr="00FB18DC">
        <w:t>Source: AER analysis</w:t>
      </w:r>
    </w:p>
    <w:p w:rsidR="00AA4D01" w:rsidRPr="00FB18DC" w:rsidRDefault="00AA4D01" w:rsidP="00AA4D01">
      <w:pPr>
        <w:pStyle w:val="Caption"/>
      </w:pPr>
      <w:bookmarkStart w:id="406" w:name="_Ref450563958"/>
      <w:r w:rsidRPr="00FB18DC">
        <w:t xml:space="preserve">Table </w:t>
      </w:r>
      <w:fldSimple w:instr=" STYLEREF 1 \s ">
        <w:r w:rsidR="00BA2E8E">
          <w:rPr>
            <w:noProof/>
          </w:rPr>
          <w:t>3</w:t>
        </w:r>
      </w:fldSimple>
      <w:r w:rsidR="000F4BC3">
        <w:noBreakHyphen/>
      </w:r>
      <w:fldSimple w:instr=" SEQ Table \* ARABIC \s 1 ">
        <w:r w:rsidR="00BA2E8E">
          <w:rPr>
            <w:noProof/>
          </w:rPr>
          <w:t>47</w:t>
        </w:r>
      </w:fldSimple>
      <w:bookmarkEnd w:id="406"/>
      <w:r w:rsidRPr="00FB18DC">
        <w:tab/>
        <w:t>Adjustments to the BVAL curve</w:t>
      </w:r>
    </w:p>
    <w:tbl>
      <w:tblPr>
        <w:tblStyle w:val="AERtable-text0"/>
        <w:tblW w:w="0" w:type="auto"/>
        <w:tblLook w:val="04A0" w:firstRow="1" w:lastRow="0" w:firstColumn="1" w:lastColumn="0" w:noHBand="0" w:noVBand="1"/>
      </w:tblPr>
      <w:tblGrid>
        <w:gridCol w:w="2889"/>
        <w:gridCol w:w="1416"/>
        <w:gridCol w:w="4388"/>
      </w:tblGrid>
      <w:tr w:rsidR="00AA4D01" w:rsidRPr="00BB7AB1" w:rsidTr="007201E8">
        <w:trPr>
          <w:cnfStyle w:val="100000000000" w:firstRow="1" w:lastRow="0" w:firstColumn="0" w:lastColumn="0" w:oddVBand="0" w:evenVBand="0" w:oddHBand="0" w:evenHBand="0" w:firstRowFirstColumn="0" w:firstRowLastColumn="0" w:lastRowFirstColumn="0" w:lastRowLastColumn="0"/>
          <w:tblHeader/>
        </w:trPr>
        <w:tc>
          <w:tcPr>
            <w:tcW w:w="3080" w:type="dxa"/>
          </w:tcPr>
          <w:p w:rsidR="00AA4D01" w:rsidRPr="00AA4D01" w:rsidRDefault="00AA4D01" w:rsidP="00AA4D01">
            <w:r w:rsidRPr="00FB18DC">
              <w:t xml:space="preserve">Adjustment </w:t>
            </w:r>
            <w:r w:rsidRPr="00AA4D01">
              <w:t>type</w:t>
            </w:r>
          </w:p>
        </w:tc>
        <w:tc>
          <w:tcPr>
            <w:tcW w:w="1446" w:type="dxa"/>
          </w:tcPr>
          <w:p w:rsidR="00AA4D01" w:rsidRPr="00AA4D01" w:rsidRDefault="00AA4D01" w:rsidP="00AA4D01">
            <w:r w:rsidRPr="00FB18DC">
              <w:t>Amendment made?</w:t>
            </w:r>
          </w:p>
        </w:tc>
        <w:tc>
          <w:tcPr>
            <w:tcW w:w="4716" w:type="dxa"/>
          </w:tcPr>
          <w:p w:rsidR="00AA4D01" w:rsidRPr="00FB18DC" w:rsidRDefault="00AA4D01" w:rsidP="00AA4D01">
            <w:pPr>
              <w:numPr>
                <w:ilvl w:val="0"/>
                <w:numId w:val="24"/>
              </w:numPr>
            </w:pPr>
            <w:r w:rsidRPr="00FB18DC">
              <w:t>Comments</w:t>
            </w:r>
          </w:p>
        </w:tc>
      </w:tr>
      <w:tr w:rsidR="00AA4D01" w:rsidRPr="00BB7AB1" w:rsidTr="007201E8">
        <w:tc>
          <w:tcPr>
            <w:tcW w:w="3080" w:type="dxa"/>
          </w:tcPr>
          <w:p w:rsidR="00AA4D01" w:rsidRPr="00AA4D01" w:rsidRDefault="00AA4D01" w:rsidP="00AA4D01">
            <w:r w:rsidRPr="00FB18DC">
              <w:t>Interpolation to construct daily estimates</w:t>
            </w:r>
          </w:p>
        </w:tc>
        <w:tc>
          <w:tcPr>
            <w:tcW w:w="1446" w:type="dxa"/>
          </w:tcPr>
          <w:p w:rsidR="00AA4D01" w:rsidRPr="00AA4D01" w:rsidRDefault="00AA4D01" w:rsidP="00AA4D01">
            <w:r w:rsidRPr="00FB18DC">
              <w:t>No</w:t>
            </w:r>
          </w:p>
        </w:tc>
        <w:tc>
          <w:tcPr>
            <w:tcW w:w="4716" w:type="dxa"/>
          </w:tcPr>
          <w:p w:rsidR="00AA4D01" w:rsidRPr="00FB18DC" w:rsidRDefault="00AA4D01" w:rsidP="00AA4D01">
            <w:pPr>
              <w:numPr>
                <w:ilvl w:val="0"/>
                <w:numId w:val="24"/>
              </w:numPr>
            </w:pPr>
            <w:r w:rsidRPr="00FB18DC">
              <w:t>Bloomberg publishes daily estimates.</w:t>
            </w:r>
          </w:p>
        </w:tc>
      </w:tr>
      <w:tr w:rsidR="00AA4D01" w:rsidRPr="00BB7AB1" w:rsidTr="007201E8">
        <w:trPr>
          <w:cnfStyle w:val="000000010000" w:firstRow="0" w:lastRow="0" w:firstColumn="0" w:lastColumn="0" w:oddVBand="0" w:evenVBand="0" w:oddHBand="0" w:evenHBand="1" w:firstRowFirstColumn="0" w:firstRowLastColumn="0" w:lastRowFirstColumn="0" w:lastRowLastColumn="0"/>
        </w:trPr>
        <w:tc>
          <w:tcPr>
            <w:tcW w:w="3080" w:type="dxa"/>
          </w:tcPr>
          <w:p w:rsidR="00AA4D01" w:rsidRPr="00AA4D01" w:rsidRDefault="00AA4D01" w:rsidP="00AA4D01">
            <w:r w:rsidRPr="00FB18DC">
              <w:t>Extrapolation to target term</w:t>
            </w:r>
          </w:p>
        </w:tc>
        <w:tc>
          <w:tcPr>
            <w:tcW w:w="1446" w:type="dxa"/>
          </w:tcPr>
          <w:p w:rsidR="00AA4D01" w:rsidRPr="00AA4D01" w:rsidRDefault="00AA4D01" w:rsidP="00AA4D01">
            <w:r w:rsidRPr="00FB18DC">
              <w:t>Depends on maximum term published by Bloomberg</w:t>
            </w:r>
          </w:p>
        </w:tc>
        <w:tc>
          <w:tcPr>
            <w:tcW w:w="4716" w:type="dxa"/>
          </w:tcPr>
          <w:p w:rsidR="00AA4D01" w:rsidRPr="00FB18DC" w:rsidRDefault="00AA4D01" w:rsidP="00AA4D01">
            <w:pPr>
              <w:numPr>
                <w:ilvl w:val="0"/>
                <w:numId w:val="24"/>
              </w:numPr>
            </w:pPr>
            <w:r w:rsidRPr="00FB18DC">
              <w:t>For most of the time that the BVAL curve has been published, it has had a maximum term of 7 years. However, between September 2014 and November 2014, it was published to a maximum 5 year term.</w:t>
            </w:r>
            <w:r w:rsidRPr="00FB18DC">
              <w:rPr>
                <w:rStyle w:val="FootnoteReference"/>
              </w:rPr>
              <w:footnoteReference w:id="1352"/>
            </w:r>
            <w:r w:rsidRPr="00FB18DC">
              <w:t xml:space="preserve"> In April 2015, Bloomberg revised its methodology for the BVAL curve (BVCSAB10) and it now publishes a 10 year estimate.</w:t>
            </w:r>
            <w:r w:rsidRPr="00FB18DC">
              <w:rPr>
                <w:rStyle w:val="FootnoteReference"/>
              </w:rPr>
              <w:footnoteReference w:id="1353"/>
            </w:r>
            <w:r w:rsidRPr="00FB18DC">
              <w:t xml:space="preserve"> </w:t>
            </w:r>
          </w:p>
          <w:p w:rsidR="00AA4D01" w:rsidRPr="00FB18DC" w:rsidRDefault="00AA4D01" w:rsidP="00AA4D01">
            <w:pPr>
              <w:numPr>
                <w:ilvl w:val="0"/>
                <w:numId w:val="24"/>
              </w:numPr>
            </w:pPr>
            <w:r w:rsidRPr="00FB18DC">
              <w:t>For the periods where 7 years is the maximum term, we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AA4D01" w:rsidRPr="00FB18DC" w:rsidRDefault="00AA4D01" w:rsidP="00AA4D01">
            <w:pPr>
              <w:numPr>
                <w:ilvl w:val="0"/>
                <w:numId w:val="24"/>
              </w:numPr>
            </w:pPr>
            <w:r w:rsidRPr="00FB18DC">
              <w:t>BVAL yield 10 years = BVAL yield 7 years + difference in CGS from 7 to 10 years + difference in RBA extrapolated spread to CGS from 7 to 10 years</w:t>
            </w:r>
          </w:p>
          <w:p w:rsidR="00AA4D01" w:rsidRPr="00FB18DC" w:rsidRDefault="00AA4D01" w:rsidP="00AA4D01">
            <w:pPr>
              <w:numPr>
                <w:ilvl w:val="0"/>
                <w:numId w:val="24"/>
              </w:numPr>
            </w:pPr>
            <w:r w:rsidRPr="00FB18DC">
              <w:t>As recommended by Lally,</w:t>
            </w:r>
            <w:r w:rsidRPr="00FB18DC">
              <w:rPr>
                <w:rStyle w:val="AERsuperscript"/>
              </w:rPr>
              <w:footnoteReference w:id="1354"/>
            </w:r>
            <w:r w:rsidRPr="00FB18DC">
              <w:t xml:space="preserve"> we are satisfied this approach is comparably reliable to the more complex approaches submitted by other stakeholders,</w:t>
            </w:r>
            <w:r w:rsidRPr="00FB18DC">
              <w:rPr>
                <w:rStyle w:val="AERsuperscript"/>
              </w:rPr>
              <w:footnoteReference w:id="1355"/>
            </w:r>
            <w:r w:rsidRPr="00FB18DC">
              <w:rPr>
                <w:rStyle w:val="AERsuperscript"/>
              </w:rPr>
              <w:t xml:space="preserve"> </w:t>
            </w:r>
            <w:r w:rsidRPr="00FB18DC">
              <w:t>but is simpler to implement and based on publicly available data.</w:t>
            </w:r>
          </w:p>
          <w:p w:rsidR="00AA4D01" w:rsidRPr="00FB18DC" w:rsidRDefault="00AA4D01" w:rsidP="00AA4D01">
            <w:pPr>
              <w:numPr>
                <w:ilvl w:val="0"/>
                <w:numId w:val="24"/>
              </w:numPr>
            </w:pPr>
            <w:r w:rsidRPr="00FB18DC">
              <w:t>For the period where 5 years is the maximum term, we extrapolate the spread component of the 5 year yield estimate to the 10 year target term using an analogous methodology to that used to extrapolate from 7 to 10 years.</w:t>
            </w:r>
          </w:p>
          <w:p w:rsidR="00AA4D01" w:rsidRPr="00FB18DC" w:rsidRDefault="00AA4D01" w:rsidP="00AA4D01">
            <w:pPr>
              <w:numPr>
                <w:ilvl w:val="0"/>
                <w:numId w:val="24"/>
              </w:numPr>
            </w:pPr>
            <w:r w:rsidRPr="00FB18DC">
              <w:t>For the period where 10 years is the maximum term, we do not extrapolate the estimate.</w:t>
            </w:r>
          </w:p>
        </w:tc>
      </w:tr>
      <w:tr w:rsidR="00AA4D01" w:rsidRPr="00BB7AB1" w:rsidTr="007201E8">
        <w:tc>
          <w:tcPr>
            <w:tcW w:w="3080" w:type="dxa"/>
          </w:tcPr>
          <w:p w:rsidR="00AA4D01" w:rsidRPr="00AA4D01" w:rsidRDefault="00AA4D01" w:rsidP="00AA4D01">
            <w:r w:rsidRPr="00FB18DC">
              <w:t>Conversion to effective annual rate</w:t>
            </w:r>
          </w:p>
        </w:tc>
        <w:tc>
          <w:tcPr>
            <w:tcW w:w="1446" w:type="dxa"/>
          </w:tcPr>
          <w:p w:rsidR="00AA4D01" w:rsidRPr="00AA4D01" w:rsidRDefault="00AA4D01" w:rsidP="00AA4D01">
            <w:r w:rsidRPr="00FB18DC">
              <w:t>Yes</w:t>
            </w:r>
          </w:p>
        </w:tc>
        <w:tc>
          <w:tcPr>
            <w:tcW w:w="4716" w:type="dxa"/>
          </w:tcPr>
          <w:p w:rsidR="00AA4D01" w:rsidRPr="00FB18DC" w:rsidRDefault="00AA4D01" w:rsidP="00AA4D01">
            <w:pPr>
              <w:numPr>
                <w:ilvl w:val="0"/>
                <w:numId w:val="24"/>
              </w:numPr>
            </w:pPr>
            <w:r w:rsidRPr="00FB18DC">
              <w:t>Bloomberg publishes its yield as annual rates with semi-annual compounding. This needs to be converted into an effective annual rate.</w:t>
            </w:r>
          </w:p>
        </w:tc>
      </w:tr>
    </w:tbl>
    <w:p w:rsidR="00AA4D01" w:rsidRPr="00FB18DC" w:rsidRDefault="00AA4D01" w:rsidP="00AA4D01">
      <w:pPr>
        <w:pStyle w:val="Heading9"/>
      </w:pPr>
      <w:bookmarkStart w:id="407" w:name="_Toc433457169"/>
      <w:bookmarkStart w:id="408" w:name="_Toc450916273"/>
      <w:bookmarkStart w:id="409" w:name="_Toc451678705"/>
      <w:r w:rsidRPr="00FB18DC">
        <w:t>Choice of data series—Step-by-step guide to calculations</w:t>
      </w:r>
      <w:bookmarkEnd w:id="407"/>
      <w:bookmarkEnd w:id="408"/>
      <w:bookmarkEnd w:id="409"/>
    </w:p>
    <w:p w:rsidR="00AA4D01" w:rsidRPr="00FB18DC" w:rsidRDefault="00AA4D01" w:rsidP="00AA4D01">
      <w:pPr>
        <w:numPr>
          <w:ilvl w:val="0"/>
          <w:numId w:val="24"/>
        </w:numPr>
      </w:pPr>
      <w:r w:rsidRPr="00FB18DC">
        <w:t>Below we describe the step-by-step processes of calculating:</w:t>
      </w:r>
    </w:p>
    <w:p w:rsidR="00AA4D01" w:rsidRPr="00FB18DC" w:rsidRDefault="00AA4D01" w:rsidP="00AA4D01">
      <w:pPr>
        <w:pStyle w:val="AERbulletlistfirststyle"/>
      </w:pPr>
      <w:r w:rsidRPr="00FB18DC">
        <w:t xml:space="preserve">the adjusted RBA estimate </w:t>
      </w:r>
    </w:p>
    <w:p w:rsidR="00AA4D01" w:rsidRPr="00FB18DC" w:rsidRDefault="00AA4D01" w:rsidP="00AA4D01">
      <w:pPr>
        <w:pStyle w:val="AERbulletlistfirststyle"/>
      </w:pPr>
      <w:r w:rsidRPr="00FB18DC">
        <w:t xml:space="preserve">the adjusted BVAL estimate </w:t>
      </w:r>
    </w:p>
    <w:p w:rsidR="00AA4D01" w:rsidRPr="00FB18DC" w:rsidRDefault="00AA4D01" w:rsidP="00AA4D01">
      <w:pPr>
        <w:pStyle w:val="AERbulletlistfirststyle"/>
      </w:pPr>
      <w:r w:rsidRPr="00FB18DC">
        <w:t>the final estimate—where we combine our implementations of the RBA estimate and the BVAL estimate.</w:t>
      </w:r>
    </w:p>
    <w:p w:rsidR="00AA4D01" w:rsidRDefault="00AA4D01" w:rsidP="00AA4D01">
      <w:pPr>
        <w:numPr>
          <w:ilvl w:val="0"/>
          <w:numId w:val="24"/>
        </w:numPr>
      </w:pPr>
      <w:r w:rsidRPr="00FB18DC">
        <w:t xml:space="preserve">These formula steps relate to the approach specified in this final decision. In the event that data availability changes during the regulatory control period, the formulas below will change to reflect the contingencies set out in section </w:t>
      </w:r>
      <w:r w:rsidR="00E84313">
        <w:fldChar w:fldCharType="begin"/>
      </w:r>
      <w:r w:rsidR="00E84313">
        <w:instrText xml:space="preserve"> REF _Ref451901327 \r \h </w:instrText>
      </w:r>
      <w:r w:rsidR="00E84313">
        <w:fldChar w:fldCharType="separate"/>
      </w:r>
      <w:r w:rsidR="00E84313">
        <w:t>J.2.4</w:t>
      </w:r>
      <w:r w:rsidR="00E84313">
        <w:fldChar w:fldCharType="end"/>
      </w:r>
      <w:r w:rsidRPr="00FB18DC">
        <w:t>.</w:t>
      </w:r>
    </w:p>
    <w:p w:rsidR="00337511" w:rsidRPr="00FB18DC" w:rsidRDefault="00337511" w:rsidP="00AA4D01">
      <w:pPr>
        <w:numPr>
          <w:ilvl w:val="0"/>
          <w:numId w:val="24"/>
        </w:numPr>
      </w:pPr>
      <w:r w:rsidRPr="00352B6E">
        <w:t>For the purposes of calculating the return on debt, a 'business day' is a day that is not a Saturday or Sunday and not a national or NSW public holiday. This is because the independent data service providers (RBA and Bloomberg) do not publish data on national or NSW public holidays.</w:t>
      </w:r>
    </w:p>
    <w:p w:rsidR="00AA4D01" w:rsidRPr="00FB18DC" w:rsidRDefault="00AA4D01" w:rsidP="00AA4D01">
      <w:pPr>
        <w:numPr>
          <w:ilvl w:val="0"/>
          <w:numId w:val="24"/>
        </w:numPr>
        <w:rPr>
          <w:rStyle w:val="AERtextitalic"/>
        </w:rPr>
      </w:pPr>
      <w:r w:rsidRPr="00FB18DC">
        <w:rPr>
          <w:rStyle w:val="AERtextitalic"/>
        </w:rPr>
        <w:t>Calculation of the adjusted RBA estimate</w:t>
      </w:r>
    </w:p>
    <w:p w:rsidR="00AA4D01" w:rsidRPr="00FB18DC" w:rsidRDefault="00AA4D01" w:rsidP="00AA4D01">
      <w:pPr>
        <w:numPr>
          <w:ilvl w:val="1"/>
          <w:numId w:val="24"/>
        </w:numPr>
      </w:pPr>
      <w:r w:rsidRPr="00FB18DC">
        <w:t>Download RBA table F3—'Aggregate measures of Australian corporate bond yields' from the RBA website.</w:t>
      </w:r>
    </w:p>
    <w:p w:rsidR="00AA4D01" w:rsidRPr="00FB18DC" w:rsidRDefault="00AA4D01" w:rsidP="00AA4D01">
      <w:pPr>
        <w:numPr>
          <w:ilvl w:val="1"/>
          <w:numId w:val="24"/>
        </w:numPr>
      </w:pPr>
      <w:r w:rsidRPr="00FB18DC">
        <w:t>From this file, download the 7 and 10 year 'Non-financial corporate BBB-rated bonds—Yield' entries for dates:</w:t>
      </w:r>
    </w:p>
    <w:p w:rsidR="00AA4D01" w:rsidRPr="00FB18DC" w:rsidRDefault="00AA4D01" w:rsidP="00AA4D01">
      <w:pPr>
        <w:numPr>
          <w:ilvl w:val="2"/>
          <w:numId w:val="24"/>
        </w:numPr>
      </w:pPr>
      <w:r w:rsidRPr="00FB18DC">
        <w:t>from the most recent published RBA date prior to the commencement of the nominated averaging period for debt</w:t>
      </w:r>
    </w:p>
    <w:p w:rsidR="00AA4D01" w:rsidRPr="00FB18DC" w:rsidRDefault="00AA4D01" w:rsidP="00AA4D01">
      <w:pPr>
        <w:numPr>
          <w:ilvl w:val="2"/>
          <w:numId w:val="24"/>
        </w:numPr>
      </w:pPr>
      <w:r w:rsidRPr="00FB18DC">
        <w:t>to the first published RBA date following the conclusion of the nominated averaging period for debt</w:t>
      </w:r>
    </w:p>
    <w:p w:rsidR="00AA4D01" w:rsidRPr="00FB18DC" w:rsidRDefault="00AA4D01" w:rsidP="00AA4D01">
      <w:pPr>
        <w:numPr>
          <w:ilvl w:val="2"/>
          <w:numId w:val="24"/>
        </w:numPr>
      </w:pPr>
      <w:r w:rsidRPr="00FB18DC">
        <w:t>all published dates between a. and b.</w:t>
      </w:r>
    </w:p>
    <w:p w:rsidR="00AA4D01" w:rsidRPr="00FB18DC" w:rsidRDefault="00AA4D01" w:rsidP="00AA4D01">
      <w:pPr>
        <w:numPr>
          <w:ilvl w:val="1"/>
          <w:numId w:val="24"/>
        </w:numPr>
      </w:pPr>
      <w:r w:rsidRPr="00FB18DC">
        <w:t xml:space="preserve">Download, from RBA table F16—'Indicative Mid Rates of </w:t>
      </w:r>
      <w:r>
        <w:t>Australian</w:t>
      </w:r>
      <w:r w:rsidRPr="00FB18DC">
        <w:t xml:space="preserve"> Government Securities - 2013 to Current', daily yields on CGSs for dates within the service provider's averaging period. </w:t>
      </w:r>
    </w:p>
    <w:p w:rsidR="00AA4D01" w:rsidRPr="00FB18DC" w:rsidRDefault="00AA4D01" w:rsidP="00AA4D01">
      <w:pPr>
        <w:numPr>
          <w:ilvl w:val="1"/>
          <w:numId w:val="24"/>
        </w:numPr>
      </w:pPr>
      <w:r w:rsidRPr="00FB18DC">
        <w:t>Linearly interpolate between the two nearest bonds straddling 7 years remaining term to maturity,</w:t>
      </w:r>
      <w:r w:rsidRPr="00FB18DC">
        <w:rPr>
          <w:rStyle w:val="AERsuperscript"/>
        </w:rPr>
        <w:footnoteReference w:id="1356"/>
      </w:r>
      <w:r w:rsidRPr="00FB18DC">
        <w:t xml:space="preserve"> and the two nearest CGS bonds straddling 10 years remaining term to maturity. This should be done using the following formula: </w:t>
      </w:r>
      <w:r w:rsidRPr="00FB18DC">
        <w:rPr>
          <w:rStyle w:val="AERsuperscript"/>
        </w:rPr>
        <w:footnoteReference w:id="1357"/>
      </w:r>
    </w:p>
    <w:p w:rsidR="00AA4D01" w:rsidRPr="00FB18DC" w:rsidRDefault="00AA4D01" w:rsidP="00AA4D01">
      <w:pPr>
        <w:pStyle w:val="AERquote"/>
      </w:pPr>
      <w:r w:rsidRPr="00FB18DC">
        <w:t>yield interpolated = yield lower straddle bond + (yield upper straddle bond - yield lower straddle bond) * (date 10 years from interpolation date - maturity date lower straddle bond) / (maturity date upper straddle bond - maturity date lower straddle bond).</w:t>
      </w:r>
    </w:p>
    <w:p w:rsidR="00AA4D01" w:rsidRPr="00FB18DC" w:rsidRDefault="00AA4D01" w:rsidP="00AA4D01">
      <w:pPr>
        <w:numPr>
          <w:ilvl w:val="1"/>
          <w:numId w:val="24"/>
        </w:numPr>
      </w:pPr>
      <w:r w:rsidRPr="00FB18DC">
        <w:t>Linearly extrapolate the published RBA 10 year yield (from step 2) from its published effective term to an effective term of 10 years using the formula below:</w:t>
      </w:r>
      <w:r w:rsidRPr="00FB18DC">
        <w:rPr>
          <w:rStyle w:val="AERsuperscript"/>
        </w:rPr>
        <w:footnoteReference w:id="1358"/>
      </w:r>
    </w:p>
    <w:p w:rsidR="00AA4D01" w:rsidRPr="00FB18DC" w:rsidRDefault="00AA4D01" w:rsidP="00AA4D01">
      <w:pPr>
        <w:pStyle w:val="AERquote"/>
      </w:pPr>
      <w:r w:rsidRPr="00FB18DC">
        <w:t>yield</w:t>
      </w:r>
      <w:r w:rsidRPr="00FB18DC">
        <w:rPr>
          <w:rStyle w:val="AERsubscript"/>
        </w:rPr>
        <w:t>10</w:t>
      </w:r>
      <w:r w:rsidRPr="00FB18DC">
        <w:t xml:space="preserve"> = yield</w:t>
      </w:r>
      <w:r w:rsidRPr="00FB18DC">
        <w:rPr>
          <w:rStyle w:val="AERsubscript"/>
        </w:rPr>
        <w:t>10</w:t>
      </w:r>
      <w:r w:rsidRPr="00FB18DC">
        <w:t xml:space="preserve"> </w:t>
      </w:r>
      <w:r w:rsidRPr="004842DA">
        <w:rPr>
          <w:rStyle w:val="AERsubscript"/>
        </w:rPr>
        <w:t>year published</w:t>
      </w:r>
      <w:r w:rsidRPr="00FB18DC">
        <w:t xml:space="preserve"> + [(spread to swap</w:t>
      </w:r>
      <w:r w:rsidRPr="004842DA">
        <w:rPr>
          <w:rStyle w:val="AERsubscript"/>
        </w:rPr>
        <w:t xml:space="preserve">10 year published </w:t>
      </w:r>
      <w:r w:rsidRPr="00FB18DC">
        <w:t>- spread to swap</w:t>
      </w:r>
      <w:r w:rsidRPr="00FB18DC">
        <w:rPr>
          <w:rStyle w:val="AERsubscript"/>
        </w:rPr>
        <w:t>7</w:t>
      </w:r>
      <w:r w:rsidRPr="00FB18DC">
        <w:t xml:space="preserve"> </w:t>
      </w:r>
      <w:r w:rsidRPr="004842DA">
        <w:rPr>
          <w:rStyle w:val="AERsubscript"/>
        </w:rPr>
        <w:t>year published</w:t>
      </w:r>
      <w:r w:rsidRPr="00FB18DC">
        <w:t>)/(effective term</w:t>
      </w:r>
      <w:r w:rsidRPr="004842DA">
        <w:rPr>
          <w:rStyle w:val="AERsubscript"/>
        </w:rPr>
        <w:t xml:space="preserve">10 year published  </w:t>
      </w:r>
      <w:r w:rsidRPr="00FB18DC">
        <w:t>- effective term</w:t>
      </w:r>
      <w:r w:rsidRPr="00FB18DC">
        <w:rPr>
          <w:rStyle w:val="AERsubscript"/>
        </w:rPr>
        <w:t>7</w:t>
      </w:r>
      <w:r w:rsidRPr="00FB18DC">
        <w:t xml:space="preserve"> </w:t>
      </w:r>
      <w:r w:rsidRPr="004842DA">
        <w:rPr>
          <w:rStyle w:val="AERsubscript"/>
        </w:rPr>
        <w:t>year published</w:t>
      </w:r>
      <w:r w:rsidRPr="00FB18DC">
        <w:t>)] * (10 - effective term</w:t>
      </w:r>
      <w:r w:rsidRPr="00FB18DC">
        <w:rPr>
          <w:rStyle w:val="AERsubscript"/>
        </w:rPr>
        <w:t>10</w:t>
      </w:r>
      <w:r w:rsidRPr="00FB18DC">
        <w:t xml:space="preserve"> </w:t>
      </w:r>
      <w:r w:rsidRPr="004842DA">
        <w:rPr>
          <w:rStyle w:val="AERsubscript"/>
        </w:rPr>
        <w:t>year published</w:t>
      </w:r>
      <w:r w:rsidRPr="00FB18DC">
        <w:t>).</w:t>
      </w:r>
    </w:p>
    <w:p w:rsidR="00AA4D01" w:rsidRPr="00FB18DC" w:rsidRDefault="00AA4D01" w:rsidP="00AA4D01">
      <w:pPr>
        <w:numPr>
          <w:ilvl w:val="1"/>
          <w:numId w:val="24"/>
        </w:numPr>
      </w:pPr>
      <w:r w:rsidRPr="00FB18DC">
        <w:t>Linearly extrapolate the published RBA 7 year yield (from step 2) from its published effective term to an effective term of 7 years using the formula below:</w:t>
      </w:r>
      <w:r w:rsidRPr="00FB18DC">
        <w:rPr>
          <w:rStyle w:val="AERsuperscript"/>
        </w:rPr>
        <w:footnoteReference w:id="1359"/>
      </w:r>
    </w:p>
    <w:p w:rsidR="00AA4D01" w:rsidRPr="00FB18DC" w:rsidRDefault="00AA4D01" w:rsidP="00AA4D01">
      <w:pPr>
        <w:pStyle w:val="AERquote"/>
      </w:pPr>
      <w:r w:rsidRPr="00FB18DC">
        <w:t>yield</w:t>
      </w:r>
      <w:r w:rsidRPr="00FB18DC">
        <w:rPr>
          <w:rStyle w:val="AERsubscript"/>
        </w:rPr>
        <w:t>7</w:t>
      </w:r>
      <w:r w:rsidRPr="00FB18DC">
        <w:t xml:space="preserve"> = yield</w:t>
      </w:r>
      <w:r w:rsidRPr="00FB18DC">
        <w:rPr>
          <w:rStyle w:val="AERsubscript"/>
        </w:rPr>
        <w:t>7</w:t>
      </w:r>
      <w:r w:rsidRPr="00FB18DC">
        <w:t xml:space="preserve"> year published + [(spread to swap</w:t>
      </w:r>
      <w:r w:rsidRPr="00FB18DC">
        <w:rPr>
          <w:rStyle w:val="AERsubscript"/>
        </w:rPr>
        <w:t>10</w:t>
      </w:r>
      <w:r w:rsidRPr="00FB18DC">
        <w:t xml:space="preserve"> year published - spread to swap</w:t>
      </w:r>
      <w:r w:rsidRPr="00FB18DC">
        <w:rPr>
          <w:rStyle w:val="AERsubscript"/>
        </w:rPr>
        <w:t>7</w:t>
      </w:r>
      <w:r w:rsidRPr="00FB18DC">
        <w:t xml:space="preserve"> year published)/(effective term</w:t>
      </w:r>
      <w:r w:rsidRPr="00FB18DC">
        <w:rPr>
          <w:rStyle w:val="AERsubscript"/>
        </w:rPr>
        <w:t>10</w:t>
      </w:r>
      <w:r w:rsidRPr="00FB18DC">
        <w:t xml:space="preserve"> year published  - effective term</w:t>
      </w:r>
      <w:r w:rsidRPr="00FB18DC">
        <w:rPr>
          <w:rStyle w:val="AERsubscript"/>
        </w:rPr>
        <w:t>7</w:t>
      </w:r>
      <w:r w:rsidRPr="00FB18DC">
        <w:t xml:space="preserve"> year published)] * (7 - effective term</w:t>
      </w:r>
      <w:r w:rsidRPr="00FB18DC">
        <w:rPr>
          <w:rStyle w:val="AERsubscript"/>
        </w:rPr>
        <w:t>7</w:t>
      </w:r>
      <w:r w:rsidRPr="00FB18DC">
        <w:t xml:space="preserve"> year published).</w:t>
      </w:r>
    </w:p>
    <w:p w:rsidR="00AA4D01" w:rsidRPr="00FB18DC" w:rsidRDefault="00AA4D01" w:rsidP="00AA4D01">
      <w:pPr>
        <w:numPr>
          <w:ilvl w:val="1"/>
          <w:numId w:val="24"/>
        </w:numPr>
      </w:pPr>
      <w:r w:rsidRPr="00FB18DC">
        <w:t>Subtract from the extrapolated 10 year RBA yield on each publication date the interpolated CGS yield on that date. For the 10 year term, use the RBA series as adjusted in step 5. These are the adjusted RBA 10 year spreads.</w:t>
      </w:r>
      <w:r w:rsidRPr="00FB18DC">
        <w:rPr>
          <w:rStyle w:val="AERsuperscript"/>
        </w:rPr>
        <w:footnoteReference w:id="1360"/>
      </w:r>
    </w:p>
    <w:p w:rsidR="00AA4D01" w:rsidRPr="00FB18DC" w:rsidRDefault="00AA4D01" w:rsidP="00AA4D01">
      <w:pPr>
        <w:numPr>
          <w:ilvl w:val="1"/>
          <w:numId w:val="24"/>
        </w:numPr>
      </w:pPr>
      <w:r w:rsidRPr="00FB18DC">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AA4D01" w:rsidRPr="00FB18DC" w:rsidRDefault="00AA4D01" w:rsidP="00AA4D01">
      <w:pPr>
        <w:pStyle w:val="AERquote"/>
      </w:pPr>
      <w:r w:rsidRPr="00FB18DC">
        <w:t xml:space="preserve">spread </w:t>
      </w:r>
      <w:r w:rsidRPr="004842DA">
        <w:rPr>
          <w:rStyle w:val="AERsubscript"/>
        </w:rPr>
        <w:t>interpolated</w:t>
      </w:r>
      <w:r w:rsidRPr="00FB18DC">
        <w:t xml:space="preserve"> = spread </w:t>
      </w:r>
      <w:r w:rsidRPr="004842DA">
        <w:rPr>
          <w:rStyle w:val="AERsubscript"/>
        </w:rPr>
        <w:t>first straddling publication date</w:t>
      </w:r>
      <w:r w:rsidRPr="00FB18DC">
        <w:t xml:space="preserve"> + (date </w:t>
      </w:r>
      <w:r w:rsidRPr="004842DA">
        <w:rPr>
          <w:rStyle w:val="AERsubscript"/>
        </w:rPr>
        <w:t>interpolation</w:t>
      </w:r>
      <w:r w:rsidRPr="00FB18DC">
        <w:t xml:space="preserve"> - date </w:t>
      </w:r>
      <w:r w:rsidRPr="004842DA">
        <w:rPr>
          <w:rStyle w:val="AERsubscript"/>
        </w:rPr>
        <w:t>first straddling publication date</w:t>
      </w:r>
      <w:r w:rsidRPr="00FB18DC">
        <w:t xml:space="preserve">) * (spread </w:t>
      </w:r>
      <w:r w:rsidRPr="004842DA">
        <w:rPr>
          <w:rStyle w:val="AERsubscript"/>
        </w:rPr>
        <w:t>second straddling publication date</w:t>
      </w:r>
      <w:r w:rsidRPr="00FB18DC">
        <w:t xml:space="preserve"> - spread </w:t>
      </w:r>
      <w:r w:rsidRPr="004842DA">
        <w:rPr>
          <w:rStyle w:val="AERsubscript"/>
        </w:rPr>
        <w:t>first straddling publication date</w:t>
      </w:r>
      <w:r w:rsidRPr="00FB18DC">
        <w:t xml:space="preserve">) / (date </w:t>
      </w:r>
      <w:r w:rsidRPr="004842DA">
        <w:rPr>
          <w:rStyle w:val="AERsubscript"/>
        </w:rPr>
        <w:t>second straddling publication date</w:t>
      </w:r>
      <w:r w:rsidRPr="00FB18DC">
        <w:t xml:space="preserve"> - date </w:t>
      </w:r>
      <w:r w:rsidRPr="004842DA">
        <w:rPr>
          <w:rStyle w:val="AERsubscript"/>
        </w:rPr>
        <w:t>first straddling publication date</w:t>
      </w:r>
      <w:r w:rsidRPr="00FB18DC">
        <w:t>)</w:t>
      </w:r>
    </w:p>
    <w:p w:rsidR="00AA4D01" w:rsidRPr="00FB18DC" w:rsidRDefault="00AA4D01" w:rsidP="00AA4D01">
      <w:pPr>
        <w:pStyle w:val="AERquote"/>
      </w:pPr>
      <w:r w:rsidRPr="00FB18DC">
        <w:t xml:space="preserve">Note: If the annual return on debt estimate must be finalised before a final published RBA month-end estimate is available, hold the last observed RBA spread constant to the end of the averaging period. </w:t>
      </w:r>
    </w:p>
    <w:p w:rsidR="00AA4D01" w:rsidRPr="00FB18DC" w:rsidRDefault="00AA4D01" w:rsidP="00AA4D01">
      <w:pPr>
        <w:numPr>
          <w:ilvl w:val="1"/>
          <w:numId w:val="24"/>
        </w:numPr>
      </w:pPr>
      <w:r w:rsidRPr="00FB18DC">
        <w:t>Add to these daily spreads (from step 8), daily interpolated estimates of the CGS (from step 4) for all business days in the service providers averaging period. Specifically:</w:t>
      </w:r>
    </w:p>
    <w:p w:rsidR="00AA4D01" w:rsidRPr="00FB18DC" w:rsidRDefault="00AA4D01" w:rsidP="00AA4D01">
      <w:pPr>
        <w:numPr>
          <w:ilvl w:val="2"/>
          <w:numId w:val="24"/>
        </w:numPr>
      </w:pPr>
      <w:r w:rsidRPr="00FB18DC">
        <w:t xml:space="preserve"> add the 7 year interpolated CGS estimates to the 7 year interpolated RBA spreads. These are the interpolated RBA daily 7-year yield estimates.</w:t>
      </w:r>
    </w:p>
    <w:p w:rsidR="00AA4D01" w:rsidRPr="00FB18DC" w:rsidRDefault="00AA4D01" w:rsidP="00AA4D01">
      <w:pPr>
        <w:numPr>
          <w:ilvl w:val="2"/>
          <w:numId w:val="24"/>
        </w:numPr>
      </w:pPr>
      <w:r w:rsidRPr="00FB18DC">
        <w:t xml:space="preserve"> add the 10 year interpolated CGS estimate to the 10 year interpolated RBA spread. These are the interpolated RBA daily 10-year yield estimates.</w:t>
      </w:r>
    </w:p>
    <w:p w:rsidR="00AA4D01" w:rsidRPr="00FB18DC" w:rsidRDefault="00AA4D01" w:rsidP="00AA4D01">
      <w:pPr>
        <w:numPr>
          <w:ilvl w:val="1"/>
          <w:numId w:val="24"/>
        </w:numPr>
      </w:pPr>
      <w:r w:rsidRPr="00FB18DC">
        <w:t>Convert the interpolated daily yield estimates (from step 9) to effective annual rates, using the formula:</w:t>
      </w:r>
      <w:r w:rsidRPr="004842DA">
        <w:rPr>
          <w:rStyle w:val="AERsuperscript"/>
        </w:rPr>
        <w:footnoteReference w:id="1361"/>
      </w:r>
    </w:p>
    <w:p w:rsidR="00AA4D01" w:rsidRPr="00FB18DC" w:rsidRDefault="00AA4D01" w:rsidP="00AA4D01">
      <w:pPr>
        <w:pStyle w:val="AERquote"/>
      </w:pPr>
      <w:r w:rsidRPr="00FB18DC">
        <w:t>effective annual rate = ((1 + yield / 200)</w:t>
      </w:r>
      <w:r w:rsidRPr="00FB18DC">
        <w:rPr>
          <w:rStyle w:val="AERsuperscript"/>
        </w:rPr>
        <w:t>2</w:t>
      </w:r>
      <w:r w:rsidRPr="00FB18DC">
        <w:t xml:space="preserve"> - 1)*100</w:t>
      </w:r>
    </w:p>
    <w:p w:rsidR="00AA4D01" w:rsidRPr="00FB18DC" w:rsidRDefault="00AA4D01" w:rsidP="00AA4D01">
      <w:pPr>
        <w:numPr>
          <w:ilvl w:val="1"/>
          <w:numId w:val="24"/>
        </w:numPr>
      </w:pPr>
      <w:r w:rsidRPr="00FB18DC">
        <w:t>Average the yield estimate for the 10 year RBA yield estimate over all business days in the service provider's averaging period. This is our adjusted RBA estimate.</w:t>
      </w:r>
    </w:p>
    <w:p w:rsidR="00AA4D01" w:rsidRPr="00FB18DC" w:rsidRDefault="00AA4D01" w:rsidP="00AA4D01">
      <w:pPr>
        <w:numPr>
          <w:ilvl w:val="0"/>
          <w:numId w:val="24"/>
        </w:numPr>
        <w:rPr>
          <w:rStyle w:val="AERtextitalic"/>
        </w:rPr>
      </w:pPr>
      <w:r w:rsidRPr="00FB18DC">
        <w:rPr>
          <w:rStyle w:val="AERtextitalic"/>
        </w:rPr>
        <w:t>Calculation of the adjusted BVAL estimate</w:t>
      </w:r>
    </w:p>
    <w:p w:rsidR="00AA4D01" w:rsidRPr="00FB18DC" w:rsidRDefault="00AA4D01" w:rsidP="00AA4D01">
      <w:pPr>
        <w:numPr>
          <w:ilvl w:val="1"/>
          <w:numId w:val="24"/>
        </w:numPr>
      </w:pPr>
      <w:r w:rsidRPr="00FB18DC">
        <w:t>For dates after 14 April 2015, download the 10 year Corporate BBB rated Australian BVAL curve (BVC</w:t>
      </w:r>
      <w:r>
        <w:t>S</w:t>
      </w:r>
      <w:r w:rsidRPr="00FB18DC">
        <w:t>AB10). For dates before 14 April 2015, Download from Bloomberg the 7 year Corporate BBB rated Australian BVAL curve (BVCSAB07 index) for all business days in the service provider's averaging period.</w:t>
      </w:r>
      <w:r w:rsidRPr="00FB18DC">
        <w:rPr>
          <w:rStyle w:val="AERsuperscript"/>
        </w:rPr>
        <w:footnoteReference w:id="1362"/>
      </w:r>
    </w:p>
    <w:p w:rsidR="00AA4D01" w:rsidRPr="00FB18DC" w:rsidRDefault="00AA4D01" w:rsidP="00AA4D01">
      <w:pPr>
        <w:numPr>
          <w:ilvl w:val="1"/>
          <w:numId w:val="24"/>
        </w:numPr>
      </w:pPr>
      <w:r w:rsidRPr="00FB18DC">
        <w:t>For dates before 14 April 2015, add to the 7 year yield the difference between the 7 and 10 year daily RBA adjuste</w:t>
      </w:r>
      <w:r>
        <w:t>d yields (as calculated in step 8</w:t>
      </w:r>
      <w:r w:rsidRPr="00FB18DC">
        <w:t xml:space="preserve"> of the RBA process). This is the extrapolated daily estimate of the BVAL 10 year yield.</w:t>
      </w:r>
      <w:r w:rsidRPr="00FB18DC">
        <w:rPr>
          <w:rStyle w:val="AERsuperscript"/>
        </w:rPr>
        <w:footnoteReference w:id="1363"/>
      </w:r>
    </w:p>
    <w:p w:rsidR="00AA4D01" w:rsidRPr="00FB18DC" w:rsidRDefault="00AA4D01" w:rsidP="00AA4D01">
      <w:pPr>
        <w:numPr>
          <w:ilvl w:val="1"/>
          <w:numId w:val="24"/>
        </w:numPr>
      </w:pPr>
      <w:r w:rsidRPr="00FB18DC">
        <w:t xml:space="preserve">For all dates, convert the 10 year yields into effective annual rates, using the formula: </w:t>
      </w:r>
    </w:p>
    <w:p w:rsidR="00AA4D01" w:rsidRPr="00FB18DC" w:rsidRDefault="00AA4D01" w:rsidP="00AA4D01">
      <w:pPr>
        <w:pStyle w:val="AERquote"/>
      </w:pPr>
      <w:r w:rsidRPr="00FB18DC">
        <w:t>effective annual rate = ((1 + yield / 200 )</w:t>
      </w:r>
      <w:r w:rsidRPr="00FB18DC">
        <w:rPr>
          <w:rStyle w:val="AERsuperscript"/>
        </w:rPr>
        <w:t>2</w:t>
      </w:r>
      <w:r w:rsidRPr="00FB18DC">
        <w:t xml:space="preserve"> - 1)*100</w:t>
      </w:r>
    </w:p>
    <w:p w:rsidR="00AA4D01" w:rsidRPr="00FB18DC" w:rsidRDefault="00AA4D01" w:rsidP="00AA4D01">
      <w:pPr>
        <w:numPr>
          <w:ilvl w:val="1"/>
          <w:numId w:val="24"/>
        </w:numPr>
      </w:pPr>
      <w:r w:rsidRPr="00FB18DC">
        <w:t>Average the extrapolated daily estimates of the BVAL 10 year yield over all business days in the service provider's averaging period. This is our adjusted BVAL estimate.</w:t>
      </w:r>
    </w:p>
    <w:p w:rsidR="00AA4D01" w:rsidRPr="00FB18DC" w:rsidRDefault="00AA4D01" w:rsidP="00AA4D01">
      <w:pPr>
        <w:numPr>
          <w:ilvl w:val="0"/>
          <w:numId w:val="24"/>
        </w:numPr>
        <w:rPr>
          <w:rStyle w:val="AERtextitalic"/>
        </w:rPr>
      </w:pPr>
      <w:r w:rsidRPr="00FB18DC">
        <w:rPr>
          <w:rStyle w:val="AERtextitalic"/>
        </w:rPr>
        <w:t>Final estimate</w:t>
      </w:r>
    </w:p>
    <w:p w:rsidR="00AA4D01" w:rsidRPr="00FB18DC" w:rsidRDefault="00AA4D01" w:rsidP="00AA4D01">
      <w:pPr>
        <w:numPr>
          <w:ilvl w:val="0"/>
          <w:numId w:val="24"/>
        </w:numPr>
      </w:pPr>
      <w:r w:rsidRPr="00FB18DC">
        <w:t>Take the simple average of the adjusted RBA estimate (from step 11 in the RBA data section) and the adjusted BVAL estimate (from step 4 in the BVAL data section). This is the annual estimate of the return on debt.</w:t>
      </w:r>
    </w:p>
    <w:p w:rsidR="00AA4D01" w:rsidRPr="00FB18DC" w:rsidRDefault="00AA4D01" w:rsidP="00AA4D01">
      <w:pPr>
        <w:pStyle w:val="Heading9"/>
      </w:pPr>
      <w:bookmarkStart w:id="410" w:name="_Toc433457170"/>
      <w:bookmarkStart w:id="411" w:name="_Toc450916274"/>
      <w:bookmarkStart w:id="412" w:name="_Toc451678706"/>
      <w:bookmarkStart w:id="413" w:name="_Ref451901327"/>
      <w:r w:rsidRPr="00FB18DC">
        <w:t>Choice of data series—Contingencies</w:t>
      </w:r>
      <w:bookmarkEnd w:id="410"/>
      <w:bookmarkEnd w:id="411"/>
      <w:bookmarkEnd w:id="412"/>
      <w:bookmarkEnd w:id="413"/>
    </w:p>
    <w:p w:rsidR="00AA4D01" w:rsidRPr="00FB18DC" w:rsidRDefault="00AA4D01" w:rsidP="00AA4D01">
      <w:r w:rsidRPr="00FB18DC">
        <w:t xml:space="preserve">Our decision is to largely maintain the set of contingencies as set out in our recent decisions. </w:t>
      </w:r>
    </w:p>
    <w:p w:rsidR="00AA4D01" w:rsidRPr="00FB18DC" w:rsidRDefault="00AA4D01" w:rsidP="00AA4D01">
      <w:r w:rsidRPr="00FB18DC">
        <w:t>We have made our decision based on the information and third party data that is currently available</w:t>
      </w:r>
      <w:r>
        <w:t>, subject to consultation and review</w:t>
      </w:r>
      <w:r w:rsidRPr="00FB18DC">
        <w:t>.</w:t>
      </w:r>
      <w:r w:rsidRPr="00FB18DC">
        <w:rPr>
          <w:rStyle w:val="FootnoteReference"/>
        </w:rPr>
        <w:footnoteReference w:id="1364"/>
      </w:r>
      <w:r w:rsidRPr="00FB18DC">
        <w:t xml:space="preserve"> </w:t>
      </w:r>
      <w:r>
        <w:t xml:space="preserve"> For clarity, we do not estimate the allowed return on debt with reference to one particular third party data series (the Reuters curve), which we have had limited opportunity to consult on using or to review.</w:t>
      </w:r>
      <w:r>
        <w:rPr>
          <w:rStyle w:val="FootnoteReference"/>
        </w:rPr>
        <w:footnoteReference w:id="1365"/>
      </w:r>
      <w:r>
        <w:t xml:space="preserve">  </w:t>
      </w:r>
    </w:p>
    <w:p w:rsidR="00AA4D01" w:rsidRPr="00FB18DC" w:rsidRDefault="00AA4D01" w:rsidP="00AA4D01">
      <w:r w:rsidRPr="00FB18DC">
        <w:t>We have set out a series of contingencies</w:t>
      </w:r>
      <w:r>
        <w:t xml:space="preserve">. This is important because </w:t>
      </w:r>
      <w:r w:rsidRPr="00FB18DC">
        <w:t xml:space="preserve">the availability of third party data </w:t>
      </w:r>
      <w:r>
        <w:t xml:space="preserve">can </w:t>
      </w:r>
      <w:r w:rsidRPr="00FB18DC">
        <w:t>change</w:t>
      </w:r>
      <w:r>
        <w:t xml:space="preserve"> and we have determined to</w:t>
      </w:r>
      <w:r w:rsidRPr="00FB18DC">
        <w:t xml:space="preserve"> annually update the trailing average portfolio return on debt. Under the rules, the change in revenue resulting from the annual update must occur by automatic application of a formula that is specified in the decision.</w:t>
      </w:r>
      <w:r w:rsidRPr="00FB18DC">
        <w:rPr>
          <w:rStyle w:val="AERsuperscript"/>
        </w:rPr>
        <w:t xml:space="preserve"> </w:t>
      </w:r>
      <w:r w:rsidRPr="00FB18DC">
        <w:rPr>
          <w:rStyle w:val="AERsuperscript"/>
        </w:rPr>
        <w:footnoteReference w:id="1366"/>
      </w:r>
      <w:r w:rsidRPr="00FB18DC">
        <w:t xml:space="preserve">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 </w:t>
      </w:r>
      <w:r>
        <w:fldChar w:fldCharType="begin"/>
      </w:r>
      <w:r>
        <w:instrText xml:space="preserve"> REF  _Ref450564000 \* Lower \h </w:instrText>
      </w:r>
      <w:r>
        <w:fldChar w:fldCharType="separate"/>
      </w:r>
      <w:r w:rsidR="00BA2E8E" w:rsidRPr="00FB18DC">
        <w:t xml:space="preserve">table </w:t>
      </w:r>
      <w:r w:rsidR="00BA2E8E">
        <w:rPr>
          <w:noProof/>
        </w:rPr>
        <w:t>3</w:t>
      </w:r>
      <w:r w:rsidR="00BA2E8E">
        <w:noBreakHyphen/>
      </w:r>
      <w:r w:rsidR="00BA2E8E">
        <w:rPr>
          <w:noProof/>
        </w:rPr>
        <w:t>48</w:t>
      </w:r>
      <w:r>
        <w:fldChar w:fldCharType="end"/>
      </w:r>
      <w:r>
        <w:t xml:space="preserve"> </w:t>
      </w:r>
      <w:r w:rsidRPr="00FB18DC">
        <w:t>below. These describe how we propose to estimate the annual return on debt in the event of revisions in the RBA's or Bloomberg's methodologies or other changes to data availability.</w:t>
      </w:r>
    </w:p>
    <w:p w:rsidR="00AA4D01" w:rsidRPr="00FB18DC" w:rsidRDefault="00AA4D01" w:rsidP="00AA4D01">
      <w:pPr>
        <w:pStyle w:val="Caption"/>
      </w:pPr>
      <w:bookmarkStart w:id="414" w:name="_Ref450564000"/>
      <w:r w:rsidRPr="00FB18DC">
        <w:t xml:space="preserve">Table </w:t>
      </w:r>
      <w:fldSimple w:instr=" STYLEREF 1 \s ">
        <w:r w:rsidR="00BA2E8E">
          <w:rPr>
            <w:noProof/>
          </w:rPr>
          <w:t>3</w:t>
        </w:r>
      </w:fldSimple>
      <w:r w:rsidR="000F4BC3">
        <w:noBreakHyphen/>
      </w:r>
      <w:fldSimple w:instr=" SEQ Table \* ARABIC \s 1 ">
        <w:r w:rsidR="00BA2E8E">
          <w:rPr>
            <w:noProof/>
          </w:rPr>
          <w:t>48</w:t>
        </w:r>
      </w:fldSimple>
      <w:bookmarkEnd w:id="414"/>
      <w:r w:rsidRPr="00FB18DC">
        <w:tab/>
        <w:t>Contingency approaches to choice of data series</w:t>
      </w:r>
    </w:p>
    <w:tbl>
      <w:tblPr>
        <w:tblStyle w:val="AERtable-text0"/>
        <w:tblW w:w="4966" w:type="pct"/>
        <w:tblLook w:val="04A0" w:firstRow="1" w:lastRow="0" w:firstColumn="1" w:lastColumn="0" w:noHBand="0" w:noVBand="1"/>
      </w:tblPr>
      <w:tblGrid>
        <w:gridCol w:w="2523"/>
        <w:gridCol w:w="6111"/>
      </w:tblGrid>
      <w:tr w:rsidR="00AA4D01" w:rsidRPr="00BB7AB1" w:rsidTr="007201E8">
        <w:trPr>
          <w:cnfStyle w:val="100000000000" w:firstRow="1" w:lastRow="0" w:firstColumn="0" w:lastColumn="0" w:oddVBand="0" w:evenVBand="0" w:oddHBand="0" w:evenHBand="0" w:firstRowFirstColumn="0" w:firstRowLastColumn="0" w:lastRowFirstColumn="0" w:lastRowLastColumn="0"/>
          <w:tblHeader/>
        </w:trPr>
        <w:tc>
          <w:tcPr>
            <w:tcW w:w="1461" w:type="pct"/>
          </w:tcPr>
          <w:p w:rsidR="00AA4D01" w:rsidRPr="00FB18DC" w:rsidRDefault="00AA4D01" w:rsidP="00AA4D01">
            <w:pPr>
              <w:numPr>
                <w:ilvl w:val="0"/>
                <w:numId w:val="24"/>
              </w:numPr>
            </w:pPr>
            <w:r w:rsidRPr="00FB18DC">
              <w:t>Event</w:t>
            </w:r>
          </w:p>
        </w:tc>
        <w:tc>
          <w:tcPr>
            <w:tcW w:w="3539" w:type="pct"/>
          </w:tcPr>
          <w:p w:rsidR="00AA4D01" w:rsidRPr="00FB18DC" w:rsidRDefault="00AA4D01" w:rsidP="00AA4D01">
            <w:pPr>
              <w:numPr>
                <w:ilvl w:val="0"/>
                <w:numId w:val="24"/>
              </w:numPr>
            </w:pPr>
            <w:r w:rsidRPr="00FB18DC">
              <w:t>Changes to approach</w:t>
            </w:r>
          </w:p>
        </w:tc>
      </w:tr>
      <w:tr w:rsidR="00AA4D01" w:rsidRPr="00BB7AB1" w:rsidTr="007201E8">
        <w:tc>
          <w:tcPr>
            <w:tcW w:w="1461" w:type="pct"/>
          </w:tcPr>
          <w:p w:rsidR="00AA4D01" w:rsidRPr="00FB18DC" w:rsidRDefault="00AA4D01" w:rsidP="00AA4D01">
            <w:pPr>
              <w:numPr>
                <w:ilvl w:val="0"/>
                <w:numId w:val="24"/>
              </w:numPr>
            </w:pPr>
            <w:r w:rsidRPr="00FB18DC">
              <w:t>Either the RBA or Bloomberg ceases publication of Australian yield curves that reflect a broad BBB rating.</w:t>
            </w:r>
          </w:p>
        </w:tc>
        <w:tc>
          <w:tcPr>
            <w:tcW w:w="3539" w:type="pct"/>
          </w:tcPr>
          <w:p w:rsidR="00AA4D01" w:rsidRPr="00FB18DC" w:rsidRDefault="00AA4D01" w:rsidP="00AA4D01">
            <w:pPr>
              <w:numPr>
                <w:ilvl w:val="0"/>
                <w:numId w:val="24"/>
              </w:numPr>
            </w:pPr>
            <w:r w:rsidRPr="00FB18DC">
              <w:t>We will estimate the annual return on debt using the remaining curve.</w:t>
            </w:r>
          </w:p>
        </w:tc>
      </w:tr>
      <w:tr w:rsidR="00AA4D01" w:rsidRPr="00BB7AB1" w:rsidTr="007201E8">
        <w:trPr>
          <w:cnfStyle w:val="000000010000" w:firstRow="0" w:lastRow="0" w:firstColumn="0" w:lastColumn="0" w:oddVBand="0" w:evenVBand="0" w:oddHBand="0" w:evenHBand="1" w:firstRowFirstColumn="0" w:firstRowLastColumn="0" w:lastRowFirstColumn="0" w:lastRowLastColumn="0"/>
        </w:trPr>
        <w:tc>
          <w:tcPr>
            <w:tcW w:w="1461" w:type="pct"/>
          </w:tcPr>
          <w:p w:rsidR="00AA4D01" w:rsidRPr="00FB18DC" w:rsidRDefault="00AA4D01" w:rsidP="00AA4D01">
            <w:pPr>
              <w:numPr>
                <w:ilvl w:val="0"/>
                <w:numId w:val="24"/>
              </w:numPr>
            </w:pPr>
            <w:r w:rsidRPr="00FB18DC">
              <w:t>A different third party commences publication of a 10 year yield estimate</w:t>
            </w:r>
            <w:r>
              <w:t xml:space="preserve"> (or we are made aware of a different third party publishing a 10 year yield estimate)</w:t>
            </w:r>
            <w:r w:rsidRPr="00FB18DC">
              <w:t>.</w:t>
            </w:r>
            <w:r>
              <w:rPr>
                <w:rStyle w:val="FootnoteReference"/>
              </w:rPr>
              <w:footnoteReference w:id="1367"/>
            </w:r>
          </w:p>
        </w:tc>
        <w:tc>
          <w:tcPr>
            <w:tcW w:w="3539" w:type="pct"/>
          </w:tcPr>
          <w:p w:rsidR="00AA4D01" w:rsidRPr="00FB18DC" w:rsidRDefault="00AA4D01" w:rsidP="00AA4D01">
            <w:pPr>
              <w:numPr>
                <w:ilvl w:val="0"/>
                <w:numId w:val="24"/>
              </w:numPr>
            </w:pPr>
            <w:r w:rsidRPr="00FB18DC">
              <w:t xml:space="preserve">We will not apply estimates from a third party data provider that we have not evaluated and included in our final decision approach. We will consider any new data sources in future determinations. </w:t>
            </w:r>
          </w:p>
        </w:tc>
      </w:tr>
      <w:tr w:rsidR="00AA4D01" w:rsidRPr="00BB7AB1" w:rsidTr="007201E8">
        <w:tc>
          <w:tcPr>
            <w:tcW w:w="1461" w:type="pct"/>
          </w:tcPr>
          <w:p w:rsidR="00AA4D01" w:rsidRPr="00FB18DC" w:rsidRDefault="00AA4D01" w:rsidP="00AA4D01">
            <w:pPr>
              <w:numPr>
                <w:ilvl w:val="0"/>
                <w:numId w:val="24"/>
              </w:numPr>
            </w:pPr>
            <w:r w:rsidRPr="00FB18DC">
              <w:t>Either Bloomberg or RBA substitutes its current methodology for a revised or updated methodology.</w:t>
            </w:r>
          </w:p>
        </w:tc>
        <w:tc>
          <w:tcPr>
            <w:tcW w:w="3539" w:type="pct"/>
          </w:tcPr>
          <w:p w:rsidR="00AA4D01" w:rsidRPr="00FB18DC" w:rsidRDefault="00AA4D01" w:rsidP="00AA4D01">
            <w:pPr>
              <w:numPr>
                <w:ilvl w:val="0"/>
                <w:numId w:val="24"/>
              </w:numPr>
            </w:pPr>
            <w:r w:rsidRPr="00FB18DC">
              <w:t>We will adopt the revised or updated methodology. Then, at the next regulatory determination, we will review this updated methodology. As noted above, we would also review any new data sources.</w:t>
            </w:r>
          </w:p>
          <w:p w:rsidR="00AA4D01" w:rsidRPr="00FB18DC" w:rsidRDefault="00AA4D01" w:rsidP="00AA4D01">
            <w:pPr>
              <w:numPr>
                <w:ilvl w:val="0"/>
                <w:numId w:val="24"/>
              </w:numPr>
            </w:pPr>
            <w:r w:rsidRPr="00FB18DC">
              <w:t>However, if Bloomberg or the RBA backcasts or replaces data using a revised or updated methodology we will not use the backcasted data to re-estimate our estimates of the prevailing return on debt for previous years. This would be impractical and would create regulatory uncertainty over whether the allowed return on debt would at some point in the future be re-opened. Instead, we will continue to use the Bloomberg or RBA data that we downloaded at the time of estimating the prevailing return on debt for that point in time.</w:t>
            </w:r>
            <w:r w:rsidRPr="00FB18DC">
              <w:rPr>
                <w:rStyle w:val="FootnoteReference"/>
              </w:rPr>
              <w:footnoteReference w:id="1368"/>
            </w:r>
          </w:p>
        </w:tc>
      </w:tr>
      <w:tr w:rsidR="00AA4D01" w:rsidRPr="00BB7AB1" w:rsidTr="007201E8">
        <w:trPr>
          <w:cnfStyle w:val="000000010000" w:firstRow="0" w:lastRow="0" w:firstColumn="0" w:lastColumn="0" w:oddVBand="0" w:evenVBand="0" w:oddHBand="0" w:evenHBand="1" w:firstRowFirstColumn="0" w:firstRowLastColumn="0" w:lastRowFirstColumn="0" w:lastRowLastColumn="0"/>
        </w:trPr>
        <w:tc>
          <w:tcPr>
            <w:tcW w:w="1461" w:type="pct"/>
          </w:tcPr>
          <w:p w:rsidR="00AA4D01" w:rsidRPr="00FB18DC" w:rsidRDefault="00AA4D01" w:rsidP="00AA4D01">
            <w:pPr>
              <w:numPr>
                <w:ilvl w:val="0"/>
                <w:numId w:val="24"/>
              </w:numPr>
            </w:pPr>
            <w:r w:rsidRPr="00FB18DC">
              <w:t>Bloomberg reduces the maximum published BVAL term from 10 years</w:t>
            </w:r>
            <w:r>
              <w:t>.</w:t>
            </w:r>
          </w:p>
        </w:tc>
        <w:tc>
          <w:tcPr>
            <w:tcW w:w="3539" w:type="pct"/>
          </w:tcPr>
          <w:p w:rsidR="00AA4D01" w:rsidRPr="00FB18DC" w:rsidRDefault="00AA4D01" w:rsidP="00AA4D01">
            <w:pPr>
              <w:numPr>
                <w:ilvl w:val="0"/>
                <w:numId w:val="24"/>
              </w:numPr>
            </w:pPr>
            <w:r w:rsidRPr="00FB18DC">
              <w:t xml:space="preserve">If Bloomberg still publishes the BVAL curve to 5 or more years, we will extrapolate the BVAL curve from the longest published term using the 5 to 10 year yield margin from the RBA curve. </w:t>
            </w:r>
          </w:p>
          <w:p w:rsidR="00AA4D01" w:rsidRPr="00FB18DC" w:rsidRDefault="00AA4D01" w:rsidP="00AA4D01">
            <w:pPr>
              <w:numPr>
                <w:ilvl w:val="0"/>
                <w:numId w:val="24"/>
              </w:numPr>
            </w:pPr>
            <w:r w:rsidRPr="00FB18DC">
              <w:t>If Bloomberg no longer publishes the BVAL curve to 5 years, we will rely entirely on the RBA curve.</w:t>
            </w:r>
          </w:p>
        </w:tc>
      </w:tr>
      <w:tr w:rsidR="00AA4D01" w:rsidRPr="00BB7AB1" w:rsidTr="007201E8">
        <w:tc>
          <w:tcPr>
            <w:tcW w:w="1461" w:type="pct"/>
          </w:tcPr>
          <w:p w:rsidR="00AA4D01" w:rsidRPr="00FB18DC" w:rsidRDefault="00AA4D01" w:rsidP="00AA4D01">
            <w:pPr>
              <w:numPr>
                <w:ilvl w:val="0"/>
                <w:numId w:val="24"/>
              </w:numPr>
            </w:pPr>
            <w:r w:rsidRPr="00FB18DC">
              <w:t>The RBA ceases publication of a 10 year yield estimate.</w:t>
            </w:r>
            <w:r w:rsidRPr="00FB18DC">
              <w:tab/>
            </w:r>
          </w:p>
        </w:tc>
        <w:tc>
          <w:tcPr>
            <w:tcW w:w="3539" w:type="pct"/>
          </w:tcPr>
          <w:p w:rsidR="00AA4D01" w:rsidRPr="00FB18DC" w:rsidRDefault="00AA4D01" w:rsidP="00AA4D01">
            <w:pPr>
              <w:numPr>
                <w:ilvl w:val="0"/>
                <w:numId w:val="24"/>
              </w:numPr>
            </w:pPr>
            <w:r w:rsidRPr="00FB18DC">
              <w:t>If the RBA ceases publication of a 10 year yield estimate, we will extrapolate the RBA estimate to 10 years using:</w:t>
            </w:r>
          </w:p>
          <w:p w:rsidR="00AA4D01" w:rsidRPr="00AA4D01" w:rsidRDefault="00AA4D01" w:rsidP="00AA4D01">
            <w:pPr>
              <w:pStyle w:val="AERbulletlistfirststyle"/>
            </w:pPr>
            <w:r w:rsidRPr="00FB18DC">
              <w:t>if available, the margin between spreads in the Bloomberg curve,</w:t>
            </w:r>
            <w:r w:rsidRPr="00AA4D01">
              <w:rPr>
                <w:rStyle w:val="FootnoteReference"/>
              </w:rPr>
              <w:footnoteReference w:id="1369"/>
            </w:r>
            <w:r w:rsidRPr="00AA4D01">
              <w:t xml:space="preserve"> from the RBA's longest published target term to 10 years</w:t>
            </w:r>
          </w:p>
          <w:p w:rsidR="00AA4D01" w:rsidRPr="00AA4D01" w:rsidRDefault="00AA4D01" w:rsidP="00AA4D01">
            <w:pPr>
              <w:pStyle w:val="AERbulletlistfirststyle"/>
            </w:pPr>
            <w:r w:rsidRPr="00FB18DC">
              <w:t>otherwise, the actual CGS margin from the RBA's longest published estimate to 10 years, plus the average DRP spread for the same term margin over the last month prior to the end of its publication.</w:t>
            </w:r>
          </w:p>
        </w:tc>
      </w:tr>
      <w:tr w:rsidR="00AA4D01" w:rsidRPr="00BB7AB1" w:rsidTr="007201E8">
        <w:trPr>
          <w:cnfStyle w:val="000000010000" w:firstRow="0" w:lastRow="0" w:firstColumn="0" w:lastColumn="0" w:oddVBand="0" w:evenVBand="0" w:oddHBand="0" w:evenHBand="1" w:firstRowFirstColumn="0" w:firstRowLastColumn="0" w:lastRowFirstColumn="0" w:lastRowLastColumn="0"/>
        </w:trPr>
        <w:tc>
          <w:tcPr>
            <w:tcW w:w="1461" w:type="pct"/>
          </w:tcPr>
          <w:p w:rsidR="00AA4D01" w:rsidRPr="00FB18DC" w:rsidRDefault="00AA4D01" w:rsidP="00AA4D01">
            <w:pPr>
              <w:numPr>
                <w:ilvl w:val="0"/>
                <w:numId w:val="24"/>
              </w:numPr>
            </w:pPr>
            <w:r w:rsidRPr="00FB18DC">
              <w:t>The RBA commences publication of daily estimates.</w:t>
            </w:r>
          </w:p>
        </w:tc>
        <w:tc>
          <w:tcPr>
            <w:tcW w:w="3539" w:type="pct"/>
          </w:tcPr>
          <w:p w:rsidR="00AA4D01" w:rsidRPr="00FB18DC" w:rsidRDefault="00AA4D01" w:rsidP="00AA4D01">
            <w:pPr>
              <w:numPr>
                <w:ilvl w:val="0"/>
                <w:numId w:val="24"/>
              </w:numPr>
            </w:pPr>
            <w:r w:rsidRPr="00FB18DC">
              <w:t>We will cease interpolating the RBA monthly yields. Instead, we will estimate both the RBA yield and the RBA year extrapolation margin (used with the BVAL curve) using these daily estimates.</w:t>
            </w:r>
          </w:p>
        </w:tc>
      </w:tr>
      <w:tr w:rsidR="00AA4D01" w:rsidRPr="00BB7AB1" w:rsidTr="007201E8">
        <w:tc>
          <w:tcPr>
            <w:tcW w:w="1461" w:type="pct"/>
          </w:tcPr>
          <w:p w:rsidR="00AA4D01" w:rsidRPr="00FB18DC" w:rsidRDefault="00AA4D01" w:rsidP="00AA4D01">
            <w:pPr>
              <w:numPr>
                <w:ilvl w:val="0"/>
                <w:numId w:val="24"/>
              </w:numPr>
            </w:pPr>
            <w:r w:rsidRPr="00FB18DC">
              <w:t>Either Bloomberg or the RBA publishes a BBB+ or utilities specific yield curve.</w:t>
            </w:r>
          </w:p>
        </w:tc>
        <w:tc>
          <w:tcPr>
            <w:tcW w:w="3539" w:type="pct"/>
          </w:tcPr>
          <w:p w:rsidR="00AA4D01" w:rsidRPr="00FB18DC" w:rsidRDefault="00AA4D01" w:rsidP="00AA4D01">
            <w:pPr>
              <w:numPr>
                <w:ilvl w:val="0"/>
                <w:numId w:val="24"/>
              </w:numPr>
            </w:pPr>
            <w:r w:rsidRPr="00FB18DC">
              <w:t>We will adopt the BBB+ or utilities curve in place of the provider's existing curve, on the basis that it is a closer fit to our benchmark efficient entity.</w:t>
            </w:r>
          </w:p>
        </w:tc>
      </w:tr>
    </w:tbl>
    <w:p w:rsidR="00AA4D01" w:rsidRPr="00FB18DC" w:rsidRDefault="00AA4D01" w:rsidP="00AA4D01">
      <w:pPr>
        <w:pStyle w:val="AERtablesource"/>
      </w:pPr>
      <w:r w:rsidRPr="00FB18DC">
        <w:t>Source:</w:t>
      </w:r>
      <w:r w:rsidRPr="00FB18DC">
        <w:tab/>
      </w:r>
      <w:r w:rsidRPr="00FB18DC">
        <w:tab/>
        <w:t>AER analysis</w:t>
      </w:r>
    </w:p>
    <w:p w:rsidR="00AA4D01" w:rsidRPr="00FB18DC" w:rsidRDefault="00AA4D01" w:rsidP="00AA4D01">
      <w:r w:rsidRPr="00FB18DC">
        <w:t>In general, we have decided on these contingencies based on a series of guiding principles. These are that the contingency must:</w:t>
      </w:r>
    </w:p>
    <w:p w:rsidR="00AA4D01" w:rsidRPr="00FB18DC" w:rsidRDefault="00AA4D01" w:rsidP="00AA4D01">
      <w:pPr>
        <w:pStyle w:val="AERbulletlistfirststyle"/>
      </w:pPr>
      <w:r w:rsidRPr="00FB18DC">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AA4D01" w:rsidRPr="00FB18DC" w:rsidRDefault="00AA4D01" w:rsidP="00AA4D01">
      <w:pPr>
        <w:pStyle w:val="AERbulletlistfirststyle"/>
      </w:pPr>
      <w:r w:rsidRPr="00FB18DC">
        <w:t>Use the curve in a form as close as possible to its published form—for example, in April 2015 Bloomberg commenced publication of a 10 year BVAL curve. Accordingly, for averaging periods where the 10 year estimate is available, we will adopt this estimate rather than the 7 year BVAL curve extrapolated with RBA data.</w:t>
      </w:r>
    </w:p>
    <w:p w:rsidR="00AA4D01" w:rsidRPr="00A42A22" w:rsidRDefault="00AA4D01" w:rsidP="00AA4D01">
      <w:pPr>
        <w:pStyle w:val="AERbulletlistfirststyle"/>
      </w:pPr>
      <w:r w:rsidRPr="00FB18DC">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A42A22">
        <w:rPr>
          <w:rStyle w:val="FootnoteReference"/>
        </w:rPr>
        <w:footnoteReference w:id="1370"/>
      </w:r>
      <w:r w:rsidRPr="00A42A22">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AA4D01" w:rsidRPr="00FB18DC" w:rsidRDefault="00AA4D01" w:rsidP="00AA4D01">
      <w:pPr>
        <w:pStyle w:val="Heading9"/>
      </w:pPr>
      <w:bookmarkStart w:id="415" w:name="_Toc433457171"/>
      <w:bookmarkStart w:id="416" w:name="_Toc450916275"/>
      <w:bookmarkStart w:id="417" w:name="_Toc451678707"/>
      <w:r w:rsidRPr="00FB18DC">
        <w:t>Timing of annual updates</w:t>
      </w:r>
      <w:bookmarkEnd w:id="415"/>
      <w:bookmarkEnd w:id="416"/>
      <w:bookmarkEnd w:id="417"/>
    </w:p>
    <w:p w:rsidR="00AA4D01" w:rsidRPr="00FB18DC" w:rsidRDefault="00AA4D01" w:rsidP="00AA4D01">
      <w:pPr>
        <w:pStyle w:val="ListParagraph"/>
        <w:numPr>
          <w:ilvl w:val="0"/>
          <w:numId w:val="24"/>
        </w:numPr>
      </w:pPr>
      <w:r w:rsidRPr="00FB18DC">
        <w:t>Our decision is that an averaging period should occur within a timeframe of 10 business days to 12 months. This is consistent with the position we proposed in the Guideline.</w:t>
      </w:r>
      <w:r w:rsidRPr="00FB18DC">
        <w:rPr>
          <w:rStyle w:val="FootnoteReference"/>
        </w:rPr>
        <w:footnoteReference w:id="1371"/>
      </w:r>
      <w:r w:rsidRPr="00FB18DC">
        <w:t xml:space="preserve"> We have considered how the process to annually update the return on debt would align with the publication of distribution prices.</w:t>
      </w:r>
      <w:r w:rsidRPr="00FB18DC">
        <w:rPr>
          <w:rStyle w:val="FootnoteReference"/>
        </w:rPr>
        <w:footnoteReference w:id="1372"/>
      </w:r>
      <w:r w:rsidRPr="00FB18DC">
        <w:t xml:space="preserve"> The timing of publishing distribution prices affects how late an averaging period can end and still be implemented in practice.</w:t>
      </w:r>
    </w:p>
    <w:p w:rsidR="00AA4D01" w:rsidRPr="00FB18DC" w:rsidRDefault="00AA4D01" w:rsidP="00AA4D01">
      <w:pPr>
        <w:numPr>
          <w:ilvl w:val="0"/>
          <w:numId w:val="24"/>
        </w:numPr>
      </w:pPr>
      <w:r>
        <w:fldChar w:fldCharType="begin"/>
      </w:r>
      <w:r>
        <w:instrText xml:space="preserve"> REF _Ref450564030 \h </w:instrText>
      </w:r>
      <w:r>
        <w:fldChar w:fldCharType="separate"/>
      </w:r>
      <w:r w:rsidR="00BA2E8E">
        <w:t xml:space="preserve">Table </w:t>
      </w:r>
      <w:r w:rsidR="00BA2E8E">
        <w:rPr>
          <w:noProof/>
        </w:rPr>
        <w:t>3</w:t>
      </w:r>
      <w:r w:rsidR="00BA2E8E">
        <w:noBreakHyphen/>
      </w:r>
      <w:r w:rsidR="00BA2E8E">
        <w:rPr>
          <w:noProof/>
        </w:rPr>
        <w:t>49</w:t>
      </w:r>
      <w:r>
        <w:fldChar w:fldCharType="end"/>
      </w:r>
      <w:r>
        <w:t xml:space="preserve"> </w:t>
      </w:r>
      <w:r w:rsidRPr="00FB18DC">
        <w:t>outlines the general process we propose to adopt for the annual debt update for distribution network service providers (distributors). Our assessment of the proposed averaging periods for distributors with current regulatory proposals or revised proposals has taken this process into account. We also propose to adopt this process for assessing the proposed averaging periods of other distributors in the future. We encourage submissions from stakeholders on this process, including from distributors with future regulatory determinations.</w:t>
      </w:r>
    </w:p>
    <w:p w:rsidR="00AA4D01" w:rsidRPr="00FB18DC" w:rsidRDefault="00AA4D01" w:rsidP="00AA4D01">
      <w:pPr>
        <w:pStyle w:val="Caption"/>
      </w:pPr>
      <w:bookmarkStart w:id="418" w:name="_Ref450564030"/>
      <w:r>
        <w:t xml:space="preserve">Table </w:t>
      </w:r>
      <w:fldSimple w:instr=" STYLEREF 1 \s ">
        <w:r w:rsidR="00BA2E8E">
          <w:rPr>
            <w:noProof/>
          </w:rPr>
          <w:t>3</w:t>
        </w:r>
      </w:fldSimple>
      <w:r w:rsidR="000F4BC3">
        <w:noBreakHyphen/>
      </w:r>
      <w:fldSimple w:instr=" SEQ Table \* ARABIC \s 1 ">
        <w:r w:rsidR="00BA2E8E">
          <w:rPr>
            <w:noProof/>
          </w:rPr>
          <w:t>49</w:t>
        </w:r>
      </w:fldSimple>
      <w:bookmarkEnd w:id="418"/>
      <w:r w:rsidRPr="00FB18DC">
        <w:tab/>
        <w:t>Annual distribution debt update process</w:t>
      </w:r>
    </w:p>
    <w:tbl>
      <w:tblPr>
        <w:tblStyle w:val="AERtable-text0"/>
        <w:tblW w:w="0" w:type="auto"/>
        <w:tblLook w:val="04A0" w:firstRow="1" w:lastRow="0" w:firstColumn="1" w:lastColumn="0" w:noHBand="0" w:noVBand="1"/>
      </w:tblPr>
      <w:tblGrid>
        <w:gridCol w:w="650"/>
        <w:gridCol w:w="2152"/>
        <w:gridCol w:w="2693"/>
        <w:gridCol w:w="3198"/>
      </w:tblGrid>
      <w:tr w:rsidR="00AA4D01" w:rsidRPr="00827C64" w:rsidTr="007201E8">
        <w:trPr>
          <w:cnfStyle w:val="100000000000" w:firstRow="1" w:lastRow="0" w:firstColumn="0" w:lastColumn="0" w:oddVBand="0" w:evenVBand="0" w:oddHBand="0" w:evenHBand="0" w:firstRowFirstColumn="0" w:firstRowLastColumn="0" w:lastRowFirstColumn="0" w:lastRowLastColumn="0"/>
          <w:tblHeader/>
        </w:trPr>
        <w:tc>
          <w:tcPr>
            <w:tcW w:w="650" w:type="dxa"/>
          </w:tcPr>
          <w:p w:rsidR="00AA4D01" w:rsidRPr="00AA4D01" w:rsidRDefault="00AA4D01" w:rsidP="00EB795B">
            <w:r w:rsidRPr="00FB18DC">
              <w:t>Step</w:t>
            </w:r>
          </w:p>
        </w:tc>
        <w:tc>
          <w:tcPr>
            <w:tcW w:w="2152" w:type="dxa"/>
          </w:tcPr>
          <w:p w:rsidR="00AA4D01" w:rsidRPr="00AA4D01" w:rsidRDefault="00AA4D01" w:rsidP="00EB795B">
            <w:r w:rsidRPr="00FB18DC">
              <w:t>Timing</w:t>
            </w:r>
          </w:p>
        </w:tc>
        <w:tc>
          <w:tcPr>
            <w:tcW w:w="2693" w:type="dxa"/>
          </w:tcPr>
          <w:p w:rsidR="00AA4D01" w:rsidRPr="00AA4D01" w:rsidRDefault="00AA4D01" w:rsidP="00EB795B">
            <w:r w:rsidRPr="00FB18DC">
              <w:t>Description of step</w:t>
            </w:r>
          </w:p>
        </w:tc>
        <w:tc>
          <w:tcPr>
            <w:tcW w:w="3198" w:type="dxa"/>
          </w:tcPr>
          <w:p w:rsidR="00AA4D01" w:rsidRPr="00AA4D01" w:rsidRDefault="00AA4D01" w:rsidP="00EB795B">
            <w:r w:rsidRPr="00FB18DC">
              <w:t>Reasons for timing</w:t>
            </w:r>
          </w:p>
        </w:tc>
      </w:tr>
      <w:tr w:rsidR="00AA4D01" w:rsidRPr="00827C64" w:rsidTr="007201E8">
        <w:tc>
          <w:tcPr>
            <w:tcW w:w="650" w:type="dxa"/>
          </w:tcPr>
          <w:p w:rsidR="00AA4D01" w:rsidRPr="00AA4D01" w:rsidRDefault="00AA4D01" w:rsidP="00EB795B">
            <w:r w:rsidRPr="00FB18DC">
              <w:t>1</w:t>
            </w:r>
          </w:p>
        </w:tc>
        <w:tc>
          <w:tcPr>
            <w:tcW w:w="2152" w:type="dxa"/>
          </w:tcPr>
          <w:p w:rsidR="00AA4D01" w:rsidRPr="00AA4D01" w:rsidRDefault="00AA4D01" w:rsidP="00EB795B">
            <w:r w:rsidRPr="00FB18DC">
              <w:t>25 business days before a distributor submits its pricing proposal to us.</w:t>
            </w:r>
          </w:p>
        </w:tc>
        <w:tc>
          <w:tcPr>
            <w:tcW w:w="2693" w:type="dxa"/>
          </w:tcPr>
          <w:p w:rsidR="00AA4D01" w:rsidRPr="00AA4D01" w:rsidRDefault="00AA4D01" w:rsidP="00EB795B">
            <w:r w:rsidRPr="00FB18DC">
              <w:t>Averaging period ends on or before this date.</w:t>
            </w:r>
          </w:p>
        </w:tc>
        <w:tc>
          <w:tcPr>
            <w:tcW w:w="3198" w:type="dxa"/>
          </w:tcPr>
          <w:p w:rsidR="00AA4D01" w:rsidRPr="00AA4D01" w:rsidRDefault="00AA4D01" w:rsidP="00EB795B">
            <w:r w:rsidRPr="00FB18DC">
              <w:t>We determine the maximum</w:t>
            </w:r>
            <w:r w:rsidRPr="00AA4D01">
              <w:t xml:space="preserve"> practical end date of the averaging period from the timing of steps 2 and 3.</w:t>
            </w:r>
          </w:p>
        </w:tc>
      </w:tr>
      <w:tr w:rsidR="00AA4D01" w:rsidRPr="00827C64" w:rsidTr="007201E8">
        <w:trPr>
          <w:cnfStyle w:val="000000010000" w:firstRow="0" w:lastRow="0" w:firstColumn="0" w:lastColumn="0" w:oddVBand="0" w:evenVBand="0" w:oddHBand="0" w:evenHBand="1" w:firstRowFirstColumn="0" w:firstRowLastColumn="0" w:lastRowFirstColumn="0" w:lastRowLastColumn="0"/>
        </w:trPr>
        <w:tc>
          <w:tcPr>
            <w:tcW w:w="650" w:type="dxa"/>
          </w:tcPr>
          <w:p w:rsidR="00AA4D01" w:rsidRPr="00AA4D01" w:rsidRDefault="00AA4D01" w:rsidP="00EB795B">
            <w:r w:rsidRPr="00FB18DC">
              <w:t>2</w:t>
            </w:r>
          </w:p>
        </w:tc>
        <w:tc>
          <w:tcPr>
            <w:tcW w:w="2152" w:type="dxa"/>
          </w:tcPr>
          <w:p w:rsidR="00AA4D01" w:rsidRPr="00AA4D01" w:rsidRDefault="00AA4D01" w:rsidP="00EB795B">
            <w:r w:rsidRPr="00FB18DC">
              <w:t>10 business days before a distributor submits its pricing proposal to us.</w:t>
            </w:r>
          </w:p>
        </w:tc>
        <w:tc>
          <w:tcPr>
            <w:tcW w:w="2693" w:type="dxa"/>
          </w:tcPr>
          <w:p w:rsidR="00AA4D01" w:rsidRPr="00AA4D01" w:rsidRDefault="00AA4D01" w:rsidP="00EB795B">
            <w:r w:rsidRPr="00FB18DC">
              <w:t>So the distributor can factor this into its annual pricing proposal, we inform it of updates on the return on debt, annual building block revenue requirement and X factor that incorporates the updated return on debt.</w:t>
            </w:r>
          </w:p>
        </w:tc>
        <w:tc>
          <w:tcPr>
            <w:tcW w:w="3198" w:type="dxa"/>
          </w:tcPr>
          <w:p w:rsidR="00AA4D01" w:rsidRPr="00AA4D01" w:rsidRDefault="00AA4D01" w:rsidP="00EB795B">
            <w:r w:rsidRPr="00FB18DC">
              <w:t>15 business days between steps 1 and 2 provides sufficient time for us to calculate (and provide quality assurance checks on the updated return on debt, revenue and X factor.</w:t>
            </w:r>
          </w:p>
        </w:tc>
      </w:tr>
      <w:tr w:rsidR="00AA4D01" w:rsidRPr="00827C64" w:rsidTr="007201E8">
        <w:tc>
          <w:tcPr>
            <w:tcW w:w="650" w:type="dxa"/>
          </w:tcPr>
          <w:p w:rsidR="00AA4D01" w:rsidRPr="00AA4D01" w:rsidRDefault="00AA4D01" w:rsidP="00EB795B">
            <w:r w:rsidRPr="00FB18DC">
              <w:t>3</w:t>
            </w:r>
          </w:p>
        </w:tc>
        <w:tc>
          <w:tcPr>
            <w:tcW w:w="2152" w:type="dxa"/>
          </w:tcPr>
          <w:p w:rsidR="00AA4D01" w:rsidRPr="00AA4D01" w:rsidRDefault="00AA4D01" w:rsidP="00EB795B">
            <w:r w:rsidRPr="00FB18DC">
              <w:t>A distributor submits its pricing proposal to us on the date determined by the rules.</w:t>
            </w:r>
          </w:p>
        </w:tc>
        <w:tc>
          <w:tcPr>
            <w:tcW w:w="2693" w:type="dxa"/>
          </w:tcPr>
          <w:p w:rsidR="00AA4D01" w:rsidRPr="00AA4D01" w:rsidRDefault="00AA4D01" w:rsidP="00EB795B">
            <w:r w:rsidRPr="00FB18DC">
              <w:t>The distributor submits its pricing proposal to us for the relevant year.</w:t>
            </w:r>
          </w:p>
        </w:tc>
        <w:tc>
          <w:tcPr>
            <w:tcW w:w="3198" w:type="dxa"/>
          </w:tcPr>
          <w:p w:rsidR="00AA4D01" w:rsidRPr="00AA4D01" w:rsidRDefault="00AA4D01" w:rsidP="00EB795B">
            <w:r w:rsidRPr="00FB18DC">
              <w:t>10 business days between steps 2 and 3 is based on a service provider's advice regarding the minimum period it would require to factor the updated information into its prices. We are open to individual distributors requiring a longer period (or requesting a shorter period) to accommodate their internal processes.</w:t>
            </w:r>
            <w:r w:rsidRPr="00AA4D01">
              <w:rPr>
                <w:rStyle w:val="FootnoteReference"/>
              </w:rPr>
              <w:footnoteReference w:id="1373"/>
            </w:r>
          </w:p>
        </w:tc>
      </w:tr>
    </w:tbl>
    <w:p w:rsidR="00AA4D01" w:rsidRPr="00FB18DC" w:rsidRDefault="00AA4D01" w:rsidP="00AA4D01">
      <w:pPr>
        <w:pStyle w:val="AERtablesource"/>
      </w:pPr>
      <w:r w:rsidRPr="00FB18DC">
        <w:t xml:space="preserve">Source: </w:t>
      </w:r>
      <w:r w:rsidRPr="00FB18DC">
        <w:tab/>
        <w:t>AER analysis.</w:t>
      </w:r>
    </w:p>
    <w:p w:rsidR="00AA4D01" w:rsidRPr="00FB18DC" w:rsidRDefault="00AA4D01" w:rsidP="00AA4D01">
      <w:r w:rsidRPr="00FB18DC">
        <w:t xml:space="preserve">On the basis of the process outlined in </w:t>
      </w:r>
      <w:r>
        <w:fldChar w:fldCharType="begin"/>
      </w:r>
      <w:r>
        <w:instrText xml:space="preserve"> REF  _Ref450564030 \* Lower \h </w:instrText>
      </w:r>
      <w:r>
        <w:fldChar w:fldCharType="separate"/>
      </w:r>
      <w:r w:rsidR="00BA2E8E">
        <w:t xml:space="preserve">table </w:t>
      </w:r>
      <w:r w:rsidR="00BA2E8E">
        <w:rPr>
          <w:noProof/>
        </w:rPr>
        <w:t>3</w:t>
      </w:r>
      <w:r w:rsidR="00BA2E8E">
        <w:noBreakHyphen/>
      </w:r>
      <w:r w:rsidR="00BA2E8E">
        <w:rPr>
          <w:noProof/>
        </w:rPr>
        <w:t>49</w:t>
      </w:r>
      <w:r>
        <w:fldChar w:fldCharType="end"/>
      </w:r>
      <w:r w:rsidRPr="00FB18DC">
        <w:t>, we consider an averaging period for estimating the return on debt for regulatory year t should fall within the following timeframe:</w:t>
      </w:r>
    </w:p>
    <w:p w:rsidR="00AA4D01" w:rsidRPr="00FB18DC" w:rsidRDefault="00AA4D01" w:rsidP="00AA4D01">
      <w:pPr>
        <w:pStyle w:val="AERbulletlistfirststyle"/>
      </w:pPr>
      <w:r w:rsidRPr="00FB18DC">
        <w:t>end no later than 25 business days before a distributor submits its annual pricing proposal for year t to the AER</w:t>
      </w:r>
    </w:p>
    <w:p w:rsidR="00AA4D01" w:rsidRPr="00A42A22" w:rsidRDefault="00AA4D01" w:rsidP="00AA4D01">
      <w:pPr>
        <w:pStyle w:val="AERbulletlistfirststyle"/>
      </w:pPr>
      <w:r w:rsidRPr="00FB18DC">
        <w:t>commence no earlier than 12 months plus 25 business days before a distributor submits its annual pricing proposal for year t to the AER.</w:t>
      </w:r>
      <w:r w:rsidRPr="00A42A22">
        <w:rPr>
          <w:rStyle w:val="FootnoteReference"/>
        </w:rPr>
        <w:footnoteReference w:id="1374"/>
      </w:r>
    </w:p>
    <w:p w:rsidR="00AA4D01" w:rsidRPr="00FB18DC" w:rsidRDefault="00AA4D01" w:rsidP="00AA4D01">
      <w:pPr>
        <w:numPr>
          <w:ilvl w:val="0"/>
          <w:numId w:val="24"/>
        </w:numPr>
      </w:pPr>
      <w:r w:rsidRPr="00FB18DC">
        <w:t xml:space="preserve">However, as set out in </w:t>
      </w:r>
      <w:r>
        <w:fldChar w:fldCharType="begin"/>
      </w:r>
      <w:r>
        <w:instrText xml:space="preserve"> REF  _Ref450564030 \* Lower \h </w:instrText>
      </w:r>
      <w:r>
        <w:fldChar w:fldCharType="separate"/>
      </w:r>
      <w:r w:rsidR="00BA2E8E">
        <w:t xml:space="preserve">table </w:t>
      </w:r>
      <w:r w:rsidR="00BA2E8E">
        <w:rPr>
          <w:noProof/>
        </w:rPr>
        <w:t>3</w:t>
      </w:r>
      <w:r w:rsidR="00BA2E8E">
        <w:noBreakHyphen/>
      </w:r>
      <w:r w:rsidR="00BA2E8E">
        <w:rPr>
          <w:noProof/>
        </w:rPr>
        <w:t>49</w:t>
      </w:r>
      <w:r>
        <w:fldChar w:fldCharType="end"/>
      </w:r>
      <w:r w:rsidRPr="00FB18DC">
        <w:t>, we are open to individual distributors requiring a longer period (or requesting a shorter period) between steps 2 and 3 to accommodate their internal processes. We note that a longer (or shorter) time period would move back (or forward) the maximum practical end date of the averaging period by the same timeframe. For example, if a service provider requested 15 business days (instead of 10) for its internal processes, then its averaging period would need to end 30 business days (instead of 25) before the date the distributor must submit its annual pricing proposal to us.</w:t>
      </w:r>
    </w:p>
    <w:p w:rsidR="00AA4D01" w:rsidRPr="00FB18DC" w:rsidRDefault="00AA4D01" w:rsidP="00AA4D01">
      <w:pPr>
        <w:numPr>
          <w:ilvl w:val="0"/>
          <w:numId w:val="24"/>
        </w:numPr>
      </w:pPr>
      <w:r w:rsidRPr="00FB18DC">
        <w:t xml:space="preserve">The process outlined in </w:t>
      </w:r>
      <w:r>
        <w:fldChar w:fldCharType="begin"/>
      </w:r>
      <w:r>
        <w:instrText xml:space="preserve"> REF  _Ref450564030 \* Lower \h </w:instrText>
      </w:r>
      <w:r>
        <w:fldChar w:fldCharType="separate"/>
      </w:r>
      <w:r w:rsidR="00BA2E8E">
        <w:t xml:space="preserve">table </w:t>
      </w:r>
      <w:r w:rsidR="00BA2E8E">
        <w:rPr>
          <w:noProof/>
        </w:rPr>
        <w:t>3</w:t>
      </w:r>
      <w:r w:rsidR="00BA2E8E">
        <w:noBreakHyphen/>
      </w:r>
      <w:r w:rsidR="00BA2E8E">
        <w:rPr>
          <w:noProof/>
        </w:rPr>
        <w:t>49</w:t>
      </w:r>
      <w:r>
        <w:fldChar w:fldCharType="end"/>
      </w:r>
      <w:r w:rsidRPr="00FB18DC">
        <w:t xml:space="preserve"> does not apply to the first regulatory year in the regulatory control period. This is because the distribution determination include</w:t>
      </w:r>
      <w:r>
        <w:t>s</w:t>
      </w:r>
      <w:r w:rsidRPr="00FB18DC">
        <w:t xml:space="preserve"> the X factor for the first year, which already incorporate</w:t>
      </w:r>
      <w:r>
        <w:t>s</w:t>
      </w:r>
      <w:r w:rsidRPr="00FB18DC">
        <w:t xml:space="preserve"> the first year return on debt. Therefore, this process will generally apply to the subsequent years of a regulatory control period.</w:t>
      </w:r>
    </w:p>
    <w:p w:rsidR="00AA4D01" w:rsidRPr="00FB18DC" w:rsidRDefault="00AA4D01" w:rsidP="00AA4D01">
      <w:pPr>
        <w:numPr>
          <w:ilvl w:val="0"/>
          <w:numId w:val="24"/>
        </w:numPr>
      </w:pPr>
      <w:r w:rsidRPr="00FB18DC">
        <w:t xml:space="preserve">In </w:t>
      </w:r>
      <w:r>
        <w:fldChar w:fldCharType="begin"/>
      </w:r>
      <w:r>
        <w:instrText xml:space="preserve"> REF  _Ref450564030 \* Lower \h </w:instrText>
      </w:r>
      <w:r>
        <w:fldChar w:fldCharType="separate"/>
      </w:r>
      <w:r w:rsidR="00BA2E8E">
        <w:t xml:space="preserve">table </w:t>
      </w:r>
      <w:r w:rsidR="00BA2E8E">
        <w:rPr>
          <w:noProof/>
        </w:rPr>
        <w:t>3</w:t>
      </w:r>
      <w:r w:rsidR="00BA2E8E">
        <w:noBreakHyphen/>
      </w:r>
      <w:r w:rsidR="00BA2E8E">
        <w:rPr>
          <w:noProof/>
        </w:rPr>
        <w:t>49</w:t>
      </w:r>
      <w:r>
        <w:fldChar w:fldCharType="end"/>
      </w:r>
      <w:r w:rsidRPr="00FB18DC">
        <w:t xml:space="preserve">, we propose calculating the return on debt, annual building block revenue requirement, and X factor in accordance with the formula in the distribution determination. </w:t>
      </w:r>
      <w:r>
        <w:t>Further,</w:t>
      </w:r>
      <w:r w:rsidRPr="00FB18DC">
        <w:t xml:space="preserve"> we propose informing the distributor of our calculations before it submits its annual pricing proposal. We consider this preferable to the alternative approach, where we would assess updates the distributor calculated itself and submitted with its annual pricing proposal. This alternative approach could significantly complicate the annual pricing approval process if we identify calculation errors and require the distributor to revise all its proposed prices. On the other hand, our approach focusses the annual pricing approval process on how the distributor has incorporated the revised X factor into its prices, rather than also assessing the revised X factor itself.</w:t>
      </w:r>
    </w:p>
    <w:p w:rsidR="00AA4D01" w:rsidRPr="00FB18DC" w:rsidRDefault="00AA4D01" w:rsidP="00AA4D01">
      <w:pPr>
        <w:numPr>
          <w:ilvl w:val="0"/>
          <w:numId w:val="24"/>
        </w:numPr>
      </w:pPr>
      <w:r w:rsidRPr="00FB18DC">
        <w:t>The above process factors in the date that the rules require distributors to submit their annual pricing proposals to us.</w:t>
      </w:r>
      <w:r w:rsidRPr="00FB18DC">
        <w:rPr>
          <w:rStyle w:val="FootnoteReference"/>
        </w:rPr>
        <w:footnoteReference w:id="1375"/>
      </w:r>
      <w:r w:rsidRPr="00FB18DC">
        <w:t xml:space="preserve"> In November 2014, the AEMC made a rule determination that affected this date.</w:t>
      </w:r>
      <w:r w:rsidRPr="00FB18DC">
        <w:rPr>
          <w:rStyle w:val="FootnoteReference"/>
        </w:rPr>
        <w:footnoteReference w:id="1376"/>
      </w:r>
      <w:r w:rsidRPr="00FB18DC">
        <w:t xml:space="preserve"> The AEMC determined that:</w:t>
      </w:r>
    </w:p>
    <w:p w:rsidR="00AA4D01" w:rsidRPr="00A42A22" w:rsidRDefault="00AA4D01" w:rsidP="00AA4D01">
      <w:pPr>
        <w:pStyle w:val="AERbulletlistfirststyle"/>
      </w:pPr>
      <w:r w:rsidRPr="00FB18DC">
        <w:t>From 2017—distributors will be required to submit their annual pricing proposal to us by:</w:t>
      </w:r>
      <w:r w:rsidRPr="00A42A22">
        <w:rPr>
          <w:rStyle w:val="FootnoteReference"/>
        </w:rPr>
        <w:footnoteReference w:id="1377"/>
      </w:r>
    </w:p>
    <w:p w:rsidR="00AA4D01" w:rsidRPr="00FB18DC" w:rsidRDefault="00AA4D01" w:rsidP="00AA4D01">
      <w:pPr>
        <w:pStyle w:val="AERbulletlistsecondstyle"/>
      </w:pPr>
      <w:r w:rsidRPr="00FB18DC">
        <w:t>31 March each year (non-Victorian distributors)</w:t>
      </w:r>
    </w:p>
    <w:p w:rsidR="00AA4D01" w:rsidRPr="00FB18DC" w:rsidRDefault="00AA4D01" w:rsidP="00AA4D01">
      <w:pPr>
        <w:pStyle w:val="AERbulletlistsecondstyle"/>
      </w:pPr>
      <w:r w:rsidRPr="00FB18DC">
        <w:t>30 September each year (Victorian distributors).</w:t>
      </w:r>
    </w:p>
    <w:p w:rsidR="00AA4D01" w:rsidRDefault="00AA4D01" w:rsidP="00AA4D01">
      <w:pPr>
        <w:pStyle w:val="AERbulletlistfirststyle"/>
      </w:pPr>
      <w:r w:rsidRPr="00FB18DC">
        <w:t>Before 2017—transitional arrangements will maintain the current date by which distributors must submit their annual pricing proposals.</w:t>
      </w:r>
      <w:r w:rsidRPr="00A42A22">
        <w:rPr>
          <w:rStyle w:val="FootnoteReference"/>
        </w:rPr>
        <w:footnoteReference w:id="1378"/>
      </w:r>
      <w:r w:rsidRPr="00A42A22">
        <w:t xml:space="preserve"> This is by 1 May each year (non-Victorian distributors).</w:t>
      </w:r>
      <w:r w:rsidRPr="00A42A22">
        <w:rPr>
          <w:rStyle w:val="FootnoteReference"/>
        </w:rPr>
        <w:footnoteReference w:id="1379"/>
      </w:r>
      <w:r w:rsidRPr="00A42A22">
        <w:t xml:space="preserve"> For Victorian distributors, the new rules apply from the second regulatory year (2017) of the 2016–2020 regulatory control period, accordingly there are no transitional arrangements that effect the timing of the annual debt update process.</w:t>
      </w:r>
      <w:r w:rsidRPr="00A42A22">
        <w:rPr>
          <w:rStyle w:val="FootnoteReference"/>
        </w:rPr>
        <w:footnoteReference w:id="1380"/>
      </w:r>
    </w:p>
    <w:p w:rsidR="00B42AC6" w:rsidRDefault="00B42AC6" w:rsidP="00B42AC6">
      <w:pPr>
        <w:pStyle w:val="Heading7"/>
      </w:pPr>
      <w:bookmarkStart w:id="419" w:name="_Toc451678708"/>
      <w:r>
        <w:t>Equity and debt raising costs</w:t>
      </w:r>
      <w:bookmarkEnd w:id="419"/>
    </w:p>
    <w:p w:rsidR="00DD5CC6" w:rsidRPr="00AA2065" w:rsidRDefault="00DD5CC6" w:rsidP="00DD5CC6">
      <w:r w:rsidRPr="0074017B">
        <w:t>In addition to compensating for the required rate of return on debt and equity, we provide an allowance for the transaction costs associated with raising debt and equity.</w:t>
      </w:r>
      <w:r>
        <w:t xml:space="preserve"> W</w:t>
      </w:r>
      <w:r w:rsidRPr="00AA2065">
        <w:t xml:space="preserve">e include debt raising costs in the opex forecast because these are regular and ongoing costs which are likely to be incurred each time service providers refinance their debt. </w:t>
      </w:r>
      <w:r>
        <w:t>On the other hand, w</w:t>
      </w:r>
      <w:r w:rsidRPr="00AA2065">
        <w:t>e include equity raising costs in the capex forecast because these costs are only incurred once and would be associated with funding the particular capital investments</w:t>
      </w:r>
      <w:r>
        <w:t>.</w:t>
      </w:r>
    </w:p>
    <w:p w:rsidR="00DD5CC6" w:rsidRPr="001A2C20" w:rsidRDefault="00DD5CC6" w:rsidP="00DD5CC6">
      <w:r w:rsidRPr="00AA2065">
        <w:t xml:space="preserve">Our </w:t>
      </w:r>
      <w:r>
        <w:t xml:space="preserve">final </w:t>
      </w:r>
      <w:r w:rsidRPr="00AA2065">
        <w:t>decision forecast</w:t>
      </w:r>
      <w:r>
        <w:t>s</w:t>
      </w:r>
      <w:r w:rsidRPr="00AA2065">
        <w:t xml:space="preserve"> for debt </w:t>
      </w:r>
      <w:r>
        <w:t xml:space="preserve">and equity raising costs are included in </w:t>
      </w:r>
      <w:r w:rsidRPr="00AA2065">
        <w:t>the opex</w:t>
      </w:r>
      <w:r>
        <w:t xml:space="preserve"> and capex attachments, respectively. </w:t>
      </w:r>
      <w:r w:rsidRPr="00AA2065">
        <w:t xml:space="preserve">In this appendix, we set out our assessment approach and the reasons for </w:t>
      </w:r>
      <w:r>
        <w:t>those forecasts</w:t>
      </w:r>
      <w:r w:rsidRPr="00AA2065">
        <w:t>.</w:t>
      </w:r>
    </w:p>
    <w:p w:rsidR="00DD5CC6" w:rsidRDefault="00DD5CC6" w:rsidP="00DD5CC6">
      <w:pPr>
        <w:pStyle w:val="Heading8"/>
        <w:numPr>
          <w:ilvl w:val="1"/>
          <w:numId w:val="44"/>
        </w:numPr>
      </w:pPr>
      <w:bookmarkStart w:id="420" w:name="_Toc451678709"/>
      <w:r>
        <w:t>Equity raising costs</w:t>
      </w:r>
      <w:bookmarkEnd w:id="420"/>
    </w:p>
    <w:p w:rsidR="00DD5CC6" w:rsidRPr="00C024A8" w:rsidRDefault="00DD5CC6" w:rsidP="00DD5CC6">
      <w:r w:rsidRPr="00C24E0F">
        <w:t xml:space="preserve">Equity raising costs are transaction costs incurred when </w:t>
      </w:r>
      <w:r>
        <w:t xml:space="preserve">a </w:t>
      </w:r>
      <w:r w:rsidRPr="00C24E0F">
        <w:t>service provider raise</w:t>
      </w:r>
      <w:r>
        <w:t>s</w:t>
      </w:r>
      <w:r w:rsidRPr="00C24E0F">
        <w:t xml:space="preserve"> new equity from outside </w:t>
      </w:r>
      <w:r>
        <w:t>its</w:t>
      </w:r>
      <w:r w:rsidRPr="00C24E0F">
        <w:t xml:space="preserve"> business. </w:t>
      </w:r>
      <w:r>
        <w:t>We use a benchmark approach to determine these costs and this approach allows</w:t>
      </w:r>
      <w:r w:rsidRPr="00C24E0F">
        <w:t xml:space="preserve"> the costs of </w:t>
      </w:r>
      <w:r>
        <w:t>two means by which a service provider could raise equity from outside its business—</w:t>
      </w:r>
      <w:r w:rsidRPr="00C24E0F">
        <w:t xml:space="preserve">dividend reinvestment plans and seasoned equity offerings. </w:t>
      </w:r>
      <w:r w:rsidRPr="00C024A8">
        <w:t>Equity raising costs are an unavoidable aspect of raising equity that a prudent service provider acting efficiently</w:t>
      </w:r>
      <w:r w:rsidRPr="00C024A8" w:rsidDel="009A34A7">
        <w:t xml:space="preserve"> </w:t>
      </w:r>
      <w:r>
        <w:t>would incur</w:t>
      </w:r>
      <w:r w:rsidRPr="00C024A8">
        <w:t xml:space="preserve">. Accordingly, we </w:t>
      </w:r>
      <w:r>
        <w:t>provide</w:t>
      </w:r>
      <w:r w:rsidRPr="00C024A8">
        <w:t xml:space="preserve"> an </w:t>
      </w:r>
      <w:r>
        <w:t xml:space="preserve">allowance to recover an </w:t>
      </w:r>
      <w:r w:rsidRPr="00C024A8">
        <w:t xml:space="preserve">efficient amount of </w:t>
      </w:r>
      <w:r>
        <w:t>equity raising</w:t>
      </w:r>
      <w:r w:rsidRPr="00C024A8">
        <w:t xml:space="preserve"> costs. This is where a service provider's capex forecast is large enough to require an external equity injection to maintain the benchmark gearing of 60 per cent.</w:t>
      </w:r>
    </w:p>
    <w:p w:rsidR="00DD5CC6" w:rsidRPr="00C024A8" w:rsidRDefault="00DD5CC6" w:rsidP="00DD5CC6">
      <w:r>
        <w:t xml:space="preserve">While </w:t>
      </w:r>
      <w:r w:rsidRPr="00C024A8">
        <w:t xml:space="preserve">the </w:t>
      </w:r>
      <w:r w:rsidR="002211EB">
        <w:t>G</w:t>
      </w:r>
      <w:r w:rsidRPr="00C024A8">
        <w:t>uideline does not set out an approach for estimating these costs</w:t>
      </w:r>
      <w:r>
        <w:t>,</w:t>
      </w:r>
      <w:r w:rsidRPr="00C024A8">
        <w:t xml:space="preserve"> </w:t>
      </w:r>
      <w:r>
        <w:t>w</w:t>
      </w:r>
      <w:r w:rsidRPr="00C024A8">
        <w:t>e appl</w:t>
      </w:r>
      <w:r>
        <w:t>y</w:t>
      </w:r>
      <w:r w:rsidRPr="00C024A8">
        <w:t xml:space="preserve"> an established method for estimating equity raising costs</w:t>
      </w:r>
      <w:r>
        <w:t xml:space="preserve">. </w:t>
      </w:r>
      <w:r w:rsidRPr="00C024A8">
        <w:t xml:space="preserve">We initially based our method for determining benchmark equity raising costs on </w:t>
      </w:r>
      <w:r>
        <w:t>the</w:t>
      </w:r>
      <w:r w:rsidRPr="00C024A8">
        <w:t xml:space="preserve"> 2007 advice from Allen Consulting Group (ACG).</w:t>
      </w:r>
      <w:r w:rsidRPr="00C024A8">
        <w:rPr>
          <w:rStyle w:val="FootnoteReference"/>
        </w:rPr>
        <w:footnoteReference w:id="1381"/>
      </w:r>
      <w:r w:rsidRPr="00C024A8">
        <w:t xml:space="preserve"> We amended this method in our </w:t>
      </w:r>
      <w:r>
        <w:t xml:space="preserve">2009 </w:t>
      </w:r>
      <w:r w:rsidRPr="00C024A8">
        <w:t>decisions for the ACT, NSW and Tasmanian electricity service providers.</w:t>
      </w:r>
      <w:r w:rsidRPr="00C024A8">
        <w:rPr>
          <w:rStyle w:val="FootnoteReference"/>
        </w:rPr>
        <w:footnoteReference w:id="1382"/>
      </w:r>
      <w:r w:rsidRPr="00C024A8">
        <w:t xml:space="preserve"> </w:t>
      </w:r>
      <w:r>
        <w:t xml:space="preserve">We </w:t>
      </w:r>
      <w:r w:rsidRPr="00C024A8">
        <w:t>further refined</w:t>
      </w:r>
      <w:r>
        <w:t xml:space="preserve"> this approach</w:t>
      </w:r>
      <w:r w:rsidRPr="00C024A8">
        <w:t xml:space="preserve">, as discussed and applied in the </w:t>
      </w:r>
      <w:r>
        <w:t xml:space="preserve">2012 </w:t>
      </w:r>
      <w:r w:rsidRPr="00C024A8">
        <w:t>Powerlink decision.</w:t>
      </w:r>
      <w:r w:rsidRPr="00C024A8">
        <w:rPr>
          <w:rStyle w:val="FootnoteReference"/>
        </w:rPr>
        <w:footnoteReference w:id="1383"/>
      </w:r>
    </w:p>
    <w:p w:rsidR="00DD5CC6" w:rsidRPr="00C024A8" w:rsidRDefault="00DD5CC6" w:rsidP="00DD5CC6">
      <w:pPr>
        <w:pStyle w:val="Heading9"/>
      </w:pPr>
      <w:bookmarkStart w:id="421" w:name="_Toc451678710"/>
      <w:r>
        <w:t>Final decision</w:t>
      </w:r>
      <w:bookmarkEnd w:id="421"/>
    </w:p>
    <w:p w:rsidR="00DD5CC6" w:rsidRDefault="00DD5CC6" w:rsidP="00DD5CC6">
      <w:r>
        <w:t xml:space="preserve">We accept </w:t>
      </w:r>
      <w:r w:rsidR="001355DE">
        <w:t>CitiPower's</w:t>
      </w:r>
      <w:r>
        <w:t xml:space="preserve"> proposed approach to estimate equity raising costs but we have updated the estimates to reflect the final capex allowance. Capex is an input </w:t>
      </w:r>
      <w:r w:rsidRPr="00FB0CE5">
        <w:t>for calculating equity raising costs</w:t>
      </w:r>
      <w:r>
        <w:t xml:space="preserve">. </w:t>
      </w:r>
      <w:r w:rsidRPr="00FB0CE5">
        <w:t xml:space="preserve">Following these updates, we provide </w:t>
      </w:r>
      <w:r w:rsidRPr="009758CA">
        <w:t>$</w:t>
      </w:r>
      <w:r>
        <w:t xml:space="preserve">5.0 </w:t>
      </w:r>
      <w:r w:rsidRPr="009758CA">
        <w:t>m</w:t>
      </w:r>
      <w:r>
        <w:t>illion</w:t>
      </w:r>
      <w:r w:rsidRPr="009758CA">
        <w:t xml:space="preserve"> (</w:t>
      </w:r>
      <w:r>
        <w:t>$</w:t>
      </w:r>
      <w:r w:rsidRPr="009758CA">
        <w:t xml:space="preserve"> 2015) </w:t>
      </w:r>
      <w:r>
        <w:t>of</w:t>
      </w:r>
      <w:r w:rsidRPr="00FB0CE5">
        <w:t xml:space="preserve"> equity raising costs in the </w:t>
      </w:r>
      <w:r w:rsidRPr="009758CA">
        <w:t>201</w:t>
      </w:r>
      <w:r>
        <w:t>6</w:t>
      </w:r>
      <w:r w:rsidRPr="009758CA">
        <w:t>–20 regulatory period.</w:t>
      </w:r>
      <w:r>
        <w:t xml:space="preserve"> The AER PTRM we published with this decision sets out </w:t>
      </w:r>
      <w:r w:rsidRPr="009758CA">
        <w:t>our calculation of equity raising costs</w:t>
      </w:r>
      <w:r>
        <w:t xml:space="preserve">. </w:t>
      </w:r>
    </w:p>
    <w:p w:rsidR="00DD5CC6" w:rsidRDefault="00DD5CC6" w:rsidP="00DD5CC6">
      <w:r>
        <w:t>CitiPower adopted our preliminary decision approach and proposed revised equity raising costs of $4.9 million ($ 2015).</w:t>
      </w:r>
      <w:r>
        <w:rPr>
          <w:rStyle w:val="FootnoteReference"/>
        </w:rPr>
        <w:footnoteReference w:id="1384"/>
      </w:r>
      <w:r>
        <w:t xml:space="preserve">  </w:t>
      </w:r>
    </w:p>
    <w:p w:rsidR="00DD5CC6" w:rsidRDefault="00DD5CC6" w:rsidP="00DD5CC6">
      <w:pPr>
        <w:pStyle w:val="Heading8"/>
      </w:pPr>
      <w:bookmarkStart w:id="422" w:name="_Toc451678711"/>
      <w:r>
        <w:t>Debt raising costs</w:t>
      </w:r>
      <w:bookmarkEnd w:id="422"/>
    </w:p>
    <w:p w:rsidR="00DD5CC6" w:rsidRPr="00F83415" w:rsidRDefault="00DD5CC6" w:rsidP="00DD5CC6">
      <w:pPr>
        <w:numPr>
          <w:ilvl w:val="0"/>
          <w:numId w:val="24"/>
        </w:numPr>
      </w:pPr>
      <w:r w:rsidRPr="00C43648">
        <w:t xml:space="preserve">Debt raising costs are transaction costs incurred each time debt is raised or refinanced. These costs may include arrangement fees, legal fees, company credit rating fees and other transaction costs. Debt raising costs are an unavoidable </w:t>
      </w:r>
      <w:r>
        <w:t>cost</w:t>
      </w:r>
      <w:r w:rsidRPr="00C43648">
        <w:t xml:space="preserve"> of raising debt that would be incurred by a prudent service provider, and data exists such that we can estimate the</w:t>
      </w:r>
      <w:r>
        <w:t>m</w:t>
      </w:r>
      <w:r w:rsidRPr="00C43648">
        <w:t xml:space="preserve">. Accordingly, we provide an allowance to recover an efficient amount of </w:t>
      </w:r>
      <w:r>
        <w:t>debt raising</w:t>
      </w:r>
      <w:r w:rsidRPr="00C43648">
        <w:t xml:space="preserve"> costs.</w:t>
      </w:r>
      <w:r>
        <w:t xml:space="preserve"> </w:t>
      </w:r>
    </w:p>
    <w:p w:rsidR="00DD5CC6" w:rsidRDefault="00DD5CC6" w:rsidP="00DD5CC6">
      <w:pPr>
        <w:pStyle w:val="Heading9"/>
      </w:pPr>
      <w:r>
        <w:t xml:space="preserve"> </w:t>
      </w:r>
      <w:bookmarkStart w:id="423" w:name="_Toc451678712"/>
      <w:r>
        <w:t>Final decision</w:t>
      </w:r>
      <w:bookmarkEnd w:id="423"/>
    </w:p>
    <w:p w:rsidR="00DD5CC6" w:rsidRDefault="00DD5CC6" w:rsidP="00DD5CC6">
      <w:r w:rsidRPr="00C43648">
        <w:t xml:space="preserve">We </w:t>
      </w:r>
      <w:r>
        <w:t>accept CitiPower's proposed approach to forecast debt raising costs. However, we have updated the estimates to reflect the final RAB and rate of return in this decision, which are inputs for calculating debt raising costs. We determine</w:t>
      </w:r>
      <w:r w:rsidRPr="00C43648">
        <w:t xml:space="preserve"> debt raising costs of $</w:t>
      </w:r>
      <w:r w:rsidRPr="00D16DC5">
        <w:t>5.1</w:t>
      </w:r>
      <w:r>
        <w:t xml:space="preserve"> million ($ 2015) over the 2016</w:t>
      </w:r>
      <w:r w:rsidRPr="00413171">
        <w:t>–</w:t>
      </w:r>
      <w:r>
        <w:t>20</w:t>
      </w:r>
      <w:r w:rsidRPr="00C43648">
        <w:t xml:space="preserve"> period, as set out in</w:t>
      </w:r>
      <w:r>
        <w:t xml:space="preserve"> </w:t>
      </w:r>
      <w:r>
        <w:fldChar w:fldCharType="begin"/>
      </w:r>
      <w:r>
        <w:instrText xml:space="preserve"> REF _Ref451323503 \h </w:instrText>
      </w:r>
      <w:r>
        <w:fldChar w:fldCharType="separate"/>
      </w:r>
      <w:r w:rsidR="00BA2E8E">
        <w:t xml:space="preserve">Table </w:t>
      </w:r>
      <w:r w:rsidR="00BA2E8E">
        <w:rPr>
          <w:noProof/>
        </w:rPr>
        <w:t>3</w:t>
      </w:r>
      <w:r w:rsidR="00BA2E8E">
        <w:noBreakHyphen/>
      </w:r>
      <w:r w:rsidR="00BA2E8E">
        <w:rPr>
          <w:noProof/>
        </w:rPr>
        <w:t>50</w:t>
      </w:r>
      <w:r>
        <w:fldChar w:fldCharType="end"/>
      </w:r>
      <w:r>
        <w:t xml:space="preserve">. </w:t>
      </w:r>
      <w:r w:rsidRPr="00C43648">
        <w:t>We are satisfied this estimate contributes towards a total opex forecast that reasonably reflects efficient, prudent and realistic costs.</w:t>
      </w:r>
    </w:p>
    <w:p w:rsidR="00DD5CC6" w:rsidRDefault="00DD5CC6" w:rsidP="00DD5CC6">
      <w:r>
        <w:t>CitiPower adopted our debt raising costs approach set out in the preliminary decision but it rejected our rate of return and some aspects of capex, which affects the regulatory asset base (RAB).</w:t>
      </w:r>
      <w:r>
        <w:rPr>
          <w:rStyle w:val="FootnoteReference"/>
        </w:rPr>
        <w:footnoteReference w:id="1385"/>
      </w:r>
      <w:r>
        <w:t xml:space="preserve"> </w:t>
      </w:r>
      <w:r w:rsidRPr="003A2229">
        <w:t xml:space="preserve">Our decision on the unit costs and components of </w:t>
      </w:r>
      <w:r>
        <w:t>CitiPower</w:t>
      </w:r>
      <w:r w:rsidRPr="003A2229">
        <w:t>'s benchmark rate of debt raising transaction costs is set out in</w:t>
      </w:r>
      <w:r>
        <w:t xml:space="preserve"> </w:t>
      </w:r>
      <w:r>
        <w:fldChar w:fldCharType="begin"/>
      </w:r>
      <w:r>
        <w:instrText xml:space="preserve"> REF _Ref451323567 \h </w:instrText>
      </w:r>
      <w:r>
        <w:fldChar w:fldCharType="separate"/>
      </w:r>
      <w:r w:rsidR="00BA2E8E">
        <w:t xml:space="preserve">Table </w:t>
      </w:r>
      <w:r w:rsidR="00BA2E8E">
        <w:rPr>
          <w:noProof/>
        </w:rPr>
        <w:t>3</w:t>
      </w:r>
      <w:r w:rsidR="00BA2E8E">
        <w:noBreakHyphen/>
      </w:r>
      <w:r w:rsidR="00BA2E8E">
        <w:rPr>
          <w:noProof/>
        </w:rPr>
        <w:t>51</w:t>
      </w:r>
      <w:r>
        <w:fldChar w:fldCharType="end"/>
      </w:r>
      <w:r>
        <w:t>.</w:t>
      </w:r>
    </w:p>
    <w:p w:rsidR="00DD5CC6" w:rsidRPr="00413171" w:rsidRDefault="00DD5CC6" w:rsidP="00DD5CC6">
      <w:pPr>
        <w:pStyle w:val="Caption"/>
      </w:pPr>
      <w:bookmarkStart w:id="424" w:name="_Ref451323503"/>
      <w:r>
        <w:t xml:space="preserve">Table </w:t>
      </w:r>
      <w:fldSimple w:instr=" STYLEREF 1 \s ">
        <w:r w:rsidR="00BA2E8E">
          <w:rPr>
            <w:noProof/>
          </w:rPr>
          <w:t>3</w:t>
        </w:r>
      </w:fldSimple>
      <w:r w:rsidR="000F4BC3">
        <w:noBreakHyphen/>
      </w:r>
      <w:fldSimple w:instr=" SEQ Table \* ARABIC \s 1 ">
        <w:r w:rsidR="00BA2E8E">
          <w:rPr>
            <w:noProof/>
          </w:rPr>
          <w:t>50</w:t>
        </w:r>
      </w:fldSimple>
      <w:bookmarkEnd w:id="424"/>
      <w:r>
        <w:tab/>
      </w:r>
      <w:r w:rsidRPr="00413171">
        <w:t xml:space="preserve">AER's </w:t>
      </w:r>
      <w:r>
        <w:t>preliminary</w:t>
      </w:r>
      <w:r w:rsidRPr="00413171">
        <w:t xml:space="preserve"> decision on debt raising costs (million, $ </w:t>
      </w:r>
      <w:r>
        <w:t>2015</w:t>
      </w:r>
      <w:r w:rsidRPr="00413171">
        <w:t>)</w:t>
      </w:r>
    </w:p>
    <w:tbl>
      <w:tblPr>
        <w:tblStyle w:val="AERtable-text0"/>
        <w:tblW w:w="5000" w:type="pct"/>
        <w:tblLook w:val="04A0" w:firstRow="1" w:lastRow="0" w:firstColumn="1" w:lastColumn="0" w:noHBand="0" w:noVBand="1"/>
      </w:tblPr>
      <w:tblGrid>
        <w:gridCol w:w="1242"/>
        <w:gridCol w:w="1242"/>
        <w:gridCol w:w="1241"/>
        <w:gridCol w:w="1241"/>
        <w:gridCol w:w="1241"/>
        <w:gridCol w:w="1243"/>
        <w:gridCol w:w="1243"/>
      </w:tblGrid>
      <w:tr w:rsidR="00DD5CC6" w:rsidRPr="00C43648" w:rsidTr="00631CFA">
        <w:trPr>
          <w:cnfStyle w:val="100000000000" w:firstRow="1" w:lastRow="0" w:firstColumn="0" w:lastColumn="0" w:oddVBand="0" w:evenVBand="0" w:oddHBand="0" w:evenHBand="0" w:firstRowFirstColumn="0" w:firstRowLastColumn="0" w:lastRowFirstColumn="0" w:lastRowLastColumn="0"/>
        </w:trPr>
        <w:tc>
          <w:tcPr>
            <w:tcW w:w="714" w:type="pct"/>
          </w:tcPr>
          <w:p w:rsidR="00DD5CC6" w:rsidRDefault="00DD5CC6" w:rsidP="00DD5CC6"/>
        </w:tc>
        <w:tc>
          <w:tcPr>
            <w:tcW w:w="714" w:type="pct"/>
          </w:tcPr>
          <w:p w:rsidR="00DD5CC6" w:rsidRPr="00DD5CC6" w:rsidRDefault="00DD5CC6" w:rsidP="00DD5CC6">
            <w:r>
              <w:t>20</w:t>
            </w:r>
            <w:r w:rsidRPr="00DD5CC6">
              <w:t>16</w:t>
            </w:r>
          </w:p>
        </w:tc>
        <w:tc>
          <w:tcPr>
            <w:tcW w:w="714" w:type="pct"/>
          </w:tcPr>
          <w:p w:rsidR="00DD5CC6" w:rsidRPr="00DD5CC6" w:rsidRDefault="00DD5CC6" w:rsidP="00DD5CC6">
            <w:r>
              <w:t>20</w:t>
            </w:r>
            <w:r w:rsidRPr="00DD5CC6">
              <w:t>17</w:t>
            </w:r>
          </w:p>
        </w:tc>
        <w:tc>
          <w:tcPr>
            <w:tcW w:w="714" w:type="pct"/>
          </w:tcPr>
          <w:p w:rsidR="00DD5CC6" w:rsidRPr="00DD5CC6" w:rsidRDefault="00DD5CC6" w:rsidP="00DD5CC6">
            <w:r>
              <w:t>20</w:t>
            </w:r>
            <w:r w:rsidRPr="00DD5CC6">
              <w:t>18</w:t>
            </w:r>
          </w:p>
        </w:tc>
        <w:tc>
          <w:tcPr>
            <w:tcW w:w="714" w:type="pct"/>
          </w:tcPr>
          <w:p w:rsidR="00DD5CC6" w:rsidRPr="00DD5CC6" w:rsidRDefault="00DD5CC6" w:rsidP="00DD5CC6">
            <w:r w:rsidRPr="00C43648">
              <w:t>20</w:t>
            </w:r>
            <w:r w:rsidRPr="00DD5CC6">
              <w:t>19</w:t>
            </w:r>
          </w:p>
        </w:tc>
        <w:tc>
          <w:tcPr>
            <w:tcW w:w="715" w:type="pct"/>
          </w:tcPr>
          <w:p w:rsidR="00DD5CC6" w:rsidRPr="00DD5CC6" w:rsidRDefault="00DD5CC6" w:rsidP="00DD5CC6">
            <w:r w:rsidRPr="00C43648">
              <w:t>20</w:t>
            </w:r>
            <w:r w:rsidRPr="00DD5CC6">
              <w:t>20</w:t>
            </w:r>
          </w:p>
        </w:tc>
        <w:tc>
          <w:tcPr>
            <w:tcW w:w="715" w:type="pct"/>
          </w:tcPr>
          <w:p w:rsidR="00DD5CC6" w:rsidRPr="00DD5CC6" w:rsidRDefault="00DD5CC6" w:rsidP="00DD5CC6">
            <w:r w:rsidRPr="00C43648">
              <w:t>Total</w:t>
            </w:r>
          </w:p>
        </w:tc>
      </w:tr>
      <w:tr w:rsidR="00DD5CC6" w:rsidRPr="00C43648" w:rsidTr="00631CFA">
        <w:tc>
          <w:tcPr>
            <w:tcW w:w="714" w:type="pct"/>
          </w:tcPr>
          <w:p w:rsidR="00DD5CC6" w:rsidRPr="00DD5CC6" w:rsidRDefault="00DD5CC6" w:rsidP="00DD5CC6">
            <w:r>
              <w:t>Distribution</w:t>
            </w:r>
          </w:p>
        </w:tc>
        <w:tc>
          <w:tcPr>
            <w:tcW w:w="714" w:type="pct"/>
            <w:vAlign w:val="top"/>
          </w:tcPr>
          <w:p w:rsidR="00DD5CC6" w:rsidRPr="00DD5CC6" w:rsidRDefault="00DD5CC6" w:rsidP="00DD5CC6">
            <w:r w:rsidRPr="004045B4">
              <w:t xml:space="preserve"> </w:t>
            </w:r>
            <w:r w:rsidRPr="00DD5CC6">
              <w:t xml:space="preserve">0.9 </w:t>
            </w:r>
          </w:p>
        </w:tc>
        <w:tc>
          <w:tcPr>
            <w:tcW w:w="714" w:type="pct"/>
            <w:vAlign w:val="top"/>
          </w:tcPr>
          <w:p w:rsidR="00DD5CC6" w:rsidRPr="00DD5CC6" w:rsidRDefault="00DD5CC6" w:rsidP="00DD5CC6">
            <w:r w:rsidRPr="004045B4">
              <w:t xml:space="preserve"> </w:t>
            </w:r>
            <w:r w:rsidRPr="00DD5CC6">
              <w:t xml:space="preserve">0.9 </w:t>
            </w:r>
          </w:p>
        </w:tc>
        <w:tc>
          <w:tcPr>
            <w:tcW w:w="714" w:type="pct"/>
            <w:vAlign w:val="top"/>
          </w:tcPr>
          <w:p w:rsidR="00DD5CC6" w:rsidRPr="00DD5CC6" w:rsidRDefault="00DD5CC6" w:rsidP="00DD5CC6">
            <w:r>
              <w:t>1</w:t>
            </w:r>
            <w:r w:rsidRPr="00DD5CC6">
              <w:t xml:space="preserve">.0 </w:t>
            </w:r>
          </w:p>
        </w:tc>
        <w:tc>
          <w:tcPr>
            <w:tcW w:w="714" w:type="pct"/>
            <w:vAlign w:val="top"/>
          </w:tcPr>
          <w:p w:rsidR="00DD5CC6" w:rsidRPr="00DD5CC6" w:rsidRDefault="00DD5CC6" w:rsidP="00DD5CC6">
            <w:r w:rsidRPr="004045B4">
              <w:t xml:space="preserve"> </w:t>
            </w:r>
            <w:r w:rsidRPr="00DD5CC6">
              <w:t xml:space="preserve">1.0 </w:t>
            </w:r>
          </w:p>
        </w:tc>
        <w:tc>
          <w:tcPr>
            <w:tcW w:w="715" w:type="pct"/>
            <w:vAlign w:val="top"/>
          </w:tcPr>
          <w:p w:rsidR="00DD5CC6" w:rsidRPr="00DD5CC6" w:rsidRDefault="00DD5CC6" w:rsidP="00DD5CC6">
            <w:r w:rsidRPr="004045B4">
              <w:t xml:space="preserve"> </w:t>
            </w:r>
            <w:r w:rsidRPr="00DD5CC6">
              <w:t xml:space="preserve">1.0 </w:t>
            </w:r>
          </w:p>
        </w:tc>
        <w:tc>
          <w:tcPr>
            <w:tcW w:w="715" w:type="pct"/>
          </w:tcPr>
          <w:p w:rsidR="00DD5CC6" w:rsidRPr="00DD5CC6" w:rsidRDefault="00DD5CC6" w:rsidP="00DD5CC6">
            <w:r>
              <w:t>4</w:t>
            </w:r>
            <w:r w:rsidRPr="00DD5CC6">
              <w:t>.8</w:t>
            </w:r>
          </w:p>
        </w:tc>
      </w:tr>
      <w:tr w:rsidR="00DD5CC6" w:rsidRPr="00C43648" w:rsidTr="00631CFA">
        <w:trPr>
          <w:cnfStyle w:val="000000010000" w:firstRow="0" w:lastRow="0" w:firstColumn="0" w:lastColumn="0" w:oddVBand="0" w:evenVBand="0" w:oddHBand="0" w:evenHBand="1" w:firstRowFirstColumn="0" w:firstRowLastColumn="0" w:lastRowFirstColumn="0" w:lastRowLastColumn="0"/>
        </w:trPr>
        <w:tc>
          <w:tcPr>
            <w:tcW w:w="714" w:type="pct"/>
          </w:tcPr>
          <w:p w:rsidR="00DD5CC6" w:rsidRPr="00DD5CC6" w:rsidRDefault="00DD5CC6" w:rsidP="00DD5CC6">
            <w:r>
              <w:t>Metering</w:t>
            </w:r>
          </w:p>
        </w:tc>
        <w:tc>
          <w:tcPr>
            <w:tcW w:w="714" w:type="pct"/>
            <w:vAlign w:val="top"/>
          </w:tcPr>
          <w:p w:rsidR="00DD5CC6" w:rsidRPr="00DD5CC6" w:rsidRDefault="00DD5CC6" w:rsidP="00DD5CC6">
            <w:r>
              <w:t>0.</w:t>
            </w:r>
            <w:r w:rsidRPr="00DD5CC6">
              <w:t>1</w:t>
            </w:r>
          </w:p>
        </w:tc>
        <w:tc>
          <w:tcPr>
            <w:tcW w:w="714" w:type="pct"/>
            <w:vAlign w:val="top"/>
          </w:tcPr>
          <w:p w:rsidR="00DD5CC6" w:rsidRPr="00DD5CC6" w:rsidRDefault="00DD5CC6" w:rsidP="00DD5CC6">
            <w:r>
              <w:t>0.</w:t>
            </w:r>
            <w:r w:rsidRPr="00DD5CC6">
              <w:t>1</w:t>
            </w:r>
          </w:p>
        </w:tc>
        <w:tc>
          <w:tcPr>
            <w:tcW w:w="714" w:type="pct"/>
            <w:vAlign w:val="top"/>
          </w:tcPr>
          <w:p w:rsidR="00DD5CC6" w:rsidRPr="00DD5CC6" w:rsidRDefault="00DD5CC6" w:rsidP="00DD5CC6">
            <w:r>
              <w:t>0.</w:t>
            </w:r>
            <w:r w:rsidRPr="00DD5CC6">
              <w:t>1</w:t>
            </w:r>
          </w:p>
        </w:tc>
        <w:tc>
          <w:tcPr>
            <w:tcW w:w="714" w:type="pct"/>
            <w:vAlign w:val="top"/>
          </w:tcPr>
          <w:p w:rsidR="00DD5CC6" w:rsidRPr="00DD5CC6" w:rsidRDefault="00DD5CC6" w:rsidP="00DD5CC6">
            <w:r>
              <w:t>0.</w:t>
            </w:r>
            <w:r w:rsidRPr="00DD5CC6">
              <w:t>0</w:t>
            </w:r>
          </w:p>
        </w:tc>
        <w:tc>
          <w:tcPr>
            <w:tcW w:w="715" w:type="pct"/>
            <w:vAlign w:val="top"/>
          </w:tcPr>
          <w:p w:rsidR="00DD5CC6" w:rsidRPr="00DD5CC6" w:rsidRDefault="00DD5CC6" w:rsidP="00DD5CC6">
            <w:r>
              <w:t>0.</w:t>
            </w:r>
            <w:r w:rsidRPr="00DD5CC6">
              <w:t>0</w:t>
            </w:r>
          </w:p>
        </w:tc>
        <w:tc>
          <w:tcPr>
            <w:tcW w:w="715" w:type="pct"/>
          </w:tcPr>
          <w:p w:rsidR="00DD5CC6" w:rsidRPr="00DD5CC6" w:rsidRDefault="00DD5CC6" w:rsidP="00DD5CC6">
            <w:r>
              <w:t>0.</w:t>
            </w:r>
            <w:r w:rsidRPr="00DD5CC6">
              <w:t>3</w:t>
            </w:r>
          </w:p>
        </w:tc>
      </w:tr>
      <w:tr w:rsidR="00DD5CC6" w:rsidRPr="00C43648" w:rsidTr="00631CFA">
        <w:tc>
          <w:tcPr>
            <w:tcW w:w="714" w:type="pct"/>
            <w:vAlign w:val="bottom"/>
          </w:tcPr>
          <w:p w:rsidR="00DD5CC6" w:rsidRPr="00DD5CC6" w:rsidRDefault="00DD5CC6" w:rsidP="00DD5CC6">
            <w:r>
              <w:t>Total</w:t>
            </w:r>
          </w:p>
        </w:tc>
        <w:tc>
          <w:tcPr>
            <w:tcW w:w="714" w:type="pct"/>
            <w:vAlign w:val="bottom"/>
          </w:tcPr>
          <w:p w:rsidR="00DD5CC6" w:rsidRPr="00DD5CC6" w:rsidRDefault="00DD5CC6" w:rsidP="00DD5CC6">
            <w:r w:rsidRPr="001E5F8F">
              <w:t>1.</w:t>
            </w:r>
            <w:r w:rsidRPr="00DD5CC6">
              <w:t>0</w:t>
            </w:r>
          </w:p>
        </w:tc>
        <w:tc>
          <w:tcPr>
            <w:tcW w:w="714" w:type="pct"/>
            <w:vAlign w:val="bottom"/>
          </w:tcPr>
          <w:p w:rsidR="00DD5CC6" w:rsidRPr="00DD5CC6" w:rsidRDefault="00DD5CC6" w:rsidP="00DD5CC6">
            <w:r>
              <w:t>1</w:t>
            </w:r>
            <w:r w:rsidRPr="00DD5CC6">
              <w:t>.0</w:t>
            </w:r>
          </w:p>
        </w:tc>
        <w:tc>
          <w:tcPr>
            <w:tcW w:w="714" w:type="pct"/>
            <w:vAlign w:val="bottom"/>
          </w:tcPr>
          <w:p w:rsidR="00DD5CC6" w:rsidRPr="00DD5CC6" w:rsidRDefault="00DD5CC6" w:rsidP="00DD5CC6">
            <w:r>
              <w:t>1</w:t>
            </w:r>
            <w:r w:rsidRPr="00DD5CC6">
              <w:t>.1</w:t>
            </w:r>
          </w:p>
        </w:tc>
        <w:tc>
          <w:tcPr>
            <w:tcW w:w="714" w:type="pct"/>
            <w:vAlign w:val="bottom"/>
          </w:tcPr>
          <w:p w:rsidR="00DD5CC6" w:rsidRPr="00DD5CC6" w:rsidRDefault="00DD5CC6" w:rsidP="00DD5CC6">
            <w:r>
              <w:t>1</w:t>
            </w:r>
            <w:r w:rsidRPr="00DD5CC6">
              <w:t>.0</w:t>
            </w:r>
          </w:p>
        </w:tc>
        <w:tc>
          <w:tcPr>
            <w:tcW w:w="715" w:type="pct"/>
            <w:vAlign w:val="bottom"/>
          </w:tcPr>
          <w:p w:rsidR="00DD5CC6" w:rsidRPr="00DD5CC6" w:rsidRDefault="00DD5CC6" w:rsidP="00DD5CC6">
            <w:r>
              <w:t>1</w:t>
            </w:r>
            <w:r w:rsidRPr="00DD5CC6">
              <w:t>.0</w:t>
            </w:r>
          </w:p>
        </w:tc>
        <w:tc>
          <w:tcPr>
            <w:tcW w:w="715" w:type="pct"/>
            <w:vAlign w:val="bottom"/>
          </w:tcPr>
          <w:p w:rsidR="00DD5CC6" w:rsidRPr="00DD5CC6" w:rsidRDefault="00DD5CC6" w:rsidP="00DD5CC6">
            <w:r>
              <w:t>5</w:t>
            </w:r>
            <w:r w:rsidRPr="00DD5CC6">
              <w:t>.1</w:t>
            </w:r>
          </w:p>
        </w:tc>
      </w:tr>
    </w:tbl>
    <w:p w:rsidR="00DD5CC6" w:rsidRDefault="00DD5CC6" w:rsidP="00DD5CC6">
      <w:pPr>
        <w:pStyle w:val="AERtablesource"/>
      </w:pPr>
      <w:r w:rsidRPr="00C43648">
        <w:t xml:space="preserve">Source: </w:t>
      </w:r>
      <w:r>
        <w:tab/>
      </w:r>
      <w:r w:rsidRPr="00C43648">
        <w:t>AER analysis.</w:t>
      </w:r>
    </w:p>
    <w:p w:rsidR="00DD5CC6" w:rsidRDefault="00DD5CC6" w:rsidP="00DD5CC6">
      <w:pPr>
        <w:pStyle w:val="AERtablesource"/>
      </w:pPr>
      <w:r>
        <w:t xml:space="preserve">Note: </w:t>
      </w:r>
      <w:r>
        <w:tab/>
        <w:t>Columns may not add to total due to rounding for presentation in table.</w:t>
      </w:r>
    </w:p>
    <w:p w:rsidR="00DD5CC6" w:rsidRPr="003A2229" w:rsidRDefault="00DD5CC6" w:rsidP="00DD5CC6"/>
    <w:p w:rsidR="00DD5CC6" w:rsidRPr="00413171" w:rsidRDefault="00DD5CC6" w:rsidP="00DD5CC6">
      <w:pPr>
        <w:pStyle w:val="Caption"/>
      </w:pPr>
      <w:bookmarkStart w:id="425" w:name="_Ref451323567"/>
      <w:r>
        <w:t xml:space="preserve">Table </w:t>
      </w:r>
      <w:fldSimple w:instr=" STYLEREF 1 \s ">
        <w:r w:rsidR="00BA2E8E">
          <w:rPr>
            <w:noProof/>
          </w:rPr>
          <w:t>3</w:t>
        </w:r>
      </w:fldSimple>
      <w:r w:rsidR="000F4BC3">
        <w:noBreakHyphen/>
      </w:r>
      <w:fldSimple w:instr=" SEQ Table \* ARABIC \s 1 ">
        <w:r w:rsidR="00BA2E8E">
          <w:rPr>
            <w:noProof/>
          </w:rPr>
          <w:t>51</w:t>
        </w:r>
      </w:fldSimple>
      <w:bookmarkEnd w:id="425"/>
      <w:r w:rsidR="000E4B88">
        <w:tab/>
      </w:r>
      <w:r w:rsidRPr="00413171">
        <w:t>Benchmark debt raising costs (basis points per annum)</w:t>
      </w:r>
    </w:p>
    <w:tbl>
      <w:tblPr>
        <w:tblStyle w:val="AERtable-text0"/>
        <w:tblW w:w="0" w:type="auto"/>
        <w:tblLook w:val="04A0" w:firstRow="1" w:lastRow="0" w:firstColumn="1" w:lastColumn="0" w:noHBand="0" w:noVBand="1"/>
      </w:tblPr>
      <w:tblGrid>
        <w:gridCol w:w="2373"/>
        <w:gridCol w:w="2252"/>
        <w:gridCol w:w="2034"/>
        <w:gridCol w:w="2034"/>
      </w:tblGrid>
      <w:tr w:rsidR="00DD5CC6" w:rsidRPr="00C43648" w:rsidTr="00631CFA">
        <w:trPr>
          <w:cnfStyle w:val="100000000000" w:firstRow="1" w:lastRow="0" w:firstColumn="0" w:lastColumn="0" w:oddVBand="0" w:evenVBand="0" w:oddHBand="0" w:evenHBand="0" w:firstRowFirstColumn="0" w:firstRowLastColumn="0" w:lastRowFirstColumn="0" w:lastRowLastColumn="0"/>
          <w:tblHeader/>
        </w:trPr>
        <w:tc>
          <w:tcPr>
            <w:tcW w:w="2373" w:type="dxa"/>
          </w:tcPr>
          <w:p w:rsidR="00DD5CC6" w:rsidRPr="00DD5CC6" w:rsidRDefault="00DD5CC6" w:rsidP="00DD5CC6">
            <w:r w:rsidRPr="00C43648">
              <w:t>Number of bonds</w:t>
            </w:r>
          </w:p>
        </w:tc>
        <w:tc>
          <w:tcPr>
            <w:tcW w:w="2252" w:type="dxa"/>
          </w:tcPr>
          <w:p w:rsidR="00DD5CC6" w:rsidRPr="00DD5CC6" w:rsidRDefault="00DD5CC6" w:rsidP="00DD5CC6">
            <w:r w:rsidRPr="00C43648">
              <w:t>Value</w:t>
            </w:r>
          </w:p>
        </w:tc>
        <w:tc>
          <w:tcPr>
            <w:tcW w:w="2034" w:type="dxa"/>
            <w:vAlign w:val="top"/>
          </w:tcPr>
          <w:p w:rsidR="00DD5CC6" w:rsidRPr="00DD5CC6" w:rsidRDefault="00DD5CC6" w:rsidP="00DD5CC6">
            <w:r w:rsidRPr="00C43648">
              <w:t>1 bond issued</w:t>
            </w:r>
          </w:p>
        </w:tc>
        <w:tc>
          <w:tcPr>
            <w:tcW w:w="2034" w:type="dxa"/>
            <w:vAlign w:val="top"/>
          </w:tcPr>
          <w:p w:rsidR="00DD5CC6" w:rsidRPr="00DD5CC6" w:rsidRDefault="00DD5CC6" w:rsidP="00DD5CC6">
            <w:r>
              <w:t>5</w:t>
            </w:r>
            <w:r w:rsidRPr="00DD5CC6">
              <w:t xml:space="preserve"> bonds issued</w:t>
            </w:r>
          </w:p>
        </w:tc>
      </w:tr>
      <w:tr w:rsidR="00DD5CC6" w:rsidRPr="00C43648" w:rsidTr="00631CFA">
        <w:tc>
          <w:tcPr>
            <w:tcW w:w="2373" w:type="dxa"/>
          </w:tcPr>
          <w:p w:rsidR="00DD5CC6" w:rsidRPr="00DD5CC6" w:rsidRDefault="00DD5CC6" w:rsidP="00DD5CC6">
            <w:r w:rsidRPr="00C43648">
              <w:t>Amount raised</w:t>
            </w:r>
          </w:p>
        </w:tc>
        <w:tc>
          <w:tcPr>
            <w:tcW w:w="2252" w:type="dxa"/>
          </w:tcPr>
          <w:p w:rsidR="00DD5CC6" w:rsidRPr="00C43648" w:rsidRDefault="00DD5CC6" w:rsidP="00DD5CC6"/>
        </w:tc>
        <w:tc>
          <w:tcPr>
            <w:tcW w:w="2034" w:type="dxa"/>
            <w:vAlign w:val="top"/>
          </w:tcPr>
          <w:p w:rsidR="00DD5CC6" w:rsidRPr="00DD5CC6" w:rsidRDefault="00DD5CC6" w:rsidP="00DD5CC6">
            <w:r w:rsidRPr="00C43648">
              <w:t>$250m</w:t>
            </w:r>
          </w:p>
        </w:tc>
        <w:tc>
          <w:tcPr>
            <w:tcW w:w="2034" w:type="dxa"/>
            <w:vAlign w:val="top"/>
          </w:tcPr>
          <w:p w:rsidR="00DD5CC6" w:rsidRPr="00DD5CC6" w:rsidRDefault="00DD5CC6" w:rsidP="00DD5CC6">
            <w:r w:rsidRPr="00C43648">
              <w:t>$</w:t>
            </w:r>
            <w:r w:rsidRPr="00DD5CC6">
              <w:t>1250m</w:t>
            </w:r>
          </w:p>
        </w:tc>
      </w:tr>
      <w:tr w:rsidR="00DD5CC6" w:rsidRPr="00C43648" w:rsidTr="00631CFA">
        <w:trPr>
          <w:cnfStyle w:val="000000010000" w:firstRow="0" w:lastRow="0" w:firstColumn="0" w:lastColumn="0" w:oddVBand="0" w:evenVBand="0" w:oddHBand="0" w:evenHBand="1" w:firstRowFirstColumn="0" w:firstRowLastColumn="0" w:lastRowFirstColumn="0" w:lastRowLastColumn="0"/>
        </w:trPr>
        <w:tc>
          <w:tcPr>
            <w:tcW w:w="2373" w:type="dxa"/>
          </w:tcPr>
          <w:p w:rsidR="00DD5CC6" w:rsidRPr="00DD5CC6" w:rsidRDefault="00DD5CC6" w:rsidP="00DD5CC6">
            <w:r w:rsidRPr="00C43648">
              <w:t>Arrangement fee</w:t>
            </w:r>
          </w:p>
        </w:tc>
        <w:tc>
          <w:tcPr>
            <w:tcW w:w="2252" w:type="dxa"/>
          </w:tcPr>
          <w:p w:rsidR="00DD5CC6" w:rsidRPr="00C43648" w:rsidRDefault="00DD5CC6" w:rsidP="00DD5CC6"/>
        </w:tc>
        <w:tc>
          <w:tcPr>
            <w:tcW w:w="2034" w:type="dxa"/>
            <w:vAlign w:val="top"/>
          </w:tcPr>
          <w:p w:rsidR="00DD5CC6" w:rsidRPr="00DD5CC6" w:rsidRDefault="00DD5CC6" w:rsidP="00DD5CC6">
            <w:r>
              <w:t>7.14</w:t>
            </w:r>
          </w:p>
        </w:tc>
        <w:tc>
          <w:tcPr>
            <w:tcW w:w="2034" w:type="dxa"/>
            <w:vAlign w:val="top"/>
          </w:tcPr>
          <w:p w:rsidR="00DD5CC6" w:rsidRPr="00DD5CC6" w:rsidRDefault="00DD5CC6" w:rsidP="00DD5CC6">
            <w:r>
              <w:t>7.14</w:t>
            </w:r>
          </w:p>
        </w:tc>
      </w:tr>
      <w:tr w:rsidR="00DD5CC6" w:rsidRPr="00C43648" w:rsidTr="00631CFA">
        <w:tc>
          <w:tcPr>
            <w:tcW w:w="2373" w:type="dxa"/>
          </w:tcPr>
          <w:p w:rsidR="00DD5CC6" w:rsidRPr="00DD5CC6" w:rsidRDefault="00DD5CC6" w:rsidP="00DD5CC6">
            <w:r w:rsidRPr="00DA7B4A">
              <w:t>Bond Master Program (per</w:t>
            </w:r>
            <w:r w:rsidRPr="00DD5CC6">
              <w:t xml:space="preserve"> program)</w:t>
            </w:r>
          </w:p>
        </w:tc>
        <w:tc>
          <w:tcPr>
            <w:tcW w:w="2252" w:type="dxa"/>
            <w:vAlign w:val="top"/>
          </w:tcPr>
          <w:p w:rsidR="00DD5CC6" w:rsidRPr="00DD5CC6" w:rsidRDefault="00DD5CC6" w:rsidP="00DD5CC6">
            <w:r w:rsidRPr="00DA7B4A">
              <w:t>$56,250</w:t>
            </w:r>
          </w:p>
        </w:tc>
        <w:tc>
          <w:tcPr>
            <w:tcW w:w="2034" w:type="dxa"/>
            <w:vAlign w:val="top"/>
          </w:tcPr>
          <w:p w:rsidR="00DD5CC6" w:rsidRPr="00DD5CC6" w:rsidRDefault="00DD5CC6" w:rsidP="00DD5CC6">
            <w:r w:rsidRPr="00DA7B4A">
              <w:t>0.3</w:t>
            </w:r>
            <w:r w:rsidRPr="00DD5CC6">
              <w:t>1</w:t>
            </w:r>
          </w:p>
        </w:tc>
        <w:tc>
          <w:tcPr>
            <w:tcW w:w="2034" w:type="dxa"/>
            <w:vAlign w:val="top"/>
          </w:tcPr>
          <w:p w:rsidR="00DD5CC6" w:rsidRPr="00DD5CC6" w:rsidRDefault="00DD5CC6" w:rsidP="00DD5CC6">
            <w:r w:rsidRPr="00DA7B4A">
              <w:t>0.0</w:t>
            </w:r>
            <w:r w:rsidRPr="00DD5CC6">
              <w:t>6</w:t>
            </w:r>
          </w:p>
        </w:tc>
      </w:tr>
      <w:tr w:rsidR="00DD5CC6" w:rsidRPr="00C43648" w:rsidTr="00631CFA">
        <w:trPr>
          <w:cnfStyle w:val="000000010000" w:firstRow="0" w:lastRow="0" w:firstColumn="0" w:lastColumn="0" w:oddVBand="0" w:evenVBand="0" w:oddHBand="0" w:evenHBand="1" w:firstRowFirstColumn="0" w:firstRowLastColumn="0" w:lastRowFirstColumn="0" w:lastRowLastColumn="0"/>
        </w:trPr>
        <w:tc>
          <w:tcPr>
            <w:tcW w:w="2373" w:type="dxa"/>
          </w:tcPr>
          <w:p w:rsidR="00DD5CC6" w:rsidRPr="00DD5CC6" w:rsidRDefault="00DD5CC6" w:rsidP="00DD5CC6">
            <w:r w:rsidRPr="00DA7B4A">
              <w:t>Issuer's legal counsel</w:t>
            </w:r>
          </w:p>
        </w:tc>
        <w:tc>
          <w:tcPr>
            <w:tcW w:w="2252" w:type="dxa"/>
            <w:vAlign w:val="top"/>
          </w:tcPr>
          <w:p w:rsidR="00DD5CC6" w:rsidRPr="00DD5CC6" w:rsidRDefault="00DD5CC6" w:rsidP="00DD5CC6">
            <w:r w:rsidRPr="00DA7B4A">
              <w:t>$15,265</w:t>
            </w:r>
          </w:p>
        </w:tc>
        <w:tc>
          <w:tcPr>
            <w:tcW w:w="2034" w:type="dxa"/>
            <w:vAlign w:val="top"/>
          </w:tcPr>
          <w:p w:rsidR="00DD5CC6" w:rsidRPr="00DD5CC6" w:rsidRDefault="00DD5CC6" w:rsidP="00DD5CC6">
            <w:r w:rsidRPr="00DA7B4A">
              <w:t>0.0</w:t>
            </w:r>
            <w:r w:rsidRPr="00DD5CC6">
              <w:t>9</w:t>
            </w:r>
          </w:p>
        </w:tc>
        <w:tc>
          <w:tcPr>
            <w:tcW w:w="2034" w:type="dxa"/>
            <w:vAlign w:val="top"/>
          </w:tcPr>
          <w:p w:rsidR="00DD5CC6" w:rsidRPr="00DD5CC6" w:rsidRDefault="00DD5CC6" w:rsidP="00DD5CC6">
            <w:r w:rsidRPr="00DA7B4A">
              <w:t>0.0</w:t>
            </w:r>
            <w:r w:rsidRPr="00DD5CC6">
              <w:t>9</w:t>
            </w:r>
          </w:p>
        </w:tc>
      </w:tr>
      <w:tr w:rsidR="00DD5CC6" w:rsidRPr="00C43648" w:rsidTr="00631CFA">
        <w:tc>
          <w:tcPr>
            <w:tcW w:w="2373" w:type="dxa"/>
          </w:tcPr>
          <w:p w:rsidR="00DD5CC6" w:rsidRPr="00DD5CC6" w:rsidRDefault="00DD5CC6" w:rsidP="00DD5CC6">
            <w:r w:rsidRPr="00DA7B4A">
              <w:t xml:space="preserve">Company </w:t>
            </w:r>
            <w:r w:rsidRPr="00DD5CC6">
              <w:t>credit rating</w:t>
            </w:r>
          </w:p>
        </w:tc>
        <w:tc>
          <w:tcPr>
            <w:tcW w:w="2252" w:type="dxa"/>
            <w:vAlign w:val="top"/>
          </w:tcPr>
          <w:p w:rsidR="00DD5CC6" w:rsidRPr="00DD5CC6" w:rsidRDefault="00DD5CC6" w:rsidP="00DD5CC6">
            <w:r w:rsidRPr="00DA7B4A">
              <w:t>$77,500</w:t>
            </w:r>
          </w:p>
        </w:tc>
        <w:tc>
          <w:tcPr>
            <w:tcW w:w="2034" w:type="dxa"/>
            <w:vAlign w:val="top"/>
          </w:tcPr>
          <w:p w:rsidR="00DD5CC6" w:rsidRPr="00DD5CC6" w:rsidRDefault="00DD5CC6" w:rsidP="00DD5CC6">
            <w:r w:rsidRPr="00DA7B4A">
              <w:t>0.4</w:t>
            </w:r>
            <w:r w:rsidRPr="00DD5CC6">
              <w:t>2</w:t>
            </w:r>
          </w:p>
        </w:tc>
        <w:tc>
          <w:tcPr>
            <w:tcW w:w="2034" w:type="dxa"/>
            <w:vAlign w:val="top"/>
          </w:tcPr>
          <w:p w:rsidR="00DD5CC6" w:rsidRPr="00DD5CC6" w:rsidRDefault="00DD5CC6" w:rsidP="00DD5CC6">
            <w:r w:rsidRPr="00DA7B4A">
              <w:t>0.0</w:t>
            </w:r>
            <w:r w:rsidRPr="00DD5CC6">
              <w:t>8</w:t>
            </w:r>
          </w:p>
        </w:tc>
      </w:tr>
      <w:tr w:rsidR="00DD5CC6" w:rsidRPr="00C43648" w:rsidTr="00631CFA">
        <w:trPr>
          <w:cnfStyle w:val="000000010000" w:firstRow="0" w:lastRow="0" w:firstColumn="0" w:lastColumn="0" w:oddVBand="0" w:evenVBand="0" w:oddHBand="0" w:evenHBand="1" w:firstRowFirstColumn="0" w:firstRowLastColumn="0" w:lastRowFirstColumn="0" w:lastRowLastColumn="0"/>
        </w:trPr>
        <w:tc>
          <w:tcPr>
            <w:tcW w:w="2373" w:type="dxa"/>
          </w:tcPr>
          <w:p w:rsidR="00DD5CC6" w:rsidRPr="00DD5CC6" w:rsidRDefault="00DD5CC6" w:rsidP="00DD5CC6">
            <w:r w:rsidRPr="00DA7B4A">
              <w:t>Annual surveillance fee</w:t>
            </w:r>
          </w:p>
        </w:tc>
        <w:tc>
          <w:tcPr>
            <w:tcW w:w="2252" w:type="dxa"/>
            <w:vAlign w:val="top"/>
          </w:tcPr>
          <w:p w:rsidR="00DD5CC6" w:rsidRPr="00DD5CC6" w:rsidRDefault="00DD5CC6" w:rsidP="00DD5CC6">
            <w:r w:rsidRPr="00DA7B4A">
              <w:t>$35,500</w:t>
            </w:r>
          </w:p>
        </w:tc>
        <w:tc>
          <w:tcPr>
            <w:tcW w:w="2034" w:type="dxa"/>
            <w:vAlign w:val="top"/>
          </w:tcPr>
          <w:p w:rsidR="00DD5CC6" w:rsidRPr="00DD5CC6" w:rsidRDefault="00DD5CC6" w:rsidP="00DD5CC6">
            <w:r w:rsidRPr="00DA7B4A">
              <w:t>0.14</w:t>
            </w:r>
          </w:p>
        </w:tc>
        <w:tc>
          <w:tcPr>
            <w:tcW w:w="2034" w:type="dxa"/>
            <w:vAlign w:val="top"/>
          </w:tcPr>
          <w:p w:rsidR="00DD5CC6" w:rsidRPr="00DD5CC6" w:rsidRDefault="00DD5CC6" w:rsidP="00DD5CC6">
            <w:r w:rsidRPr="00DA7B4A">
              <w:t>0.0</w:t>
            </w:r>
            <w:r w:rsidRPr="00DD5CC6">
              <w:t>3</w:t>
            </w:r>
          </w:p>
        </w:tc>
      </w:tr>
      <w:tr w:rsidR="00DD5CC6" w:rsidRPr="00C43648" w:rsidTr="00631CFA">
        <w:tc>
          <w:tcPr>
            <w:tcW w:w="2373" w:type="dxa"/>
          </w:tcPr>
          <w:p w:rsidR="00DD5CC6" w:rsidRPr="00DD5CC6" w:rsidRDefault="00DD5CC6" w:rsidP="00DD5CC6">
            <w:r w:rsidRPr="00DA7B4A">
              <w:t>Up-front issuance fee</w:t>
            </w:r>
          </w:p>
        </w:tc>
        <w:tc>
          <w:tcPr>
            <w:tcW w:w="2252" w:type="dxa"/>
            <w:vAlign w:val="top"/>
          </w:tcPr>
          <w:p w:rsidR="00DD5CC6" w:rsidRPr="00DD5CC6" w:rsidRDefault="00DD5CC6" w:rsidP="00DD5CC6">
            <w:r w:rsidRPr="00DA7B4A">
              <w:t>5.20bp</w:t>
            </w:r>
          </w:p>
        </w:tc>
        <w:tc>
          <w:tcPr>
            <w:tcW w:w="2034" w:type="dxa"/>
            <w:vAlign w:val="top"/>
          </w:tcPr>
          <w:p w:rsidR="00DD5CC6" w:rsidRPr="00DD5CC6" w:rsidRDefault="00DD5CC6" w:rsidP="00DD5CC6">
            <w:r w:rsidRPr="00DA7B4A">
              <w:t>0.</w:t>
            </w:r>
            <w:r w:rsidRPr="00DD5CC6">
              <w:t>71</w:t>
            </w:r>
          </w:p>
        </w:tc>
        <w:tc>
          <w:tcPr>
            <w:tcW w:w="2034" w:type="dxa"/>
            <w:vAlign w:val="top"/>
          </w:tcPr>
          <w:p w:rsidR="00DD5CC6" w:rsidRPr="00DD5CC6" w:rsidRDefault="00DD5CC6" w:rsidP="00DD5CC6">
            <w:r w:rsidRPr="00DA7B4A">
              <w:t>0.</w:t>
            </w:r>
            <w:r w:rsidRPr="00DD5CC6">
              <w:t>71</w:t>
            </w:r>
          </w:p>
        </w:tc>
      </w:tr>
      <w:tr w:rsidR="00DD5CC6" w:rsidRPr="00C43648" w:rsidTr="00631CFA">
        <w:trPr>
          <w:cnfStyle w:val="000000010000" w:firstRow="0" w:lastRow="0" w:firstColumn="0" w:lastColumn="0" w:oddVBand="0" w:evenVBand="0" w:oddHBand="0" w:evenHBand="1" w:firstRowFirstColumn="0" w:firstRowLastColumn="0" w:lastRowFirstColumn="0" w:lastRowLastColumn="0"/>
        </w:trPr>
        <w:tc>
          <w:tcPr>
            <w:tcW w:w="2373" w:type="dxa"/>
          </w:tcPr>
          <w:p w:rsidR="00DD5CC6" w:rsidRPr="00DD5CC6" w:rsidRDefault="00DD5CC6" w:rsidP="00DD5CC6">
            <w:r w:rsidRPr="00DA7B4A">
              <w:t>Registration up-front (per program)</w:t>
            </w:r>
          </w:p>
        </w:tc>
        <w:tc>
          <w:tcPr>
            <w:tcW w:w="2252" w:type="dxa"/>
            <w:vAlign w:val="top"/>
          </w:tcPr>
          <w:p w:rsidR="00DD5CC6" w:rsidRPr="00DD5CC6" w:rsidRDefault="00DD5CC6" w:rsidP="00DD5CC6">
            <w:r w:rsidRPr="00DA7B4A">
              <w:t>$20,850</w:t>
            </w:r>
          </w:p>
        </w:tc>
        <w:tc>
          <w:tcPr>
            <w:tcW w:w="2034" w:type="dxa"/>
            <w:vAlign w:val="top"/>
          </w:tcPr>
          <w:p w:rsidR="00DD5CC6" w:rsidRPr="00DD5CC6" w:rsidRDefault="00DD5CC6" w:rsidP="00DD5CC6">
            <w:r w:rsidRPr="00DA7B4A">
              <w:t>0.11</w:t>
            </w:r>
          </w:p>
        </w:tc>
        <w:tc>
          <w:tcPr>
            <w:tcW w:w="2034" w:type="dxa"/>
            <w:vAlign w:val="top"/>
          </w:tcPr>
          <w:p w:rsidR="00DD5CC6" w:rsidRPr="00DD5CC6" w:rsidRDefault="00DD5CC6" w:rsidP="00DD5CC6">
            <w:r w:rsidRPr="00DA7B4A">
              <w:t>0.0</w:t>
            </w:r>
            <w:r w:rsidRPr="00DD5CC6">
              <w:t>2</w:t>
            </w:r>
          </w:p>
        </w:tc>
      </w:tr>
      <w:tr w:rsidR="00DD5CC6" w:rsidRPr="00C43648" w:rsidTr="00631CFA">
        <w:tc>
          <w:tcPr>
            <w:tcW w:w="2373" w:type="dxa"/>
          </w:tcPr>
          <w:p w:rsidR="00DD5CC6" w:rsidRPr="00DD5CC6" w:rsidRDefault="00DD5CC6" w:rsidP="00DD5CC6">
            <w:r w:rsidRPr="00DA7B4A">
              <w:t>Registration- annual</w:t>
            </w:r>
          </w:p>
        </w:tc>
        <w:tc>
          <w:tcPr>
            <w:tcW w:w="2252" w:type="dxa"/>
            <w:vAlign w:val="top"/>
          </w:tcPr>
          <w:p w:rsidR="00DD5CC6" w:rsidRPr="00DD5CC6" w:rsidRDefault="00DD5CC6" w:rsidP="00DD5CC6">
            <w:r w:rsidRPr="00DA7B4A">
              <w:t>$7,825</w:t>
            </w:r>
          </w:p>
        </w:tc>
        <w:tc>
          <w:tcPr>
            <w:tcW w:w="2034" w:type="dxa"/>
            <w:vAlign w:val="top"/>
          </w:tcPr>
          <w:p w:rsidR="00DD5CC6" w:rsidRPr="00DD5CC6" w:rsidRDefault="00DD5CC6" w:rsidP="00DD5CC6">
            <w:r w:rsidRPr="00DA7B4A">
              <w:t>0.31</w:t>
            </w:r>
          </w:p>
        </w:tc>
        <w:tc>
          <w:tcPr>
            <w:tcW w:w="2034" w:type="dxa"/>
            <w:vAlign w:val="top"/>
          </w:tcPr>
          <w:p w:rsidR="00DD5CC6" w:rsidRPr="00DD5CC6" w:rsidRDefault="00DD5CC6" w:rsidP="00DD5CC6">
            <w:r w:rsidRPr="00DA7B4A">
              <w:t>0.31</w:t>
            </w:r>
          </w:p>
        </w:tc>
      </w:tr>
      <w:tr w:rsidR="00DD5CC6" w:rsidRPr="00C43648" w:rsidTr="00631CFA">
        <w:trPr>
          <w:cnfStyle w:val="000000010000" w:firstRow="0" w:lastRow="0" w:firstColumn="0" w:lastColumn="0" w:oddVBand="0" w:evenVBand="0" w:oddHBand="0" w:evenHBand="1" w:firstRowFirstColumn="0" w:firstRowLastColumn="0" w:lastRowFirstColumn="0" w:lastRowLastColumn="0"/>
        </w:trPr>
        <w:tc>
          <w:tcPr>
            <w:tcW w:w="2373" w:type="dxa"/>
          </w:tcPr>
          <w:p w:rsidR="00DD5CC6" w:rsidRPr="00DD5CC6" w:rsidRDefault="00DD5CC6" w:rsidP="00DD5CC6">
            <w:r w:rsidRPr="00DA7B4A">
              <w:t>Agents out-of-pockets</w:t>
            </w:r>
          </w:p>
        </w:tc>
        <w:tc>
          <w:tcPr>
            <w:tcW w:w="2252" w:type="dxa"/>
            <w:vAlign w:val="top"/>
          </w:tcPr>
          <w:p w:rsidR="00DD5CC6" w:rsidRPr="00DD5CC6" w:rsidRDefault="00DD5CC6" w:rsidP="00DD5CC6">
            <w:r w:rsidRPr="00DA7B4A">
              <w:t>$3,000</w:t>
            </w:r>
          </w:p>
        </w:tc>
        <w:tc>
          <w:tcPr>
            <w:tcW w:w="2034" w:type="dxa"/>
            <w:vAlign w:val="top"/>
          </w:tcPr>
          <w:p w:rsidR="00DD5CC6" w:rsidRPr="00DD5CC6" w:rsidRDefault="00DD5CC6" w:rsidP="00DD5CC6">
            <w:r w:rsidRPr="00DA7B4A">
              <w:t>0.02</w:t>
            </w:r>
          </w:p>
        </w:tc>
        <w:tc>
          <w:tcPr>
            <w:tcW w:w="2034" w:type="dxa"/>
            <w:vAlign w:val="top"/>
          </w:tcPr>
          <w:p w:rsidR="00DD5CC6" w:rsidRPr="00DD5CC6" w:rsidRDefault="00DD5CC6" w:rsidP="00DD5CC6">
            <w:r w:rsidRPr="00DA7B4A">
              <w:t>0.02</w:t>
            </w:r>
          </w:p>
        </w:tc>
      </w:tr>
      <w:tr w:rsidR="00DD5CC6" w:rsidRPr="00C43648" w:rsidTr="00631CFA">
        <w:tc>
          <w:tcPr>
            <w:tcW w:w="2373" w:type="dxa"/>
          </w:tcPr>
          <w:p w:rsidR="00DD5CC6" w:rsidRPr="00DD5CC6" w:rsidRDefault="00DD5CC6" w:rsidP="00DD5CC6">
            <w:r w:rsidRPr="00C43648">
              <w:t xml:space="preserve">Total </w:t>
            </w:r>
            <w:r w:rsidRPr="00DD5CC6">
              <w:t>(basis points per annum)</w:t>
            </w:r>
          </w:p>
        </w:tc>
        <w:tc>
          <w:tcPr>
            <w:tcW w:w="2252" w:type="dxa"/>
            <w:vAlign w:val="top"/>
          </w:tcPr>
          <w:p w:rsidR="00DD5CC6" w:rsidRPr="00C43648" w:rsidRDefault="00DD5CC6" w:rsidP="00DD5CC6"/>
        </w:tc>
        <w:tc>
          <w:tcPr>
            <w:tcW w:w="2034" w:type="dxa"/>
            <w:vAlign w:val="top"/>
          </w:tcPr>
          <w:p w:rsidR="00DD5CC6" w:rsidRPr="00DD5CC6" w:rsidRDefault="00DD5CC6" w:rsidP="00DD5CC6">
            <w:r w:rsidRPr="00C43648">
              <w:t>9.</w:t>
            </w:r>
            <w:r w:rsidRPr="00DD5CC6">
              <w:t>3</w:t>
            </w:r>
          </w:p>
        </w:tc>
        <w:tc>
          <w:tcPr>
            <w:tcW w:w="2034" w:type="dxa"/>
            <w:vAlign w:val="top"/>
          </w:tcPr>
          <w:p w:rsidR="00DD5CC6" w:rsidRPr="00DD5CC6" w:rsidRDefault="00DD5CC6" w:rsidP="00DD5CC6">
            <w:r>
              <w:t>8</w:t>
            </w:r>
            <w:r w:rsidRPr="00DD5CC6">
              <w:t>.5</w:t>
            </w:r>
          </w:p>
        </w:tc>
      </w:tr>
    </w:tbl>
    <w:p w:rsidR="00DD5CC6" w:rsidRDefault="00DD5CC6" w:rsidP="00DD5CC6">
      <w:pPr>
        <w:pStyle w:val="AERtablesource"/>
      </w:pPr>
      <w:r w:rsidRPr="00C43648">
        <w:t xml:space="preserve">Source: </w:t>
      </w:r>
      <w:r>
        <w:tab/>
      </w:r>
      <w:r w:rsidRPr="00C43648">
        <w:t>AER, Incenta.</w:t>
      </w:r>
      <w:r>
        <w:rPr>
          <w:rStyle w:val="FootnoteReference"/>
        </w:rPr>
        <w:footnoteReference w:id="1386"/>
      </w:r>
    </w:p>
    <w:p w:rsidR="00DD5CC6" w:rsidRPr="00DD5CC6" w:rsidRDefault="00DD5CC6" w:rsidP="00DD5CC6"/>
    <w:p w:rsidR="00B42AC6" w:rsidRDefault="00B42AC6" w:rsidP="00B42AC6">
      <w:pPr>
        <w:pStyle w:val="Heading7"/>
      </w:pPr>
      <w:bookmarkStart w:id="426" w:name="_Ref451266125"/>
      <w:bookmarkStart w:id="427" w:name="_Toc451678713"/>
      <w:r>
        <w:t>Equity and debt averaging periods (Confidential)</w:t>
      </w:r>
      <w:bookmarkEnd w:id="426"/>
      <w:bookmarkEnd w:id="427"/>
    </w:p>
    <w:p w:rsidR="00B42AC6" w:rsidRDefault="00B42AC6" w:rsidP="00B42AC6"/>
    <w:p w:rsidR="00B42AC6" w:rsidRPr="00B42AC6" w:rsidRDefault="00B42AC6" w:rsidP="00B42AC6"/>
    <w:sectPr w:rsidR="00B42AC6" w:rsidRPr="00B42AC6" w:rsidSect="00CF42AA">
      <w:headerReference w:type="default" r:id="rId42"/>
      <w:footerReference w:type="even" r:id="rId43"/>
      <w:footerReference w:type="first" r:id="rId44"/>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45FD" w:rsidRPr="00290C63" w:rsidRDefault="006345FD" w:rsidP="00290C63">
      <w:r>
        <w:separator/>
      </w:r>
    </w:p>
    <w:p w:rsidR="006345FD" w:rsidRDefault="006345FD"/>
  </w:endnote>
  <w:endnote w:type="continuationSeparator" w:id="0">
    <w:p w:rsidR="006345FD" w:rsidRPr="00290C63" w:rsidRDefault="006345FD" w:rsidP="00290C63">
      <w:r>
        <w:continuationSeparator/>
      </w:r>
    </w:p>
    <w:p w:rsidR="006345FD" w:rsidRDefault="006345F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autami">
    <w:panose1 w:val="020B0502040204020203"/>
    <w:charset w:val="01"/>
    <w:family w:val="roman"/>
    <w:notTrueType/>
    <w:pitch w:val="variable"/>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5FD" w:rsidRPr="00290C63" w:rsidRDefault="006345F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345FD" w:rsidRDefault="006345FD"/>
  <w:p w:rsidR="006345FD" w:rsidRDefault="006345FD"/>
  <w:p w:rsidR="006345FD" w:rsidRDefault="006345FD"/>
  <w:p w:rsidR="006345FD" w:rsidRDefault="006345FD"/>
  <w:p w:rsidR="006345FD" w:rsidRDefault="006345FD"/>
  <w:p w:rsidR="006345FD" w:rsidRDefault="006345FD"/>
  <w:p w:rsidR="006345FD" w:rsidRDefault="006345F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9233319"/>
      <w:docPartObj>
        <w:docPartGallery w:val="Page Numbers (Bottom of Page)"/>
        <w:docPartUnique/>
      </w:docPartObj>
    </w:sdtPr>
    <w:sdtEndPr>
      <w:rPr>
        <w:noProof/>
        <w:szCs w:val="16"/>
      </w:rPr>
    </w:sdtEndPr>
    <w:sdtContent>
      <w:p w:rsidR="006345FD" w:rsidRPr="009B6F84" w:rsidRDefault="006345FD">
        <w:pPr>
          <w:pStyle w:val="Footer"/>
          <w:rPr>
            <w:sz w:val="20"/>
          </w:rPr>
        </w:pPr>
        <w:r>
          <w:fldChar w:fldCharType="begin"/>
        </w:r>
        <w:r>
          <w:instrText xml:space="preserve"> PAGE   \* MERGEFORMAT </w:instrText>
        </w:r>
        <w:r>
          <w:fldChar w:fldCharType="separate"/>
        </w:r>
        <w:r w:rsidR="00B85B7A">
          <w:rPr>
            <w:noProof/>
          </w:rPr>
          <w:t>3-1</w:t>
        </w:r>
        <w:r>
          <w:rPr>
            <w:noProof/>
          </w:rPr>
          <w:fldChar w:fldCharType="end"/>
        </w:r>
        <w:r>
          <w:rPr>
            <w:noProof/>
          </w:rPr>
          <w:t xml:space="preserve">  </w:t>
        </w:r>
        <w:r w:rsidRPr="008F78AD">
          <w:t xml:space="preserve">Attachment </w:t>
        </w:r>
        <w:r>
          <w:t>3</w:t>
        </w:r>
        <w:r w:rsidRPr="008F78AD">
          <w:t xml:space="preserve"> – </w:t>
        </w:r>
        <w:r>
          <w:t xml:space="preserve">Rate of return </w:t>
        </w:r>
        <w:r w:rsidRPr="004523B2">
          <w:t xml:space="preserve">| </w:t>
        </w:r>
        <w:r>
          <w:t>CitiPower distribution determination final decision</w:t>
        </w:r>
        <w:r w:rsidRPr="004523B2">
          <w:t xml:space="preserve"> 201</w:t>
        </w:r>
        <w:r>
          <w:t>6</w:t>
        </w:r>
        <w:r w:rsidRPr="004523B2">
          <w:t>–</w:t>
        </w:r>
        <w:r>
          <w:t>20</w:t>
        </w:r>
      </w:p>
    </w:sdtContent>
  </w:sdt>
  <w:p w:rsidR="006345FD" w:rsidRDefault="006345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5FD" w:rsidRPr="00290C63" w:rsidRDefault="006345F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345FD" w:rsidRDefault="006345FD">
    <w:pPr>
      <w:pStyle w:val="Footer"/>
    </w:pPr>
  </w:p>
  <w:p w:rsidR="006345FD" w:rsidRDefault="006345FD"/>
  <w:p w:rsidR="006345FD" w:rsidRDefault="006345FD"/>
  <w:p w:rsidR="006345FD" w:rsidRDefault="006345FD"/>
  <w:p w:rsidR="006345FD" w:rsidRDefault="006345FD"/>
  <w:p w:rsidR="006345FD" w:rsidRDefault="006345FD"/>
  <w:p w:rsidR="006345FD" w:rsidRDefault="006345FD"/>
  <w:p w:rsidR="006345FD" w:rsidRDefault="006345F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5FD" w:rsidRPr="00290C63" w:rsidRDefault="006345FD"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6345FD" w:rsidRDefault="006345FD"/>
  <w:p w:rsidR="006345FD" w:rsidRDefault="006345FD"/>
  <w:p w:rsidR="006345FD" w:rsidRDefault="006345FD"/>
  <w:p w:rsidR="006345FD" w:rsidRDefault="006345FD"/>
  <w:p w:rsidR="006345FD" w:rsidRDefault="006345FD"/>
  <w:p w:rsidR="006345FD" w:rsidRDefault="006345FD"/>
  <w:p w:rsidR="006345FD" w:rsidRDefault="006345F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5FD" w:rsidRPr="00290C63" w:rsidRDefault="006345FD"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6345FD" w:rsidRDefault="006345FD">
    <w:pPr>
      <w:pStyle w:val="Footer"/>
    </w:pPr>
  </w:p>
  <w:p w:rsidR="006345FD" w:rsidRDefault="006345FD"/>
  <w:p w:rsidR="006345FD" w:rsidRDefault="006345FD"/>
  <w:p w:rsidR="006345FD" w:rsidRDefault="006345FD"/>
  <w:p w:rsidR="006345FD" w:rsidRDefault="006345FD"/>
  <w:p w:rsidR="006345FD" w:rsidRDefault="006345FD"/>
  <w:p w:rsidR="006345FD" w:rsidRDefault="006345FD"/>
  <w:p w:rsidR="006345FD" w:rsidRDefault="006345F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45FD" w:rsidRPr="00290C63" w:rsidRDefault="006345FD" w:rsidP="00290C63">
      <w:r>
        <w:separator/>
      </w:r>
    </w:p>
    <w:p w:rsidR="006345FD" w:rsidRDefault="006345FD"/>
  </w:footnote>
  <w:footnote w:type="continuationSeparator" w:id="0">
    <w:p w:rsidR="006345FD" w:rsidRPr="00290C63" w:rsidRDefault="006345FD" w:rsidP="00290C63">
      <w:r>
        <w:continuationSeparator/>
      </w:r>
    </w:p>
    <w:p w:rsidR="006345FD" w:rsidRDefault="006345FD"/>
  </w:footnote>
  <w:footnote w:id="1">
    <w:p w:rsidR="006345FD" w:rsidRDefault="006345FD" w:rsidP="00E613F0">
      <w:pPr>
        <w:pStyle w:val="FootnoteText"/>
      </w:pPr>
      <w:r>
        <w:rPr>
          <w:rStyle w:val="FootnoteReference"/>
        </w:rPr>
        <w:footnoteRef/>
      </w:r>
      <w:r>
        <w:t xml:space="preserve"> </w:t>
      </w:r>
      <w:r>
        <w:tab/>
        <w:t>The term network service provider relates to service providers that provide gas and electricity transmission and distribution services.</w:t>
      </w:r>
    </w:p>
  </w:footnote>
  <w:footnote w:id="2">
    <w:p w:rsidR="006345FD" w:rsidRDefault="006345FD" w:rsidP="008D02F0">
      <w:pPr>
        <w:pStyle w:val="FootnoteText"/>
      </w:pPr>
      <w:r>
        <w:rPr>
          <w:rStyle w:val="FootnoteReference"/>
        </w:rPr>
        <w:footnoteRef/>
      </w:r>
      <w:r>
        <w:t xml:space="preserve"> </w:t>
      </w:r>
      <w:r>
        <w:tab/>
        <w:t>NER, cl. 6.5.2(b).</w:t>
      </w:r>
    </w:p>
  </w:footnote>
  <w:footnote w:id="3">
    <w:p w:rsidR="006345FD" w:rsidRDefault="006345FD" w:rsidP="008D02F0">
      <w:pPr>
        <w:pStyle w:val="FootnoteText"/>
      </w:pPr>
      <w:r>
        <w:rPr>
          <w:rStyle w:val="FootnoteReference"/>
        </w:rPr>
        <w:footnoteRef/>
      </w:r>
      <w:r>
        <w:t xml:space="preserve"> </w:t>
      </w:r>
      <w:r>
        <w:tab/>
        <w:t>NER, cl. 6.5.2(c).</w:t>
      </w:r>
    </w:p>
  </w:footnote>
  <w:footnote w:id="4">
    <w:p w:rsidR="006345FD" w:rsidRDefault="006345FD" w:rsidP="008D02F0">
      <w:pPr>
        <w:pStyle w:val="FootnoteText"/>
      </w:pPr>
      <w:r>
        <w:rPr>
          <w:rStyle w:val="FootnoteReference"/>
        </w:rPr>
        <w:footnoteRef/>
      </w:r>
      <w:r>
        <w:t xml:space="preserve"> </w:t>
      </w:r>
      <w:r>
        <w:tab/>
        <w:t xml:space="preserve">CitiPower, </w:t>
      </w:r>
      <w:r>
        <w:rPr>
          <w:rStyle w:val="AERtextitalic"/>
        </w:rPr>
        <w:t>R</w:t>
      </w:r>
      <w:r w:rsidRPr="004A1F6F">
        <w:rPr>
          <w:rStyle w:val="AERtextitalic"/>
        </w:rPr>
        <w:t>evised regulatory proposal</w:t>
      </w:r>
      <w:r>
        <w:rPr>
          <w:rStyle w:val="AERtextitalic"/>
        </w:rPr>
        <w:t xml:space="preserve"> </w:t>
      </w:r>
      <w:r w:rsidRPr="004A1F6F">
        <w:rPr>
          <w:rStyle w:val="AERtextitalic"/>
        </w:rPr>
        <w:t>2016 to 2020</w:t>
      </w:r>
      <w:r>
        <w:t>, 6 January 2016, p. 261.</w:t>
      </w:r>
    </w:p>
  </w:footnote>
  <w:footnote w:id="5">
    <w:p w:rsidR="006345FD" w:rsidRDefault="006345FD" w:rsidP="008D02F0">
      <w:pPr>
        <w:pStyle w:val="FootnoteText"/>
      </w:pPr>
      <w:r>
        <w:rPr>
          <w:rStyle w:val="FootnoteReference"/>
        </w:rPr>
        <w:footnoteRef/>
      </w:r>
      <w:r>
        <w:t xml:space="preserve"> </w:t>
      </w:r>
      <w:r>
        <w:tab/>
        <w:t>NER, cl. 6.5.2(d)(1) and (2).</w:t>
      </w:r>
    </w:p>
  </w:footnote>
  <w:footnote w:id="6">
    <w:p w:rsidR="006345FD" w:rsidRDefault="006345FD" w:rsidP="00E613F0">
      <w:pPr>
        <w:pStyle w:val="FootnoteText"/>
      </w:pPr>
      <w:r>
        <w:rPr>
          <w:rStyle w:val="FootnoteReference"/>
        </w:rPr>
        <w:footnoteRef/>
      </w:r>
      <w:r>
        <w:t xml:space="preserve"> </w:t>
      </w:r>
      <w:r>
        <w:tab/>
        <w:t xml:space="preserve">NER, cl. 6.5.2(b); NER, cl. 6A.6.2(b); NGR, r. 87(2). </w:t>
      </w:r>
    </w:p>
  </w:footnote>
  <w:footnote w:id="7">
    <w:p w:rsidR="006345FD" w:rsidRDefault="006345FD" w:rsidP="008D02F0">
      <w:pPr>
        <w:pStyle w:val="FootnoteText"/>
      </w:pPr>
      <w:r>
        <w:rPr>
          <w:rStyle w:val="FootnoteReference"/>
        </w:rPr>
        <w:footnoteRef/>
      </w:r>
      <w:r>
        <w:t xml:space="preserve"> </w:t>
      </w:r>
      <w:r>
        <w:tab/>
        <w:t>NEL, s.16.</w:t>
      </w:r>
    </w:p>
  </w:footnote>
  <w:footnote w:id="8">
    <w:p w:rsidR="006345FD" w:rsidRDefault="006345FD" w:rsidP="00127882">
      <w:pPr>
        <w:pStyle w:val="FootnoteText"/>
      </w:pPr>
      <w:r>
        <w:rPr>
          <w:rStyle w:val="FootnoteReference"/>
        </w:rPr>
        <w:footnoteRef/>
      </w:r>
      <w:r>
        <w:t xml:space="preserve"> </w:t>
      </w:r>
      <w:r>
        <w:tab/>
        <w:t xml:space="preserve">As per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Appendix I.</w:t>
      </w:r>
    </w:p>
  </w:footnote>
  <w:footnote w:id="9">
    <w:p w:rsidR="006345FD" w:rsidRDefault="006345FD" w:rsidP="008D02F0">
      <w:pPr>
        <w:pStyle w:val="FootnoteText"/>
      </w:pPr>
      <w:r>
        <w:rPr>
          <w:rStyle w:val="FootnoteReference"/>
        </w:rPr>
        <w:footnoteRef/>
      </w:r>
      <w:r>
        <w:t xml:space="preserve"> </w:t>
      </w:r>
      <w:r>
        <w:tab/>
        <w:t xml:space="preserve">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most recent decisions on Ergon Energy and Energex.</w:t>
      </w:r>
    </w:p>
  </w:footnote>
  <w:footnote w:id="10">
    <w:p w:rsidR="006345FD" w:rsidRDefault="006345FD" w:rsidP="00DA739B">
      <w:pPr>
        <w:pStyle w:val="FootnoteText"/>
      </w:pPr>
      <w:r>
        <w:rPr>
          <w:rStyle w:val="FootnoteReference"/>
        </w:rPr>
        <w:footnoteRef/>
      </w:r>
      <w:r>
        <w:t xml:space="preserve"> </w:t>
      </w:r>
      <w:r>
        <w:tab/>
        <w:t xml:space="preserve">For example, see Australian Competition Tribunal, </w:t>
      </w:r>
      <w:r w:rsidRPr="005772E3">
        <w:rPr>
          <w:rStyle w:val="AERtextitalic"/>
        </w:rPr>
        <w:t>Applications by Public Interest Advocacy Centre Ltd and Ausgrid [2016] ACompT 1</w:t>
      </w:r>
      <w:r>
        <w:t xml:space="preserve">, 26 February 2016, para 813. </w:t>
      </w:r>
    </w:p>
  </w:footnote>
  <w:footnote w:id="11">
    <w:p w:rsidR="006345FD" w:rsidRDefault="006345FD" w:rsidP="00DA739B">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2">
    <w:p w:rsidR="006345FD" w:rsidRDefault="006345FD" w:rsidP="008D02F0">
      <w:pPr>
        <w:pStyle w:val="FootnoteText"/>
      </w:pPr>
      <w:r>
        <w:rPr>
          <w:rStyle w:val="FootnoteReference"/>
        </w:rPr>
        <w:footnoteRef/>
      </w:r>
      <w:r>
        <w:t xml:space="preserve"> </w:t>
      </w:r>
      <w:r>
        <w:tab/>
        <w:t xml:space="preserve">AER, </w:t>
      </w:r>
      <w:r w:rsidRPr="00A827ED">
        <w:rPr>
          <w:rStyle w:val="AERtextitalic"/>
        </w:rPr>
        <w:t xml:space="preserve">Preliminary decision, </w:t>
      </w:r>
      <w:r>
        <w:rPr>
          <w:rStyle w:val="AERtextitalic"/>
        </w:rPr>
        <w:t>CitiPower</w:t>
      </w:r>
      <w:r w:rsidRPr="00A827ED">
        <w:rPr>
          <w:rStyle w:val="AERtextitalic"/>
        </w:rPr>
        <w:t xml:space="preserve"> d</w:t>
      </w:r>
      <w:r>
        <w:rPr>
          <w:rStyle w:val="AERtextitalic"/>
        </w:rPr>
        <w:t>istribution determination 2016 to 20</w:t>
      </w:r>
      <w:r w:rsidRPr="00A827ED">
        <w:rPr>
          <w:rStyle w:val="AERtextitalic"/>
        </w:rPr>
        <w:t>20, Attachment 3–Rate of return</w:t>
      </w:r>
      <w:r>
        <w:t>, October 2015.</w:t>
      </w:r>
    </w:p>
  </w:footnote>
  <w:footnote w:id="13">
    <w:p w:rsidR="006345FD" w:rsidRDefault="006345FD" w:rsidP="008D02F0">
      <w:pPr>
        <w:pStyle w:val="FootnoteText"/>
      </w:pPr>
      <w:r>
        <w:rPr>
          <w:rStyle w:val="FootnoteReference"/>
        </w:rPr>
        <w:footnoteRef/>
      </w:r>
      <w:r>
        <w:t xml:space="preserve"> </w:t>
      </w:r>
      <w:r>
        <w:tab/>
        <w:t>NER, cl. 6.2.8(c)</w:t>
      </w:r>
    </w:p>
  </w:footnote>
  <w:footnote w:id="14">
    <w:p w:rsidR="006345FD" w:rsidRDefault="006345FD" w:rsidP="008D02F0">
      <w:pPr>
        <w:pStyle w:val="FootnoteText"/>
      </w:pPr>
      <w:r>
        <w:rPr>
          <w:rStyle w:val="FootnoteReference"/>
        </w:rPr>
        <w:footnoteRef/>
      </w:r>
      <w:r>
        <w:t xml:space="preserve"> </w:t>
      </w:r>
      <w:r>
        <w:tab/>
        <w:t xml:space="preserve">CitiPower, </w:t>
      </w:r>
      <w:r>
        <w:rPr>
          <w:rStyle w:val="AERtextitalic"/>
        </w:rPr>
        <w:t>R</w:t>
      </w:r>
      <w:r w:rsidRPr="004A1F6F">
        <w:rPr>
          <w:rStyle w:val="AERtextitalic"/>
        </w:rPr>
        <w:t>evised regulatory proposal</w:t>
      </w:r>
      <w:r>
        <w:rPr>
          <w:rStyle w:val="AERtextitalic"/>
        </w:rPr>
        <w:t xml:space="preserve"> </w:t>
      </w:r>
      <w:r w:rsidRPr="004A1F6F">
        <w:rPr>
          <w:rStyle w:val="AERtextitalic"/>
        </w:rPr>
        <w:t>2016 to 2020</w:t>
      </w:r>
      <w:r>
        <w:t>, 6 January 2016, p. 10.</w:t>
      </w:r>
    </w:p>
  </w:footnote>
  <w:footnote w:id="15">
    <w:p w:rsidR="006345FD" w:rsidRDefault="006345FD" w:rsidP="008D02F0">
      <w:pPr>
        <w:pStyle w:val="FootnoteText"/>
      </w:pPr>
      <w:r>
        <w:rPr>
          <w:rStyle w:val="FootnoteReference"/>
        </w:rPr>
        <w:footnoteRef/>
      </w:r>
      <w:r>
        <w:t xml:space="preserve">     This final decision determines the return on debt methodology for the 2016-20 regulatory control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must be determined in future decisions that relate to that period.</w:t>
      </w:r>
    </w:p>
  </w:footnote>
  <w:footnote w:id="16">
    <w:p w:rsidR="006345FD" w:rsidRDefault="006345FD" w:rsidP="00FD23FD">
      <w:pPr>
        <w:pStyle w:val="FootnoteText"/>
      </w:pPr>
      <w:r>
        <w:rPr>
          <w:rStyle w:val="FootnoteReference"/>
        </w:rPr>
        <w:footnoteRef/>
      </w:r>
      <w:r>
        <w:t xml:space="preserve"> </w:t>
      </w:r>
      <w:r>
        <w:tab/>
        <w:t xml:space="preserve">By entire return on debt, we mean 100% of the base rate and debt risk premium (DRP) </w:t>
      </w:r>
      <w:r w:rsidRPr="006013BC">
        <w:t>components of the allowed return on debt</w:t>
      </w:r>
      <w:r>
        <w:t>.</w:t>
      </w:r>
    </w:p>
  </w:footnote>
  <w:footnote w:id="17">
    <w:p w:rsidR="006345FD" w:rsidRDefault="006345FD" w:rsidP="008D02F0">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(where Bloomberg has not published a 10 year estimate), and to convert it to an effective annual rate.</w:t>
      </w:r>
      <w:r w:rsidRPr="00FD23FD">
        <w:t xml:space="preserve"> </w:t>
      </w:r>
      <w:r>
        <w:t xml:space="preserve">While we do not propose estimating the return on debt by reference to the Reuters curve, we do not </w:t>
      </w:r>
      <w:r w:rsidRPr="002E41F8">
        <w:t xml:space="preserve">rule out </w:t>
      </w:r>
      <w:r>
        <w:t xml:space="preserve">including doing so </w:t>
      </w:r>
      <w:r w:rsidRPr="002E41F8">
        <w:t>in future determinations following a proper period of consultation</w:t>
      </w:r>
      <w:r>
        <w:t>.</w:t>
      </w:r>
    </w:p>
  </w:footnote>
  <w:footnote w:id="18">
    <w:p w:rsidR="006345FD" w:rsidRDefault="006345FD" w:rsidP="008D02F0">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9">
    <w:p w:rsidR="006345FD" w:rsidRDefault="006345FD" w:rsidP="00FD23FD">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993.</w:t>
      </w:r>
    </w:p>
  </w:footnote>
  <w:footnote w:id="20">
    <w:p w:rsidR="006345FD" w:rsidRDefault="006345FD" w:rsidP="00FD23FD">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983.</w:t>
      </w:r>
    </w:p>
  </w:footnote>
  <w:footnote w:id="21">
    <w:p w:rsidR="006345FD" w:rsidRDefault="006345FD" w:rsidP="00FD23FD">
      <w:pPr>
        <w:pStyle w:val="FootnoteText"/>
      </w:pPr>
      <w:r>
        <w:rPr>
          <w:rStyle w:val="FootnoteReference"/>
        </w:rPr>
        <w:footnoteRef/>
      </w:r>
      <w:r>
        <w:t xml:space="preserve"> </w:t>
      </w:r>
      <w:r>
        <w:tab/>
        <w:t>For clarity, that is 100% of the base rate and DRP components of the allowed return on debt.</w:t>
      </w:r>
    </w:p>
  </w:footnote>
  <w:footnote w:id="22">
    <w:p w:rsidR="006345FD" w:rsidRDefault="006345FD" w:rsidP="00FD23FD">
      <w:pPr>
        <w:pStyle w:val="FootnoteText"/>
      </w:pPr>
      <w:r>
        <w:rPr>
          <w:rStyle w:val="FootnoteReference"/>
        </w:rPr>
        <w:footnoteRef/>
      </w:r>
      <w:r>
        <w:t xml:space="preserve"> </w:t>
      </w:r>
      <w:r>
        <w:tab/>
        <w:t xml:space="preserve">For example, see Australian Competition Tribunal, </w:t>
      </w:r>
      <w:r w:rsidRPr="000756FD">
        <w:rPr>
          <w:rStyle w:val="AERtextitalic"/>
        </w:rPr>
        <w:t>Applications by Public Interest Advocacy Centre Ltd and Ausgrid [2016] ACompT 1</w:t>
      </w:r>
      <w:r>
        <w:t>, 26 February 2016, para 1,227. The Tribunal's reasons are set out in paras 870 to 940.</w:t>
      </w:r>
    </w:p>
  </w:footnote>
  <w:footnote w:id="23">
    <w:p w:rsidR="006345FD" w:rsidRDefault="006345FD" w:rsidP="008D02F0">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24">
    <w:p w:rsidR="006345FD" w:rsidRDefault="006345FD" w:rsidP="008D02F0">
      <w:pPr>
        <w:pStyle w:val="FootnoteText"/>
      </w:pPr>
      <w:r>
        <w:rPr>
          <w:rStyle w:val="FootnoteReference"/>
        </w:rPr>
        <w:footnoteRef/>
      </w:r>
      <w:r>
        <w:t xml:space="preserve"> </w:t>
      </w:r>
      <w:r>
        <w:tab/>
      </w:r>
      <w:r w:rsidRPr="002F39F8">
        <w:t>AER,</w:t>
      </w:r>
      <w:r>
        <w:t xml:space="preserve"> </w:t>
      </w:r>
      <w:r w:rsidRPr="0077279F">
        <w:rPr>
          <w:rStyle w:val="Emphasis"/>
        </w:rPr>
        <w:t>Issues Paper - Return on debt: Choice of third party data service provider</w:t>
      </w:r>
      <w:r>
        <w:t xml:space="preserve">, April 2014. </w:t>
      </w:r>
    </w:p>
  </w:footnote>
  <w:footnote w:id="25">
    <w:p w:rsidR="006345FD" w:rsidRDefault="006345FD" w:rsidP="008D02F0">
      <w:pPr>
        <w:pStyle w:val="FootnoteText"/>
      </w:pPr>
      <w:r>
        <w:rPr>
          <w:rStyle w:val="FootnoteReference"/>
        </w:rPr>
        <w:footnoteRef/>
      </w:r>
      <w:r>
        <w:t xml:space="preserve"> </w:t>
      </w:r>
      <w:r>
        <w:tab/>
        <w:t xml:space="preserve">CitiPower, </w:t>
      </w:r>
      <w:r>
        <w:rPr>
          <w:rStyle w:val="AERtextitalic"/>
        </w:rPr>
        <w:t>R</w:t>
      </w:r>
      <w:r w:rsidRPr="004A1F6F">
        <w:rPr>
          <w:rStyle w:val="AERtextitalic"/>
        </w:rPr>
        <w:t>evised regulatory proposal</w:t>
      </w:r>
      <w:r>
        <w:rPr>
          <w:rStyle w:val="AERtextitalic"/>
        </w:rPr>
        <w:t xml:space="preserve"> </w:t>
      </w:r>
      <w:r w:rsidRPr="004A1F6F">
        <w:rPr>
          <w:rStyle w:val="AERtextitalic"/>
        </w:rPr>
        <w:t>2016 to 2020</w:t>
      </w:r>
      <w:r>
        <w:t>, 6 January 2016, p. 261.</w:t>
      </w:r>
    </w:p>
  </w:footnote>
  <w:footnote w:id="26">
    <w:p w:rsidR="006345FD" w:rsidRDefault="006345FD" w:rsidP="008D02F0">
      <w:pPr>
        <w:pStyle w:val="FootnoteText"/>
      </w:pPr>
      <w:r>
        <w:rPr>
          <w:rStyle w:val="FootnoteReference"/>
        </w:rPr>
        <w:footnoteRef/>
      </w:r>
      <w:r>
        <w:t xml:space="preserve"> </w:t>
      </w:r>
      <w:r>
        <w:tab/>
        <w:t xml:space="preserve">As per: Frontier Economics, </w:t>
      </w:r>
      <w:r w:rsidRPr="00E87EB1">
        <w:rPr>
          <w:rStyle w:val="AERtextitalic"/>
        </w:rPr>
        <w:t xml:space="preserve">The required return on equity under a foundation model approach: Report prepared for JEN, ActewAGL Distribution, AusNet Services, AGN, </w:t>
      </w:r>
      <w:r w:rsidR="00FE3907" w:rsidRPr="00E87EB1">
        <w:rPr>
          <w:rStyle w:val="AERtextitalic"/>
        </w:rPr>
        <w:t>CitiPower</w:t>
      </w:r>
      <w:r w:rsidRPr="00E87EB1">
        <w:rPr>
          <w:rStyle w:val="AERtextitalic"/>
        </w:rPr>
        <w:t>, Powercor and United Energy</w:t>
      </w:r>
      <w:r>
        <w:t>, January 2016.</w:t>
      </w:r>
    </w:p>
  </w:footnote>
  <w:footnote w:id="27">
    <w:p w:rsidR="006345FD" w:rsidRDefault="006345FD" w:rsidP="008D02F0">
      <w:pPr>
        <w:pStyle w:val="FootnoteText"/>
      </w:pPr>
      <w:r>
        <w:rPr>
          <w:rStyle w:val="FootnoteReference"/>
        </w:rPr>
        <w:footnoteRef/>
      </w:r>
      <w:r>
        <w:t xml:space="preserve"> </w:t>
      </w:r>
      <w:r>
        <w:tab/>
        <w:t>In CitiPower's initial regulatory proposal, SFG's estimates of the Sharpe-Lintner CAPM, Black CAPM, Fama</w:t>
      </w:r>
      <w:r>
        <w:rPr>
          <w:rFonts w:cs="Gautami"/>
        </w:rPr>
        <w:t>–</w:t>
      </w:r>
      <w:r>
        <w:t>French three factor model and dividend growth model were weighted 12.5%, 25%, 37.5% and 25% respectively.  CitiPower</w:t>
      </w:r>
      <w:r w:rsidRPr="00B611A8">
        <w:t xml:space="preserve">, </w:t>
      </w:r>
      <w:r w:rsidRPr="006671CE">
        <w:rPr>
          <w:rStyle w:val="AERtextitalic"/>
        </w:rPr>
        <w:t xml:space="preserve">2016 to 2020 </w:t>
      </w:r>
      <w:r w:rsidRPr="00B1535B">
        <w:rPr>
          <w:rStyle w:val="AERtextitalic"/>
        </w:rPr>
        <w:t>regulatory proposal</w:t>
      </w:r>
      <w:r>
        <w:t>, April 2015, p. 223.</w:t>
      </w:r>
    </w:p>
  </w:footnote>
  <w:footnote w:id="28">
    <w:p w:rsidR="006345FD" w:rsidRDefault="006345FD" w:rsidP="008D02F0">
      <w:pPr>
        <w:pStyle w:val="FootnoteText"/>
      </w:pPr>
      <w:r>
        <w:rPr>
          <w:rStyle w:val="FootnoteReference"/>
        </w:rPr>
        <w:footnoteRef/>
      </w:r>
      <w:r>
        <w:t xml:space="preserve"> </w:t>
      </w:r>
      <w:r>
        <w:tab/>
        <w:t xml:space="preserve">CitiPower, </w:t>
      </w:r>
      <w:r>
        <w:rPr>
          <w:rStyle w:val="AERtextitalic"/>
        </w:rPr>
        <w:t>R</w:t>
      </w:r>
      <w:r w:rsidRPr="004A1F6F">
        <w:rPr>
          <w:rStyle w:val="AERtextitalic"/>
        </w:rPr>
        <w:t>evised regulatory proposal</w:t>
      </w:r>
      <w:r>
        <w:rPr>
          <w:rStyle w:val="AERtextitalic"/>
        </w:rPr>
        <w:t xml:space="preserve"> </w:t>
      </w:r>
      <w:r w:rsidRPr="004A1F6F">
        <w:rPr>
          <w:rStyle w:val="AERtextitalic"/>
        </w:rPr>
        <w:t>2016 to 2020</w:t>
      </w:r>
      <w:r>
        <w:t>, 6 January 2016, p. 261</w:t>
      </w:r>
      <w:r w:rsidRPr="00410847">
        <w:rPr>
          <w:rStyle w:val="AERtextitalic"/>
          <w:i w:val="0"/>
        </w:rPr>
        <w:t>.</w:t>
      </w:r>
    </w:p>
  </w:footnote>
  <w:footnote w:id="29">
    <w:p w:rsidR="006345FD" w:rsidRDefault="006345FD" w:rsidP="00A97F34">
      <w:pPr>
        <w:pStyle w:val="FootnoteText"/>
      </w:pPr>
      <w:r>
        <w:rPr>
          <w:rStyle w:val="FootnoteReference"/>
        </w:rPr>
        <w:footnoteRef/>
      </w:r>
      <w:r>
        <w:t xml:space="preserve"> </w:t>
      </w:r>
      <w:r>
        <w:tab/>
        <w:t xml:space="preserve">CitiPower, </w:t>
      </w:r>
      <w:r>
        <w:rPr>
          <w:rStyle w:val="AERtextitalic"/>
        </w:rPr>
        <w:t>R</w:t>
      </w:r>
      <w:r w:rsidRPr="004A1F6F">
        <w:rPr>
          <w:rStyle w:val="AERtextitalic"/>
        </w:rPr>
        <w:t>evised regulatory proposal</w:t>
      </w:r>
      <w:r>
        <w:rPr>
          <w:rStyle w:val="AERtextitalic"/>
        </w:rPr>
        <w:t xml:space="preserve"> </w:t>
      </w:r>
      <w:r w:rsidRPr="004A1F6F">
        <w:rPr>
          <w:rStyle w:val="AERtextitalic"/>
        </w:rPr>
        <w:t>2016 to 2020</w:t>
      </w:r>
      <w:r>
        <w:t>, 6 January 2016, p. 262</w:t>
      </w:r>
      <w:r>
        <w:rPr>
          <w:rStyle w:val="AERtextitalic"/>
        </w:rPr>
        <w:t>.</w:t>
      </w:r>
    </w:p>
  </w:footnote>
  <w:footnote w:id="30">
    <w:p w:rsidR="006345FD" w:rsidRDefault="006345FD" w:rsidP="007201E8">
      <w:pPr>
        <w:pStyle w:val="FootnoteText"/>
      </w:pPr>
      <w:r>
        <w:rPr>
          <w:rStyle w:val="FootnoteReference"/>
        </w:rPr>
        <w:footnoteRef/>
      </w:r>
      <w:r>
        <w:t xml:space="preserve"> </w:t>
      </w:r>
      <w:r>
        <w:tab/>
        <w:t>NEL, s. 16(1)(a), NGL, s. 23.</w:t>
      </w:r>
    </w:p>
  </w:footnote>
  <w:footnote w:id="31">
    <w:p w:rsidR="006345FD" w:rsidRDefault="006345FD" w:rsidP="007201E8">
      <w:pPr>
        <w:pStyle w:val="FootnoteText"/>
      </w:pPr>
      <w:r>
        <w:rPr>
          <w:rStyle w:val="FootnoteReference"/>
        </w:rPr>
        <w:footnoteRef/>
      </w:r>
      <w:r>
        <w:t xml:space="preserve"> </w:t>
      </w:r>
      <w:r>
        <w:tab/>
        <w:t>NEL, s. 16(2); NGL, s. 28(2)(a)(i).</w:t>
      </w:r>
    </w:p>
  </w:footnote>
  <w:footnote w:id="32">
    <w:p w:rsidR="006345FD" w:rsidRDefault="006345FD" w:rsidP="007201E8">
      <w:pPr>
        <w:pStyle w:val="FootnoteText"/>
      </w:pPr>
      <w:r>
        <w:rPr>
          <w:rStyle w:val="FootnoteReference"/>
        </w:rPr>
        <w:footnoteRef/>
      </w:r>
      <w:r>
        <w:t xml:space="preserve"> </w:t>
      </w:r>
      <w:r>
        <w:tab/>
        <w:t>NEL, s. 7A(2); NGL, s. 24(2)(a).</w:t>
      </w:r>
    </w:p>
  </w:footnote>
  <w:footnote w:id="33">
    <w:p w:rsidR="006345FD" w:rsidRDefault="006345FD" w:rsidP="007201E8">
      <w:pPr>
        <w:pStyle w:val="FootnoteText"/>
      </w:pPr>
      <w:r>
        <w:rPr>
          <w:rStyle w:val="FootnoteReference"/>
        </w:rPr>
        <w:footnoteRef/>
      </w:r>
      <w:r>
        <w:t xml:space="preserve"> </w:t>
      </w:r>
      <w:r>
        <w:tab/>
        <w:t>NEL, s. 7A(3);</w:t>
      </w:r>
      <w:r w:rsidRPr="0016130C">
        <w:t xml:space="preserve"> </w:t>
      </w:r>
      <w:r>
        <w:t>NGL, s. 24(3).</w:t>
      </w:r>
    </w:p>
  </w:footnote>
  <w:footnote w:id="34">
    <w:p w:rsidR="006345FD" w:rsidRDefault="006345FD" w:rsidP="007201E8">
      <w:pPr>
        <w:pStyle w:val="FootnoteText"/>
      </w:pPr>
      <w:r>
        <w:rPr>
          <w:rStyle w:val="FootnoteReference"/>
        </w:rPr>
        <w:footnoteRef/>
      </w:r>
      <w:r>
        <w:t xml:space="preserve"> </w:t>
      </w:r>
      <w:r>
        <w:tab/>
        <w:t>NEL, s. 7A(5); NGL, s. 24(5).</w:t>
      </w:r>
    </w:p>
  </w:footnote>
  <w:footnote w:id="35">
    <w:p w:rsidR="006345FD" w:rsidRDefault="006345FD" w:rsidP="007201E8">
      <w:pPr>
        <w:pStyle w:val="FootnoteText"/>
      </w:pPr>
      <w:r>
        <w:rPr>
          <w:rStyle w:val="FootnoteReference"/>
        </w:rPr>
        <w:footnoteRef/>
      </w:r>
      <w:r>
        <w:t xml:space="preserve"> </w:t>
      </w:r>
      <w:r>
        <w:tab/>
        <w:t>NEL, s. 7A(6); NGL, s. 24(6).</w:t>
      </w:r>
    </w:p>
  </w:footnote>
  <w:footnote w:id="36">
    <w:p w:rsidR="006345FD" w:rsidRDefault="006345FD" w:rsidP="007201E8">
      <w:pPr>
        <w:pStyle w:val="FootnoteText"/>
      </w:pPr>
      <w:r>
        <w:rPr>
          <w:rStyle w:val="FootnoteReference"/>
        </w:rPr>
        <w:footnoteRef/>
      </w:r>
      <w:r>
        <w:t xml:space="preserve"> </w:t>
      </w:r>
      <w:r>
        <w:tab/>
        <w:t>NEL, s. 7A(7); NGL, s. 24(7).</w:t>
      </w:r>
    </w:p>
  </w:footnote>
  <w:footnote w:id="37">
    <w:p w:rsidR="006345FD" w:rsidRPr="00D5405B" w:rsidRDefault="006345FD" w:rsidP="007201E8">
      <w:pPr>
        <w:pStyle w:val="FootnoteText"/>
        <w:rPr>
          <w:rStyle w:val="AERtexthighlight"/>
        </w:rPr>
      </w:pPr>
      <w:r>
        <w:rPr>
          <w:rStyle w:val="FootnoteReference"/>
        </w:rPr>
        <w:footnoteRef/>
      </w:r>
      <w:r>
        <w:t xml:space="preserve"> </w:t>
      </w:r>
      <w:r>
        <w:tab/>
        <w:t>NER, cl. 6.5.2(d); NER, cl. 6A.6.2(d); NGR, r, 87(4).</w:t>
      </w:r>
    </w:p>
  </w:footnote>
  <w:footnote w:id="38">
    <w:p w:rsidR="006345FD" w:rsidRDefault="006345FD" w:rsidP="007201E8">
      <w:pPr>
        <w:pStyle w:val="FootnoteText"/>
      </w:pPr>
      <w:r>
        <w:rPr>
          <w:rStyle w:val="FootnoteReference"/>
        </w:rPr>
        <w:footnoteRef/>
      </w:r>
      <w:r>
        <w:t xml:space="preserve"> </w:t>
      </w:r>
      <w:r>
        <w:tab/>
        <w:t>NER, cl. 6.5.2(e), NER cl, 6A.6.2(e); NGR, r. 87(5).</w:t>
      </w:r>
    </w:p>
  </w:footnote>
  <w:footnote w:id="39">
    <w:p w:rsidR="006345FD" w:rsidRDefault="006345FD" w:rsidP="007201E8">
      <w:pPr>
        <w:pStyle w:val="FootnoteText"/>
      </w:pPr>
      <w:r>
        <w:rPr>
          <w:rStyle w:val="FootnoteReference"/>
        </w:rPr>
        <w:footnoteRef/>
      </w:r>
      <w:r>
        <w:t xml:space="preserve"> </w:t>
      </w:r>
      <w:r>
        <w:tab/>
        <w:t>NER, cl  6.5.2</w:t>
      </w:r>
      <w:r w:rsidRPr="00A7067C">
        <w:t>(g)</w:t>
      </w:r>
      <w:r>
        <w:t xml:space="preserve">; NER, cl 6A.6.2(g); NGR, r. 87 (7). </w:t>
      </w:r>
    </w:p>
  </w:footnote>
  <w:footnote w:id="40">
    <w:p w:rsidR="006345FD" w:rsidRDefault="006345FD" w:rsidP="007201E8">
      <w:pPr>
        <w:pStyle w:val="FootnoteText"/>
      </w:pPr>
      <w:r>
        <w:rPr>
          <w:rStyle w:val="FootnoteReference"/>
        </w:rPr>
        <w:footnoteRef/>
      </w:r>
      <w:r>
        <w:t xml:space="preserve"> </w:t>
      </w:r>
      <w:r>
        <w:tab/>
        <w:t xml:space="preserve">NER, cl. 6.5.2 (h); NER, cl. 6A.6.2(h); NGR, cl. 87(8). </w:t>
      </w:r>
    </w:p>
  </w:footnote>
  <w:footnote w:id="41">
    <w:p w:rsidR="006345FD" w:rsidRDefault="006345FD" w:rsidP="007201E8">
      <w:pPr>
        <w:pStyle w:val="FootnoteText"/>
      </w:pPr>
      <w:r>
        <w:rPr>
          <w:rStyle w:val="FootnoteReference"/>
        </w:rPr>
        <w:footnoteRef/>
      </w:r>
      <w:r>
        <w:t xml:space="preserve"> </w:t>
      </w:r>
      <w:r>
        <w:tab/>
        <w:t>NER, cl. 6.5.2 (i); NER, cl. 6A.6.2(i)(2); NGR, cl. 87(9)(b).</w:t>
      </w:r>
    </w:p>
  </w:footnote>
  <w:footnote w:id="42">
    <w:p w:rsidR="006345FD" w:rsidRDefault="006345FD" w:rsidP="007201E8">
      <w:pPr>
        <w:pStyle w:val="FootnoteText"/>
      </w:pPr>
      <w:r>
        <w:rPr>
          <w:rStyle w:val="FootnoteReference"/>
        </w:rPr>
        <w:footnoteRef/>
      </w:r>
      <w:r>
        <w:t xml:space="preserve"> </w:t>
      </w:r>
      <w:r>
        <w:tab/>
        <w:t>NER, cl. 6.5.2 (k)(4); NER, cl. 6A.6.2(k)(4); NGR, cl. 87(11)(d).</w:t>
      </w:r>
    </w:p>
  </w:footnote>
  <w:footnote w:id="43">
    <w:p w:rsidR="006345FD" w:rsidRDefault="006345FD" w:rsidP="007201E8">
      <w:pPr>
        <w:pStyle w:val="FootnoteText"/>
      </w:pPr>
      <w:r>
        <w:rPr>
          <w:rStyle w:val="FootnoteReference"/>
        </w:rPr>
        <w:footnoteRef/>
      </w:r>
      <w:r>
        <w:t xml:space="preserve"> </w:t>
      </w:r>
      <w:r>
        <w:tab/>
        <w:t xml:space="preserve">NER, cl. 6.5.2(c); NER, cl. 6A.6.2(c); NGR r. 87(3). </w:t>
      </w:r>
    </w:p>
  </w:footnote>
  <w:footnote w:id="44">
    <w:p w:rsidR="006345FD" w:rsidRDefault="006345FD" w:rsidP="007201E8">
      <w:pPr>
        <w:pStyle w:val="FootnoteText"/>
      </w:pPr>
      <w:r>
        <w:rPr>
          <w:rStyle w:val="FootnoteReference"/>
        </w:rPr>
        <w:footnoteRef/>
      </w:r>
      <w:r>
        <w:t xml:space="preserve"> </w:t>
      </w:r>
      <w:r>
        <w:tab/>
        <w:t>The AEMC describes, 'a</w:t>
      </w:r>
      <w:r w:rsidRPr="00FF263F">
        <w:t>llowed revenues for network businesses are now set using</w:t>
      </w:r>
      <w:r>
        <w:t xml:space="preserve"> </w:t>
      </w:r>
      <w:r w:rsidRPr="00FF263F">
        <w:t>the expenditure required by prudent, efficient operators as</w:t>
      </w:r>
      <w:r>
        <w:t xml:space="preserve"> </w:t>
      </w:r>
      <w:r w:rsidRPr="00FF263F">
        <w:t>a benchmark. Companies have incentives to beat the</w:t>
      </w:r>
      <w:r>
        <w:t xml:space="preserve"> </w:t>
      </w:r>
      <w:r w:rsidRPr="00FF263F">
        <w:t>benchmarks so they can keep some of their savings and</w:t>
      </w:r>
      <w:r>
        <w:t xml:space="preserve"> </w:t>
      </w:r>
      <w:r w:rsidRPr="00FF263F">
        <w:t>pass the rest on to customers</w:t>
      </w:r>
      <w:r>
        <w:t>'</w:t>
      </w:r>
      <w:r w:rsidRPr="00FF263F">
        <w:t>.</w:t>
      </w:r>
      <w:r>
        <w:t xml:space="preserve"> See AEMC, </w:t>
      </w:r>
      <w:r w:rsidRPr="00D001FE">
        <w:rPr>
          <w:rStyle w:val="AERtextitalic"/>
        </w:rPr>
        <w:t>Overview 2014–15</w:t>
      </w:r>
      <w:r>
        <w:t>.</w:t>
      </w:r>
    </w:p>
  </w:footnote>
  <w:footnote w:id="45">
    <w:p w:rsidR="006345FD" w:rsidRDefault="006345FD" w:rsidP="007201E8">
      <w:pPr>
        <w:pStyle w:val="FootnoteText"/>
      </w:pPr>
      <w:r>
        <w:rPr>
          <w:rStyle w:val="FootnoteReference"/>
        </w:rPr>
        <w:footnoteRef/>
      </w:r>
      <w:r>
        <w:t xml:space="preserve"> </w:t>
      </w:r>
      <w:r>
        <w:tab/>
        <w:t>See section H.2.1 of Appendix H.</w:t>
      </w:r>
    </w:p>
  </w:footnote>
  <w:footnote w:id="46">
    <w:p w:rsidR="006345FD" w:rsidRDefault="006345FD" w:rsidP="007201E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47">
    <w:p w:rsidR="006345FD" w:rsidRDefault="006345FD" w:rsidP="007201E8">
      <w:pPr>
        <w:pStyle w:val="FootnoteText"/>
      </w:pPr>
      <w:r>
        <w:rPr>
          <w:rStyle w:val="FootnoteReference"/>
        </w:rPr>
        <w:footnoteRef/>
      </w:r>
      <w:r>
        <w:t xml:space="preserve"> </w:t>
      </w:r>
      <w:r>
        <w:tab/>
        <w:t xml:space="preserve">This includes both new and existing investment. </w:t>
      </w:r>
    </w:p>
  </w:footnote>
  <w:footnote w:id="48">
    <w:p w:rsidR="006345FD" w:rsidRDefault="006345FD" w:rsidP="007201E8">
      <w:pPr>
        <w:pStyle w:val="FootnoteText"/>
      </w:pPr>
      <w:r>
        <w:rPr>
          <w:rStyle w:val="FootnoteReference"/>
        </w:rPr>
        <w:footnoteRef/>
      </w:r>
      <w:r>
        <w:t xml:space="preserve"> </w:t>
      </w:r>
      <w:r>
        <w:tab/>
      </w:r>
      <w:r w:rsidRPr="001029A1">
        <w:t>This risk is based on the risk of the underlying assets (that is, the RAB</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pp. 18, 22.</w:t>
      </w:r>
    </w:p>
  </w:footnote>
  <w:footnote w:id="49">
    <w:p w:rsidR="006345FD" w:rsidRDefault="006345FD" w:rsidP="007201E8">
      <w:pPr>
        <w:pStyle w:val="FootnoteText"/>
      </w:pPr>
      <w:r>
        <w:rPr>
          <w:rStyle w:val="FootnoteReference"/>
        </w:rPr>
        <w:footnoteRef/>
      </w:r>
      <w:r>
        <w:t xml:space="preserve"> </w:t>
      </w:r>
      <w:r>
        <w:tab/>
      </w:r>
      <w:r w:rsidRPr="00702677">
        <w:t xml:space="preserve">See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r w:rsidRPr="00702677">
        <w:t>.</w:t>
      </w:r>
      <w:r>
        <w:t xml:space="preserve"> We note the cost of capital (from a firm's perspective) is also known as investors' required rate of return (from an investors' perspective).</w:t>
      </w:r>
    </w:p>
  </w:footnote>
  <w:footnote w:id="50">
    <w:p w:rsidR="006345FD" w:rsidRDefault="006345FD" w:rsidP="007201E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51">
    <w:p w:rsidR="006345FD" w:rsidRDefault="006345FD" w:rsidP="007201E8">
      <w:pPr>
        <w:pStyle w:val="FootnoteText"/>
      </w:pPr>
      <w:r>
        <w:rPr>
          <w:rStyle w:val="FootnoteReference"/>
        </w:rPr>
        <w:footnoteRef/>
      </w:r>
      <w:r>
        <w:t xml:space="preserve"> </w:t>
      </w:r>
      <w:r>
        <w:tab/>
        <w:t>See section H.1.1 and H.2.1 of Appendix H.</w:t>
      </w:r>
    </w:p>
  </w:footnote>
  <w:footnote w:id="52">
    <w:p w:rsidR="006345FD" w:rsidRDefault="006345FD" w:rsidP="007201E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53">
    <w:p w:rsidR="006345FD" w:rsidRDefault="006345FD" w:rsidP="007201E8">
      <w:pPr>
        <w:pStyle w:val="FootnoteText"/>
      </w:pPr>
      <w:r>
        <w:rPr>
          <w:rStyle w:val="FootnoteReference"/>
        </w:rPr>
        <w:footnoteRef/>
      </w:r>
      <w:r>
        <w:t xml:space="preserve"> </w:t>
      </w:r>
      <w:r>
        <w:tab/>
        <w:t>Bishop, S., Faff, R., Oliver, B., Twite, G., 'Corporate Finance', Ed. 5 Pearson Prentice Hall, 2004, p. 577.</w:t>
      </w:r>
    </w:p>
  </w:footnote>
  <w:footnote w:id="54">
    <w:p w:rsidR="006345FD" w:rsidRDefault="006345FD" w:rsidP="007201E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55">
    <w:p w:rsidR="006345FD" w:rsidRDefault="006345FD" w:rsidP="007201E8">
      <w:pPr>
        <w:pStyle w:val="FootnoteText"/>
      </w:pPr>
      <w:r>
        <w:rPr>
          <w:rStyle w:val="FootnoteReference"/>
        </w:rPr>
        <w:footnoteRef/>
      </w:r>
      <w:r>
        <w:t xml:space="preserve"> </w:t>
      </w:r>
      <w:r>
        <w:tab/>
        <w:t xml:space="preserve">McKenzie, M., Partington, G., </w:t>
      </w:r>
      <w:r w:rsidRPr="00D001FE">
        <w:rPr>
          <w:rStyle w:val="AERtextitalic"/>
        </w:rPr>
        <w:t>Risk, asset pricing models and WACC</w:t>
      </w:r>
      <w:r>
        <w:t>, June 2013, p. 10.</w:t>
      </w:r>
    </w:p>
  </w:footnote>
  <w:footnote w:id="56">
    <w:p w:rsidR="006345FD" w:rsidRDefault="006345FD" w:rsidP="007201E8">
      <w:pPr>
        <w:pStyle w:val="FootnoteText"/>
      </w:pPr>
      <w:r>
        <w:rPr>
          <w:rStyle w:val="FootnoteReference"/>
        </w:rPr>
        <w:footnoteRef/>
      </w:r>
      <w:r>
        <w:t xml:space="preserve"> </w:t>
      </w:r>
      <w:r>
        <w:tab/>
        <w:t xml:space="preserve">Theoretically, this asset or business is 'a benchmark efficient entity'. In practice, we use a sample of businesses we consider comparable to a benchmark efficient entity to calculate equity beta (see section 3.4.1). </w:t>
      </w:r>
    </w:p>
  </w:footnote>
  <w:footnote w:id="57">
    <w:p w:rsidR="006345FD" w:rsidRDefault="006345FD" w:rsidP="007201E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58">
    <w:p w:rsidR="006345FD" w:rsidRDefault="006345FD" w:rsidP="007201E8">
      <w:pPr>
        <w:pStyle w:val="FootnoteText"/>
      </w:pPr>
      <w:r>
        <w:rPr>
          <w:rStyle w:val="FootnoteReference"/>
        </w:rPr>
        <w:footnoteRef/>
      </w:r>
      <w:r>
        <w:t xml:space="preserve"> </w:t>
      </w:r>
      <w:r>
        <w:tab/>
        <w:t xml:space="preserve">McKenzie, M., Partington, G., </w:t>
      </w:r>
      <w:r w:rsidRPr="00196FB2">
        <w:rPr>
          <w:rStyle w:val="AERtextitalic"/>
        </w:rPr>
        <w:t>Risk, asset pricing models and WACC</w:t>
      </w:r>
      <w:r>
        <w:t>, June 2013, p. 14.</w:t>
      </w:r>
    </w:p>
  </w:footnote>
  <w:footnote w:id="59">
    <w:p w:rsidR="006345FD" w:rsidRDefault="006345FD" w:rsidP="007201E8">
      <w:pPr>
        <w:pStyle w:val="FootnoteText"/>
      </w:pPr>
      <w:r>
        <w:rPr>
          <w:rStyle w:val="FootnoteReference"/>
        </w:rPr>
        <w:footnoteRef/>
      </w:r>
      <w:r>
        <w:t xml:space="preserve"> </w:t>
      </w:r>
      <w:r>
        <w:tab/>
        <w:t>We observe the promised returns of debt issued by a sample of firms we consider comparable to a benchmark efficient entity based on the benchmark credit rating and term. In practice, we may overcompensate a benchmark efficient entity for these risks as we observe broad BBB debt whereas we consider a benchmark efficient entity would issue BBB+ debt.</w:t>
      </w:r>
    </w:p>
  </w:footnote>
  <w:footnote w:id="60">
    <w:p w:rsidR="006345FD" w:rsidRDefault="006345FD" w:rsidP="007201E8">
      <w:pPr>
        <w:pStyle w:val="FootnoteText"/>
      </w:pPr>
      <w:r>
        <w:rPr>
          <w:rStyle w:val="FootnoteReference"/>
        </w:rPr>
        <w:footnoteRef/>
      </w:r>
      <w:r>
        <w:t xml:space="preserve"> </w:t>
      </w:r>
      <w:r>
        <w:tab/>
        <w:t xml:space="preserve">Frontier, </w:t>
      </w:r>
      <w:r w:rsidRPr="000F4FF5">
        <w:rPr>
          <w:rStyle w:val="AERtextitalic"/>
        </w:rPr>
        <w:t>Assessing risk when determining the appropriate rate of return for regulated energy networks in Australia</w:t>
      </w:r>
      <w:r>
        <w:t xml:space="preserve">, July 2013. </w:t>
      </w:r>
    </w:p>
  </w:footnote>
  <w:footnote w:id="61">
    <w:p w:rsidR="006345FD" w:rsidRDefault="006345FD" w:rsidP="007201E8">
      <w:pPr>
        <w:pStyle w:val="FootnoteText"/>
      </w:pPr>
      <w:r>
        <w:rPr>
          <w:rStyle w:val="FootnoteReference"/>
        </w:rPr>
        <w:footnoteRef/>
      </w:r>
      <w:r>
        <w:t xml:space="preserve"> </w:t>
      </w:r>
      <w:r>
        <w:tab/>
      </w:r>
      <w:r w:rsidRPr="007D32F9">
        <w:t>NER, cls. 6.5.2(c), 6A.6.2(c); NGR, r. 87(2)(3).</w:t>
      </w:r>
    </w:p>
  </w:footnote>
  <w:footnote w:id="62">
    <w:p w:rsidR="006345FD" w:rsidRPr="009D3AFA" w:rsidRDefault="006345FD" w:rsidP="009D3AFA">
      <w:pPr>
        <w:pStyle w:val="FootnoteText"/>
        <w:rPr>
          <w:i/>
        </w:rPr>
      </w:pPr>
      <w:r>
        <w:rPr>
          <w:rStyle w:val="FootnoteReference"/>
        </w:rPr>
        <w:footnoteRef/>
      </w:r>
      <w:r>
        <w:t xml:space="preserve"> </w:t>
      </w:r>
      <w:r>
        <w:tab/>
      </w:r>
      <w:r w:rsidRPr="00D615EC">
        <w:t xml:space="preserve">Frontier Economics, </w:t>
      </w:r>
      <w:r w:rsidRPr="00D615EC">
        <w:rPr>
          <w:rStyle w:val="AERtextitalic"/>
        </w:rPr>
        <w:t>Assessing risk when determining the appropriate rate of return for regulated energy networks in</w:t>
      </w:r>
      <w:r>
        <w:rPr>
          <w:rStyle w:val="AERtextitalic"/>
        </w:rPr>
        <w:t xml:space="preserve"> </w:t>
      </w:r>
      <w:r w:rsidRPr="00D615EC">
        <w:rPr>
          <w:rStyle w:val="AERtextitalic"/>
        </w:rPr>
        <w:t>Australia</w:t>
      </w:r>
      <w:r w:rsidRPr="00D615EC">
        <w:t>, June 2013</w:t>
      </w:r>
      <w:r>
        <w:t>.</w:t>
      </w:r>
    </w:p>
  </w:footnote>
  <w:footnote w:id="63">
    <w:p w:rsidR="006345FD" w:rsidRDefault="006345FD" w:rsidP="007201E8">
      <w:pPr>
        <w:pStyle w:val="FootnoteText"/>
      </w:pPr>
      <w:r>
        <w:rPr>
          <w:rStyle w:val="FootnoteReference"/>
        </w:rPr>
        <w:footnoteRef/>
      </w:r>
      <w:r>
        <w:t xml:space="preserve"> </w:t>
      </w:r>
      <w:r>
        <w:tab/>
        <w:t xml:space="preserve">That is, </w:t>
      </w:r>
      <w:r w:rsidRPr="000904F0">
        <w:t>gas, electricity, transmission and distribution</w:t>
      </w:r>
      <w:r>
        <w:t xml:space="preserve"> service providers.</w:t>
      </w:r>
    </w:p>
  </w:footnote>
  <w:footnote w:id="64">
    <w:p w:rsidR="006345FD" w:rsidRDefault="006345FD" w:rsidP="007201E8">
      <w:pPr>
        <w:pStyle w:val="FootnoteText"/>
      </w:pPr>
      <w:r>
        <w:rPr>
          <w:rStyle w:val="FootnoteReference"/>
        </w:rPr>
        <w:footnoteRef/>
      </w:r>
      <w:r>
        <w:t xml:space="preserve"> </w:t>
      </w:r>
      <w:r>
        <w:tab/>
        <w:t xml:space="preserve">As discussed under the above heading 'similar', compensable risk refers to </w:t>
      </w:r>
      <w:r w:rsidRPr="0009064E">
        <w:t>risk that is to be compensated through the allowed rate of return</w:t>
      </w:r>
      <w:r>
        <w:t>.</w:t>
      </w:r>
    </w:p>
  </w:footnote>
  <w:footnote w:id="65">
    <w:p w:rsidR="006345FD" w:rsidRDefault="006345FD" w:rsidP="007201E8">
      <w:pPr>
        <w:pStyle w:val="FootnoteText"/>
      </w:pPr>
      <w:r>
        <w:rPr>
          <w:rStyle w:val="FootnoteReference"/>
        </w:rPr>
        <w:footnoteRef/>
      </w:r>
      <w:r>
        <w:t xml:space="preserve"> </w:t>
      </w:r>
      <w:r>
        <w:tab/>
        <w:t xml:space="preserve">AER, </w:t>
      </w:r>
      <w:r w:rsidRPr="005772E3">
        <w:rPr>
          <w:rStyle w:val="AERtextitalic"/>
        </w:rPr>
        <w:t>Better regulation: Explanatory statement to the rate of return guideline</w:t>
      </w:r>
      <w:r>
        <w:t>, December 2013, pp. 32</w:t>
      </w:r>
      <w:r>
        <w:rPr>
          <w:rFonts w:cs="Arial"/>
        </w:rPr>
        <w:t>–</w:t>
      </w:r>
      <w:r>
        <w:t>45.</w:t>
      </w:r>
    </w:p>
  </w:footnote>
  <w:footnote w:id="66">
    <w:p w:rsidR="006345FD" w:rsidRDefault="006345FD" w:rsidP="007201E8">
      <w:pPr>
        <w:pStyle w:val="FootnoteText"/>
      </w:pPr>
      <w:r>
        <w:rPr>
          <w:rStyle w:val="FootnoteReference"/>
        </w:rPr>
        <w:footnoteRef/>
      </w:r>
      <w:r>
        <w:t xml:space="preserve"> </w:t>
      </w:r>
      <w:r>
        <w:tab/>
        <w:t xml:space="preserve">See NER 6.5.2(c). Instead of 'standard control services', the transmission rules refer to 'prescribed transmission services' and the NGR refers to 'reference services'. See NER  6A.6.2(c), NGR  87(3). </w:t>
      </w:r>
    </w:p>
  </w:footnote>
  <w:footnote w:id="67">
    <w:p w:rsidR="006345FD" w:rsidRDefault="006345FD" w:rsidP="007201E8">
      <w:pPr>
        <w:pStyle w:val="FootnoteText"/>
      </w:pPr>
      <w:r>
        <w:rPr>
          <w:rStyle w:val="FootnoteReference"/>
        </w:rPr>
        <w:footnoteRef/>
      </w:r>
      <w:r>
        <w:t xml:space="preserve"> </w:t>
      </w:r>
      <w:r>
        <w:tab/>
        <w:t>See NER v. 79, Chapter 10: 'Glossary', p. 1224.. The NER describes 'prescribed transmission services under NER v. 79, Chapter 10: 'Glossary', p. 1201.</w:t>
      </w:r>
    </w:p>
  </w:footnote>
  <w:footnote w:id="68">
    <w:p w:rsidR="006345FD" w:rsidRDefault="006345FD" w:rsidP="007201E8">
      <w:pPr>
        <w:pStyle w:val="FootnoteText"/>
      </w:pPr>
      <w:r>
        <w:rPr>
          <w:rStyle w:val="FootnoteReference"/>
        </w:rPr>
        <w:footnoteRef/>
      </w:r>
      <w:r>
        <w:t xml:space="preserve"> </w:t>
      </w:r>
      <w:r>
        <w:tab/>
        <w:t>NER v. 79, Chapter 10: 'Glossary', p. 1151.</w:t>
      </w:r>
    </w:p>
  </w:footnote>
  <w:footnote w:id="69">
    <w:p w:rsidR="006345FD" w:rsidRDefault="006345FD" w:rsidP="007201E8">
      <w:pPr>
        <w:pStyle w:val="FootnoteText"/>
      </w:pPr>
      <w:r>
        <w:rPr>
          <w:rStyle w:val="FootnoteReference"/>
        </w:rPr>
        <w:footnoteRef/>
      </w:r>
      <w:r>
        <w:t xml:space="preserve"> </w:t>
      </w:r>
      <w:r>
        <w:tab/>
        <w:t>NEL, s. 2B.</w:t>
      </w:r>
    </w:p>
  </w:footnote>
  <w:footnote w:id="70">
    <w:p w:rsidR="006345FD" w:rsidRDefault="006345FD" w:rsidP="007201E8">
      <w:pPr>
        <w:pStyle w:val="FootnoteText"/>
      </w:pPr>
      <w:r>
        <w:rPr>
          <w:rStyle w:val="FootnoteReference"/>
        </w:rPr>
        <w:footnoteRef/>
      </w:r>
      <w:r>
        <w:t xml:space="preserve"> </w:t>
      </w:r>
      <w:r>
        <w:tab/>
        <w:t xml:space="preserve">See NER 6.5.2(c). Instead of 'standard control services', the transmission rules refer to 'prescribed transmission services' and the NGR refers to 'reference services'. See NER  6A.6.2(c), NGR  87(3). Also see </w:t>
      </w:r>
      <w:r w:rsidRPr="000466C9">
        <w:t xml:space="preserve">section 2B of the </w:t>
      </w:r>
      <w:r>
        <w:t>NEL.</w:t>
      </w:r>
    </w:p>
  </w:footnote>
  <w:footnote w:id="71">
    <w:p w:rsidR="006345FD" w:rsidRDefault="006345FD" w:rsidP="007201E8">
      <w:pPr>
        <w:pStyle w:val="FootnoteText"/>
      </w:pPr>
      <w:r>
        <w:rPr>
          <w:rStyle w:val="FootnoteReference"/>
        </w:rPr>
        <w:footnoteRef/>
      </w:r>
      <w:r>
        <w:t xml:space="preserve"> </w:t>
      </w:r>
      <w:r>
        <w:tab/>
        <w:t>The NER defines standard control services as: 'a</w:t>
      </w:r>
      <w:r w:rsidRPr="00512092">
        <w:t xml:space="preserve"> direct control service that is subject to a control mechanism based on a Distribution Network Service Provider's total revenue requirement</w:t>
      </w:r>
      <w:r>
        <w:t xml:space="preserve">'. </w:t>
      </w:r>
    </w:p>
  </w:footnote>
  <w:footnote w:id="72">
    <w:p w:rsidR="006345FD" w:rsidRDefault="006345FD" w:rsidP="007201E8">
      <w:pPr>
        <w:pStyle w:val="FootnoteText"/>
      </w:pPr>
      <w:r>
        <w:rPr>
          <w:rStyle w:val="FootnoteReference"/>
        </w:rPr>
        <w:footnoteRef/>
      </w:r>
      <w:r>
        <w:t xml:space="preserve"> </w:t>
      </w:r>
      <w:r>
        <w:tab/>
        <w:t>Bishop, S., Faff, R., Oliver, B., Twite, G., 'Corporate Finance', Ed. 5 Pearson Prentice Hall, 2004, p. 577.</w:t>
      </w:r>
    </w:p>
  </w:footnote>
  <w:footnote w:id="73">
    <w:p w:rsidR="006345FD" w:rsidRDefault="006345FD" w:rsidP="007201E8">
      <w:pPr>
        <w:pStyle w:val="FootnoteText"/>
      </w:pPr>
      <w:r>
        <w:rPr>
          <w:rStyle w:val="FootnoteReference"/>
        </w:rPr>
        <w:footnoteRef/>
      </w:r>
      <w:r>
        <w:t xml:space="preserve"> </w:t>
      </w:r>
      <w:r>
        <w:tab/>
        <w:t>Brealey, R., Myers, S., Partington, G., Robinson, D., 'Principles of corporate finance', 2007, The McGraw-Hill Companies Inc., 2007, p. 201.</w:t>
      </w:r>
    </w:p>
  </w:footnote>
  <w:footnote w:id="74">
    <w:p w:rsidR="006345FD" w:rsidRDefault="006345FD" w:rsidP="007201E8">
      <w:pPr>
        <w:pStyle w:val="FootnoteText"/>
      </w:pPr>
      <w:r>
        <w:rPr>
          <w:rStyle w:val="FootnoteReference"/>
        </w:rPr>
        <w:footnoteRef/>
      </w:r>
      <w:r>
        <w:t xml:space="preserve"> </w:t>
      </w:r>
      <w:r>
        <w:tab/>
      </w:r>
      <w:r w:rsidRPr="00630B48">
        <w:t>McKenzie</w:t>
      </w:r>
      <w:r>
        <w:t xml:space="preserve">, M., </w:t>
      </w:r>
      <w:r w:rsidRPr="00630B48">
        <w:t>Partington</w:t>
      </w:r>
      <w:r>
        <w:t>, G.</w:t>
      </w:r>
      <w:r w:rsidRPr="00630B48">
        <w:t xml:space="preserve">, </w:t>
      </w:r>
      <w:r w:rsidRPr="002D0A4D">
        <w:rPr>
          <w:rStyle w:val="AERtextitalic"/>
        </w:rPr>
        <w:t>Risk, asset pricing models and WACC</w:t>
      </w:r>
      <w:r w:rsidRPr="00630B48">
        <w:t>, June 2013, p. 21</w:t>
      </w:r>
      <w:r>
        <w:t>; Brealey, R., Myers, S., Partington, G., Robinson, D., 'Principles of corporate finance', 2007, The McGraw-Hill Companies Inc., 2007, p. 107.</w:t>
      </w:r>
    </w:p>
  </w:footnote>
  <w:footnote w:id="75">
    <w:p w:rsidR="006345FD" w:rsidRDefault="006345FD" w:rsidP="007201E8">
      <w:pPr>
        <w:pStyle w:val="FootnoteText"/>
      </w:pPr>
      <w:r>
        <w:rPr>
          <w:rStyle w:val="FootnoteReference"/>
        </w:rPr>
        <w:footnoteRef/>
      </w:r>
      <w:r>
        <w:t xml:space="preserve"> </w:t>
      </w:r>
      <w:r>
        <w:tab/>
        <w:t>Brealey, R., Myers, S., Allen, F., 'Principles of corporate finance', 2011, Ed. 10, McGraw-Hill Irwin, Figure 8.2, p. 187.</w:t>
      </w:r>
    </w:p>
  </w:footnote>
  <w:footnote w:id="76">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77">
    <w:p w:rsidR="006345FD" w:rsidRDefault="006345FD" w:rsidP="007201E8">
      <w:pPr>
        <w:pStyle w:val="FootnoteText"/>
      </w:pPr>
      <w:r>
        <w:rPr>
          <w:rStyle w:val="FootnoteReference"/>
        </w:rPr>
        <w:footnoteRef/>
      </w:r>
      <w:r>
        <w:t xml:space="preserve"> </w:t>
      </w:r>
      <w:r>
        <w:tab/>
        <w:t xml:space="preserve">AER: </w:t>
      </w:r>
      <w:r w:rsidRPr="009E1E6C">
        <w:rPr>
          <w:rStyle w:val="AERtextitalic"/>
        </w:rPr>
        <w:t>Better regulation: Explanatory statement to the rate of return guideline</w:t>
      </w:r>
      <w:r>
        <w:t>, December 2013, pp. 32</w:t>
      </w:r>
      <w:r>
        <w:rPr>
          <w:rFonts w:cs="Arial"/>
        </w:rPr>
        <w:t>–</w:t>
      </w:r>
      <w:r>
        <w:t>45.</w:t>
      </w:r>
    </w:p>
  </w:footnote>
  <w:footnote w:id="78">
    <w:p w:rsidR="006345FD" w:rsidRDefault="006345FD" w:rsidP="007201E8">
      <w:pPr>
        <w:pStyle w:val="FootnoteText"/>
      </w:pPr>
      <w:r>
        <w:rPr>
          <w:rStyle w:val="FootnoteReference"/>
        </w:rPr>
        <w:footnoteRef/>
      </w:r>
      <w:r>
        <w:t xml:space="preserve"> </w:t>
      </w:r>
      <w:r>
        <w:tab/>
        <w:t xml:space="preserve">Frontier Economics, </w:t>
      </w:r>
      <w:r w:rsidRPr="00297474">
        <w:rPr>
          <w:rStyle w:val="AERtextitalic"/>
        </w:rPr>
        <w:t>Assessing risk when determining the appropriate rate of return for regulated energy networks in Australia</w:t>
      </w:r>
      <w:r>
        <w:t xml:space="preserve">, July 2013, p. 4. </w:t>
      </w:r>
    </w:p>
  </w:footnote>
  <w:footnote w:id="79">
    <w:p w:rsidR="006345FD" w:rsidRDefault="006345FD" w:rsidP="007201E8">
      <w:pPr>
        <w:pStyle w:val="FootnoteText"/>
      </w:pPr>
      <w:r>
        <w:rPr>
          <w:rStyle w:val="FootnoteReference"/>
        </w:rPr>
        <w:footnoteRef/>
      </w:r>
      <w:r>
        <w:t xml:space="preserve"> </w:t>
      </w:r>
      <w:r>
        <w:tab/>
        <w:t xml:space="preserve">See CCP3, </w:t>
      </w:r>
      <w:r w:rsidRPr="00A30733">
        <w:rPr>
          <w:rStyle w:val="AERtextitalic"/>
        </w:rPr>
        <w:t xml:space="preserve">Submission to the AER:  </w:t>
      </w:r>
      <w:r>
        <w:rPr>
          <w:rStyle w:val="AERtextitalic"/>
        </w:rPr>
        <w:t>A</w:t>
      </w:r>
      <w:r w:rsidRPr="00A30733">
        <w:rPr>
          <w:rStyle w:val="AERtextitalic"/>
        </w:rPr>
        <w:t>n Overview ― Response to AER Preliminary Decisions and revised proposals from Victorian electricity DNSPs for a revenue reset for the 2016</w:t>
      </w:r>
      <w:r w:rsidRPr="003E0036">
        <w:rPr>
          <w:rStyle w:val="AERtextitalic"/>
          <w:rFonts w:ascii="Cambria Math" w:hAnsi="Cambria Math" w:cs="Cambria Math"/>
        </w:rPr>
        <w:t>‐</w:t>
      </w:r>
      <w:r w:rsidRPr="00A30733">
        <w:rPr>
          <w:rStyle w:val="AERtextitalic"/>
        </w:rPr>
        <w:t>2020 regulatory period</w:t>
      </w:r>
      <w:r>
        <w:t>, 22 February 2016, p. 31.</w:t>
      </w:r>
    </w:p>
  </w:footnote>
  <w:footnote w:id="80">
    <w:p w:rsidR="006345FD" w:rsidRDefault="006345FD" w:rsidP="007201E8">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Pr>
          <w:rFonts w:cs="Arial"/>
        </w:rPr>
        <w:t>–</w:t>
      </w:r>
      <w:r>
        <w:t xml:space="preserve">13. </w:t>
      </w:r>
    </w:p>
  </w:footnote>
  <w:footnote w:id="81">
    <w:p w:rsidR="006345FD" w:rsidRDefault="006345FD" w:rsidP="007201E8">
      <w:pPr>
        <w:pStyle w:val="FootnoteText"/>
      </w:pPr>
      <w:r>
        <w:rPr>
          <w:rStyle w:val="FootnoteReference"/>
        </w:rPr>
        <w:footnoteRef/>
      </w:r>
      <w:r>
        <w:t xml:space="preserve"> </w:t>
      </w:r>
      <w:r>
        <w:tab/>
        <w:t xml:space="preserve">Hindriks, J., Myles, G.D., </w:t>
      </w:r>
      <w:r w:rsidRPr="00732E2F">
        <w:rPr>
          <w:rStyle w:val="AERtextitalic"/>
        </w:rPr>
        <w:t>Intermediate public economics</w:t>
      </w:r>
      <w:r>
        <w:t>, The MIT Press, 2006, p. 232.</w:t>
      </w:r>
    </w:p>
  </w:footnote>
  <w:footnote w:id="82">
    <w:p w:rsidR="006345FD" w:rsidRDefault="006345FD" w:rsidP="007201E8">
      <w:pPr>
        <w:pStyle w:val="FootnoteText"/>
      </w:pPr>
      <w:r>
        <w:rPr>
          <w:rStyle w:val="FootnoteReference"/>
        </w:rPr>
        <w:footnoteRef/>
      </w:r>
      <w:r>
        <w:t xml:space="preserve"> </w:t>
      </w:r>
      <w:r>
        <w:tab/>
        <w:t xml:space="preserve">That is, standard control services as referred to in NER 6.5.2(c), prescribed transmission services as referred to in NER  6A.6.2(c), or 'reference services' as referred to in NGR  87(3). </w:t>
      </w:r>
    </w:p>
  </w:footnote>
  <w:footnote w:id="83">
    <w:p w:rsidR="006345FD" w:rsidRDefault="006345FD" w:rsidP="007201E8">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84">
    <w:p w:rsidR="006345FD" w:rsidRDefault="006345FD" w:rsidP="007201E8">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85">
    <w:p w:rsidR="006345FD" w:rsidRDefault="006345FD" w:rsidP="007201E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49.</w:t>
      </w:r>
    </w:p>
  </w:footnote>
  <w:footnote w:id="86">
    <w:p w:rsidR="006345FD" w:rsidRDefault="006345FD" w:rsidP="007201E8">
      <w:pPr>
        <w:pStyle w:val="FootnoteText"/>
      </w:pPr>
      <w:r>
        <w:rPr>
          <w:rStyle w:val="FootnoteReference"/>
        </w:rPr>
        <w:footnoteRef/>
      </w:r>
      <w:r>
        <w:t xml:space="preserve"> </w:t>
      </w:r>
      <w:r>
        <w:tab/>
        <w:t>NER, cl. 6.5.2(k) and cl. 6A.6.2(k); NGR, r.87(11).</w:t>
      </w:r>
    </w:p>
  </w:footnote>
  <w:footnote w:id="87">
    <w:p w:rsidR="006345FD" w:rsidRDefault="006345FD" w:rsidP="007201E8">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 NGR, r.87(11)(a).</w:t>
      </w:r>
    </w:p>
  </w:footnote>
  <w:footnote w:id="88">
    <w:p w:rsidR="006345FD" w:rsidRDefault="006345FD" w:rsidP="007201E8">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 NGR, r.87(11)(b).</w:t>
      </w:r>
    </w:p>
  </w:footnote>
  <w:footnote w:id="89">
    <w:p w:rsidR="006345FD" w:rsidRDefault="006345FD" w:rsidP="007201E8">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 NGR, r.87(11)(c).</w:t>
      </w:r>
    </w:p>
  </w:footnote>
  <w:footnote w:id="90">
    <w:p w:rsidR="006345FD" w:rsidRDefault="006345FD" w:rsidP="007201E8">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 NGR, r.87(11)(d).</w:t>
      </w:r>
    </w:p>
  </w:footnote>
  <w:footnote w:id="91">
    <w:p w:rsidR="006345FD" w:rsidRDefault="006345FD" w:rsidP="007201E8">
      <w:pPr>
        <w:pStyle w:val="FootnoteText"/>
      </w:pPr>
      <w:r>
        <w:rPr>
          <w:rStyle w:val="FootnoteReference"/>
        </w:rPr>
        <w:footnoteRef/>
      </w:r>
      <w:r>
        <w:t xml:space="preserve"> </w:t>
      </w:r>
      <w:r>
        <w:tab/>
        <w:t xml:space="preserve">AER, </w:t>
      </w:r>
      <w:r w:rsidRPr="00DB7606">
        <w:rPr>
          <w:rStyle w:val="AERtextitalic"/>
        </w:rPr>
        <w:t>Final decision—Queensland distribution determination 2010–11 to 2014–15</w:t>
      </w:r>
      <w:r>
        <w:t>, May 2010, pp. 252</w:t>
      </w:r>
      <w:r>
        <w:softHyphen/>
        <w:t xml:space="preserve">–253; AER, </w:t>
      </w:r>
      <w:r w:rsidRPr="00DB7606">
        <w:rPr>
          <w:rStyle w:val="AERtextitalic"/>
        </w:rPr>
        <w:t>Final decision—Victorian electricity network distribution service providers: Distribution determination 2011–2015</w:t>
      </w:r>
      <w:r>
        <w:t xml:space="preserve">, p. 496; AER, </w:t>
      </w:r>
      <w:r w:rsidRPr="00DB7606">
        <w:rPr>
          <w:rStyle w:val="AERtextitalic"/>
        </w:rPr>
        <w:t>Final decision— Envestra Ltd: Access arrangement proposal for the SA gas network</w:t>
      </w:r>
      <w:r>
        <w:rPr>
          <w:rStyle w:val="AERtextitalic"/>
        </w:rPr>
        <w:t xml:space="preserve">, </w:t>
      </w:r>
      <w:r w:rsidRPr="00DB7606">
        <w:t>June 2011</w:t>
      </w:r>
      <w:r>
        <w:rPr>
          <w:rStyle w:val="AERtextitalic"/>
        </w:rPr>
        <w:t xml:space="preserve">, </w:t>
      </w:r>
      <w:r>
        <w:t>pp. 55, 58; AER, Final decision—</w:t>
      </w:r>
      <w:r w:rsidRPr="00270572">
        <w:t xml:space="preserve"> </w:t>
      </w:r>
      <w:r w:rsidRPr="00270572">
        <w:rPr>
          <w:rStyle w:val="AERtextitalic"/>
        </w:rPr>
        <w:t>Access arrangement proposal: ACT, Queanbeyan and Palerang gas distribution network</w:t>
      </w:r>
      <w:r>
        <w:t>, March 2010, pp. 40, 57; AER, Final decision—NT Gas: Access arrangement proposal for the Amadeus Gas Pipeline August 2011 to June 2016, July 2011, p. 78.</w:t>
      </w:r>
    </w:p>
  </w:footnote>
  <w:footnote w:id="92">
    <w:p w:rsidR="006345FD" w:rsidRDefault="006345FD" w:rsidP="007201E8">
      <w:pPr>
        <w:pStyle w:val="FootnoteText"/>
      </w:pPr>
      <w:r>
        <w:rPr>
          <w:rStyle w:val="FootnoteReference"/>
        </w:rPr>
        <w:footnoteRef/>
      </w:r>
      <w:r>
        <w:t xml:space="preserve"> </w:t>
      </w:r>
      <w:r>
        <w:tab/>
        <w:t xml:space="preserve">See Partington, G., Satchel, S., </w:t>
      </w:r>
      <w:r w:rsidRPr="0055554C">
        <w:rPr>
          <w:rStyle w:val="AERtextitalic"/>
        </w:rPr>
        <w:t>Report to the AER: Discussion on the allowed cost of debt</w:t>
      </w:r>
      <w:r>
        <w:t>, 5 May 2016, pp. 41, 52.</w:t>
      </w:r>
    </w:p>
  </w:footnote>
  <w:footnote w:id="93">
    <w:p w:rsidR="006345FD" w:rsidRDefault="006345FD" w:rsidP="007201E8">
      <w:pPr>
        <w:pStyle w:val="FootnoteText"/>
      </w:pPr>
      <w:r>
        <w:rPr>
          <w:rStyle w:val="FootnoteReference"/>
        </w:rPr>
        <w:footnoteRef/>
      </w:r>
      <w:r>
        <w:t xml:space="preserve"> </w:t>
      </w:r>
      <w:r>
        <w:tab/>
        <w:t>NER cl. 6.5.2(l) and cl. 6A.6.2(l), NGR, r.87(12).</w:t>
      </w:r>
    </w:p>
  </w:footnote>
  <w:footnote w:id="94">
    <w:p w:rsidR="006345FD" w:rsidRDefault="006345FD" w:rsidP="007201E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1" w:history="1">
        <w:r w:rsidRPr="009E0A46">
          <w:rPr>
            <w:rStyle w:val="Hyperlink"/>
            <w:color w:val="auto"/>
            <w:sz w:val="16"/>
            <w:u w:val="none"/>
          </w:rPr>
          <w:t>http://www.aer.gov.au/node/18859</w:t>
        </w:r>
      </w:hyperlink>
      <w:r>
        <w:t>.</w:t>
      </w:r>
    </w:p>
  </w:footnote>
  <w:footnote w:id="95">
    <w:p w:rsidR="006345FD" w:rsidRDefault="006345FD" w:rsidP="007201E8">
      <w:pPr>
        <w:pStyle w:val="FootnoteText"/>
      </w:pPr>
      <w:r>
        <w:rPr>
          <w:rStyle w:val="FootnoteReference"/>
        </w:rPr>
        <w:footnoteRef/>
      </w:r>
      <w:r>
        <w:t xml:space="preserve"> </w:t>
      </w:r>
      <w:r>
        <w:tab/>
        <w:t>NGR, cl. 87(18); NER, cl. 6.2.8(c).</w:t>
      </w:r>
    </w:p>
  </w:footnote>
  <w:footnote w:id="96">
    <w:p w:rsidR="006345FD" w:rsidRDefault="006345FD" w:rsidP="007201E8">
      <w:pPr>
        <w:pStyle w:val="FootnoteText"/>
      </w:pPr>
      <w:r>
        <w:rPr>
          <w:rStyle w:val="FootnoteReference"/>
        </w:rPr>
        <w:footnoteRef/>
      </w:r>
      <w:r>
        <w:t xml:space="preserve"> </w:t>
      </w:r>
      <w:r>
        <w:tab/>
        <w:t>NER, cl. S6.1.3(9),(9A),(9B).</w:t>
      </w:r>
    </w:p>
  </w:footnote>
  <w:footnote w:id="97">
    <w:p w:rsidR="006345FD" w:rsidRDefault="006345FD" w:rsidP="007201E8">
      <w:pPr>
        <w:pStyle w:val="FootnoteText"/>
      </w:pPr>
      <w:r>
        <w:rPr>
          <w:rStyle w:val="FootnoteReference"/>
        </w:rPr>
        <w:footnoteRef/>
      </w:r>
      <w:r>
        <w:t xml:space="preserve"> </w:t>
      </w:r>
      <w:r>
        <w:tab/>
        <w:t>A</w:t>
      </w:r>
      <w:r w:rsidRPr="00DA2018">
        <w:t xml:space="preserve"> group of investors and ENA again raised the importance of certainty</w:t>
      </w:r>
      <w:r>
        <w:t xml:space="preserve"> in Financial Investors Group</w:t>
      </w:r>
      <w:r w:rsidRPr="007D4575">
        <w:rPr>
          <w:rStyle w:val="AERtextitalic"/>
        </w:rPr>
        <w:t>, Submission on AER’s equity beta issues paper</w:t>
      </w:r>
      <w:r>
        <w:t xml:space="preserve">, 29 October 2013; ENA, </w:t>
      </w:r>
      <w:r w:rsidRPr="00E67A17">
        <w:rPr>
          <w:rStyle w:val="AERtextitalic"/>
        </w:rPr>
        <w:t>Response to the Draft Rate of Return Guideline of the AER</w:t>
      </w:r>
      <w:r>
        <w:t>, 11 October 2013, p. 1.</w:t>
      </w:r>
    </w:p>
  </w:footnote>
  <w:footnote w:id="98">
    <w:p w:rsidR="006345FD" w:rsidRDefault="006345FD" w:rsidP="007201E8">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99">
    <w:p w:rsidR="006345FD" w:rsidRDefault="006345FD" w:rsidP="007201E8">
      <w:pPr>
        <w:pStyle w:val="FootnoteText"/>
      </w:pPr>
      <w:r>
        <w:rPr>
          <w:rStyle w:val="FootnoteReference"/>
        </w:rPr>
        <w:footnoteRef/>
      </w:r>
      <w:r>
        <w:t xml:space="preserve"> </w:t>
      </w:r>
      <w:r>
        <w:tab/>
        <w:t>NER, cl. 6..5.2 (n)(2); NER, cl. 6A.6.2(n)(2); NGR, cl. 87(14)(b).</w:t>
      </w:r>
      <w:r w:rsidRPr="00C368FC">
        <w:t xml:space="preserve"> </w:t>
      </w:r>
      <w:r>
        <w:t xml:space="preserve">See </w:t>
      </w:r>
      <w:hyperlink r:id="rId2" w:history="1">
        <w:r w:rsidRPr="00C368FC">
          <w:rPr>
            <w:rStyle w:val="Hyperlink"/>
            <w:color w:val="auto"/>
            <w:sz w:val="16"/>
            <w:u w:val="none"/>
          </w:rPr>
          <w:t>http://www.aer.gov.au/node/18859</w:t>
        </w:r>
      </w:hyperlink>
      <w:r>
        <w:t>.</w:t>
      </w:r>
    </w:p>
  </w:footnote>
  <w:footnote w:id="100">
    <w:p w:rsidR="006345FD" w:rsidRDefault="006345FD" w:rsidP="007201E8">
      <w:pPr>
        <w:pStyle w:val="FootnoteText"/>
      </w:pPr>
      <w:r>
        <w:rPr>
          <w:rStyle w:val="FootnoteReference"/>
        </w:rPr>
        <w:footnoteRef/>
      </w:r>
      <w:r>
        <w:t xml:space="preserve"> </w:t>
      </w:r>
      <w:r>
        <w:tab/>
        <w:t>NER, cl. 6.5.2 (n), NER, cl. 6A.6.2(n);</w:t>
      </w:r>
      <w:r w:rsidRPr="009416A4">
        <w:t xml:space="preserve"> </w:t>
      </w:r>
      <w:r>
        <w:t>NGR, cl. 87(14).</w:t>
      </w:r>
    </w:p>
  </w:footnote>
  <w:footnote w:id="101">
    <w:p w:rsidR="006345FD" w:rsidRDefault="006345FD" w:rsidP="007201E8">
      <w:pPr>
        <w:pStyle w:val="FootnoteText"/>
      </w:pPr>
      <w:r>
        <w:rPr>
          <w:rStyle w:val="FootnoteReference"/>
        </w:rPr>
        <w:footnoteRef/>
      </w:r>
      <w:r>
        <w:t xml:space="preserve"> </w:t>
      </w:r>
      <w:r>
        <w:tab/>
        <w:t xml:space="preserve">For example, see AER, </w:t>
      </w:r>
      <w:r w:rsidRPr="00C146A6">
        <w:rPr>
          <w:rStyle w:val="AERtextitalic"/>
        </w:rPr>
        <w:t>Final decision: Energex determination 2015–16 to 2019–20, Attachment 3―Rate of return</w:t>
      </w:r>
      <w:r>
        <w:t>, October 2015, pp. 22</w:t>
      </w:r>
      <w:r>
        <w:rPr>
          <w:rFonts w:cs="Arial"/>
        </w:rPr>
        <w:t>–</w:t>
      </w:r>
      <w:r>
        <w:t>24.</w:t>
      </w:r>
    </w:p>
  </w:footnote>
  <w:footnote w:id="102">
    <w:p w:rsidR="006345FD" w:rsidRDefault="006345FD" w:rsidP="007201E8">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3" w:history="1">
        <w:r w:rsidRPr="00C368FC">
          <w:rPr>
            <w:rStyle w:val="Hyperlink"/>
            <w:color w:val="auto"/>
            <w:sz w:val="16"/>
            <w:u w:val="none"/>
          </w:rPr>
          <w:t>http://www.aer.gov.au/node/18859</w:t>
        </w:r>
      </w:hyperlink>
      <w:r w:rsidRPr="00C368FC">
        <w:t>.</w:t>
      </w:r>
    </w:p>
  </w:footnote>
  <w:footnote w:id="103">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104">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105">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106">
    <w:p w:rsidR="006345FD" w:rsidRDefault="006345FD" w:rsidP="007201E8">
      <w:pPr>
        <w:pStyle w:val="FootnoteText"/>
      </w:pPr>
      <w:r>
        <w:rPr>
          <w:rStyle w:val="FootnoteReference"/>
        </w:rPr>
        <w:footnoteRef/>
      </w:r>
      <w:r>
        <w:t xml:space="preserve"> </w:t>
      </w:r>
      <w:r>
        <w:tab/>
        <w:t xml:space="preserve">Available at, </w:t>
      </w:r>
      <w:hyperlink r:id="rId4" w:history="1">
        <w:r w:rsidRPr="009E0A46">
          <w:rPr>
            <w:rStyle w:val="Hyperlink"/>
            <w:color w:val="auto"/>
            <w:sz w:val="16"/>
            <w:u w:val="none"/>
          </w:rPr>
          <w:t>http://www.aer.gov.au/node/18859</w:t>
        </w:r>
      </w:hyperlink>
      <w:r>
        <w:t>.</w:t>
      </w:r>
    </w:p>
    <w:p w:rsidR="006345FD" w:rsidRDefault="006345FD" w:rsidP="007201E8">
      <w:pPr>
        <w:pStyle w:val="FootnoteText"/>
      </w:pPr>
    </w:p>
  </w:footnote>
  <w:footnote w:id="107">
    <w:p w:rsidR="006345FD" w:rsidRDefault="006345FD" w:rsidP="007201E8">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six years. However, we do not have the power to determine in this decision the return on debt methodology for those years. Under the NER, the return on debt methodology must be determined in future decisions that relate to that period.</w:t>
      </w:r>
    </w:p>
  </w:footnote>
  <w:footnote w:id="108">
    <w:p w:rsidR="006345FD" w:rsidRDefault="006345FD" w:rsidP="007201E8">
      <w:pPr>
        <w:pStyle w:val="FootnoteText"/>
      </w:pPr>
      <w:r>
        <w:rPr>
          <w:rStyle w:val="FootnoteReference"/>
        </w:rPr>
        <w:footnoteRef/>
      </w:r>
      <w:r>
        <w:t xml:space="preserve"> </w:t>
      </w:r>
      <w:r>
        <w:tab/>
      </w:r>
      <w:r w:rsidRPr="00B02218">
        <w:t>In the Guideline, we proposed to use one or more third party data series to estimate of the return on</w:t>
      </w:r>
      <w:r>
        <w:t xml:space="preserve"> </w:t>
      </w:r>
      <w:r w:rsidRPr="00B02218">
        <w:t xml:space="preserve">debt. However, at that time we had not formed a view on which data series to use. </w:t>
      </w:r>
      <w:r>
        <w:t xml:space="preserve">We form our view following a separate consultative process. This consultative process started with the release of an issues paper in </w:t>
      </w:r>
      <w:r w:rsidRPr="00B02218">
        <w:t>April 2014</w:t>
      </w:r>
      <w:r>
        <w:t>.</w:t>
      </w:r>
      <w:r w:rsidRPr="00162C44">
        <w:t xml:space="preserve"> </w:t>
      </w:r>
      <w:r>
        <w:t xml:space="preserve">We do not propose estimating the return on debt by reference to the Reuters curve that was first proposed in the recent revised proposals. However, we will consider using this new source of information </w:t>
      </w:r>
      <w:r w:rsidRPr="002E41F8">
        <w:t>in future determinations following a proper period of consultation</w:t>
      </w:r>
      <w:r>
        <w:t>.</w:t>
      </w:r>
    </w:p>
  </w:footnote>
  <w:footnote w:id="109">
    <w:p w:rsidR="006345FD" w:rsidRDefault="006345FD" w:rsidP="007201E8">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10">
    <w:p w:rsidR="006345FD" w:rsidRDefault="006345FD" w:rsidP="007201E8">
      <w:pPr>
        <w:pStyle w:val="FootnoteText"/>
      </w:pPr>
      <w:r>
        <w:rPr>
          <w:rStyle w:val="FootnoteReference"/>
        </w:rPr>
        <w:footnoteRef/>
      </w:r>
      <w:r>
        <w:t xml:space="preserve"> </w:t>
      </w:r>
      <w:r>
        <w:tab/>
        <w:t>NER, cl. 6.5.2(i); NER, cl. 6A.6.2(i); NGR r. 87(9).</w:t>
      </w:r>
    </w:p>
  </w:footnote>
  <w:footnote w:id="111">
    <w:p w:rsidR="006345FD" w:rsidRDefault="006345FD" w:rsidP="007201E8">
      <w:pPr>
        <w:pStyle w:val="FootnoteText"/>
      </w:pPr>
      <w:r>
        <w:rPr>
          <w:rStyle w:val="FootnoteReference"/>
        </w:rPr>
        <w:footnoteRef/>
      </w:r>
      <w:r>
        <w:t xml:space="preserve"> </w:t>
      </w:r>
      <w:r>
        <w:tab/>
        <w:t xml:space="preserve">Available at </w:t>
      </w:r>
      <w:hyperlink r:id="rId5" w:history="1">
        <w:r w:rsidRPr="009E0A46">
          <w:rPr>
            <w:rStyle w:val="Hyperlink"/>
            <w:color w:val="auto"/>
            <w:sz w:val="16"/>
            <w:u w:val="none"/>
          </w:rPr>
          <w:t>http://www.aer.gov.au/node/27616</w:t>
        </w:r>
      </w:hyperlink>
      <w:r>
        <w:t>.</w:t>
      </w:r>
    </w:p>
  </w:footnote>
  <w:footnote w:id="112">
    <w:p w:rsidR="006345FD" w:rsidRDefault="006345FD" w:rsidP="007201E8">
      <w:pPr>
        <w:pStyle w:val="FootnoteText"/>
      </w:pPr>
      <w:r>
        <w:rPr>
          <w:rStyle w:val="FootnoteReference"/>
        </w:rPr>
        <w:footnoteRef/>
      </w:r>
      <w:r>
        <w:t xml:space="preserve"> </w:t>
      </w:r>
      <w:r>
        <w:tab/>
        <w:t>NER, cl. 6.5.2(e); NER, cl. 6A.6.2(e); NGR r. 87(9).</w:t>
      </w:r>
    </w:p>
  </w:footnote>
  <w:footnote w:id="113">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114">
    <w:p w:rsidR="006345FD" w:rsidRDefault="006345FD" w:rsidP="007201E8">
      <w:pPr>
        <w:pStyle w:val="FootnoteText"/>
      </w:pPr>
      <w:r>
        <w:rPr>
          <w:rStyle w:val="FootnoteReference"/>
        </w:rPr>
        <w:footnoteRef/>
      </w:r>
      <w:r>
        <w:t xml:space="preserve"> </w:t>
      </w:r>
      <w:r>
        <w:tab/>
        <w:t>NEL, s. 7A(2); NGL s. 24(2)(a).</w:t>
      </w:r>
    </w:p>
  </w:footnote>
  <w:footnote w:id="115">
    <w:p w:rsidR="006345FD" w:rsidRDefault="006345FD" w:rsidP="007201E8">
      <w:pPr>
        <w:pStyle w:val="FootnoteText"/>
      </w:pPr>
      <w:r>
        <w:rPr>
          <w:rStyle w:val="FootnoteReference"/>
        </w:rPr>
        <w:footnoteRef/>
      </w:r>
      <w:r>
        <w:t xml:space="preserve"> </w:t>
      </w:r>
      <w:r>
        <w:tab/>
        <w:t>NEL, s. 7A(3);</w:t>
      </w:r>
      <w:r w:rsidRPr="00002EB2">
        <w:t xml:space="preserve"> </w:t>
      </w:r>
      <w:r>
        <w:t>NGL s. 24(2)(b).</w:t>
      </w:r>
    </w:p>
  </w:footnote>
  <w:footnote w:id="116">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 33.</w:t>
      </w:r>
    </w:p>
  </w:footnote>
  <w:footnote w:id="117">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 xml:space="preserve">Better regulation: </w:t>
      </w:r>
      <w:r>
        <w:rPr>
          <w:rStyle w:val="AERtextitalic"/>
        </w:rPr>
        <w:t>Rate of return guideline e</w:t>
      </w:r>
      <w:r w:rsidRPr="00831925">
        <w:rPr>
          <w:rStyle w:val="AERtextitalic"/>
        </w:rPr>
        <w:t>xplanatory stat</w:t>
      </w:r>
      <w:r>
        <w:rPr>
          <w:rStyle w:val="AERtextitalic"/>
        </w:rPr>
        <w:t xml:space="preserve">ement, </w:t>
      </w:r>
      <w:r>
        <w:t>December 2013, ch.3.3</w:t>
      </w:r>
    </w:p>
  </w:footnote>
  <w:footnote w:id="118">
    <w:p w:rsidR="006345FD" w:rsidRDefault="006345FD" w:rsidP="007201E8">
      <w:pPr>
        <w:pStyle w:val="FootnoteText"/>
      </w:pPr>
      <w:r>
        <w:rPr>
          <w:rStyle w:val="FootnoteReference"/>
        </w:rPr>
        <w:footnoteRef/>
      </w:r>
      <w:r>
        <w:t xml:space="preserve"> </w:t>
      </w:r>
      <w:r>
        <w:tab/>
        <w:t xml:space="preserve">AER, </w:t>
      </w:r>
      <w:r w:rsidRPr="00FB00AB">
        <w:rPr>
          <w:rStyle w:val="AERtextitalic"/>
        </w:rPr>
        <w:t xml:space="preserve">Better Regulation, </w:t>
      </w:r>
      <w:r>
        <w:rPr>
          <w:rStyle w:val="AERtextitalic"/>
        </w:rPr>
        <w:t>Rate of return guideline e</w:t>
      </w:r>
      <w:r w:rsidRPr="00831925">
        <w:rPr>
          <w:rStyle w:val="AERtextitalic"/>
        </w:rPr>
        <w:t>xplanatory stat</w:t>
      </w:r>
      <w:r>
        <w:rPr>
          <w:rStyle w:val="AERtextitalic"/>
        </w:rPr>
        <w:t>ement</w:t>
      </w:r>
      <w:r>
        <w:t>, December 2013, ch.8.34, appendix F.</w:t>
      </w:r>
    </w:p>
  </w:footnote>
  <w:footnote w:id="119">
    <w:p w:rsidR="006345FD" w:rsidRDefault="006345FD" w:rsidP="007201E8">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120">
    <w:p w:rsidR="006345FD" w:rsidRDefault="006345FD" w:rsidP="007201E8">
      <w:pPr>
        <w:pStyle w:val="FootnoteText"/>
      </w:pPr>
      <w:r>
        <w:rPr>
          <w:rStyle w:val="FootnoteReference"/>
        </w:rPr>
        <w:footnoteRef/>
      </w:r>
      <w:r>
        <w:t xml:space="preserve"> </w:t>
      </w:r>
      <w:r>
        <w:tab/>
        <w:t>NER, cl. 6.11.1(b); NER, cl. 6A.13.1(a1). NGR, cl. 59(1), 62(1) states we are to consider submissions before making our regulatory decisions NGR, cl, 64(2) states that our proposal for an access arrangement or revisions is to be formulated with regard to the service providers proposal (among other things).</w:t>
      </w:r>
    </w:p>
  </w:footnote>
  <w:footnote w:id="121">
    <w:p w:rsidR="006345FD" w:rsidRDefault="006345FD" w:rsidP="007201E8">
      <w:pPr>
        <w:pStyle w:val="FootnoteText"/>
      </w:pPr>
      <w:r>
        <w:rPr>
          <w:rStyle w:val="FootnoteReference"/>
        </w:rPr>
        <w:footnoteRef/>
      </w:r>
      <w:r>
        <w:t xml:space="preserve"> </w:t>
      </w:r>
      <w:r>
        <w:tab/>
        <w:t xml:space="preserve">NGR, r. 87(5)(a) and NER clause 6.5.2(e).  </w:t>
      </w:r>
    </w:p>
  </w:footnote>
  <w:footnote w:id="122">
    <w:p w:rsidR="006345FD" w:rsidRDefault="006345FD" w:rsidP="007201E8">
      <w:pPr>
        <w:pStyle w:val="FootnoteText"/>
      </w:pPr>
      <w:r>
        <w:rPr>
          <w:rStyle w:val="FootnoteReference"/>
        </w:rPr>
        <w:footnoteRef/>
      </w:r>
      <w:r>
        <w:t xml:space="preserve"> </w:t>
      </w:r>
      <w:r>
        <w:tab/>
      </w:r>
      <w:r w:rsidRPr="00BB36FA">
        <w:t xml:space="preserve">AEMC, </w:t>
      </w:r>
      <w:r w:rsidRPr="00297474">
        <w:rPr>
          <w:rStyle w:val="AERtextitalic"/>
        </w:rPr>
        <w:t>Rule determination: National electricity amendment (Economic regulation of network service providers) Rule 2012: National gas amendment (Price and revenue regulation of gas services) Rule 2012</w:t>
      </w:r>
      <w:r w:rsidRPr="00BB36FA">
        <w:t>, 29 November 2012, p. 67</w:t>
      </w:r>
      <w:r>
        <w:t xml:space="preserve"> (AEMC, </w:t>
      </w:r>
      <w:r w:rsidRPr="00CB6337">
        <w:rPr>
          <w:rStyle w:val="AERtextitalic"/>
        </w:rPr>
        <w:t>Final rule change determination</w:t>
      </w:r>
      <w:r>
        <w:t>, November 2012)</w:t>
      </w:r>
      <w:r w:rsidRPr="00BB36FA">
        <w:t>.</w:t>
      </w:r>
    </w:p>
  </w:footnote>
  <w:footnote w:id="123">
    <w:p w:rsidR="006345FD" w:rsidRDefault="006345FD" w:rsidP="007201E8">
      <w:pPr>
        <w:pStyle w:val="FootnoteText"/>
      </w:pPr>
      <w:r>
        <w:rPr>
          <w:rStyle w:val="FootnoteReference"/>
        </w:rPr>
        <w:footnoteRef/>
      </w:r>
      <w:r>
        <w:t xml:space="preserve">     The service providers are: ActewAGL Gas Distribution, APTNT, Australian Gas Networks, AusNet Services distribution, AusNet Services Transmission, CitiPower, Jemena Electricity Networks, Powercor, Powerlink.</w:t>
      </w:r>
    </w:p>
  </w:footnote>
  <w:footnote w:id="124">
    <w:p w:rsidR="006345FD" w:rsidRDefault="006345FD" w:rsidP="007201E8">
      <w:pPr>
        <w:pStyle w:val="FootnoteText"/>
      </w:pPr>
      <w:r>
        <w:rPr>
          <w:rStyle w:val="FootnoteReference"/>
        </w:rPr>
        <w:footnoteRef/>
      </w:r>
      <w:r>
        <w:t xml:space="preserve"> </w:t>
      </w:r>
      <w:r>
        <w:tab/>
        <w:t xml:space="preserve">For material on an April 2015 decision (TransGrid), see </w:t>
      </w:r>
      <w:hyperlink r:id="rId6"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7"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5">
    <w:p w:rsidR="006345FD" w:rsidRDefault="006345FD" w:rsidP="007201E8">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6">
    <w:p w:rsidR="006345FD" w:rsidRDefault="006345FD" w:rsidP="007201E8">
      <w:pPr>
        <w:pStyle w:val="FootnoteText"/>
      </w:pPr>
      <w:r>
        <w:rPr>
          <w:rStyle w:val="FootnoteReference"/>
        </w:rPr>
        <w:footnoteRef/>
      </w:r>
      <w:r>
        <w:t xml:space="preserve"> </w:t>
      </w:r>
      <w:r>
        <w:tab/>
        <w:t xml:space="preserve">That is, AER, </w:t>
      </w:r>
      <w:r>
        <w:rPr>
          <w:rStyle w:val="AERtextitalic"/>
        </w:rPr>
        <w:t>Final decision: SA Power Networks</w:t>
      </w:r>
      <w:r w:rsidRPr="00371F2A">
        <w:rPr>
          <w:rStyle w:val="AERtextitalic"/>
        </w:rPr>
        <w:t xml:space="preserve"> determination 2015 -16 to 2019–</w:t>
      </w:r>
      <w:r>
        <w:rPr>
          <w:rStyle w:val="AERtextitalic"/>
        </w:rPr>
        <w:t xml:space="preserve">20, </w:t>
      </w:r>
      <w:r w:rsidRPr="00371F2A">
        <w:rPr>
          <w:rStyle w:val="AERtextitalic"/>
        </w:rPr>
        <w:t>Attachment 3―Rate of</w:t>
      </w:r>
      <w:r>
        <w:rPr>
          <w:rStyle w:val="AERtextitalic"/>
        </w:rPr>
        <w:t xml:space="preserve"> return</w:t>
      </w:r>
      <w:r>
        <w:t>, October 2015. Also see our decisions for Ergon Energy and Energex.</w:t>
      </w:r>
    </w:p>
  </w:footnote>
  <w:footnote w:id="127">
    <w:p w:rsidR="006345FD" w:rsidRDefault="006345FD" w:rsidP="007201E8">
      <w:pPr>
        <w:pStyle w:val="FootnoteText"/>
      </w:pPr>
      <w:r>
        <w:rPr>
          <w:rStyle w:val="FootnoteReference"/>
        </w:rPr>
        <w:footnoteRef/>
      </w:r>
      <w:r>
        <w:t xml:space="preserve"> </w:t>
      </w:r>
      <w:r>
        <w:tab/>
        <w:t>For example, revised proposals from Ausgrid, Endeavour Energy, Essential Energy, TasNetworks (adopted the Guideline), ActewAGL, TransGrid, Directlink and Jemena Gas Networks (NSW).</w:t>
      </w:r>
    </w:p>
  </w:footnote>
  <w:footnote w:id="128">
    <w:p w:rsidR="006345FD" w:rsidRDefault="006345FD" w:rsidP="007201E8">
      <w:pPr>
        <w:pStyle w:val="FootnoteText"/>
      </w:pPr>
      <w:r>
        <w:rPr>
          <w:rStyle w:val="FootnoteReference"/>
        </w:rPr>
        <w:footnoteRef/>
      </w:r>
      <w:r>
        <w:t xml:space="preserve"> </w:t>
      </w:r>
      <w:r>
        <w:tab/>
        <w:t xml:space="preserve">For material on an April 2015 decision (TransGrid), see </w:t>
      </w:r>
      <w:hyperlink r:id="rId8" w:history="1">
        <w:r w:rsidRPr="00B97459">
          <w:rPr>
            <w:rStyle w:val="Hyperlink"/>
            <w:sz w:val="16"/>
          </w:rPr>
          <w:t>https://www.aer.gov.au/networks-pipelines/determinations-access-arrangements/transgrid-determination-2014-18</w:t>
        </w:r>
      </w:hyperlink>
      <w:r>
        <w:t xml:space="preserve">. </w:t>
      </w:r>
      <w:r w:rsidRPr="00104D5E">
        <w:t xml:space="preserve">For material on </w:t>
      </w:r>
      <w:r>
        <w:t>an October</w:t>
      </w:r>
      <w:r w:rsidRPr="00104D5E">
        <w:t xml:space="preserve"> 2015 decision</w:t>
      </w:r>
      <w:r>
        <w:t xml:space="preserve"> (Energex), see </w:t>
      </w:r>
      <w:hyperlink r:id="rId9" w:history="1">
        <w:r w:rsidRPr="00B97459">
          <w:rPr>
            <w:rStyle w:val="Hyperlink"/>
            <w:sz w:val="16"/>
          </w:rPr>
          <w:t>https://www.aer.gov.au/networks-pipelines/determinations-access-arrangements/energex-determination-2015-2020/final-decision</w:t>
        </w:r>
      </w:hyperlink>
      <w:r>
        <w:t>. For similar material, see our decisions in 2015 on ActewAGL distribution, Ausgrid, Directlink, Endeavour Energy, Ergon Energy, Essential Energy, JGN, SAPN and TasNetworks.</w:t>
      </w:r>
    </w:p>
  </w:footnote>
  <w:footnote w:id="129">
    <w:p w:rsidR="006345FD" w:rsidRDefault="006345FD" w:rsidP="007201E8">
      <w:pPr>
        <w:pStyle w:val="FootnoteText"/>
      </w:pPr>
      <w:r>
        <w:rPr>
          <w:rStyle w:val="FootnoteReference"/>
        </w:rPr>
        <w:footnoteRef/>
      </w:r>
      <w:r>
        <w:t xml:space="preserve"> </w:t>
      </w:r>
      <w:r>
        <w:tab/>
        <w:t xml:space="preserve">McKenzie, M., Partington, G., </w:t>
      </w:r>
      <w:r w:rsidRPr="007F1F50">
        <w:rPr>
          <w:rStyle w:val="AERtextitalic"/>
        </w:rPr>
        <w:t>Report to the AER Part A: Return on Equity</w:t>
      </w:r>
      <w:r>
        <w:t xml:space="preserve">, October 2014. </w:t>
      </w:r>
    </w:p>
  </w:footnote>
  <w:footnote w:id="130">
    <w:p w:rsidR="006345FD" w:rsidRDefault="006345FD" w:rsidP="007201E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xml:space="preserve">, April 2016; Partington and Satchell, </w:t>
      </w:r>
      <w:r w:rsidRPr="00023030">
        <w:rPr>
          <w:rStyle w:val="AERtextitalic"/>
        </w:rPr>
        <w:t>Report to the AER:</w:t>
      </w:r>
      <w:r>
        <w:rPr>
          <w:rStyle w:val="AERtextitalic"/>
        </w:rPr>
        <w:t xml:space="preserve"> Analysis of criticisms of 2015 determination, </w:t>
      </w:r>
      <w:r>
        <w:t>October</w:t>
      </w:r>
      <w:r w:rsidRPr="00023030">
        <w:t xml:space="preserve"> 2015</w:t>
      </w:r>
      <w:r>
        <w:t xml:space="preserve">; Partington, G., Satchell, S., </w:t>
      </w:r>
      <w:r w:rsidRPr="0048510C">
        <w:rPr>
          <w:rStyle w:val="AERtextitalic"/>
        </w:rPr>
        <w:t>Report to the AER: Return on equity and comment on submissions in relation to JGN</w:t>
      </w:r>
      <w:r>
        <w:t>, May 2015.</w:t>
      </w:r>
    </w:p>
  </w:footnote>
  <w:footnote w:id="131">
    <w:p w:rsidR="006345FD" w:rsidRDefault="006345FD" w:rsidP="007201E8">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Partington, G., Satchell, S., </w:t>
      </w:r>
      <w:r w:rsidRPr="00D001FE">
        <w:rPr>
          <w:rStyle w:val="AERtextitalic"/>
        </w:rPr>
        <w:t xml:space="preserve">Report to the AER: </w:t>
      </w:r>
      <w:r>
        <w:rPr>
          <w:rStyle w:val="AERtextitalic"/>
        </w:rPr>
        <w:t>Cost of equity issues 2016 electricity and gas determinations</w:t>
      </w:r>
      <w:r>
        <w:t>, April 2016; Partington, G., Satchell, S.</w:t>
      </w:r>
      <w:r w:rsidRPr="002E1270">
        <w:t xml:space="preserve">, </w:t>
      </w:r>
      <w:r w:rsidRPr="002E1270">
        <w:rPr>
          <w:rStyle w:val="AERtextitalic"/>
        </w:rPr>
        <w:t xml:space="preserve">Report to the AER: Analysis of criticisms of 2015 determination, </w:t>
      </w:r>
      <w:r w:rsidRPr="002E1270">
        <w:t>October 2015</w:t>
      </w:r>
      <w:r>
        <w:t>; Partington, G., Satchell, S.</w:t>
      </w:r>
      <w:r w:rsidRPr="002E1270">
        <w:t xml:space="preserve">, </w:t>
      </w:r>
      <w:r w:rsidRPr="002E1270">
        <w:rPr>
          <w:rStyle w:val="AERtextitalic"/>
        </w:rPr>
        <w:t>Report to the AER: Return on equity and comment on submissions in relation to JGN</w:t>
      </w:r>
      <w:r w:rsidRPr="002E1270">
        <w:t>, May 2015</w:t>
      </w:r>
      <w:r>
        <w:t xml:space="preserve">; </w:t>
      </w:r>
      <w:r w:rsidRPr="002F6091">
        <w:t>Partington</w:t>
      </w:r>
      <w:r>
        <w:t>, G.</w:t>
      </w:r>
      <w:r w:rsidRPr="002F6091">
        <w:t xml:space="preserve">, </w:t>
      </w:r>
      <w:r w:rsidRPr="002F6091">
        <w:rPr>
          <w:rStyle w:val="AERtextitalic"/>
        </w:rPr>
        <w:t>Report to the AER: Return on equity (Updated)</w:t>
      </w:r>
      <w:r w:rsidRPr="00297474">
        <w:rPr>
          <w:rStyle w:val="AERtextitalic"/>
        </w:rPr>
        <w:t>, April 2015</w:t>
      </w:r>
      <w:r>
        <w:t xml:space="preserve">; McKenzie, M., Partington, G., </w:t>
      </w:r>
      <w:r w:rsidRPr="007F1F50">
        <w:rPr>
          <w:rStyle w:val="AERtextitalic"/>
        </w:rPr>
        <w:t>Report to the AER Part A: Return on Equity</w:t>
      </w:r>
      <w:r>
        <w:t>, October 2014</w:t>
      </w:r>
      <w:r w:rsidRPr="002E1270">
        <w:t>.</w:t>
      </w:r>
    </w:p>
  </w:footnote>
  <w:footnote w:id="132">
    <w:p w:rsidR="006345FD" w:rsidRDefault="006345FD" w:rsidP="007201E8">
      <w:pPr>
        <w:pStyle w:val="FootnoteText"/>
      </w:pPr>
      <w:r>
        <w:rPr>
          <w:rStyle w:val="FootnoteReference"/>
        </w:rPr>
        <w:footnoteRef/>
      </w:r>
      <w:r>
        <w:t xml:space="preserve"> </w:t>
      </w:r>
      <w:r>
        <w:tab/>
        <w:t>Handley, J.</w:t>
      </w:r>
      <w:r w:rsidRPr="002F6091">
        <w:t xml:space="preserve">, </w:t>
      </w:r>
      <w:r>
        <w:t>Further a</w:t>
      </w:r>
      <w:r w:rsidRPr="002F6091">
        <w:rPr>
          <w:rStyle w:val="AERtextitalic"/>
        </w:rPr>
        <w:t xml:space="preserve">dvice on return on equity, </w:t>
      </w:r>
      <w:r>
        <w:rPr>
          <w:rStyle w:val="AERtextitalic"/>
        </w:rPr>
        <w:t xml:space="preserve">April </w:t>
      </w:r>
      <w:r w:rsidRPr="002F6091">
        <w:t>201</w:t>
      </w:r>
      <w:r>
        <w:t xml:space="preserve">5; Handley, J., </w:t>
      </w:r>
      <w:r w:rsidRPr="00450C4F">
        <w:rPr>
          <w:rStyle w:val="AERtextitalic"/>
        </w:rPr>
        <w:t>Advice on return on equity, Report prepared for the AER</w:t>
      </w:r>
      <w:r>
        <w:t>, 16 October 2014; Handley, J.</w:t>
      </w:r>
      <w:r w:rsidRPr="00582678">
        <w:t xml:space="preserve">, </w:t>
      </w:r>
      <w:r w:rsidRPr="00582678">
        <w:rPr>
          <w:rStyle w:val="AERtextitalic"/>
        </w:rPr>
        <w:t>Report prepared for the Australian Energy Regulator: Advice on the value of imputation credits</w:t>
      </w:r>
      <w:r w:rsidRPr="00582678">
        <w:t>, 29 September 2014</w:t>
      </w:r>
      <w:r>
        <w:t>.</w:t>
      </w:r>
    </w:p>
  </w:footnote>
  <w:footnote w:id="133">
    <w:p w:rsidR="006345FD" w:rsidRDefault="006345FD" w:rsidP="007201E8">
      <w:pPr>
        <w:pStyle w:val="FootnoteText"/>
      </w:pPr>
      <w:r>
        <w:rPr>
          <w:rStyle w:val="FootnoteReference"/>
        </w:rPr>
        <w:footnoteRef/>
      </w:r>
      <w:r>
        <w:t xml:space="preserve"> </w:t>
      </w:r>
      <w:r>
        <w:tab/>
        <w:t xml:space="preserve">Lally, M., </w:t>
      </w:r>
      <w:r>
        <w:rPr>
          <w:rStyle w:val="AERtextitalic"/>
        </w:rPr>
        <w:t>Gamma and the ACT decision</w:t>
      </w:r>
      <w:r>
        <w:t xml:space="preserve">, May 2016; </w:t>
      </w:r>
      <w:r>
        <w:tab/>
        <w:t xml:space="preserve">Lally, M., </w:t>
      </w:r>
      <w:r w:rsidRPr="006D500C">
        <w:rPr>
          <w:rStyle w:val="AERtextitalic"/>
        </w:rPr>
        <w:t>Review of submissions on implementation issues for the cost of debt</w:t>
      </w:r>
      <w:r>
        <w:t xml:space="preserve">, October 2015; Lally, M., </w:t>
      </w:r>
      <w:r w:rsidRPr="006D500C">
        <w:rPr>
          <w:rStyle w:val="AERtextitalic"/>
        </w:rPr>
        <w:t>Review of submissions on transition issues for the cost of debt</w:t>
      </w:r>
      <w:r>
        <w:t>, October 2015;</w:t>
      </w:r>
      <w:r w:rsidRPr="00F50B9A">
        <w:t xml:space="preserve"> </w:t>
      </w:r>
      <w:r>
        <w:t xml:space="preserve">Lally, M., </w:t>
      </w:r>
      <w:r w:rsidRPr="00A96A09">
        <w:rPr>
          <w:rStyle w:val="AERtextitalic"/>
        </w:rPr>
        <w:t>Review of submissions on the cost of debt</w:t>
      </w:r>
      <w:r>
        <w:t xml:space="preserve">, April 2015; Lally, M., </w:t>
      </w:r>
      <w:r w:rsidRPr="001D4D95">
        <w:rPr>
          <w:rStyle w:val="AERtextitalic"/>
        </w:rPr>
        <w:t>Transitional arrangements for the cost of debt</w:t>
      </w:r>
      <w:r>
        <w:t xml:space="preserve">, November 2014; Lally, M., </w:t>
      </w:r>
      <w:r w:rsidRPr="005A40AF">
        <w:rPr>
          <w:rStyle w:val="AERtextitalic"/>
        </w:rPr>
        <w:t>Implementation issues with the cost of debt</w:t>
      </w:r>
      <w:r>
        <w:t>, November 2014.</w:t>
      </w:r>
    </w:p>
  </w:footnote>
  <w:footnote w:id="134">
    <w:p w:rsidR="006345FD" w:rsidRDefault="006345FD" w:rsidP="007201E8">
      <w:pPr>
        <w:pStyle w:val="FootnoteText"/>
      </w:pPr>
      <w:r>
        <w:rPr>
          <w:rStyle w:val="FootnoteReference"/>
        </w:rPr>
        <w:footnoteRef/>
      </w:r>
      <w:r>
        <w:t xml:space="preserve"> </w:t>
      </w:r>
      <w:r>
        <w:tab/>
        <w:t xml:space="preserve">Chairmont, </w:t>
      </w:r>
      <w:r w:rsidRPr="00A96A09">
        <w:rPr>
          <w:rStyle w:val="AERtextitalic"/>
        </w:rPr>
        <w:t>Cost of debt: Transitional analysis</w:t>
      </w:r>
      <w:r>
        <w:t xml:space="preserve">, April 2015; Chairmont, </w:t>
      </w:r>
      <w:r w:rsidRPr="006D500C">
        <w:rPr>
          <w:rStyle w:val="AERtextitalic"/>
        </w:rPr>
        <w:t>Financial practices under regulation: past and transitional</w:t>
      </w:r>
      <w:r>
        <w:t>, October 2015.</w:t>
      </w:r>
    </w:p>
  </w:footnote>
  <w:footnote w:id="135">
    <w:p w:rsidR="006345FD" w:rsidRDefault="006345FD" w:rsidP="007201E8">
      <w:pPr>
        <w:pStyle w:val="FootnoteText"/>
      </w:pPr>
      <w:r>
        <w:rPr>
          <w:rStyle w:val="FootnoteReference"/>
        </w:rPr>
        <w:footnoteRef/>
      </w:r>
      <w:r>
        <w:t xml:space="preserve"> </w:t>
      </w:r>
      <w:r>
        <w:tab/>
        <w:t xml:space="preserve">Henry, O.,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136">
    <w:p w:rsidR="006345FD" w:rsidRDefault="006345FD" w:rsidP="007201E8">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137">
    <w:p w:rsidR="006345FD" w:rsidRDefault="006345FD" w:rsidP="004918DD">
      <w:pPr>
        <w:pStyle w:val="FootnoteText"/>
      </w:pPr>
      <w:r>
        <w:rPr>
          <w:rStyle w:val="FootnoteReference"/>
        </w:rPr>
        <w:footnoteRef/>
      </w:r>
      <w:r>
        <w:t xml:space="preserve"> </w:t>
      </w:r>
      <w:r>
        <w:tab/>
        <w:t xml:space="preserve">For a list of submissions on CitiPower's initial regulatory proposal see AER, </w:t>
      </w:r>
      <w:r w:rsidRPr="00382A73">
        <w:rPr>
          <w:rStyle w:val="AERtextitalic"/>
        </w:rPr>
        <w:t xml:space="preserve">Preliminary decision: </w:t>
      </w:r>
      <w:r>
        <w:rPr>
          <w:rStyle w:val="AERtextitalic"/>
        </w:rPr>
        <w:t>CitiPower</w:t>
      </w:r>
      <w:r w:rsidRPr="00382A73">
        <w:rPr>
          <w:rStyle w:val="AERtextitalic"/>
        </w:rPr>
        <w:t xml:space="preserve"> distri</w:t>
      </w:r>
      <w:r>
        <w:rPr>
          <w:rStyle w:val="AERtextitalic"/>
        </w:rPr>
        <w:t>bution determination 2016 to 2020: Over</w:t>
      </w:r>
      <w:r w:rsidRPr="00382A73">
        <w:rPr>
          <w:rStyle w:val="AERtextitalic"/>
        </w:rPr>
        <w:t>view</w:t>
      </w:r>
      <w:r>
        <w:t>, October 2015, pp. 60</w:t>
      </w:r>
      <w:r w:rsidRPr="00382A73">
        <w:t>–</w:t>
      </w:r>
      <w:r>
        <w:t xml:space="preserve">61. For a list of submissions on CitiPower's revised regulatory proposal and our preliminary decision, see AER, </w:t>
      </w:r>
      <w:r w:rsidRPr="00382A73">
        <w:rPr>
          <w:rStyle w:val="AERtextitalic"/>
        </w:rPr>
        <w:t xml:space="preserve">Final Decision: </w:t>
      </w:r>
      <w:r>
        <w:rPr>
          <w:rStyle w:val="AERtextitalic"/>
        </w:rPr>
        <w:t>CitiPower</w:t>
      </w:r>
      <w:r w:rsidRPr="00382A73">
        <w:rPr>
          <w:rStyle w:val="AERtextitalic"/>
        </w:rPr>
        <w:t xml:space="preserve"> distri</w:t>
      </w:r>
      <w:r>
        <w:rPr>
          <w:rStyle w:val="AERtextitalic"/>
        </w:rPr>
        <w:t>bution determination 2016 to 2020: Over</w:t>
      </w:r>
      <w:r w:rsidRPr="00382A73">
        <w:rPr>
          <w:rStyle w:val="AERtextitalic"/>
        </w:rPr>
        <w:t>view</w:t>
      </w:r>
      <w:r>
        <w:t>, May 2016, Attachment A.</w:t>
      </w:r>
    </w:p>
  </w:footnote>
  <w:footnote w:id="138">
    <w:p w:rsidR="006345FD" w:rsidRDefault="006345FD" w:rsidP="007201E8">
      <w:pPr>
        <w:pStyle w:val="FootnoteText"/>
      </w:pPr>
      <w:r>
        <w:rPr>
          <w:rStyle w:val="FootnoteReference"/>
        </w:rPr>
        <w:footnoteRef/>
      </w:r>
      <w:r>
        <w:t xml:space="preserve"> </w:t>
      </w:r>
      <w:r>
        <w:tab/>
        <w:t>Recent</w:t>
      </w:r>
      <w:r w:rsidRPr="0078505C">
        <w:t xml:space="preserve"> regulatory </w:t>
      </w:r>
      <w:r>
        <w:t>determination</w:t>
      </w:r>
      <w:r w:rsidRPr="0078505C">
        <w:t xml:space="preserve">s are for the following </w:t>
      </w:r>
      <w:r>
        <w:t xml:space="preserve">service providers: </w:t>
      </w:r>
      <w:r w:rsidRPr="0078505C">
        <w:t>ActewAGL, Ausgrid, Endeavour Energy, Energex</w:t>
      </w:r>
      <w:r>
        <w:t xml:space="preserve">, </w:t>
      </w:r>
      <w:r w:rsidRPr="0078505C">
        <w:t>Ergon Energy</w:t>
      </w:r>
      <w:r>
        <w:t xml:space="preserve">, </w:t>
      </w:r>
      <w:r w:rsidRPr="0078505C">
        <w:t>Essential Energy</w:t>
      </w:r>
      <w:r>
        <w:t>,</w:t>
      </w:r>
      <w:r w:rsidRPr="0078505C">
        <w:t xml:space="preserve"> Directlink, </w:t>
      </w:r>
      <w:r>
        <w:t>Jemena Gas Networks, SA Power Networks, TasNetworks and TransGrid</w:t>
      </w:r>
      <w:r w:rsidRPr="0078505C">
        <w:t>.</w:t>
      </w:r>
    </w:p>
  </w:footnote>
  <w:footnote w:id="139">
    <w:p w:rsidR="006345FD" w:rsidRDefault="006345FD" w:rsidP="007201E8">
      <w:pPr>
        <w:pStyle w:val="FootnoteText"/>
      </w:pPr>
      <w:r>
        <w:rPr>
          <w:rStyle w:val="FootnoteReference"/>
        </w:rPr>
        <w:footnoteRef/>
      </w:r>
      <w:r>
        <w:t xml:space="preserve"> </w:t>
      </w:r>
      <w:r>
        <w:tab/>
        <w:t xml:space="preserve">CCP3, </w:t>
      </w:r>
      <w:r w:rsidRPr="00D001FE">
        <w:rPr>
          <w:rStyle w:val="AERtextitalic"/>
        </w:rPr>
        <w:t>Submission to the AER: An Overview - Response to AER Preliminary Decisions and revised proposals</w:t>
      </w:r>
      <w:r>
        <w:t xml:space="preserve">, February 2016; CCP3, </w:t>
      </w:r>
      <w:r w:rsidRPr="00D001FE">
        <w:rPr>
          <w:rStyle w:val="AERtextitalic"/>
        </w:rPr>
        <w:t>Submission to the AER:  Response to AER Preliminary Decisions and revised proposals from Victorian electricity DNSPs f</w:t>
      </w:r>
      <w:r>
        <w:rPr>
          <w:rStyle w:val="AERtextitalic"/>
        </w:rPr>
        <w:t>or a revenue reset for the 2016</w:t>
      </w:r>
      <w:r>
        <w:rPr>
          <w:rStyle w:val="AERtextitalic"/>
          <w:rFonts w:cs="Arial"/>
        </w:rPr>
        <w:t>–</w:t>
      </w:r>
      <w:r w:rsidRPr="00D001FE">
        <w:rPr>
          <w:rStyle w:val="AERtextitalic"/>
        </w:rPr>
        <w:t>2020 regulatory period</w:t>
      </w:r>
      <w:r>
        <w:t>, February 2016.</w:t>
      </w:r>
    </w:p>
  </w:footnote>
  <w:footnote w:id="140">
    <w:p w:rsidR="006345FD" w:rsidRDefault="006345FD" w:rsidP="007201E8">
      <w:pPr>
        <w:pStyle w:val="FootnoteText"/>
      </w:pPr>
      <w:r>
        <w:rPr>
          <w:rStyle w:val="FootnoteReference"/>
        </w:rPr>
        <w:footnoteRef/>
      </w:r>
      <w:r>
        <w:t xml:space="preserve"> </w:t>
      </w:r>
      <w:r>
        <w:tab/>
        <w:t xml:space="preserve">CCP8, </w:t>
      </w:r>
      <w:r>
        <w:rPr>
          <w:rStyle w:val="AERtextitalic"/>
        </w:rPr>
        <w:t>Advice to AER</w:t>
      </w:r>
      <w:r w:rsidRPr="00D001FE">
        <w:rPr>
          <w:rStyle w:val="AERtextitalic"/>
        </w:rPr>
        <w:t xml:space="preserve">: Draft Decision and ActewAGL Distribution’s </w:t>
      </w:r>
      <w:r>
        <w:rPr>
          <w:rStyle w:val="AERtextitalic"/>
        </w:rPr>
        <w:t>Revised Access Arrangement 2016</w:t>
      </w:r>
      <w:r>
        <w:rPr>
          <w:rStyle w:val="AERtextitalic"/>
          <w:rFonts w:cs="Arial"/>
        </w:rPr>
        <w:t>–</w:t>
      </w:r>
      <w:r w:rsidRPr="00D001FE">
        <w:rPr>
          <w:rStyle w:val="AERtextitalic"/>
        </w:rPr>
        <w:t>2021 Proposal</w:t>
      </w:r>
      <w:r>
        <w:t xml:space="preserve">, </w:t>
      </w:r>
      <w:r w:rsidRPr="00960F27">
        <w:t>March 2016</w:t>
      </w:r>
      <w:r>
        <w:t xml:space="preserve">, p. 2; CCP8, </w:t>
      </w:r>
      <w:r>
        <w:rPr>
          <w:rStyle w:val="AERtextitalic"/>
        </w:rPr>
        <w:t>Advice to AER</w:t>
      </w:r>
      <w:r w:rsidRPr="002D0A4D">
        <w:rPr>
          <w:rStyle w:val="AERtextitalic"/>
        </w:rPr>
        <w:t xml:space="preserve">: Draft Decision and </w:t>
      </w:r>
      <w:r>
        <w:rPr>
          <w:rStyle w:val="AERtextitalic"/>
        </w:rPr>
        <w:t>AGN's (SA)</w:t>
      </w:r>
      <w:r w:rsidRPr="002D0A4D">
        <w:rPr>
          <w:rStyle w:val="AERtextitalic"/>
        </w:rPr>
        <w:t xml:space="preserve"> Revised Access Arrangement 2016</w:t>
      </w:r>
      <w:r w:rsidRPr="00623BC8">
        <w:rPr>
          <w:rStyle w:val="AERtextitalic"/>
          <w:rFonts w:ascii="Cambria Math" w:hAnsi="Cambria Math" w:cs="Cambria Math"/>
        </w:rPr>
        <w:t>‐</w:t>
      </w:r>
      <w:r w:rsidRPr="002D0A4D">
        <w:rPr>
          <w:rStyle w:val="AERtextitalic"/>
        </w:rPr>
        <w:t>2021 Proposal</w:t>
      </w:r>
      <w:r>
        <w:t xml:space="preserve">, </w:t>
      </w:r>
      <w:r w:rsidRPr="00960F27">
        <w:t>March 2016</w:t>
      </w:r>
      <w:r>
        <w:t>, p. 2.</w:t>
      </w:r>
    </w:p>
  </w:footnote>
  <w:footnote w:id="141">
    <w:p w:rsidR="006345FD" w:rsidRDefault="006345FD" w:rsidP="007201E8">
      <w:pPr>
        <w:pStyle w:val="FootnoteText"/>
      </w:pPr>
      <w:r>
        <w:rPr>
          <w:rStyle w:val="FootnoteReference"/>
        </w:rPr>
        <w:footnoteRef/>
      </w:r>
      <w:r>
        <w:t xml:space="preserve"> </w:t>
      </w:r>
      <w:r>
        <w:tab/>
        <w:t xml:space="preserve">Australian Competition Tribunal, </w:t>
      </w:r>
      <w:r w:rsidRPr="008405A1">
        <w:rPr>
          <w:rStyle w:val="AERtextitalic"/>
        </w:rPr>
        <w:t>Applications by Public Interest Advocacy Centre Ltd and Ausgrid [2016] ACompT 1</w:t>
      </w:r>
      <w:r>
        <w:t xml:space="preserve">, 26 February 2016, paras 813, 993, 983;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47, 49, 95.</w:t>
      </w:r>
    </w:p>
  </w:footnote>
  <w:footnote w:id="142">
    <w:p w:rsidR="006345FD" w:rsidRDefault="006345FD" w:rsidP="007201E8">
      <w:pPr>
        <w:pStyle w:val="FootnoteText"/>
      </w:pPr>
      <w:r>
        <w:rPr>
          <w:rStyle w:val="FootnoteReference"/>
        </w:rPr>
        <w:footnoteRef/>
      </w:r>
      <w:r>
        <w:t xml:space="preserve"> </w:t>
      </w:r>
      <w:r>
        <w:tab/>
        <w:t xml:space="preserve">Australian Competition Tribunal, </w:t>
      </w:r>
      <w:r w:rsidRPr="000756FD">
        <w:rPr>
          <w:rStyle w:val="AERtextitalic"/>
        </w:rPr>
        <w:t>Applications by Public Interest Advocacy Centre Ltd and Ausgrid [2016] ACompT 1</w:t>
      </w:r>
      <w:r>
        <w:t xml:space="preserve">, 26 February 2016, para 1,227. The Tribunal's reasons are set out in paras 870 to 940. Also see Australian Competition Tribunal, </w:t>
      </w:r>
      <w:r>
        <w:rPr>
          <w:rStyle w:val="AERtextitalic"/>
        </w:rPr>
        <w:t xml:space="preserve">Application </w:t>
      </w:r>
      <w:r w:rsidRPr="008405A1">
        <w:rPr>
          <w:rStyle w:val="AERtextitalic"/>
        </w:rPr>
        <w:t xml:space="preserve">by </w:t>
      </w:r>
      <w:r>
        <w:rPr>
          <w:rStyle w:val="AERtextitalic"/>
        </w:rPr>
        <w:t>Jemena Gas Networks (NSW) Ltd  [2016] ACompT 5</w:t>
      </w:r>
      <w:r>
        <w:t>, 3 March 2016, paras 80</w:t>
      </w:r>
      <w:r>
        <w:rPr>
          <w:rFonts w:cs="Arial"/>
        </w:rPr>
        <w:t>–</w:t>
      </w:r>
      <w:r>
        <w:t>83.</w:t>
      </w:r>
    </w:p>
  </w:footnote>
  <w:footnote w:id="143">
    <w:p w:rsidR="006345FD" w:rsidRDefault="006345FD" w:rsidP="007201E8">
      <w:pPr>
        <w:pStyle w:val="FootnoteText"/>
      </w:pPr>
      <w:r>
        <w:rPr>
          <w:rStyle w:val="FootnoteReference"/>
        </w:rPr>
        <w:footnoteRef/>
      </w:r>
      <w:r>
        <w:t xml:space="preserve"> </w:t>
      </w:r>
      <w:r>
        <w:tab/>
        <w:t>NGR, cl. 87(3); NER, cl. 6A.6.2(c) include similar provisions.</w:t>
      </w:r>
    </w:p>
  </w:footnote>
  <w:footnote w:id="144">
    <w:p w:rsidR="006345FD" w:rsidRDefault="006345FD" w:rsidP="007201E8">
      <w:pPr>
        <w:pStyle w:val="FootnoteText"/>
      </w:pPr>
      <w:r>
        <w:rPr>
          <w:rStyle w:val="FootnoteReference"/>
        </w:rPr>
        <w:footnoteRef/>
      </w:r>
      <w:r>
        <w:t xml:space="preserve"> </w:t>
      </w:r>
      <w:r>
        <w:tab/>
        <w:t>The transmission and gas rules mirror this provision in NER, cl. 6A.6.2(k)(4); NGR, cl. 87(11)(d).</w:t>
      </w:r>
    </w:p>
  </w:footnote>
  <w:footnote w:id="145">
    <w:p w:rsidR="006345FD" w:rsidRPr="00D5405B" w:rsidRDefault="006345FD" w:rsidP="008D02F0">
      <w:pPr>
        <w:pStyle w:val="FootnoteText"/>
        <w:rPr>
          <w:rStyle w:val="AERtexthighlight"/>
        </w:rPr>
      </w:pPr>
      <w:r>
        <w:rPr>
          <w:rStyle w:val="FootnoteReference"/>
        </w:rPr>
        <w:footnoteRef/>
      </w:r>
      <w:r>
        <w:t xml:space="preserve"> </w:t>
      </w:r>
      <w:r>
        <w:tab/>
        <w:t>NER, cl. 6.</w:t>
      </w:r>
      <w:r w:rsidRPr="00DD0982">
        <w:t>5.2(d)</w:t>
      </w:r>
      <w:r>
        <w:t xml:space="preserve">; NGR, r. 87(4). </w:t>
      </w:r>
    </w:p>
  </w:footnote>
  <w:footnote w:id="146">
    <w:p w:rsidR="006345FD" w:rsidRDefault="006345FD" w:rsidP="008D02F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147">
    <w:p w:rsidR="006345FD" w:rsidRDefault="006345FD" w:rsidP="008D02F0">
      <w:pPr>
        <w:pStyle w:val="FootnoteText"/>
      </w:pPr>
      <w:r>
        <w:rPr>
          <w:rStyle w:val="FootnoteReference"/>
        </w:rPr>
        <w:footnoteRef/>
      </w:r>
      <w:r>
        <w:t xml:space="preserve"> </w:t>
      </w:r>
      <w:r>
        <w:tab/>
        <w:t>NER, cl. 6.5</w:t>
      </w:r>
      <w:r w:rsidRPr="009477CD">
        <w:t>.2(</w:t>
      </w:r>
      <w:r>
        <w:t>f–</w:t>
      </w:r>
      <w:r w:rsidRPr="009477CD">
        <w:t>g)</w:t>
      </w:r>
      <w:r>
        <w:t>; NER, cl. 6A.6.2(f–g); NGR, r. 87(2).</w:t>
      </w:r>
    </w:p>
  </w:footnote>
  <w:footnote w:id="148">
    <w:p w:rsidR="006345FD" w:rsidRDefault="006345FD" w:rsidP="008D02F0">
      <w:pPr>
        <w:pStyle w:val="FootnoteText"/>
      </w:pPr>
      <w:r>
        <w:rPr>
          <w:rStyle w:val="FootnoteReference"/>
        </w:rPr>
        <w:footnoteRef/>
      </w:r>
      <w:r>
        <w:t xml:space="preserve"> </w:t>
      </w:r>
      <w:r>
        <w:tab/>
        <w:t>NER, cl. 6.5.2(c); NGR, r. 87(3).</w:t>
      </w:r>
    </w:p>
  </w:footnote>
  <w:footnote w:id="149">
    <w:p w:rsidR="006345FD" w:rsidRDefault="006345FD" w:rsidP="002734D3">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50">
    <w:p w:rsidR="006345FD" w:rsidRDefault="006345FD" w:rsidP="002734D3">
      <w:pPr>
        <w:pStyle w:val="FootnoteText"/>
      </w:pPr>
      <w:r>
        <w:rPr>
          <w:rStyle w:val="FootnoteReference"/>
        </w:rPr>
        <w:footnoteRef/>
      </w:r>
      <w:r>
        <w:t xml:space="preserve"> </w:t>
      </w:r>
      <w:r>
        <w:tab/>
        <w:t>As set out in NER cl.6; NER cl. 6A; NGR.</w:t>
      </w:r>
    </w:p>
  </w:footnote>
  <w:footnote w:id="151">
    <w:p w:rsidR="006345FD" w:rsidRDefault="006345FD" w:rsidP="002734D3">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52">
    <w:p w:rsidR="006345FD" w:rsidRDefault="006345FD" w:rsidP="002734D3">
      <w:pPr>
        <w:pStyle w:val="FootnoteText"/>
      </w:pPr>
      <w:r>
        <w:rPr>
          <w:rStyle w:val="FootnoteReference"/>
        </w:rPr>
        <w:footnoteRef/>
      </w:r>
      <w:r>
        <w:t xml:space="preserve"> </w:t>
      </w:r>
      <w:r>
        <w:tab/>
        <w:t xml:space="preserve">Our regulatory determinations and rate of return guidelines since 2009 have set an equity risk premium ranging from 5.2 per cent to 4.55 per cent [AER, </w:t>
      </w:r>
      <w:r w:rsidRPr="006C6F04">
        <w:rPr>
          <w:rStyle w:val="AERtextitalic"/>
        </w:rPr>
        <w:t>Final Decision</w:t>
      </w:r>
      <w:r>
        <w:t>, Electricity transmission and distribution network service providers, Review of the weighted average cost of capital (WACC) parameters, 1 May 2009].</w:t>
      </w:r>
    </w:p>
  </w:footnote>
  <w:footnote w:id="153">
    <w:p w:rsidR="006345FD" w:rsidRDefault="006345FD" w:rsidP="002734D3">
      <w:pPr>
        <w:pStyle w:val="FootnoteText"/>
      </w:pPr>
      <w:r>
        <w:rPr>
          <w:rStyle w:val="FootnoteReference"/>
        </w:rPr>
        <w:footnoteRef/>
      </w:r>
      <w:r>
        <w:t xml:space="preserve"> </w:t>
      </w:r>
      <w:r>
        <w:tab/>
        <w:t>Between 2007–08 and 2013–14, t</w:t>
      </w:r>
      <w:r w:rsidRPr="00B005DF">
        <w:t xml:space="preserve">he </w:t>
      </w:r>
      <w:r>
        <w:t xml:space="preserve">regulated </w:t>
      </w:r>
      <w:r w:rsidRPr="00B005DF">
        <w:t xml:space="preserve">transmission and distribution </w:t>
      </w:r>
      <w:r>
        <w:t>service providers</w:t>
      </w:r>
      <w:r w:rsidRPr="00B005DF">
        <w:t xml:space="preserve"> across t</w:t>
      </w:r>
      <w:r>
        <w:t>he national electricity market</w:t>
      </w:r>
      <w:r w:rsidRPr="00B005DF">
        <w:t xml:space="preserve"> have invested</w:t>
      </w:r>
      <w:r>
        <w:t xml:space="preserve"> in the order of more than</w:t>
      </w:r>
      <w:r w:rsidRPr="00B005DF">
        <w:t xml:space="preserve"> </w:t>
      </w:r>
      <w:r>
        <w:t xml:space="preserve">$44 billion in capital expenditure. The annual capital expenditure has remained largely stable at around </w:t>
      </w:r>
      <w:r w:rsidRPr="00B005DF">
        <w:t>$6 billion</w:t>
      </w:r>
      <w:r>
        <w:t xml:space="preserve"> per year.</w:t>
      </w:r>
    </w:p>
  </w:footnote>
  <w:footnote w:id="154">
    <w:p w:rsidR="006345FD" w:rsidRDefault="006345FD" w:rsidP="002734D3">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CitiPower.</w:t>
      </w:r>
    </w:p>
  </w:footnote>
  <w:footnote w:id="155">
    <w:p w:rsidR="006345FD" w:rsidRDefault="006345FD" w:rsidP="002734D3">
      <w:pPr>
        <w:pStyle w:val="FootnoteText"/>
      </w:pPr>
      <w:r>
        <w:rPr>
          <w:rStyle w:val="FootnoteReference"/>
        </w:rPr>
        <w:footnoteRef/>
      </w:r>
      <w:r>
        <w:t xml:space="preserve"> </w:t>
      </w:r>
      <w:r>
        <w:tab/>
        <w:t xml:space="preserve">For more information on the Sharpe-Lintner CAPM, see section </w:t>
      </w:r>
      <w:r>
        <w:fldChar w:fldCharType="begin"/>
      </w:r>
      <w:r>
        <w:instrText xml:space="preserve"> REF _Ref451675692 \r \h </w:instrText>
      </w:r>
      <w:r>
        <w:fldChar w:fldCharType="separate"/>
      </w:r>
      <w:r>
        <w:t>B.1</w:t>
      </w:r>
      <w:r>
        <w:fldChar w:fldCharType="end"/>
      </w:r>
      <w:r>
        <w:t>.</w:t>
      </w:r>
    </w:p>
  </w:footnote>
  <w:footnote w:id="156">
    <w:p w:rsidR="006345FD" w:rsidRDefault="006345FD" w:rsidP="002734D3">
      <w:pPr>
        <w:pStyle w:val="FootnoteText"/>
        <w:numPr>
          <w:ilvl w:val="0"/>
          <w:numId w:val="24"/>
        </w:numPr>
      </w:pPr>
      <w:r>
        <w:rPr>
          <w:rStyle w:val="FootnoteReference"/>
        </w:rPr>
        <w:footnoteRef/>
      </w:r>
      <w:r>
        <w:t xml:space="preserve"> </w:t>
      </w:r>
      <w:r>
        <w:tab/>
        <w:t>Calculated as: 7.0% = 2.48% + 0.7 * 6.</w:t>
      </w:r>
      <w:r w:rsidRPr="000A1A8C">
        <w:t>5%</w:t>
      </w:r>
      <w:r>
        <w:t xml:space="preserve">. For more information on the Sharpe-Lintner CAPM, see section </w:t>
      </w:r>
      <w:r>
        <w:fldChar w:fldCharType="begin"/>
      </w:r>
      <w:r>
        <w:instrText xml:space="preserve"> REF _Ref445849366 \r \h </w:instrText>
      </w:r>
      <w:r>
        <w:fldChar w:fldCharType="separate"/>
      </w:r>
      <w:r>
        <w:t>B.1</w:t>
      </w:r>
      <w:r>
        <w:fldChar w:fldCharType="end"/>
      </w:r>
      <w:r>
        <w:t>.</w:t>
      </w:r>
    </w:p>
  </w:footnote>
  <w:footnote w:id="157">
    <w:p w:rsidR="006345FD" w:rsidRDefault="006345FD" w:rsidP="002734D3">
      <w:pPr>
        <w:pStyle w:val="FootnoteText"/>
      </w:pPr>
      <w:r>
        <w:rPr>
          <w:rStyle w:val="FootnoteReference"/>
        </w:rPr>
        <w:footnoteRef/>
      </w:r>
      <w:r>
        <w:t xml:space="preserve"> </w:t>
      </w:r>
      <w:r>
        <w:tab/>
        <w:t xml:space="preserve">Appendix </w:t>
      </w:r>
      <w:r>
        <w:fldChar w:fldCharType="begin"/>
      </w:r>
      <w:r>
        <w:instrText xml:space="preserve"> REF _Ref451266125 \r \h </w:instrText>
      </w:r>
      <w:r>
        <w:fldChar w:fldCharType="separate"/>
      </w:r>
      <w:r>
        <w:t>L</w:t>
      </w:r>
      <w:r>
        <w:fldChar w:fldCharType="end"/>
      </w:r>
      <w:r>
        <w:t xml:space="preserve"> sets out the averaging period used in this decision.</w:t>
      </w:r>
    </w:p>
  </w:footnote>
  <w:footnote w:id="158">
    <w:p w:rsidR="006345FD" w:rsidRDefault="006345FD" w:rsidP="002734D3">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59">
    <w:p w:rsidR="006345FD" w:rsidRDefault="006345FD" w:rsidP="002734D3">
      <w:pPr>
        <w:pStyle w:val="FootnoteText"/>
      </w:pPr>
      <w:r>
        <w:rPr>
          <w:rStyle w:val="FootnoteReference"/>
        </w:rPr>
        <w:footnoteRef/>
      </w:r>
      <w:r>
        <w:t xml:space="preserve"> </w:t>
      </w:r>
      <w:r>
        <w:tab/>
      </w:r>
      <w:r w:rsidRPr="007F7744">
        <w:t xml:space="preserve">ECCSA, </w:t>
      </w:r>
      <w:r w:rsidRPr="00D325AA">
        <w:rPr>
          <w:rStyle w:val="Emphasis"/>
        </w:rPr>
        <w:t xml:space="preserve">A response to the AER draft decision on AGN’s AA2016 revenue reset, </w:t>
      </w:r>
      <w:r w:rsidRPr="007F7744">
        <w:t>February 2016, p. 32</w:t>
      </w:r>
      <w:r>
        <w:t xml:space="preserve">–37; </w:t>
      </w:r>
      <w:r w:rsidRPr="007F7744">
        <w:t xml:space="preserve">VECUA, </w:t>
      </w:r>
      <w:r w:rsidRPr="00D325AA">
        <w:rPr>
          <w:rStyle w:val="Emphasis"/>
        </w:rPr>
        <w:t>Submission on the AER: AER preliminary 2016–20 revenue determinations for the Victorian DNSPs</w:t>
      </w:r>
      <w:r w:rsidRPr="007F7744">
        <w:t>, 6 January 2016</w:t>
      </w:r>
      <w:r>
        <w:t xml:space="preserve">, p. 2; </w:t>
      </w:r>
      <w:r w:rsidRPr="007F7744">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7F7744">
        <w:t>, February 2016</w:t>
      </w:r>
      <w:r>
        <w:t xml:space="preserve">, p. 41; </w:t>
      </w:r>
      <w:r w:rsidRPr="007F7744">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7F7744">
        <w:t xml:space="preserve">, </w:t>
      </w:r>
      <w:r>
        <w:t xml:space="preserve">25 February 2016, </w:t>
      </w:r>
      <w:r w:rsidRPr="007F7744">
        <w:t>p</w:t>
      </w:r>
      <w:r>
        <w:t>p</w:t>
      </w:r>
      <w:r w:rsidRPr="007F7744">
        <w:t xml:space="preserve">. </w:t>
      </w:r>
      <w:r>
        <w:t xml:space="preserve">10, </w:t>
      </w:r>
      <w:r w:rsidRPr="007F7744">
        <w:t>30–31</w:t>
      </w:r>
      <w:r>
        <w:t>, 33</w:t>
      </w:r>
      <w:r w:rsidRPr="007F7744">
        <w:t>.</w:t>
      </w:r>
    </w:p>
  </w:footnote>
  <w:footnote w:id="160">
    <w:p w:rsidR="006345FD" w:rsidRPr="00E97B82" w:rsidRDefault="006345FD" w:rsidP="002734D3">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3; </w:t>
      </w:r>
      <w:r w:rsidRPr="00E435AE">
        <w:t xml:space="preserve">Origin Energy, </w:t>
      </w:r>
      <w:r w:rsidRPr="00D325AA">
        <w:rPr>
          <w:rStyle w:val="Emphasis"/>
        </w:rPr>
        <w:t>Submission on AGN’s revised access arrangement for 2016–21</w:t>
      </w:r>
      <w:r w:rsidRPr="00E435AE">
        <w:t>, February 2016</w:t>
      </w:r>
      <w:r>
        <w:t xml:space="preserve">; Origin Energy, </w:t>
      </w:r>
      <w:r w:rsidRPr="00D325AA">
        <w:rPr>
          <w:rStyle w:val="Emphasis"/>
        </w:rPr>
        <w:t>Submission on the AER’s preliminary decisions on the Victorian distribution network service providers for 2016–20</w:t>
      </w:r>
      <w:r>
        <w:t>, 6</w:t>
      </w:r>
      <w:r w:rsidRPr="006C5EF3">
        <w:t xml:space="preserve"> January 2016</w:t>
      </w:r>
      <w:r>
        <w:t xml:space="preserve">, p. 3; </w:t>
      </w:r>
      <w:r w:rsidRPr="004C3DA9">
        <w:t xml:space="preserve">Origin Energy, </w:t>
      </w:r>
      <w:r w:rsidRPr="00D325AA">
        <w:rPr>
          <w:rStyle w:val="Emphasis"/>
        </w:rPr>
        <w:t>Submission on the Victorian networks’ revised proposals (for 2016–21)</w:t>
      </w:r>
      <w:r w:rsidRPr="004C3DA9">
        <w:t xml:space="preserve">, </w:t>
      </w:r>
      <w:r>
        <w:t xml:space="preserve">4 </w:t>
      </w:r>
      <w:r w:rsidRPr="004C3DA9">
        <w:t>February 2016</w:t>
      </w:r>
      <w:r>
        <w:t>.</w:t>
      </w:r>
    </w:p>
  </w:footnote>
  <w:footnote w:id="161">
    <w:p w:rsidR="006345FD" w:rsidRDefault="006345FD" w:rsidP="002734D3">
      <w:pPr>
        <w:pStyle w:val="FootnoteText"/>
      </w:pPr>
      <w:r>
        <w:rPr>
          <w:rStyle w:val="FootnoteReference"/>
        </w:rPr>
        <w:footnoteRef/>
      </w:r>
      <w:r>
        <w:t xml:space="preserve"> </w:t>
      </w:r>
      <w:r>
        <w:tab/>
        <w:t xml:space="preserve">AGL, </w:t>
      </w:r>
      <w:r w:rsidRPr="00D325AA">
        <w:rPr>
          <w:rStyle w:val="Emphasis"/>
        </w:rPr>
        <w:t>Submission on the AER’s draft decision on AGN’s 2016–21 access arrangement</w:t>
      </w:r>
      <w:r>
        <w:t xml:space="preserve">, 4 </w:t>
      </w:r>
      <w:r w:rsidRPr="008F7C76">
        <w:t>February</w:t>
      </w:r>
      <w:r>
        <w:t xml:space="preserve"> 2016, p. 2</w:t>
      </w:r>
    </w:p>
  </w:footnote>
  <w:footnote w:id="162">
    <w:p w:rsidR="006345FD" w:rsidRDefault="006345FD" w:rsidP="002734D3">
      <w:pPr>
        <w:pStyle w:val="FootnoteText"/>
      </w:pPr>
      <w:r>
        <w:rPr>
          <w:rStyle w:val="FootnoteReference"/>
        </w:rPr>
        <w:footnoteRef/>
      </w:r>
      <w:r>
        <w:t xml:space="preserve"> </w:t>
      </w:r>
      <w:r>
        <w:tab/>
      </w:r>
      <w:r w:rsidRPr="00D94BE5">
        <w:t xml:space="preserve">EUCV, </w:t>
      </w:r>
      <w:r w:rsidRPr="00D325AA">
        <w:rPr>
          <w:rStyle w:val="Emphasis"/>
        </w:rPr>
        <w:t>A response to AusNet revenue reset proposal for the 2017–2022 period</w:t>
      </w:r>
      <w:r w:rsidRPr="00D94BE5">
        <w:t>, 9 February 2016</w:t>
      </w:r>
      <w:r>
        <w:t>.</w:t>
      </w:r>
    </w:p>
  </w:footnote>
  <w:footnote w:id="163">
    <w:p w:rsidR="006345FD" w:rsidRDefault="006345FD" w:rsidP="002734D3">
      <w:pPr>
        <w:pStyle w:val="FootnoteText"/>
      </w:pPr>
      <w:r>
        <w:rPr>
          <w:rStyle w:val="FootnoteReference"/>
        </w:rPr>
        <w:footnoteRef/>
      </w:r>
      <w:r>
        <w:t xml:space="preserve"> </w:t>
      </w:r>
      <w:r>
        <w:tab/>
      </w:r>
      <w:r w:rsidRPr="00ED6D11">
        <w:t xml:space="preserve">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ED6D11">
        <w:t xml:space="preserve">, </w:t>
      </w:r>
      <w:r>
        <w:t xml:space="preserve">February 2016, </w:t>
      </w:r>
      <w:r w:rsidRPr="00ED6D11">
        <w:t>p. 33</w:t>
      </w:r>
      <w:r>
        <w:t>.</w:t>
      </w:r>
    </w:p>
  </w:footnote>
  <w:footnote w:id="164">
    <w:p w:rsidR="006345FD" w:rsidRDefault="006345FD" w:rsidP="002734D3">
      <w:pPr>
        <w:pStyle w:val="FootnoteText"/>
      </w:pPr>
      <w:r>
        <w:rPr>
          <w:rStyle w:val="FootnoteReference"/>
        </w:rPr>
        <w:footnoteRef/>
      </w:r>
      <w:r>
        <w:t xml:space="preserve"> </w:t>
      </w:r>
      <w:r>
        <w:tab/>
      </w:r>
      <w:r w:rsidRPr="003F7C15">
        <w:t xml:space="preserve"> </w:t>
      </w:r>
      <w:r w:rsidRPr="00C81C9E">
        <w:t xml:space="preserve">ECCSA, </w:t>
      </w:r>
      <w:r w:rsidRPr="00D325AA">
        <w:rPr>
          <w:rStyle w:val="Emphasis"/>
        </w:rPr>
        <w:t>A response to the AER draft decision on AGN’s AA2016 revenue rese</w:t>
      </w:r>
      <w:r w:rsidRPr="00C81C9E">
        <w:t>t, February 2016, p. 36</w:t>
      </w:r>
      <w:r>
        <w:t xml:space="preserve">; CCP (panel 3), </w:t>
      </w:r>
      <w:r w:rsidRPr="003509CE">
        <w:t>S</w:t>
      </w:r>
      <w:r w:rsidRPr="00D325AA">
        <w:rPr>
          <w:rStyle w:val="Emphasis"/>
        </w:rPr>
        <w:t>ubmission to the Australian Energy Regulator (AER): An overview Response to AER Preliminary Decisions and revised proposals from Victorian electricity distribution network service providers for a revenue reset for the 2016–2020 regulatory perio</w:t>
      </w:r>
      <w:r w:rsidRPr="003509CE">
        <w:t>d</w:t>
      </w:r>
      <w:r>
        <w:t>, February 2016, pp. 10 &amp; 29.</w:t>
      </w:r>
    </w:p>
  </w:footnote>
  <w:footnote w:id="165">
    <w:p w:rsidR="006345FD" w:rsidRDefault="006345FD" w:rsidP="002734D3">
      <w:pPr>
        <w:pStyle w:val="FootnoteText"/>
      </w:pPr>
      <w:r>
        <w:rPr>
          <w:rStyle w:val="FootnoteReference"/>
        </w:rPr>
        <w:footnoteRef/>
      </w:r>
      <w:r>
        <w:t xml:space="preserve"> </w:t>
      </w:r>
      <w:r>
        <w:tab/>
      </w:r>
      <w:r w:rsidRPr="00C81C9E">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C81C9E">
        <w:t>, February 2016</w:t>
      </w:r>
      <w:r>
        <w:t xml:space="preserve">; </w:t>
      </w:r>
      <w:r w:rsidRPr="009751A6">
        <w:t xml:space="preserve">Origin Energy, </w:t>
      </w:r>
      <w:r w:rsidRPr="00D325AA">
        <w:rPr>
          <w:rStyle w:val="Emphasis"/>
        </w:rPr>
        <w:t>Submission on ActewAGL’s revised access arrangement for 2016–21</w:t>
      </w:r>
      <w:r w:rsidRPr="009751A6">
        <w:t>, 4 February 2016</w:t>
      </w:r>
      <w:r>
        <w:t xml:space="preserve">, p. 3; </w:t>
      </w:r>
      <w:r w:rsidRPr="00C81C9E">
        <w:t xml:space="preserve">Origin Energy, </w:t>
      </w:r>
      <w:r w:rsidRPr="00D325AA">
        <w:rPr>
          <w:rStyle w:val="Emphasis"/>
        </w:rPr>
        <w:t>Submission on AGN’s revised access arrangement for 2016–21</w:t>
      </w:r>
      <w:r w:rsidRPr="00C81C9E">
        <w:t xml:space="preserve">, February 2016; Origin Energy, </w:t>
      </w:r>
      <w:r w:rsidRPr="00D325AA">
        <w:rPr>
          <w:rStyle w:val="Emphasis"/>
        </w:rPr>
        <w:t>Submission on the AER’s preliminary decisions on the Victorian distribution network service providers for 2016–20</w:t>
      </w:r>
      <w:r w:rsidRPr="00C81C9E">
        <w:t>, 6 January 2016, p. 3</w:t>
      </w:r>
      <w:r>
        <w:t xml:space="preserve">; </w:t>
      </w:r>
      <w:r w:rsidRPr="00C81C9E">
        <w:t xml:space="preserve">Origin Energy, </w:t>
      </w:r>
      <w:r w:rsidRPr="00D325AA">
        <w:rPr>
          <w:rStyle w:val="Emphasis"/>
        </w:rPr>
        <w:t>Submission on the Victorian networks’ revised proposals (for 2016–21</w:t>
      </w:r>
      <w:r w:rsidRPr="00C81C9E">
        <w:t>), 4 February 2016</w:t>
      </w:r>
      <w:r>
        <w:t xml:space="preserve">; </w:t>
      </w:r>
      <w:r w:rsidRPr="00C81C9E">
        <w:t>VECUA</w:t>
      </w:r>
      <w:r w:rsidRPr="00D325AA">
        <w:rPr>
          <w:rStyle w:val="Emphasis"/>
        </w:rPr>
        <w:t>, Submission on the AER: AER preliminary 2016–20 revenue determinations for the Victorian DNSPs</w:t>
      </w:r>
      <w:r w:rsidRPr="00C81C9E">
        <w:t>, 6 January 2016, p</w:t>
      </w:r>
      <w:r>
        <w:t>p</w:t>
      </w:r>
      <w:r w:rsidRPr="00C81C9E">
        <w:t>. 2</w:t>
      </w:r>
      <w:r>
        <w:t xml:space="preserve">, 11–12; </w:t>
      </w:r>
      <w:r w:rsidRPr="00BA5498">
        <w:t xml:space="preserve">CCP (panel 3), </w:t>
      </w:r>
      <w:r w:rsidRPr="00BA5498">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BA5498">
        <w:t xml:space="preserve">, </w:t>
      </w:r>
      <w:r>
        <w:t xml:space="preserve">25 February 2016, </w:t>
      </w:r>
      <w:r w:rsidRPr="00BA5498">
        <w:t>p</w:t>
      </w:r>
      <w:r>
        <w:t>p</w:t>
      </w:r>
      <w:r w:rsidRPr="00BA5498">
        <w:t>. 30–31.</w:t>
      </w:r>
    </w:p>
  </w:footnote>
  <w:footnote w:id="166">
    <w:p w:rsidR="006345FD" w:rsidRDefault="006345FD" w:rsidP="002734D3">
      <w:pPr>
        <w:pStyle w:val="FootnoteText"/>
      </w:pPr>
      <w:r>
        <w:rPr>
          <w:rStyle w:val="FootnoteReference"/>
        </w:rPr>
        <w:footnoteRef/>
      </w:r>
      <w:r>
        <w:t xml:space="preserve"> </w:t>
      </w:r>
      <w:r>
        <w:tab/>
        <w:t>Our</w:t>
      </w:r>
      <w:r w:rsidRPr="006657C4">
        <w:t xml:space="preserve"> conceptual </w:t>
      </w:r>
      <w:r>
        <w:t>analysis is a qualitative exploration</w:t>
      </w:r>
      <w:r w:rsidRPr="006657C4">
        <w:t xml:space="preserve"> </w:t>
      </w:r>
      <w:r>
        <w:t xml:space="preserve">of </w:t>
      </w:r>
      <w:r w:rsidRPr="006657C4">
        <w:t xml:space="preserve">the systematic risk for </w:t>
      </w:r>
      <w:r>
        <w:t>a</w:t>
      </w:r>
      <w:r w:rsidRPr="006657C4">
        <w:t xml:space="preserve"> benchmark efficient entity relative to the market average firm.</w:t>
      </w:r>
    </w:p>
  </w:footnote>
  <w:footnote w:id="167">
    <w:p w:rsidR="006345FD" w:rsidRDefault="006345FD" w:rsidP="002734D3">
      <w:pPr>
        <w:pStyle w:val="FootnoteText"/>
      </w:pPr>
      <w:r>
        <w:rPr>
          <w:rStyle w:val="FootnoteReference"/>
        </w:rPr>
        <w:footnoteRef/>
      </w:r>
      <w:r>
        <w:t xml:space="preserve"> </w:t>
      </w:r>
      <w:r>
        <w:tab/>
        <w:t xml:space="preserve">We received many stakeholder submissions supporting our guideline approach including: </w:t>
      </w:r>
      <w:r w:rsidRPr="009751A6">
        <w:t>Origin Energy</w:t>
      </w:r>
      <w:r w:rsidRPr="00D325AA">
        <w:rPr>
          <w:rStyle w:val="Emphasis"/>
        </w:rPr>
        <w:t>, Submission on ActewAGL’s revised access arrangement for 2016–21</w:t>
      </w:r>
      <w:r w:rsidRPr="009751A6">
        <w:t>, 4 February 2016</w:t>
      </w:r>
      <w:r>
        <w:t xml:space="preserve">, p. 3; </w:t>
      </w:r>
      <w:r w:rsidRPr="003D4E86">
        <w:t xml:space="preserve">Origin Energy, </w:t>
      </w:r>
      <w:r w:rsidRPr="00D325AA">
        <w:rPr>
          <w:rStyle w:val="Emphasis"/>
        </w:rPr>
        <w:t>Submission on AGN’s revised access arrangement for 2016–21</w:t>
      </w:r>
      <w:r w:rsidRPr="003D4E86">
        <w:t xml:space="preserve">, February 2016; Origin Energy, </w:t>
      </w:r>
      <w:r w:rsidRPr="00D325AA">
        <w:rPr>
          <w:rStyle w:val="Emphasis"/>
        </w:rPr>
        <w:t>Submission on the AER’s preliminary decisions on the Victorian distribution network service providers for 2016–20</w:t>
      </w:r>
      <w:r w:rsidRPr="003D4E86">
        <w:t>, 6 January 2016, p. 3</w:t>
      </w:r>
      <w:r>
        <w:t xml:space="preserve">; </w:t>
      </w:r>
      <w:r w:rsidRPr="003D4E86">
        <w:t xml:space="preserve">Origin Energy, </w:t>
      </w:r>
      <w:r w:rsidRPr="00D325AA">
        <w:rPr>
          <w:rStyle w:val="Emphasis"/>
        </w:rPr>
        <w:t>Submission on the Victorian networks’ revised proposals (for 2016–21</w:t>
      </w:r>
      <w:r w:rsidRPr="003D4E86">
        <w:t>), 4 February 2016</w:t>
      </w:r>
      <w:r>
        <w:t xml:space="preserve">; AGL, </w:t>
      </w:r>
      <w:r w:rsidRPr="00D325AA">
        <w:rPr>
          <w:rStyle w:val="Emphasis"/>
        </w:rPr>
        <w:t>Submission on the AER’s draft decision on AGN’s 2016–21 access arrangement</w:t>
      </w:r>
      <w:r w:rsidRPr="003D4E86">
        <w:t>, 4 February 2016, p. 2</w:t>
      </w:r>
      <w:r>
        <w:t xml:space="preserve">; </w:t>
      </w:r>
      <w:r w:rsidRPr="00192848">
        <w:t xml:space="preserve">Victorian Government, </w:t>
      </w:r>
      <w:r w:rsidRPr="00D325AA">
        <w:rPr>
          <w:rStyle w:val="Emphasis"/>
        </w:rPr>
        <w:t>Submission on the Victorian electricity distribution network service providers’ revised regulatory proposals for 2016–20</w:t>
      </w:r>
      <w:r w:rsidRPr="00192848">
        <w:t>, 12 February 2016</w:t>
      </w:r>
      <w:r>
        <w:t xml:space="preserve">, p. 1–2; </w:t>
      </w:r>
      <w:r w:rsidRPr="00192848">
        <w:t xml:space="preserve">EUCV, </w:t>
      </w:r>
      <w:r w:rsidRPr="00D325AA">
        <w:rPr>
          <w:rStyle w:val="Emphasis"/>
        </w:rPr>
        <w:t>A response to AusNet revenue reset proposal for the 2017–2022 period</w:t>
      </w:r>
      <w:r w:rsidRPr="00192848">
        <w:t>, 9 February 2016</w:t>
      </w:r>
      <w:r>
        <w:t xml:space="preserve">; </w:t>
      </w:r>
      <w:r w:rsidRPr="00192848">
        <w:t xml:space="preserve">CCP (panel 5), </w:t>
      </w:r>
      <w:r w:rsidRPr="00D325AA">
        <w:rPr>
          <w:rStyle w:val="Emphasis"/>
        </w:rPr>
        <w:t>Transmission for the generations: Response to proposal by AusNet Services transmission group pty ltd and AER issues paper for AusNet Services transmission revenue review 2017–22</w:t>
      </w:r>
      <w:r w:rsidRPr="00192848">
        <w:t>, February 2016</w:t>
      </w:r>
      <w:r>
        <w:t xml:space="preserve">;  CCP (panel 3), </w:t>
      </w:r>
      <w:r w:rsidRPr="00D325AA">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CCP (panel 8), </w:t>
      </w:r>
      <w:r w:rsidRPr="00D325AA">
        <w:rPr>
          <w:rStyle w:val="Emphasis"/>
        </w:rPr>
        <w:t>Advice to AER from Consumer Challenger Panel sub-panel 8 regarding the AER Draft Decision and Australian Gas Networks’ (SA) Revised Access Arrangement 2016–21 Proposal</w:t>
      </w:r>
      <w:r>
        <w:t>, 31 March 2016, p. 2.</w:t>
      </w:r>
    </w:p>
  </w:footnote>
  <w:footnote w:id="168">
    <w:p w:rsidR="006345FD" w:rsidRDefault="006345FD" w:rsidP="00DD32A1">
      <w:pPr>
        <w:pStyle w:val="FootnoteText"/>
      </w:pPr>
      <w:r>
        <w:rPr>
          <w:rStyle w:val="FootnoteReference"/>
        </w:rPr>
        <w:footnoteRef/>
      </w:r>
      <w:r>
        <w:t xml:space="preserve"> </w:t>
      </w:r>
      <w:r>
        <w:tab/>
        <w:t xml:space="preserve">That is, </w:t>
      </w:r>
      <w:r w:rsidRPr="001174B8">
        <w:t>systematic risk priced via expected returns on equity</w:t>
      </w:r>
      <w:r>
        <w:t>.</w:t>
      </w:r>
    </w:p>
  </w:footnote>
  <w:footnote w:id="169">
    <w:p w:rsidR="006345FD" w:rsidRDefault="006345FD" w:rsidP="00DD32A1">
      <w:pPr>
        <w:pStyle w:val="FootnoteText"/>
      </w:pPr>
      <w:r>
        <w:rPr>
          <w:rStyle w:val="FootnoteReference"/>
        </w:rPr>
        <w:footnoteRef/>
      </w:r>
      <w:r>
        <w:t xml:space="preserve"> </w:t>
      </w:r>
      <w:r>
        <w:tab/>
        <w:t>As set out in NER cl.6; NER cl. 6A; NGR r.87.</w:t>
      </w:r>
    </w:p>
  </w:footnote>
  <w:footnote w:id="170">
    <w:p w:rsidR="006345FD" w:rsidRDefault="006345FD" w:rsidP="00DD32A1">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1">
    <w:p w:rsidR="006345FD" w:rsidRDefault="006345FD" w:rsidP="00DD32A1">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72">
    <w:p w:rsidR="006345FD" w:rsidRDefault="006345FD" w:rsidP="00DD32A1">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r>
        <w:t xml:space="preserve"> This position was also supported by Partington, </w:t>
      </w:r>
      <w:r w:rsidRPr="00D325AA">
        <w:rPr>
          <w:rStyle w:val="AERtextitalic"/>
        </w:rPr>
        <w:t>Report to the AER: Return on equity (updated)</w:t>
      </w:r>
      <w:r>
        <w:t xml:space="preserve">, April 2015, p. 29; Partington and Satchell, </w:t>
      </w:r>
      <w:r w:rsidRPr="00D325AA">
        <w:rPr>
          <w:rStyle w:val="AERtextitalic"/>
        </w:rPr>
        <w:t>Report to the AER: Return of equity and comment on submissions in relation to JGN</w:t>
      </w:r>
      <w:r>
        <w:t xml:space="preserve">, May 2015, p. 7; and Partington and Satchell, </w:t>
      </w:r>
      <w:r w:rsidRPr="00D325AA">
        <w:rPr>
          <w:rStyle w:val="AERtextitalic"/>
        </w:rPr>
        <w:t>Report to the AER: Analysis of criticism of 2015 determinations</w:t>
      </w:r>
      <w:r>
        <w:t>, October 2015, pp. 17, 21.</w:t>
      </w:r>
    </w:p>
  </w:footnote>
  <w:footnote w:id="173">
    <w:p w:rsidR="006345FD" w:rsidRDefault="006345FD" w:rsidP="00DD32A1">
      <w:pPr>
        <w:pStyle w:val="FootnoteText"/>
      </w:pPr>
      <w:r>
        <w:rPr>
          <w:rStyle w:val="FootnoteReference"/>
        </w:rPr>
        <w:footnoteRef/>
      </w:r>
      <w:r>
        <w:t xml:space="preserve"> </w:t>
      </w:r>
      <w:r>
        <w:tab/>
        <w:t>We note that our specification of these models (particularly the dividend growth model) may differ from that proposed by the service providers.</w:t>
      </w:r>
    </w:p>
  </w:footnote>
  <w:footnote w:id="174">
    <w:p w:rsidR="006345FD" w:rsidRDefault="006345FD" w:rsidP="00DD32A1">
      <w:pPr>
        <w:pStyle w:val="FootnoteText"/>
      </w:pPr>
      <w:r>
        <w:rPr>
          <w:rStyle w:val="FootnoteReference"/>
        </w:rPr>
        <w:footnoteRef/>
      </w:r>
      <w:r>
        <w:t xml:space="preserve"> </w:t>
      </w:r>
      <w:r>
        <w:tab/>
      </w:r>
      <w:r w:rsidRPr="009751A6">
        <w:t xml:space="preserve">Origin Energy, </w:t>
      </w:r>
      <w:r w:rsidRPr="00D325AA">
        <w:rPr>
          <w:rStyle w:val="Emphasis"/>
        </w:rPr>
        <w:t>Submission on ActewAGL’s revised access arrangement for 2016–21</w:t>
      </w:r>
      <w:r w:rsidRPr="009751A6">
        <w:t>, 4 February 2016</w:t>
      </w:r>
      <w:r>
        <w:t xml:space="preserve">, p. 2; </w:t>
      </w:r>
      <w:r w:rsidRPr="00D94BE5">
        <w:t xml:space="preserve">Origin Energy, </w:t>
      </w:r>
      <w:r w:rsidRPr="00D325AA">
        <w:rPr>
          <w:rStyle w:val="Emphasis"/>
        </w:rPr>
        <w:t>Submission on AGN’s revised access arrangement for 2016–21</w:t>
      </w:r>
      <w:r w:rsidRPr="00D94BE5">
        <w:t>, February 2016</w:t>
      </w:r>
      <w:r>
        <w:t xml:space="preserve">; </w:t>
      </w:r>
      <w:r w:rsidRPr="00D94BE5">
        <w:t xml:space="preserve">Victorian Government, </w:t>
      </w:r>
      <w:r w:rsidRPr="00D325AA">
        <w:rPr>
          <w:rStyle w:val="Emphasis"/>
        </w:rPr>
        <w:t>Submission on the Victorian electricity distribution network service providers’ revised regulatory proposals for 2016–20</w:t>
      </w:r>
      <w:r w:rsidRPr="00D94BE5">
        <w:t>, 12 February 2016, p. 1–2</w:t>
      </w:r>
      <w:r>
        <w:t xml:space="preserve">; </w:t>
      </w:r>
      <w:r w:rsidRPr="00D94BE5">
        <w:t xml:space="preserve">EUCV, </w:t>
      </w:r>
      <w:r w:rsidRPr="00D325AA">
        <w:rPr>
          <w:rStyle w:val="Emphasis"/>
        </w:rPr>
        <w:t>A response to AusNet revenue reset proposal for the 2017–2022 period</w:t>
      </w:r>
      <w:r w:rsidRPr="00D94BE5">
        <w:t>, 9 February 2016</w:t>
      </w:r>
      <w:r>
        <w:t xml:space="preserve">; AGL, </w:t>
      </w:r>
      <w:r w:rsidRPr="00D325AA">
        <w:rPr>
          <w:rStyle w:val="Emphasis"/>
        </w:rPr>
        <w:t>Submission on the AER’s draft decision on AGN’s 2016–21 access arrangement</w:t>
      </w:r>
      <w:r>
        <w:t xml:space="preserve">, 4 </w:t>
      </w:r>
      <w:r w:rsidRPr="00A553AC">
        <w:t>February</w:t>
      </w:r>
      <w:r>
        <w:t xml:space="preserve"> 2016, p. 2</w:t>
      </w:r>
    </w:p>
  </w:footnote>
  <w:footnote w:id="175">
    <w:p w:rsidR="006345FD" w:rsidRDefault="006345FD" w:rsidP="00DD32A1">
      <w:pPr>
        <w:pStyle w:val="FootnoteText"/>
      </w:pPr>
      <w:r>
        <w:rPr>
          <w:rStyle w:val="FootnoteReference"/>
        </w:rPr>
        <w:footnoteRef/>
      </w:r>
      <w:r>
        <w:t xml:space="preserve"> </w:t>
      </w:r>
      <w:r>
        <w:tab/>
      </w:r>
      <w:r w:rsidRPr="00177FBB">
        <w:t xml:space="preserve">There are some variations between the service providers </w:t>
      </w:r>
      <w:r>
        <w:t>on</w:t>
      </w:r>
      <w:r w:rsidRPr="00177FBB">
        <w:t xml:space="preserve"> weighting the estimates </w:t>
      </w:r>
      <w:r>
        <w:t xml:space="preserve">from the </w:t>
      </w:r>
      <w:r w:rsidRPr="00177FBB">
        <w:t xml:space="preserve">different </w:t>
      </w:r>
      <w:r>
        <w:t xml:space="preserve">models, </w:t>
      </w:r>
      <w:r w:rsidRPr="00177FBB">
        <w:t>but the general approach and rationale remain broadly consistent.</w:t>
      </w:r>
    </w:p>
  </w:footnote>
  <w:footnote w:id="176">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January 2016, p. 284</w:t>
      </w:r>
      <w:r w:rsidRPr="00791180">
        <w:t xml:space="preserve">; Powercor, </w:t>
      </w:r>
      <w:r w:rsidRPr="00791180">
        <w:rPr>
          <w:rStyle w:val="Emphasis"/>
        </w:rPr>
        <w:t>Revised regulatory proposal 2016–2020,</w:t>
      </w:r>
      <w:r w:rsidRPr="00791180">
        <w:t xml:space="preserve"> January 2016, p. 278;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 54; United Energy, </w:t>
      </w:r>
      <w:r w:rsidRPr="00791180">
        <w:rPr>
          <w:rStyle w:val="Emphasis"/>
        </w:rPr>
        <w:t>Response to AER preliminary determination–Re: rate of return and gamma</w:t>
      </w:r>
      <w:r w:rsidRPr="00791180">
        <w:t xml:space="preserve">, 6 January 2016, pp. 77–78; AGN, </w:t>
      </w:r>
      <w:r w:rsidRPr="00791180">
        <w:rPr>
          <w:rStyle w:val="Emphasis"/>
        </w:rPr>
        <w:t>2016–17 to 2020/21 Access Arrangement information response to draft decision: Attachment 10.26 Response to draft decision: rate of return</w:t>
      </w:r>
      <w:r w:rsidRPr="00791180">
        <w:t xml:space="preserve">, January 2016, pp. 44–45;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6 January 2016, pp. 38–39</w:t>
      </w:r>
      <w:r>
        <w:t>.</w:t>
      </w:r>
    </w:p>
  </w:footnote>
  <w:footnote w:id="177">
    <w:p w:rsidR="006345FD" w:rsidRDefault="006345FD" w:rsidP="00DD32A1">
      <w:pPr>
        <w:pStyle w:val="FootnoteText"/>
      </w:pPr>
      <w:r>
        <w:rPr>
          <w:rStyle w:val="FootnoteReference"/>
        </w:rPr>
        <w:footnoteRef/>
      </w:r>
      <w:r>
        <w:t xml:space="preserve"> </w:t>
      </w:r>
      <w:r>
        <w:tab/>
        <w:t xml:space="preserve">Frontier, </w:t>
      </w:r>
      <w:r>
        <w:rPr>
          <w:rStyle w:val="Emphasis"/>
        </w:rPr>
        <w:t>The r</w:t>
      </w:r>
      <w:r w:rsidRPr="00D325AA">
        <w:rPr>
          <w:rStyle w:val="Emphasis"/>
        </w:rPr>
        <w:t>equired return on equity under a foundation model approach</w:t>
      </w:r>
      <w:r>
        <w:t>, January 2016, p. 55.</w:t>
      </w:r>
    </w:p>
  </w:footnote>
  <w:footnote w:id="178">
    <w:p w:rsidR="006345FD" w:rsidRDefault="006345FD" w:rsidP="00DD32A1">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CitiPower, </w:t>
      </w:r>
      <w:r w:rsidRPr="00791180">
        <w:rPr>
          <w:rStyle w:val="AERtextitalic"/>
        </w:rPr>
        <w:t>Revised regulatory proposal 2016–2020</w:t>
      </w:r>
      <w:r w:rsidRPr="00791180">
        <w:t xml:space="preserve">, January 2016, pp. 267, 284–286, 324–326; Powercor, </w:t>
      </w:r>
      <w:r w:rsidRPr="00791180">
        <w:rPr>
          <w:rStyle w:val="Emphasis"/>
        </w:rPr>
        <w:t>Revised regulatory proposal 2016–2020,</w:t>
      </w:r>
      <w:r w:rsidRPr="00791180">
        <w:t xml:space="preserve"> January 2016, pp. 261, 278–280, 318–320;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52–72, 94–105; United Energy, </w:t>
      </w:r>
      <w:r w:rsidRPr="00791180">
        <w:rPr>
          <w:rStyle w:val="Emphasis"/>
        </w:rPr>
        <w:t>Response to AER preliminary determination–Re: rate of return and gamma</w:t>
      </w:r>
      <w:r w:rsidRPr="00791180">
        <w:t xml:space="preserve">, 6 January 2016, pp. 38–40, 77–78; AGN, </w:t>
      </w:r>
      <w:r w:rsidRPr="00791180">
        <w:rPr>
          <w:rStyle w:val="Emphasis"/>
        </w:rPr>
        <w:t>2016–17 to 2020/21 Access Arrangement information response to draft decision: Attachment 10.26 Response to draft decision: rate of return</w:t>
      </w:r>
      <w:r w:rsidRPr="00791180">
        <w:t xml:space="preserve">, January 2016, pp. 81–82;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43–45;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38–46, 50–52; APTNT, </w:t>
      </w:r>
      <w:r w:rsidRPr="00791180">
        <w:rPr>
          <w:rStyle w:val="Emphasis"/>
        </w:rPr>
        <w:t>Amadeus Gas Pipeline Access arrangement revised proposal: response to Draft Decision,</w:t>
      </w:r>
      <w:r w:rsidRPr="00791180">
        <w:t xml:space="preserve"> January 2016, pp. 56, 69–73.</w:t>
      </w:r>
    </w:p>
  </w:footnote>
  <w:footnote w:id="179">
    <w:p w:rsidR="006345FD" w:rsidRDefault="006345FD" w:rsidP="00DD32A1">
      <w:pPr>
        <w:pStyle w:val="FootnoteText"/>
      </w:pPr>
      <w:r>
        <w:rPr>
          <w:rStyle w:val="FootnoteReference"/>
        </w:rPr>
        <w:footnoteRef/>
      </w:r>
      <w:r>
        <w:t xml:space="preserve"> </w:t>
      </w:r>
      <w:r>
        <w:tab/>
        <w:t xml:space="preserve">See, for example, CitiPower, </w:t>
      </w:r>
      <w:r w:rsidRPr="001A0C41">
        <w:rPr>
          <w:rStyle w:val="AERtextitalic"/>
        </w:rPr>
        <w:t>Regulatory proposal 2016–2020</w:t>
      </w:r>
      <w:r>
        <w:t xml:space="preserve">, April 2015, p. 198–204 &amp; 224; </w:t>
      </w:r>
      <w:r w:rsidRPr="00791180">
        <w:t xml:space="preserve">Powercor, </w:t>
      </w:r>
      <w:r w:rsidRPr="00791180">
        <w:rPr>
          <w:rStyle w:val="Emphasis"/>
        </w:rPr>
        <w:t>Regulatory proposal 2016–2020,</w:t>
      </w:r>
      <w:r w:rsidRPr="00791180">
        <w:t xml:space="preserve"> April 2015, pp.206–210, 218, 227, 232–234; ActewAGL, </w:t>
      </w:r>
      <w:r w:rsidRPr="00791180">
        <w:rPr>
          <w:rStyle w:val="AERtextitalic"/>
        </w:rPr>
        <w:t>Access Arrangement Information for the 2016-21 ACT, Queanbeyan and Palerang Access Arrangement, Appendix 8.02: Return on equity-detailed proposal</w:t>
      </w:r>
      <w:r w:rsidRPr="00791180">
        <w:t xml:space="preserve">,  June 2015, pp. 1–5, 19–49; United Energy, </w:t>
      </w:r>
      <w:r w:rsidRPr="00791180">
        <w:rPr>
          <w:rStyle w:val="Emphasis"/>
        </w:rPr>
        <w:t>2016 to 2020 regulatory proposal</w:t>
      </w:r>
      <w:r w:rsidRPr="00791180">
        <w:t xml:space="preserve">, April 2015, pp. 113–123; AGN, </w:t>
      </w:r>
      <w:r w:rsidRPr="00791180">
        <w:rPr>
          <w:rStyle w:val="Emphasis"/>
        </w:rPr>
        <w:t>2016/17 to 2020/21 Access Arrangement information: Attachment 10.1 Rate of return</w:t>
      </w:r>
      <w:r w:rsidRPr="00791180">
        <w:t xml:space="preserve">, July 2015, pp. 8–27, 39–42; JEN (Vic), </w:t>
      </w:r>
      <w:r w:rsidRPr="00791180">
        <w:rPr>
          <w:rStyle w:val="Emphasis"/>
        </w:rPr>
        <w:t>2016–20 Electricity distribution price review regulatory proposal: Attachment 9-2 Rate of return proposal</w:t>
      </w:r>
      <w:r w:rsidRPr="00791180">
        <w:t>, 30 Ap</w:t>
      </w:r>
      <w:r>
        <w:t>ril 2015, pp. 19–20, 20–58; AusN</w:t>
      </w:r>
      <w:r w:rsidRPr="00791180">
        <w:t xml:space="preserve">et Services, </w:t>
      </w:r>
      <w:r w:rsidRPr="00791180">
        <w:rPr>
          <w:rStyle w:val="Emphasis"/>
        </w:rPr>
        <w:t>Regulatory proposal 2016–20</w:t>
      </w:r>
      <w:r w:rsidRPr="00791180">
        <w:t xml:space="preserve">, 30 April 2015, pp. 280–314; APTNT, </w:t>
      </w:r>
      <w:r w:rsidRPr="00791180">
        <w:rPr>
          <w:rStyle w:val="Emphasis"/>
        </w:rPr>
        <w:t>Amadeus Gas Pipeline access arrangement revision proposal</w:t>
      </w:r>
      <w:r w:rsidRPr="00791180">
        <w:t>, August 2015, pp. 112–131</w:t>
      </w:r>
      <w:r>
        <w:t>.</w:t>
      </w:r>
    </w:p>
  </w:footnote>
  <w:footnote w:id="180">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w:t>
      </w:r>
      <w:r w:rsidRPr="001A0C41">
        <w:rPr>
          <w:rStyle w:val="AERtextitalic"/>
        </w:rPr>
        <w:softHyphen/>
        <w:t>–2020</w:t>
      </w:r>
      <w:r>
        <w:t xml:space="preserve">, January 2016, p. 287; </w:t>
      </w:r>
      <w:r w:rsidRPr="00791180">
        <w:t xml:space="preserve">Powercor, </w:t>
      </w:r>
      <w:r w:rsidRPr="00791180">
        <w:rPr>
          <w:rStyle w:val="Emphasis"/>
        </w:rPr>
        <w:t>Revised regulatory proposal 2016–2020,</w:t>
      </w:r>
      <w:r w:rsidRPr="00791180">
        <w:t xml:space="preserve"> January 2016, p. 281; ActewAGL, </w:t>
      </w:r>
      <w:r w:rsidRPr="00791180">
        <w:rPr>
          <w:rStyle w:val="Emphasis"/>
        </w:rPr>
        <w:t xml:space="preserve">Revised 2016–21 access </w:t>
      </w:r>
      <w:r>
        <w:rPr>
          <w:rStyle w:val="Emphasis"/>
        </w:rPr>
        <w:t>arrangement</w:t>
      </w:r>
      <w:r w:rsidRPr="00791180">
        <w:rPr>
          <w:rStyle w:val="Emphasis"/>
        </w:rPr>
        <w:t xml:space="preserve"> proposal Response to the AER's draft decision, Appendix 5.01 Detailed response to rate of return, gamma and inflation</w:t>
      </w:r>
      <w:r w:rsidRPr="00791180">
        <w:t xml:space="preserve">, January 2016, pp. 54–65; United Energy, </w:t>
      </w:r>
      <w:r w:rsidRPr="00791180">
        <w:rPr>
          <w:rStyle w:val="Emphasis"/>
        </w:rPr>
        <w:t>Response to AER preliminary determination–Re: rate of return and gamma</w:t>
      </w:r>
      <w:r w:rsidRPr="00791180">
        <w:t xml:space="preserve">, 6 January 2016, pp. 40–46; AGN, </w:t>
      </w:r>
      <w:r w:rsidRPr="00791180">
        <w:rPr>
          <w:rStyle w:val="Emphasis"/>
        </w:rPr>
        <w:t xml:space="preserve">2016–17 to 2020/21 Access Arrangement </w:t>
      </w:r>
      <w:r>
        <w:rPr>
          <w:rStyle w:val="Emphasis"/>
        </w:rPr>
        <w:t>information</w:t>
      </w:r>
      <w:r w:rsidRPr="00791180">
        <w:rPr>
          <w:rStyle w:val="Emphasis"/>
        </w:rPr>
        <w:t xml:space="preserve"> response to draft decision: Attachment 10.26 Response to draft decision: rate of return</w:t>
      </w:r>
      <w:r w:rsidRPr="00791180">
        <w:t xml:space="preserve">, January 2016, pp. 47–49; JEN (Vic), </w:t>
      </w:r>
      <w:r w:rsidRPr="00791180">
        <w:rPr>
          <w:rStyle w:val="Emphasis"/>
        </w:rPr>
        <w:t>2016–20 Electricity distribution price review regulatory proposal revocation and substitution submission: Attachment 6–1 Rate of return, gamma, forecast inflation, and debt and equity raising costs,</w:t>
      </w:r>
      <w:r>
        <w:t xml:space="preserve"> 6 January 2016, pp. 46–47; AusN</w:t>
      </w:r>
      <w:r w:rsidRPr="00791180">
        <w:t xml:space="preserve">et Services, </w:t>
      </w:r>
      <w:r w:rsidRPr="00791180">
        <w:rPr>
          <w:rStyle w:val="Emphasis"/>
        </w:rPr>
        <w:t xml:space="preserve">Electricity distribution price review 2016–20 Revised regulatory proposal: </w:t>
      </w:r>
      <w:r>
        <w:rPr>
          <w:rStyle w:val="Emphasis"/>
        </w:rPr>
        <w:t>Chapter</w:t>
      </w:r>
      <w:r w:rsidRPr="00791180">
        <w:rPr>
          <w:rStyle w:val="Emphasis"/>
        </w:rPr>
        <w:t xml:space="preserve"> 7 Rate of return &amp; gamma</w:t>
      </w:r>
      <w:r w:rsidRPr="00791180">
        <w:t xml:space="preserve">, 6 January 2016, pp. 41–46; APTNT, </w:t>
      </w:r>
      <w:r w:rsidRPr="00791180">
        <w:rPr>
          <w:rStyle w:val="Emphasis"/>
        </w:rPr>
        <w:t>Amadeus Gas Pipeline Access arrangement revised proposal: response to Draft Decision,</w:t>
      </w:r>
      <w:r w:rsidRPr="00791180">
        <w:t xml:space="preserve"> January 2016, pp. 69–73</w:t>
      </w:r>
      <w:r>
        <w:t>.</w:t>
      </w:r>
    </w:p>
  </w:footnote>
  <w:footnote w:id="181">
    <w:p w:rsidR="006345FD" w:rsidRDefault="006345FD" w:rsidP="00DD32A1">
      <w:pPr>
        <w:pStyle w:val="FootnoteText"/>
      </w:pPr>
      <w:r>
        <w:rPr>
          <w:rStyle w:val="FootnoteReference"/>
        </w:rPr>
        <w:footnoteRef/>
      </w:r>
      <w:r>
        <w:t xml:space="preserve"> </w:t>
      </w:r>
      <w:r>
        <w:tab/>
      </w:r>
      <w:r w:rsidRPr="00177FBB">
        <w:t xml:space="preserve">Frontier Economics, The </w:t>
      </w:r>
      <w:r w:rsidRPr="00177FBB">
        <w:rPr>
          <w:rStyle w:val="AERtextitalic"/>
        </w:rPr>
        <w:t xml:space="preserve">required return on equity under a foundation model approach – Report prepared for Jemena </w:t>
      </w:r>
      <w:r>
        <w:rPr>
          <w:rStyle w:val="AERtextitalic"/>
        </w:rPr>
        <w:t>Electricity</w:t>
      </w:r>
      <w:r w:rsidRPr="00177FBB">
        <w:rPr>
          <w:rStyle w:val="AERtextitalic"/>
        </w:rPr>
        <w:t xml:space="preserve">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182">
    <w:p w:rsidR="006345FD" w:rsidRDefault="006345FD" w:rsidP="00DD32A1">
      <w:pPr>
        <w:pStyle w:val="FootnoteText"/>
      </w:pPr>
      <w:r>
        <w:rPr>
          <w:rStyle w:val="FootnoteReference"/>
        </w:rPr>
        <w:footnoteRef/>
      </w:r>
      <w:r>
        <w:t xml:space="preserve"> </w:t>
      </w:r>
      <w:r>
        <w:tab/>
        <w:t>For both the construction of individual models, and the quantitative and/or qualitative methods to give weight to the models.</w:t>
      </w:r>
    </w:p>
  </w:footnote>
  <w:footnote w:id="183">
    <w:p w:rsidR="006345FD" w:rsidRDefault="006345FD" w:rsidP="00DD32A1">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Return</w:t>
      </w:r>
      <w:r w:rsidRPr="00E529BF">
        <w:rPr>
          <w:rStyle w:val="AERtextitalic"/>
        </w:rPr>
        <w:t xml:space="preserve"> on </w:t>
      </w:r>
      <w:r>
        <w:rPr>
          <w:rStyle w:val="AERtextitalic"/>
        </w:rPr>
        <w:t>e</w:t>
      </w:r>
      <w:r w:rsidRPr="00E529BF">
        <w:rPr>
          <w:rStyle w:val="AERtextitalic"/>
        </w:rPr>
        <w:t>quity</w:t>
      </w:r>
      <w:r>
        <w:rPr>
          <w:rStyle w:val="AERtextitalic"/>
        </w:rPr>
        <w:t xml:space="preserve"> (updated)</w:t>
      </w:r>
      <w:r>
        <w:t xml:space="preserve">, April 2015, p. 54]. </w:t>
      </w:r>
    </w:p>
  </w:footnote>
  <w:footnote w:id="184">
    <w:p w:rsidR="006345FD" w:rsidRDefault="006345FD" w:rsidP="00DD32A1">
      <w:pPr>
        <w:pStyle w:val="FootnoteText"/>
      </w:pPr>
      <w:r>
        <w:rPr>
          <w:rStyle w:val="FootnoteReference"/>
        </w:rPr>
        <w:footnoteRef/>
      </w:r>
      <w:r>
        <w:t xml:space="preserve"> </w:t>
      </w:r>
      <w:r>
        <w:tab/>
      </w:r>
      <w:r w:rsidRPr="00387DCE">
        <w:t xml:space="preserve">Partington and Satchell, </w:t>
      </w:r>
      <w:r w:rsidRPr="00D325AA">
        <w:rPr>
          <w:rStyle w:val="Emphasis"/>
        </w:rPr>
        <w:t>Report to the AER: Cost of equity issues–</w:t>
      </w:r>
      <w:r>
        <w:rPr>
          <w:rStyle w:val="Emphasis"/>
        </w:rPr>
        <w:t>2016 electricity and gas determinations</w:t>
      </w:r>
      <w:r w:rsidRPr="00387DCE">
        <w:t>, April 201</w:t>
      </w:r>
      <w:r>
        <w:t>6</w:t>
      </w:r>
      <w:r w:rsidRPr="00387DCE">
        <w:t>,</w:t>
      </w:r>
      <w:r>
        <w:t xml:space="preserve"> p. 47.</w:t>
      </w:r>
    </w:p>
  </w:footnote>
  <w:footnote w:id="185">
    <w:p w:rsidR="006345FD" w:rsidRDefault="006345FD" w:rsidP="00DD32A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186">
    <w:p w:rsidR="006345FD" w:rsidRDefault="006345FD" w:rsidP="00DD32A1">
      <w:pPr>
        <w:pStyle w:val="FootnoteText"/>
      </w:pPr>
      <w:r>
        <w:rPr>
          <w:rStyle w:val="FootnoteReference"/>
        </w:rPr>
        <w:footnoteRef/>
      </w:r>
      <w:r>
        <w:t xml:space="preserve"> </w:t>
      </w:r>
      <w:r>
        <w:tab/>
      </w:r>
      <w:r w:rsidRPr="000A57D5">
        <w:t xml:space="preserve">For example, see AER, </w:t>
      </w:r>
      <w:r w:rsidRPr="000A57D5">
        <w:rPr>
          <w:rStyle w:val="AERtextitalic"/>
        </w:rPr>
        <w:t xml:space="preserve">Preliminary decision: </w:t>
      </w:r>
      <w:r w:rsidR="00FE3907" w:rsidRPr="000A57D5">
        <w:rPr>
          <w:rStyle w:val="AERtextitalic"/>
        </w:rPr>
        <w:t>CitiPower</w:t>
      </w:r>
      <w:r w:rsidRPr="000A57D5">
        <w:rPr>
          <w:rStyle w:val="AERtextitalic"/>
        </w:rPr>
        <w:t xml:space="preserve"> Determination 2016 to 2020: Attachment 3–Rate of return</w:t>
      </w:r>
      <w:r w:rsidRPr="000A57D5">
        <w:t>, October 2015, pp. 257–323</w:t>
      </w:r>
      <w:r>
        <w:t>;</w:t>
      </w:r>
      <w:r w:rsidRPr="000A57D5">
        <w:t>.</w:t>
      </w:r>
      <w:r>
        <w:t xml:space="preserve"> </w:t>
      </w:r>
      <w:r w:rsidRPr="00B55FA0">
        <w:t xml:space="preserve">AER, </w:t>
      </w:r>
      <w:r w:rsidRPr="00B55FA0">
        <w:rPr>
          <w:rStyle w:val="AERtextitalic"/>
        </w:rPr>
        <w:t>Powercor Preliminary Decision - Attachment 3: Rate of Return</w:t>
      </w:r>
      <w:r w:rsidRPr="00B55FA0">
        <w:t xml:space="preserve">, October 2015, pp. </w:t>
      </w:r>
      <w:r>
        <w:t>257–323</w:t>
      </w:r>
      <w:r w:rsidRPr="00B55FA0">
        <w:t xml:space="preserve">;  AER, </w:t>
      </w:r>
      <w:r w:rsidRPr="00B55FA0">
        <w:rPr>
          <w:rStyle w:val="Emphasis"/>
        </w:rPr>
        <w:t>Draft decision ActewAGL distribution determination 2016 to 2021: Attachment 3 – Rate of return</w:t>
      </w:r>
      <w:r w:rsidRPr="00B55FA0">
        <w:t xml:space="preserve">, November 2015, p. </w:t>
      </w:r>
      <w:r>
        <w:t>265–331</w:t>
      </w:r>
      <w:r w:rsidRPr="00B55FA0">
        <w:t xml:space="preserve">; AER, </w:t>
      </w:r>
      <w:r w:rsidRPr="00B55FA0">
        <w:rPr>
          <w:rStyle w:val="Emphasis"/>
        </w:rPr>
        <w:t>Preliminary decision United Energy determination 2016 to 2020: Attachment 3 – Rate of return</w:t>
      </w:r>
      <w:r w:rsidRPr="00B55FA0">
        <w:t xml:space="preserve">, October 2015, pp. </w:t>
      </w:r>
      <w:r>
        <w:t>253–320</w:t>
      </w:r>
      <w:r w:rsidRPr="00B55FA0">
        <w:t xml:space="preserve">; AER, </w:t>
      </w:r>
      <w:r w:rsidRPr="00B55FA0">
        <w:rPr>
          <w:rStyle w:val="Emphasis"/>
        </w:rPr>
        <w:t>Draft decision Australian Gas Networks access arrangement 2016 to 2021–Attachment 3: rate of return</w:t>
      </w:r>
      <w:r w:rsidRPr="00B55FA0">
        <w:t xml:space="preserve">, November 2015, pp. </w:t>
      </w:r>
      <w:r>
        <w:t>267</w:t>
      </w:r>
      <w:r w:rsidRPr="00B55FA0">
        <w:t>–</w:t>
      </w:r>
      <w:r>
        <w:t>333</w:t>
      </w:r>
      <w:r w:rsidRPr="00B55FA0">
        <w:t xml:space="preserve">; AER, </w:t>
      </w:r>
      <w:r w:rsidRPr="00B55FA0">
        <w:rPr>
          <w:rStyle w:val="Emphasis"/>
        </w:rPr>
        <w:t>Preliminary decision Jemena distribution determination 2016 to 2020: Attachment 3–Rate of return</w:t>
      </w:r>
      <w:r w:rsidRPr="00B55FA0">
        <w:t>, October 2015, pp. 2</w:t>
      </w:r>
      <w:r>
        <w:t>31</w:t>
      </w:r>
      <w:r w:rsidRPr="00B55FA0">
        <w:t>–</w:t>
      </w:r>
      <w:r>
        <w:t>327</w:t>
      </w:r>
      <w:r w:rsidRPr="00B55FA0">
        <w:t>; AER</w:t>
      </w:r>
      <w:r w:rsidRPr="00B55FA0">
        <w:rPr>
          <w:rStyle w:val="Emphasis"/>
        </w:rPr>
        <w:t>, Preliminary decision AusNet Services determination 2016 to 2020: Attachment 3–Rate of return</w:t>
      </w:r>
      <w:r w:rsidRPr="00B55FA0">
        <w:t xml:space="preserve">, October 2015, pp. </w:t>
      </w:r>
      <w:r>
        <w:t>260–326</w:t>
      </w:r>
      <w:r w:rsidRPr="00B55FA0">
        <w:t xml:space="preserve">; AER, </w:t>
      </w:r>
      <w:r w:rsidRPr="00B55FA0">
        <w:rPr>
          <w:rStyle w:val="Emphasis"/>
        </w:rPr>
        <w:t>Draft decision Amadeus Gas Pipeline access arrangement 2016 to 2021: Attachment 3</w:t>
      </w:r>
      <w:r w:rsidRPr="00B55FA0">
        <w:rPr>
          <w:rStyle w:val="Emphasis"/>
        </w:rPr>
        <w:softHyphen/>
        <w:t>–Rate of return</w:t>
      </w:r>
      <w:r w:rsidRPr="00B55FA0">
        <w:t xml:space="preserve">, November 2015, pp. </w:t>
      </w:r>
      <w:r>
        <w:t>264–330.</w:t>
      </w:r>
    </w:p>
  </w:footnote>
  <w:footnote w:id="187">
    <w:p w:rsidR="006345FD" w:rsidRDefault="006345FD" w:rsidP="00DD32A1">
      <w:pPr>
        <w:pStyle w:val="FootnoteText"/>
      </w:pPr>
      <w:r>
        <w:rPr>
          <w:rStyle w:val="FootnoteReference"/>
        </w:rPr>
        <w:footnoteRef/>
      </w:r>
      <w:r>
        <w:t xml:space="preserve"> </w:t>
      </w:r>
      <w:r>
        <w:tab/>
      </w:r>
      <w:r w:rsidRPr="000A57D5">
        <w:t xml:space="preserve">See Brealey, Myers, Partington and Robinson, </w:t>
      </w:r>
      <w:r w:rsidRPr="000A57D5">
        <w:rPr>
          <w:rStyle w:val="AERtextitalic"/>
        </w:rPr>
        <w:t>Principles of corporate finance</w:t>
      </w:r>
      <w:r w:rsidRPr="000A57D5">
        <w:t xml:space="preserve">, McGraw Hill Australia, 2007, p. 216; Stephan Schaeffler and Christoph Weber, ‘The Cost of Equity of Network Operators – Empirical Evidence and Regulatory Practice’, </w:t>
      </w:r>
      <w:r w:rsidRPr="000A57D5">
        <w:rPr>
          <w:rStyle w:val="AERtextitalic"/>
        </w:rPr>
        <w:t>Competition and Regulation in Network Industries</w:t>
      </w:r>
      <w:r w:rsidRPr="000A57D5">
        <w:t xml:space="preserve">, 14(4), 2013, p. 386; McKenzie and Partington, </w:t>
      </w:r>
      <w:r w:rsidRPr="000A57D5">
        <w:rPr>
          <w:rStyle w:val="AERtextitalic"/>
        </w:rPr>
        <w:t>Report to the AER part A: Return on equity</w:t>
      </w:r>
      <w:r w:rsidRPr="000A57D5">
        <w:t xml:space="preserve">, October 2014, pp. 9–10; AER, </w:t>
      </w:r>
      <w:r w:rsidRPr="000A57D5">
        <w:rPr>
          <w:rStyle w:val="AERtextitalic"/>
        </w:rPr>
        <w:t>Explanatory statement rate of return guideline (appendices)</w:t>
      </w:r>
      <w:r w:rsidRPr="000A57D5">
        <w:t>, 17 December 2013, pp. 13–14.</w:t>
      </w:r>
    </w:p>
  </w:footnote>
  <w:footnote w:id="188">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292–298, 325–326</w:t>
      </w:r>
      <w:r w:rsidRPr="00791180">
        <w:t xml:space="preserve"> ; Powercor, </w:t>
      </w:r>
      <w:r w:rsidRPr="00791180">
        <w:rPr>
          <w:rStyle w:val="AERtextitalic"/>
        </w:rPr>
        <w:t>Revised regulatory proposal 2016–2020</w:t>
      </w:r>
      <w:r w:rsidRPr="00791180">
        <w:t xml:space="preserve">, January  2016, pp. 286–292, 319–320; ActewAGL, </w:t>
      </w:r>
      <w:r w:rsidRPr="00791180">
        <w:rPr>
          <w:rStyle w:val="Emphasis"/>
        </w:rPr>
        <w:t>Revised 2016–21 access a</w:t>
      </w:r>
      <w:r>
        <w:rPr>
          <w:rStyle w:val="Emphasis"/>
        </w:rPr>
        <w:t>r</w:t>
      </w:r>
      <w:r w:rsidRPr="00791180">
        <w:rPr>
          <w:rStyle w:val="Emphasis"/>
        </w:rPr>
        <w:t>rangement proposal Response to the AER's draft decision, Appendix 5.01 Detailed response to rate of return, gamma and inflation</w:t>
      </w:r>
      <w:r w:rsidRPr="00791180">
        <w:t xml:space="preserve">, January 2016, pp. 53–54, 64–72, 104–105; United Energy, </w:t>
      </w:r>
      <w:r w:rsidRPr="00791180">
        <w:rPr>
          <w:rStyle w:val="Emphasis"/>
        </w:rPr>
        <w:t>Response to AER preliminary determination–Re: rate of return and gamma</w:t>
      </w:r>
      <w:r w:rsidRPr="00791180">
        <w:t xml:space="preserve">, 6 January 2016, pp. 38–46, 77–78; AGN, </w:t>
      </w:r>
      <w:r w:rsidRPr="00791180">
        <w:rPr>
          <w:rStyle w:val="Emphasis"/>
        </w:rPr>
        <w:t>2016–17 to 2020/21 Access Arrangement information response to draft decision: Attachment 10.26 Response to draft decision: rate of return</w:t>
      </w:r>
      <w:r w:rsidRPr="00791180">
        <w:t xml:space="preserve">, January 2016, pp. 44–52, 81–82; ;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43– 57, 83–84;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pp.38–46; APTNT, </w:t>
      </w:r>
      <w:r w:rsidRPr="00791180">
        <w:rPr>
          <w:rStyle w:val="Emphasis"/>
        </w:rPr>
        <w:t>Amadeus Gas Pipeline access arrangement revision proposal</w:t>
      </w:r>
      <w:r w:rsidRPr="00791180">
        <w:t>, August 2015, pp. 128–131.</w:t>
      </w:r>
    </w:p>
  </w:footnote>
  <w:footnote w:id="189">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2016–2020</w:t>
      </w:r>
      <w:r>
        <w:t xml:space="preserve">, January  2016, pp. 292–298; </w:t>
      </w:r>
      <w:r w:rsidRPr="00791180">
        <w:t xml:space="preserve">; Powercor, </w:t>
      </w:r>
      <w:r w:rsidRPr="00791180">
        <w:rPr>
          <w:rStyle w:val="AERtextitalic"/>
        </w:rPr>
        <w:t>Revised regulatory proposal 2016–2020</w:t>
      </w:r>
      <w:r w:rsidRPr="00791180">
        <w:t xml:space="preserve">, January  2016, pp. 286–292; ; ActewAGL, </w:t>
      </w:r>
      <w:r w:rsidRPr="00791180">
        <w:rPr>
          <w:rStyle w:val="Emphasis"/>
        </w:rPr>
        <w:t>Revised 2016–21 access ar</w:t>
      </w:r>
      <w:r>
        <w:rPr>
          <w:rStyle w:val="Emphasis"/>
        </w:rPr>
        <w:t>r</w:t>
      </w:r>
      <w:r w:rsidRPr="00791180">
        <w:rPr>
          <w:rStyle w:val="Emphasis"/>
        </w:rPr>
        <w:t>angement proposal Response to the AER's draft decision, Appendix 5.01 Detailed response to rate of return, gamma and inflation</w:t>
      </w:r>
      <w:r w:rsidRPr="00791180">
        <w:t xml:space="preserve">, January 2016, pp. 64–72; United Energy, </w:t>
      </w:r>
      <w:r w:rsidRPr="00791180">
        <w:rPr>
          <w:rStyle w:val="Emphasis"/>
        </w:rPr>
        <w:t>Response to AER preliminary determination–Re: rate of return and gamma</w:t>
      </w:r>
      <w:r w:rsidRPr="00791180">
        <w:t xml:space="preserve">, 6 January 2016, pp. 38, 52; AGN, </w:t>
      </w:r>
      <w:r w:rsidRPr="00791180">
        <w:rPr>
          <w:rStyle w:val="Emphasis"/>
        </w:rPr>
        <w:t>2016–17 to 2020/21 Access Arrangement information response to draft decision: Attachment 10.26 Response to draft decision: rate of return</w:t>
      </w:r>
      <w:r w:rsidRPr="00791180">
        <w:t xml:space="preserve">, January 2016, pp. 47–52, 73–74; JEN (Vic), </w:t>
      </w:r>
      <w:r w:rsidRPr="00791180">
        <w:rPr>
          <w:rStyle w:val="Emphasis"/>
        </w:rPr>
        <w:t>2016–20 Electricity distribution price review regulatory proposal revocation and substitution submission: Attachment 6–1 Rate of return, gamma, forecast inflation, and debt and equity raising costs,</w:t>
      </w:r>
      <w:r w:rsidRPr="00791180">
        <w:t xml:space="preserve"> 6 Janua</w:t>
      </w:r>
      <w:r>
        <w:t>ry 2016, pp. 46–51, 51–57 ; AusN</w:t>
      </w:r>
      <w:r w:rsidRPr="00791180">
        <w:t xml:space="preserve">et Services, </w:t>
      </w:r>
      <w:r w:rsidRPr="00791180">
        <w:rPr>
          <w:rStyle w:val="Emphasis"/>
        </w:rPr>
        <w:t>Electricity distribution price review 2016–20 Re</w:t>
      </w:r>
      <w:r>
        <w:rPr>
          <w:rStyle w:val="Emphasis"/>
        </w:rPr>
        <w:t>vised regulatory proposal: Chap</w:t>
      </w:r>
      <w:r w:rsidRPr="00791180">
        <w:rPr>
          <w:rStyle w:val="Emphasis"/>
        </w:rPr>
        <w:t>ter 7 Rate of return &amp; gamma</w:t>
      </w:r>
      <w:r w:rsidRPr="00791180">
        <w:t xml:space="preserve">, 6 January 2016, pp. 44–52; APTNT, </w:t>
      </w:r>
      <w:r w:rsidRPr="00791180">
        <w:rPr>
          <w:rStyle w:val="Emphasis"/>
        </w:rPr>
        <w:t>Amadeus Gas Pipeline Access arrangement revised proposal: response to Draft Decision,</w:t>
      </w:r>
      <w:r w:rsidRPr="00791180">
        <w:t xml:space="preserve"> January 2016, pp. 73; APTNT, </w:t>
      </w:r>
      <w:r w:rsidRPr="00791180">
        <w:rPr>
          <w:rStyle w:val="Emphasis"/>
        </w:rPr>
        <w:t>Amadeus Gas Pipeline access arrangement revision proposal</w:t>
      </w:r>
      <w:r w:rsidRPr="00791180">
        <w:t xml:space="preserve">, August 2015, pp. 128–131;  </w:t>
      </w:r>
      <w:r>
        <w:t xml:space="preserve">Frontier Economics, </w:t>
      </w:r>
      <w:r w:rsidRPr="001A0C41">
        <w:rPr>
          <w:rStyle w:val="AERtextitalic"/>
        </w:rPr>
        <w:t xml:space="preserve">The required return on equity under a foundation model approach – Report prepared for Jemena </w:t>
      </w:r>
      <w:r>
        <w:rPr>
          <w:rStyle w:val="AERtextitalic"/>
        </w:rPr>
        <w:t>Electricity</w:t>
      </w:r>
      <w:r w:rsidRPr="001A0C41">
        <w:rPr>
          <w:rStyle w:val="AERtextitalic"/>
        </w:rPr>
        <w:t xml:space="preserve"> Networks, ACTEWAGL Distribution, AusNet Services, Australian Gas Networks, Cit</w:t>
      </w:r>
      <w:r>
        <w:rPr>
          <w:rStyle w:val="AERtextitalic"/>
        </w:rPr>
        <w:t>iP</w:t>
      </w:r>
      <w:r w:rsidRPr="001A0C41">
        <w:rPr>
          <w:rStyle w:val="AERtextitalic"/>
        </w:rPr>
        <w:t>ower, Powercor and United Energy</w:t>
      </w:r>
      <w:r>
        <w:t>, January 2016, p. 21.</w:t>
      </w:r>
    </w:p>
  </w:footnote>
  <w:footnote w:id="190">
    <w:p w:rsidR="006345FD" w:rsidRDefault="006345FD" w:rsidP="00DD32A1">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191">
    <w:p w:rsidR="006345FD" w:rsidRDefault="006345FD" w:rsidP="00DD32A1">
      <w:pPr>
        <w:pStyle w:val="FootnoteText"/>
      </w:pPr>
      <w:r>
        <w:rPr>
          <w:rStyle w:val="FootnoteReference"/>
        </w:rPr>
        <w:footnoteRef/>
      </w:r>
      <w:r>
        <w:t xml:space="preserve"> </w:t>
      </w:r>
      <w:r>
        <w:tab/>
      </w:r>
      <w:r w:rsidRPr="00463A41">
        <w:t>Partington</w:t>
      </w:r>
      <w:r>
        <w:t xml:space="preserve">, </w:t>
      </w:r>
      <w:r>
        <w:rPr>
          <w:rStyle w:val="AERtextitalic"/>
        </w:rPr>
        <w:t xml:space="preserve">Report to the AER: Return on equity (updated), </w:t>
      </w:r>
      <w:r w:rsidRPr="004F7EF6">
        <w:rPr>
          <w:rStyle w:val="AERtextitalic"/>
          <w:i w:val="0"/>
        </w:rPr>
        <w:t>April 2015</w:t>
      </w:r>
      <w:r>
        <w:t>, p. 14.</w:t>
      </w:r>
    </w:p>
  </w:footnote>
  <w:footnote w:id="192">
    <w:p w:rsidR="006345FD" w:rsidRDefault="006345FD" w:rsidP="00DD32A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33, 40.</w:t>
      </w:r>
    </w:p>
  </w:footnote>
  <w:footnote w:id="193">
    <w:p w:rsidR="006345FD" w:rsidRDefault="006345FD" w:rsidP="00DD32A1">
      <w:pPr>
        <w:pStyle w:val="FootnoteText"/>
      </w:pPr>
      <w:r>
        <w:rPr>
          <w:rStyle w:val="FootnoteReference"/>
        </w:rPr>
        <w:footnoteRef/>
      </w:r>
      <w:r>
        <w:t xml:space="preserve"> </w:t>
      </w:r>
      <w:r>
        <w:tab/>
        <w:t xml:space="preserve">The latter point was supported by the Tribunal ([2016] ACT 1 at 210). See section </w:t>
      </w:r>
      <w:r>
        <w:fldChar w:fldCharType="begin"/>
      </w:r>
      <w:r>
        <w:instrText xml:space="preserve"> REF _Ref448871343 \r \h </w:instrText>
      </w:r>
      <w:r>
        <w:fldChar w:fldCharType="separate"/>
      </w:r>
      <w:r>
        <w:t>A</w:t>
      </w:r>
      <w:r>
        <w:fldChar w:fldCharType="end"/>
      </w:r>
      <w:r>
        <w:t xml:space="preserve"> for more detail.</w:t>
      </w:r>
    </w:p>
  </w:footnote>
  <w:footnote w:id="194">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w:t>
      </w:r>
      <w:r>
        <w:rPr>
          <w:rStyle w:val="Emphasis"/>
        </w:rPr>
        <w:t>r</w:t>
      </w:r>
      <w:r w:rsidRPr="00CE5AD1">
        <w:rPr>
          <w:rStyle w:val="Emphasis"/>
        </w:rPr>
        <w:t>rangement proposal Response to the AER's draft decision, Appendix 5.01 Detailed response to rate of return, gamma and inflation</w:t>
      </w:r>
      <w:r w:rsidRPr="00CE5AD1">
        <w:t xml:space="preserve">, January 2016, pp. 64–72; United Energy, </w:t>
      </w:r>
      <w:r w:rsidRPr="00CE5AD1">
        <w:rPr>
          <w:rStyle w:val="Emphasis"/>
        </w:rPr>
        <w:t>Response to AER preliminary determination–Re: rate of return and gamma</w:t>
      </w:r>
      <w:r w:rsidRPr="00CE5AD1">
        <w:t xml:space="preserve">, 6 January 2016, pp.40–46; AGN, </w:t>
      </w:r>
      <w:r w:rsidRPr="00CE5AD1">
        <w:rPr>
          <w:rStyle w:val="Emphasis"/>
        </w:rPr>
        <w:t>2016–17 to 2020/21 Access Arrangement information response to draft decision: Attachment 10.26 Response to draft decision: rate of return</w:t>
      </w:r>
      <w:r w:rsidRPr="00CE5AD1">
        <w:t xml:space="preserve">, January 2016, pp. pp. 47–52, 73–74;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46–51;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 73; APTNT, </w:t>
      </w:r>
      <w:r w:rsidRPr="00CE5AD1">
        <w:rPr>
          <w:rStyle w:val="Emphasis"/>
        </w:rPr>
        <w:t>Amadeus Gas Pipeline access arrangement revision proposal</w:t>
      </w:r>
      <w:r w:rsidRPr="00CE5AD1">
        <w:t>, August 2015, p. 115–120</w:t>
      </w:r>
      <w:r>
        <w:t>.</w:t>
      </w:r>
      <w:r w:rsidRPr="00CE5AD1">
        <w:t xml:space="preserve">  </w:t>
      </w:r>
    </w:p>
  </w:footnote>
  <w:footnote w:id="195">
    <w:p w:rsidR="006345FD" w:rsidRDefault="006345FD" w:rsidP="00DD32A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39–45.</w:t>
      </w:r>
    </w:p>
  </w:footnote>
  <w:footnote w:id="196">
    <w:p w:rsidR="006345FD" w:rsidRDefault="006345FD" w:rsidP="00DD32A1">
      <w:pPr>
        <w:pStyle w:val="FootnoteText"/>
      </w:pPr>
      <w:r>
        <w:rPr>
          <w:rStyle w:val="FootnoteReference"/>
        </w:rPr>
        <w:footnoteRef/>
      </w:r>
      <w:r>
        <w:t xml:space="preserve"> </w:t>
      </w:r>
      <w:r>
        <w:tab/>
      </w:r>
      <w:r w:rsidRPr="00387DCE">
        <w:t xml:space="preserve">Partington and Satchell, </w:t>
      </w:r>
      <w:r w:rsidRPr="00693E77">
        <w:rPr>
          <w:rStyle w:val="Emphasis"/>
        </w:rPr>
        <w:t>Report to the AER: Cost of equity issues–2016 electricity and gas determinations</w:t>
      </w:r>
      <w:r w:rsidRPr="00387DCE">
        <w:t>, April 201</w:t>
      </w:r>
      <w:r>
        <w:t>6</w:t>
      </w:r>
      <w:r w:rsidRPr="00387DCE">
        <w:t>,</w:t>
      </w:r>
      <w:r>
        <w:t xml:space="preserve"> p. 43.</w:t>
      </w:r>
    </w:p>
  </w:footnote>
  <w:footnote w:id="197">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290</w:t>
      </w:r>
      <w:r w:rsidRPr="00CE5AD1">
        <w:t xml:space="preserve">; Powercor, </w:t>
      </w:r>
      <w:r w:rsidRPr="00CE5AD1">
        <w:rPr>
          <w:rStyle w:val="AERtextitalic"/>
        </w:rPr>
        <w:t>Revised regulatory proposal 2016–2020</w:t>
      </w:r>
      <w:r w:rsidRPr="00CE5AD1">
        <w:t xml:space="preserve">, January  2016, p. 284;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pp.62–64; United Energy, </w:t>
      </w:r>
      <w:r w:rsidRPr="00CE5AD1">
        <w:rPr>
          <w:rStyle w:val="Emphasis"/>
        </w:rPr>
        <w:t>Response to AER preliminary determination–Re: rate of return and gamma</w:t>
      </w:r>
      <w:r w:rsidRPr="00CE5AD1">
        <w:t xml:space="preserve">, 6 January 2016, pp. 45–46, 51; AGN, </w:t>
      </w:r>
      <w:r w:rsidRPr="00CE5AD1">
        <w:rPr>
          <w:rStyle w:val="Emphasis"/>
        </w:rPr>
        <w:t>2016–17 to 2020/21 Access Arrangement information response to draft decision: Attachment 10.26 Response to draft decision: rate of return</w:t>
      </w:r>
      <w:r w:rsidRPr="00CE5AD1">
        <w:t xml:space="preserve">, January 2016, pp. 49–52; JEN (Vic), </w:t>
      </w:r>
      <w:r w:rsidRPr="00CE5AD1">
        <w:rPr>
          <w:rStyle w:val="Emphasis"/>
        </w:rPr>
        <w:t>2016–20 Electricity distribution price review regulatory proposal revocation and substitution submission: Attachment 6–1 Rate of return, gamma, forecast inflation, and debt and equity raising costs,</w:t>
      </w:r>
      <w:r>
        <w:t xml:space="preserve"> 6 January 2016, pp. 48–51; AusN</w:t>
      </w:r>
      <w:r w:rsidRPr="00CE5AD1">
        <w:t xml:space="preserve">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45–46; APTNT, </w:t>
      </w:r>
      <w:r w:rsidRPr="00CE5AD1">
        <w:rPr>
          <w:rStyle w:val="Emphasis"/>
        </w:rPr>
        <w:t>Amadeus Gas Pipeline Access arrangement revised proposal: response to Draft Decision,</w:t>
      </w:r>
      <w:r w:rsidRPr="00CE5AD1">
        <w:t xml:space="preserve"> January 2016, p. 75</w:t>
      </w:r>
      <w:r>
        <w:t>.</w:t>
      </w:r>
    </w:p>
  </w:footnote>
  <w:footnote w:id="198">
    <w:p w:rsidR="006345FD" w:rsidRDefault="006345FD" w:rsidP="00DD32A1">
      <w:pPr>
        <w:pStyle w:val="FootnoteText"/>
      </w:pPr>
      <w:r>
        <w:rPr>
          <w:rStyle w:val="FootnoteReference"/>
        </w:rPr>
        <w:footnoteRef/>
      </w:r>
      <w:r>
        <w:t xml:space="preserve"> </w:t>
      </w:r>
      <w:r>
        <w:tab/>
      </w:r>
      <w:r w:rsidRPr="00AE0672">
        <w:t xml:space="preserve">Incenta Economic Consulting, </w:t>
      </w:r>
      <w:r w:rsidRPr="00FD6327">
        <w:rPr>
          <w:rStyle w:val="AERtextitalic"/>
        </w:rPr>
        <w:t>Further update on the required return on equity from independent expert reports</w:t>
      </w:r>
      <w:r w:rsidRPr="00AE0672">
        <w:t>, February 2015, p. 3</w:t>
      </w:r>
      <w:r>
        <w:t>1.</w:t>
      </w:r>
    </w:p>
  </w:footnote>
  <w:footnote w:id="199">
    <w:p w:rsidR="006345FD" w:rsidRDefault="006345FD" w:rsidP="00DD32A1">
      <w:pPr>
        <w:pStyle w:val="FootnoteText"/>
      </w:pPr>
      <w:r>
        <w:rPr>
          <w:rStyle w:val="FootnoteReference"/>
        </w:rPr>
        <w:footnoteRef/>
      </w:r>
      <w:r>
        <w:t xml:space="preserve"> </w:t>
      </w:r>
      <w:r>
        <w:tab/>
        <w:t>Frontier submitted that brokers do not mechanistically apply the Sharpe-Lintner CAPM and that this was evidenced by</w:t>
      </w:r>
      <w:r w:rsidRPr="0047603E">
        <w:t xml:space="preserve"> broker reports tend</w:t>
      </w:r>
      <w:r>
        <w:t>ing</w:t>
      </w:r>
      <w:r w:rsidRPr="0047603E">
        <w:t xml:space="preserve"> to estimate a higher risk free rate than the prevailing yield on Australian government securities </w:t>
      </w:r>
      <w:r>
        <w:t xml:space="preserve">with a 10-year term to maturity. Frontier Economics, </w:t>
      </w:r>
      <w:r w:rsidRPr="00FC730B">
        <w:rPr>
          <w:rStyle w:val="AERtextitalic"/>
        </w:rPr>
        <w:t>Key issues in estimating the return on equity for the benchmark efficient entity</w:t>
      </w:r>
      <w:r>
        <w:t>, June 2015, p. 58.</w:t>
      </w:r>
    </w:p>
  </w:footnote>
  <w:footnote w:id="200">
    <w:p w:rsidR="006345FD" w:rsidRDefault="006345FD" w:rsidP="00DD32A1">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 286–298</w:t>
      </w:r>
      <w:r w:rsidRPr="00CE5AD1">
        <w:t xml:space="preserve">; Powercor, </w:t>
      </w:r>
      <w:r w:rsidRPr="00CE5AD1">
        <w:rPr>
          <w:rStyle w:val="AERtextitalic"/>
        </w:rPr>
        <w:t>Revised regulatory proposal 2016–2020</w:t>
      </w:r>
      <w:r w:rsidRPr="00CE5AD1">
        <w:t xml:space="preserve">, January  2016, pp. 280–292;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56–72; United Energy, </w:t>
      </w:r>
      <w:r w:rsidRPr="00CE5AD1">
        <w:rPr>
          <w:rStyle w:val="Emphasis"/>
        </w:rPr>
        <w:t>Response to AER preliminary determination–Re: rate of return and gamma</w:t>
      </w:r>
      <w:r w:rsidRPr="00CE5AD1">
        <w:t xml:space="preserve">, 6 January 2016, pp. 40–50; AGN, </w:t>
      </w:r>
      <w:r w:rsidRPr="00CE5AD1">
        <w:rPr>
          <w:rStyle w:val="Emphasis"/>
        </w:rPr>
        <w:t>2016–17 to 2020/21 Access Arrangement information response to draft decision: Attachment 10.26 Response to draft decision: rate of return</w:t>
      </w:r>
      <w:r w:rsidRPr="00CE5AD1">
        <w:t xml:space="preserve">, January 2016, pp. 47–49, 54–56;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46–48, 54–55;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41–46; APTNT, </w:t>
      </w:r>
      <w:r w:rsidRPr="00CE5AD1">
        <w:rPr>
          <w:rStyle w:val="Emphasis"/>
        </w:rPr>
        <w:t>Amadeus Gas Pipeline Access arrangement revised proposal: response to Draft Decision,</w:t>
      </w:r>
      <w:r w:rsidRPr="00CE5AD1">
        <w:t xml:space="preserve"> January 2016, p. 70–73</w:t>
      </w:r>
      <w:r>
        <w:t>.</w:t>
      </w:r>
    </w:p>
  </w:footnote>
  <w:footnote w:id="201">
    <w:p w:rsidR="006345FD" w:rsidRDefault="006345FD" w:rsidP="00DD32A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pp.33–34 &amp; 47.</w:t>
      </w:r>
    </w:p>
  </w:footnote>
  <w:footnote w:id="202">
    <w:p w:rsidR="006345FD" w:rsidRDefault="006345FD" w:rsidP="00DD32A1">
      <w:pPr>
        <w:pStyle w:val="FootnoteText"/>
      </w:pPr>
      <w:r>
        <w:rPr>
          <w:rStyle w:val="FootnoteReference"/>
        </w:rPr>
        <w:footnoteRef/>
      </w:r>
      <w:r>
        <w:t xml:space="preserve"> </w:t>
      </w:r>
      <w:r>
        <w:tab/>
        <w:t>CitiPower</w:t>
      </w:r>
      <w:r w:rsidRPr="001A0C41">
        <w:rPr>
          <w:rStyle w:val="AERtextitalic"/>
        </w:rPr>
        <w:t>, Revised regulatory proposal 2016–2020</w:t>
      </w:r>
      <w:r>
        <w:t>, January 2016, p. 296</w:t>
      </w:r>
      <w:r w:rsidRPr="00CE5AD1">
        <w:t xml:space="preserve">; Powercor, </w:t>
      </w:r>
      <w:r w:rsidRPr="00CE5AD1">
        <w:rPr>
          <w:rStyle w:val="AERtextitalic"/>
        </w:rPr>
        <w:t>Revised regulatory proposal 2016–2020</w:t>
      </w:r>
      <w:r w:rsidRPr="00CE5AD1">
        <w:t xml:space="preserve">, January  2016, p. 290;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69–70; United Energy, </w:t>
      </w:r>
      <w:r w:rsidRPr="00CE5AD1">
        <w:rPr>
          <w:rStyle w:val="Emphasis"/>
        </w:rPr>
        <w:t>Response to AER preliminary determination–Re: rate of return and gamma</w:t>
      </w:r>
      <w:r w:rsidRPr="00CE5AD1">
        <w:t xml:space="preserve">, 6 January 2016, pp.50–51; AGN, </w:t>
      </w:r>
      <w:r w:rsidRPr="00CE5AD1">
        <w:rPr>
          <w:rStyle w:val="Emphasis"/>
        </w:rPr>
        <w:t>2016–17 to 2020/21 Access Arrangement information response to draft decision: Attachment 10.26 Response to draft decision: rate of return</w:t>
      </w:r>
      <w:r w:rsidRPr="00CE5AD1">
        <w:t xml:space="preserve">, January 2016, pp. 48–49, 55–56;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54–56;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49–50; APTNT, </w:t>
      </w:r>
      <w:r w:rsidRPr="00CE5AD1">
        <w:rPr>
          <w:rStyle w:val="Emphasis"/>
        </w:rPr>
        <w:t>Amadeus Gas Pipeline access arrangement revision proposal</w:t>
      </w:r>
      <w:r w:rsidRPr="00CE5AD1">
        <w:t>, August 2015, p. 115–120, 123–128, 128–131</w:t>
      </w:r>
      <w:r>
        <w:t>.</w:t>
      </w:r>
    </w:p>
  </w:footnote>
  <w:footnote w:id="203">
    <w:p w:rsidR="006345FD" w:rsidRDefault="006345FD" w:rsidP="00DD32A1">
      <w:pPr>
        <w:pStyle w:val="FootnoteText"/>
      </w:pPr>
      <w:r>
        <w:rPr>
          <w:rStyle w:val="FootnoteReference"/>
        </w:rPr>
        <w:footnoteRef/>
      </w:r>
      <w:r>
        <w:t xml:space="preserve"> </w:t>
      </w:r>
      <w:r>
        <w:tab/>
        <w:t xml:space="preserve">Service providers have previously submitted on the use of the Black CAPM by other regulators. For example, AusNet Services, </w:t>
      </w:r>
      <w:r w:rsidRPr="00D325AA">
        <w:rPr>
          <w:rStyle w:val="Emphasis"/>
        </w:rPr>
        <w:t>Regulatory proposal 2017–22</w:t>
      </w:r>
      <w:r>
        <w:t>, 30 October 2015, pp. 258–259.</w:t>
      </w:r>
    </w:p>
  </w:footnote>
  <w:footnote w:id="204">
    <w:p w:rsidR="006345FD" w:rsidRDefault="006345FD" w:rsidP="00DD32A1">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 40 &amp; 47.</w:t>
      </w:r>
    </w:p>
  </w:footnote>
  <w:footnote w:id="205">
    <w:p w:rsidR="006345FD" w:rsidRDefault="006345FD" w:rsidP="00DD32A1">
      <w:pPr>
        <w:pStyle w:val="FootnoteText"/>
      </w:pPr>
      <w:r>
        <w:rPr>
          <w:rStyle w:val="FootnoteReference"/>
        </w:rPr>
        <w:footnoteRef/>
      </w:r>
      <w:r>
        <w:t xml:space="preserve"> </w:t>
      </w:r>
      <w:r>
        <w:tab/>
      </w:r>
      <w:r w:rsidRPr="00CE5AD1">
        <w:t xml:space="preserve">CitiPower, </w:t>
      </w:r>
      <w:r w:rsidRPr="00CE5AD1">
        <w:rPr>
          <w:rStyle w:val="Emphasis"/>
        </w:rPr>
        <w:t>Revised regulatory proposal 2016–2020</w:t>
      </w:r>
      <w:r w:rsidRPr="00CE5AD1">
        <w:t xml:space="preserve">, January 2016, pp. 285, 297–298, 324–326; Powercor, </w:t>
      </w:r>
      <w:r w:rsidRPr="00CE5AD1">
        <w:rPr>
          <w:rStyle w:val="AERtextitalic"/>
        </w:rPr>
        <w:t>Revised regulatory proposal 2016–2020</w:t>
      </w:r>
      <w:r w:rsidRPr="00CE5AD1">
        <w:t xml:space="preserve">, January  2016, pp. 279, 291–292, 318–320;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54–56, 70–72, 104–106; United Energy, </w:t>
      </w:r>
      <w:r w:rsidRPr="00CE5AD1">
        <w:rPr>
          <w:rStyle w:val="Emphasis"/>
        </w:rPr>
        <w:t>Response to AER preliminary determination–Re: rate of return and gamma</w:t>
      </w:r>
      <w:r w:rsidRPr="00CE5AD1">
        <w:t xml:space="preserve">, 6 January 2016, pp. 38–40, 51–52, 77–78; AGN, </w:t>
      </w:r>
      <w:r w:rsidRPr="00CE5AD1">
        <w:rPr>
          <w:rStyle w:val="Emphasis"/>
        </w:rPr>
        <w:t>2016–17 to 2020/21 Access Arrangement information response to draft decision: Attachment 10.26 Response to draft decision: rate of return</w:t>
      </w:r>
      <w:r w:rsidRPr="00CE5AD1">
        <w:t xml:space="preserve">, January 2016, pp. 44–46, 56–58, 81–82;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42–45;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39–40; APTNT, </w:t>
      </w:r>
      <w:r w:rsidRPr="00CE5AD1">
        <w:rPr>
          <w:rStyle w:val="Emphasis"/>
        </w:rPr>
        <w:t>Amadeus Gas Pipeline access arrangement revision proposal</w:t>
      </w:r>
      <w:r w:rsidRPr="00CE5AD1">
        <w:t>, August 2015, pp. 122–123</w:t>
      </w:r>
      <w:r>
        <w:t>.</w:t>
      </w:r>
    </w:p>
  </w:footnote>
  <w:footnote w:id="206">
    <w:p w:rsidR="006345FD" w:rsidRDefault="006345FD" w:rsidP="00DD32A1">
      <w:pPr>
        <w:pStyle w:val="FootnoteText"/>
      </w:pPr>
      <w:r>
        <w:rPr>
          <w:rStyle w:val="FootnoteReference"/>
        </w:rPr>
        <w:footnoteRef/>
      </w:r>
      <w:r>
        <w:t xml:space="preserve"> </w:t>
      </w:r>
      <w:r>
        <w:tab/>
      </w:r>
      <w:r w:rsidRPr="00387DCE">
        <w:t xml:space="preserve">Partington and Satchell, </w:t>
      </w:r>
      <w:r w:rsidRPr="00646E62">
        <w:rPr>
          <w:rStyle w:val="Emphasis"/>
        </w:rPr>
        <w:t>Report to the AER: Cost of equity issues–2016 electricity and gas determinations</w:t>
      </w:r>
      <w:r w:rsidRPr="00387DCE">
        <w:t>, April 201</w:t>
      </w:r>
      <w:r>
        <w:t>6</w:t>
      </w:r>
      <w:r w:rsidRPr="00387DCE">
        <w:t>,</w:t>
      </w:r>
      <w:r>
        <w:t xml:space="preserve"> pp. 27–30.</w:t>
      </w:r>
    </w:p>
  </w:footnote>
  <w:footnote w:id="207">
    <w:p w:rsidR="006345FD" w:rsidRDefault="006345FD" w:rsidP="00DD32A1">
      <w:pPr>
        <w:pStyle w:val="FootnoteText"/>
      </w:pPr>
      <w:r>
        <w:rPr>
          <w:rStyle w:val="FootnoteReference"/>
        </w:rPr>
        <w:footnoteRef/>
      </w:r>
      <w:r>
        <w:t xml:space="preserve"> </w:t>
      </w:r>
      <w:r>
        <w:tab/>
        <w:t>CitiP</w:t>
      </w:r>
      <w:r w:rsidRPr="00CE5AD1">
        <w:t xml:space="preserve">ower, Revised regulatory proposal 2016–2020, January 2016, p. 286–326; Powercor, </w:t>
      </w:r>
      <w:r w:rsidRPr="00CE5AD1">
        <w:rPr>
          <w:rStyle w:val="AERtextitalic"/>
        </w:rPr>
        <w:t>Revised regulatory proposal 2016–2020</w:t>
      </w:r>
      <w:r w:rsidRPr="00CE5AD1">
        <w:t xml:space="preserve">, January  2016, pp. 280–320; ActewAGL, </w:t>
      </w:r>
      <w:r w:rsidRPr="00CE5AD1">
        <w:rPr>
          <w:rStyle w:val="Emphasis"/>
        </w:rPr>
        <w:t>Revised 2016–21 access ar</w:t>
      </w:r>
      <w:r>
        <w:rPr>
          <w:rStyle w:val="Emphasis"/>
        </w:rPr>
        <w:t>r</w:t>
      </w:r>
      <w:r w:rsidRPr="00CE5AD1">
        <w:rPr>
          <w:rStyle w:val="Emphasis"/>
        </w:rPr>
        <w:t>angement proposal Response to the AER's draft decision, Appendix 5.01 Detailed response to rate of return, gamma and inflation</w:t>
      </w:r>
      <w:r w:rsidRPr="00CE5AD1">
        <w:t xml:space="preserve">, January 2016, pp. 56–105; United Energy, </w:t>
      </w:r>
      <w:r w:rsidRPr="00CE5AD1">
        <w:rPr>
          <w:rStyle w:val="Emphasis"/>
        </w:rPr>
        <w:t>Response to AER preliminary determination–Re: rate of return and gamma</w:t>
      </w:r>
      <w:r w:rsidRPr="00CE5AD1">
        <w:t xml:space="preserve">, 6 January 2016, pp. 40–78; AGN, </w:t>
      </w:r>
      <w:r w:rsidRPr="00CE5AD1">
        <w:rPr>
          <w:rStyle w:val="Emphasis"/>
        </w:rPr>
        <w:t>2016–17 to 2020/21 Access Arrangement information response to draft decision: Attachment 10.26 Response to draft decision: rate of return</w:t>
      </w:r>
      <w:r w:rsidRPr="00CE5AD1">
        <w:t xml:space="preserve">, January 2016, pp. 46–82; JEN (Vic), </w:t>
      </w:r>
      <w:r w:rsidRPr="00CE5AD1">
        <w:rPr>
          <w:rStyle w:val="Emphasis"/>
        </w:rPr>
        <w:t>2016–20 Electricity distribution price review regulatory proposal revocation and substitution submission: Attachment 6–1 Rate of return, gamma, forecast inflation, and debt and equity raising costs,</w:t>
      </w:r>
      <w:r w:rsidRPr="00CE5AD1">
        <w:t xml:space="preserve"> 6 January 2016, pp. 46–84; AusNet Services, </w:t>
      </w:r>
      <w:r w:rsidRPr="00CE5AD1">
        <w:rPr>
          <w:rStyle w:val="Emphasis"/>
        </w:rPr>
        <w:t>Electricity distribution price review 2016–20 Re</w:t>
      </w:r>
      <w:r>
        <w:rPr>
          <w:rStyle w:val="Emphasis"/>
        </w:rPr>
        <w:t>vised regulatory proposal: Chap</w:t>
      </w:r>
      <w:r w:rsidRPr="00CE5AD1">
        <w:rPr>
          <w:rStyle w:val="Emphasis"/>
        </w:rPr>
        <w:t>ter 7 Rate of return &amp; gamma</w:t>
      </w:r>
      <w:r w:rsidRPr="00CE5AD1">
        <w:t xml:space="preserve">, 6 January 2016, pp. 38–77; APTNT, </w:t>
      </w:r>
      <w:r w:rsidRPr="00CE5AD1">
        <w:rPr>
          <w:rStyle w:val="Emphasis"/>
        </w:rPr>
        <w:t>Amadeus Gas Pipeline Access arrangement revised proposal: response to Draft Decision,</w:t>
      </w:r>
      <w:r w:rsidRPr="00CE5AD1">
        <w:t xml:space="preserve"> January 2016, pp. 68–73</w:t>
      </w:r>
      <w:r>
        <w:t>.</w:t>
      </w:r>
    </w:p>
  </w:footnote>
  <w:footnote w:id="208">
    <w:p w:rsidR="006345FD" w:rsidRDefault="006345FD" w:rsidP="00DB0499">
      <w:pPr>
        <w:pStyle w:val="FootnoteText"/>
      </w:pPr>
      <w:r>
        <w:rPr>
          <w:rStyle w:val="FootnoteReference"/>
        </w:rPr>
        <w:footnoteRef/>
      </w:r>
      <w:r>
        <w:t xml:space="preserve"> </w:t>
      </w:r>
      <w:r>
        <w:tab/>
      </w:r>
      <w:r w:rsidRPr="00507540">
        <w:t>See secti</w:t>
      </w:r>
      <w:r>
        <w:t xml:space="preserve">on </w:t>
      </w:r>
      <w:r>
        <w:fldChar w:fldCharType="begin"/>
      </w:r>
      <w:r>
        <w:instrText xml:space="preserve"> REF _Ref451416189 \r \h </w:instrText>
      </w:r>
      <w:r>
        <w:fldChar w:fldCharType="separate"/>
      </w:r>
      <w:r>
        <w:t>F.4</w:t>
      </w:r>
      <w:r>
        <w:fldChar w:fldCharType="end"/>
      </w:r>
      <w:r>
        <w:t xml:space="preserve"> for a full reference list</w:t>
      </w:r>
      <w:r w:rsidRPr="00507540">
        <w:t>.</w:t>
      </w:r>
    </w:p>
  </w:footnote>
  <w:footnote w:id="209">
    <w:p w:rsidR="006345FD" w:rsidRDefault="006345FD" w:rsidP="00DB0499">
      <w:pPr>
        <w:pStyle w:val="FootnoteText"/>
      </w:pPr>
      <w:r>
        <w:rPr>
          <w:rStyle w:val="FootnoteReference"/>
        </w:rPr>
        <w:footnoteRef/>
      </w:r>
      <w:r>
        <w:t xml:space="preserve"> </w:t>
      </w:r>
      <w:r>
        <w:tab/>
      </w:r>
      <w:r w:rsidRPr="00507540">
        <w:t xml:space="preserve">VECUA, </w:t>
      </w:r>
      <w:r w:rsidRPr="00507540">
        <w:rPr>
          <w:rStyle w:val="Emphasis"/>
        </w:rPr>
        <w:t>Submission to the AER: AER preliminary 2016-20 revenue determinations for the Victorian DNSPs</w:t>
      </w:r>
      <w:r w:rsidRPr="00507540">
        <w:t>, 6 January 2016, p. 17</w:t>
      </w:r>
      <w:r>
        <w:t xml:space="preserve">; ECCSA, </w:t>
      </w:r>
      <w:r w:rsidRPr="00DA67DD">
        <w:rPr>
          <w:rStyle w:val="AERtextitalic"/>
        </w:rPr>
        <w:t>A response to the Australian Energy Regulator draft decision on Australian Gas Networks AA2016 revenue reset</w:t>
      </w:r>
      <w:r>
        <w:t xml:space="preserve">, February 2016, p. 36; </w:t>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 xml:space="preserve">p. 3; CCP (subpanel 5), </w:t>
      </w:r>
      <w:r w:rsidRPr="00DA67DD">
        <w:rPr>
          <w:rStyle w:val="AERtextitalic"/>
        </w:rPr>
        <w:t>Transmission for the generations: Response to proposal by AusNet Services Transmission Group and AER issues paper</w:t>
      </w:r>
      <w:r>
        <w:t>, February 2016, p. 6</w:t>
      </w:r>
      <w:r w:rsidRPr="00507540">
        <w:t>. </w:t>
      </w:r>
    </w:p>
  </w:footnote>
  <w:footnote w:id="210">
    <w:p w:rsidR="006345FD" w:rsidRDefault="006345FD" w:rsidP="00DB0499">
      <w:pPr>
        <w:pStyle w:val="FootnoteText"/>
      </w:pPr>
      <w:r>
        <w:rPr>
          <w:rStyle w:val="FootnoteReference"/>
        </w:rPr>
        <w:footnoteRef/>
      </w:r>
      <w:r>
        <w:t xml:space="preserve"> </w:t>
      </w:r>
      <w:r>
        <w:tab/>
      </w:r>
      <w:r w:rsidRPr="00507540">
        <w:t xml:space="preserve">APTNT proposed a </w:t>
      </w:r>
      <w:r>
        <w:t>market risk premium</w:t>
      </w:r>
      <w:r w:rsidRPr="00507540">
        <w:t xml:space="preserve"> range of 7.48 to 8.58 per cent. See: APTNT, </w:t>
      </w:r>
      <w:r w:rsidRPr="00507540">
        <w:rPr>
          <w:rStyle w:val="Emphasis"/>
        </w:rPr>
        <w:t>Amadeus gas pipeline: revised proposal (AA information)</w:t>
      </w:r>
      <w:r w:rsidRPr="00507540">
        <w:t>, January 2016, p. 21.</w:t>
      </w:r>
    </w:p>
  </w:footnote>
  <w:footnote w:id="211">
    <w:p w:rsidR="006345FD" w:rsidRDefault="006345FD" w:rsidP="00DB0499">
      <w:pPr>
        <w:pStyle w:val="FootnoteText"/>
      </w:pPr>
      <w:r>
        <w:rPr>
          <w:rStyle w:val="FootnoteReference"/>
        </w:rPr>
        <w:footnoteRef/>
      </w:r>
      <w:r>
        <w:t xml:space="preserve"> </w:t>
      </w:r>
      <w:r>
        <w:tab/>
        <w:t xml:space="preserve">For more detail. See: section </w:t>
      </w:r>
      <w:r>
        <w:fldChar w:fldCharType="begin"/>
      </w:r>
      <w:r>
        <w:instrText xml:space="preserve"> REF _Ref448320174 \r \h </w:instrText>
      </w:r>
      <w:r>
        <w:fldChar w:fldCharType="separate"/>
      </w:r>
      <w:r>
        <w:t>C.3</w:t>
      </w:r>
      <w:r>
        <w:fldChar w:fldCharType="end"/>
      </w:r>
      <w:r>
        <w:t xml:space="preserve"> of this attachment; AER, </w:t>
      </w:r>
      <w:r w:rsidRPr="00AD44F5">
        <w:rPr>
          <w:rStyle w:val="Emphasis"/>
        </w:rPr>
        <w:t>Explanatory statement: Rate of return guideline (appendices)</w:t>
      </w:r>
      <w:r>
        <w:t xml:space="preserve">, 17 December 2013, p. 83; AER, </w:t>
      </w:r>
      <w:r w:rsidRPr="00AD44F5">
        <w:rPr>
          <w:rStyle w:val="Emphasis"/>
        </w:rPr>
        <w:t>Draft decision: SPI Networks access arrangement</w:t>
      </w:r>
      <w:r>
        <w:t xml:space="preserve">, September 2012, Appendix B.2.1. </w:t>
      </w:r>
    </w:p>
  </w:footnote>
  <w:footnote w:id="212">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 xml:space="preserve">12;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3">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51. Also see </w:t>
      </w:r>
      <w:r w:rsidRPr="00BA33A5">
        <w:t xml:space="preserve">Partington &amp; Satchell, </w:t>
      </w:r>
      <w:r w:rsidRPr="00BA33A5">
        <w:rPr>
          <w:rStyle w:val="AERtextitalic"/>
        </w:rPr>
        <w:t>Report to the AER: Analysis of criticism of 2015 determinations</w:t>
      </w:r>
      <w:r w:rsidRPr="00BA33A5">
        <w:t>, October 2015</w:t>
      </w:r>
      <w:r>
        <w:t>, p. 43.</w:t>
      </w:r>
    </w:p>
  </w:footnote>
  <w:footnote w:id="214">
    <w:p w:rsidR="006345FD" w:rsidRDefault="006345FD" w:rsidP="00DB0499">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 xml:space="preserve">6, p. 17. </w:t>
      </w:r>
    </w:p>
  </w:footnote>
  <w:footnote w:id="215">
    <w:p w:rsidR="006345FD" w:rsidRDefault="006345FD" w:rsidP="00DB0499">
      <w:pPr>
        <w:pStyle w:val="FootnoteText"/>
      </w:pPr>
      <w:r>
        <w:rPr>
          <w:rStyle w:val="FootnoteReference"/>
        </w:rPr>
        <w:footnoteRef/>
      </w:r>
      <w:r>
        <w:t xml:space="preserve"> </w:t>
      </w:r>
      <w:r>
        <w:tab/>
        <w:t>VECUA</w:t>
      </w:r>
      <w:r w:rsidRPr="006B6C65">
        <w:t xml:space="preserve">, </w:t>
      </w:r>
      <w:r w:rsidRPr="00AF0D78">
        <w:rPr>
          <w:rStyle w:val="AERtextitalic"/>
        </w:rPr>
        <w:t>Submission to the AER</w:t>
      </w:r>
      <w:r>
        <w:rPr>
          <w:rStyle w:val="AERtextitalic"/>
        </w:rPr>
        <w:t>: AER preliminary 2016-20 revenue determinations for the</w:t>
      </w:r>
      <w:r w:rsidRPr="00AF0D78">
        <w:rPr>
          <w:rStyle w:val="AERtextitalic"/>
        </w:rPr>
        <w:t xml:space="preserve"> Victorian D</w:t>
      </w:r>
      <w:r>
        <w:rPr>
          <w:rStyle w:val="AERtextitalic"/>
        </w:rPr>
        <w:t>NSPs</w:t>
      </w:r>
      <w:r w:rsidRPr="006B6C65">
        <w:t xml:space="preserve">, </w:t>
      </w:r>
      <w:r>
        <w:t>6</w:t>
      </w:r>
      <w:r w:rsidRPr="006B6C65">
        <w:t xml:space="preserve"> J</w:t>
      </w:r>
      <w:r>
        <w:t>anuary</w:t>
      </w:r>
      <w:r w:rsidRPr="006B6C65">
        <w:t xml:space="preserve"> 201</w:t>
      </w:r>
      <w:r>
        <w:t>6.</w:t>
      </w:r>
    </w:p>
  </w:footnote>
  <w:footnote w:id="216">
    <w:p w:rsidR="006345FD" w:rsidRDefault="006345FD" w:rsidP="00DB0499">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36.</w:t>
      </w:r>
    </w:p>
  </w:footnote>
  <w:footnote w:id="217">
    <w:p w:rsidR="006345FD" w:rsidRDefault="006345FD" w:rsidP="00DB0499">
      <w:pPr>
        <w:pStyle w:val="FootnoteText"/>
      </w:pPr>
      <w:r>
        <w:rPr>
          <w:rStyle w:val="FootnoteReference"/>
        </w:rPr>
        <w:footnoteRef/>
      </w:r>
      <w:r>
        <w:t xml:space="preserve"> </w:t>
      </w:r>
      <w:r>
        <w:tab/>
      </w:r>
      <w:r w:rsidRPr="004D154B">
        <w:t xml:space="preserve">Origin Energy, </w:t>
      </w:r>
      <w:r w:rsidRPr="001C360C">
        <w:rPr>
          <w:rStyle w:val="AERtextitalic"/>
        </w:rPr>
        <w:t xml:space="preserve">Re: </w:t>
      </w:r>
      <w:r w:rsidRPr="00015F48">
        <w:rPr>
          <w:rStyle w:val="AERtextitalic"/>
        </w:rPr>
        <w:t>Submission to AER preliminary decision Victorian networks</w:t>
      </w:r>
      <w:r w:rsidRPr="004D154B">
        <w:t xml:space="preserve">, </w:t>
      </w:r>
      <w:r>
        <w:t>6 January 2016</w:t>
      </w:r>
      <w:r w:rsidRPr="004D154B">
        <w:t xml:space="preserve">, </w:t>
      </w:r>
      <w:r>
        <w:t>p. 3.</w:t>
      </w:r>
    </w:p>
  </w:footnote>
  <w:footnote w:id="218">
    <w:p w:rsidR="006345FD" w:rsidRDefault="006345FD" w:rsidP="00DB0499">
      <w:pPr>
        <w:pStyle w:val="FootnoteText"/>
      </w:pPr>
      <w:r>
        <w:rPr>
          <w:rStyle w:val="FootnoteReference"/>
        </w:rPr>
        <w:footnoteRef/>
      </w:r>
      <w:r>
        <w:t xml:space="preserve"> </w:t>
      </w:r>
      <w:r>
        <w:tab/>
        <w:t xml:space="preserve">CCP (subpanel 5), </w:t>
      </w:r>
      <w:r w:rsidRPr="00DA67DD">
        <w:rPr>
          <w:rStyle w:val="AERtextitalic"/>
        </w:rPr>
        <w:t>Transmission for the generations: Response to proposal by AusNet Services Transmission Group and AER issues paper</w:t>
      </w:r>
      <w:r>
        <w:t>, February 2016, p. 6.</w:t>
      </w:r>
    </w:p>
  </w:footnote>
  <w:footnote w:id="219">
    <w:p w:rsidR="006345FD" w:rsidRDefault="006345FD" w:rsidP="00DB0499">
      <w:pPr>
        <w:pStyle w:val="FootnoteText"/>
      </w:pPr>
      <w:r>
        <w:rPr>
          <w:rStyle w:val="FootnoteReference"/>
        </w:rPr>
        <w:footnoteRef/>
      </w:r>
      <w:r>
        <w:t xml:space="preserve"> </w:t>
      </w:r>
      <w:r>
        <w:tab/>
        <w:t xml:space="preserve">See, for example, </w:t>
      </w:r>
      <w:r w:rsidRPr="00312C8A">
        <w:t xml:space="preserve">SFG, </w:t>
      </w:r>
      <w:r w:rsidRPr="00312C8A">
        <w:rPr>
          <w:rStyle w:val="AERtextitalic"/>
        </w:rPr>
        <w:t>The required return on equity for regulated gas and electricity network businesses</w:t>
      </w:r>
      <w:r>
        <w:t xml:space="preserve">, May 2014, pp. 8, 84. Service providers typically provided updated estimates based on this SFG approach and updated by Frontier Economics - see: Frontier Economics, </w:t>
      </w:r>
      <w:r w:rsidRPr="00DA67DD">
        <w:rPr>
          <w:rStyle w:val="AERtextitalic"/>
        </w:rPr>
        <w:t>The required return on equity under a foundation model approach</w:t>
      </w:r>
      <w:r>
        <w:t>, January 2016, p. 34.</w:t>
      </w:r>
    </w:p>
  </w:footnote>
  <w:footnote w:id="220">
    <w:p w:rsidR="006345FD" w:rsidRDefault="006345FD" w:rsidP="00DB0499">
      <w:pPr>
        <w:pStyle w:val="FootnoteText"/>
      </w:pPr>
      <w:r>
        <w:rPr>
          <w:rStyle w:val="FootnoteReference"/>
        </w:rPr>
        <w:footnoteRef/>
      </w:r>
      <w:r>
        <w:t xml:space="preserve"> </w:t>
      </w:r>
      <w:r>
        <w:tab/>
        <w:t>APTNT submitted that it did not use the Wright approach but rather "</w:t>
      </w:r>
      <w:r w:rsidRPr="00537CD2">
        <w:t>applies the model by making estimates of the expected return on the market, and of the risk free rate, and by estimating the market risk premium as the difference between the two</w:t>
      </w:r>
      <w:r>
        <w:t xml:space="preserve">". We do not consider that there is any substantive difference between APTNT's approach and the Wright approach. See: APTNT, </w:t>
      </w:r>
      <w:r w:rsidRPr="001C360C">
        <w:rPr>
          <w:rStyle w:val="AERtextitalic"/>
        </w:rPr>
        <w:t>Amadeus gas pipeline: Access arrangement revised proposal response to draft decision</w:t>
      </w:r>
      <w:r>
        <w:t>, January 2016, pp. 68, 75-77.</w:t>
      </w:r>
    </w:p>
  </w:footnote>
  <w:footnote w:id="221">
    <w:p w:rsidR="006345FD" w:rsidRDefault="006345FD" w:rsidP="00DB0499">
      <w:pPr>
        <w:pStyle w:val="FootnoteText"/>
      </w:pPr>
      <w:r>
        <w:rPr>
          <w:rStyle w:val="FootnoteReference"/>
        </w:rPr>
        <w:footnoteRef/>
      </w:r>
      <w:r>
        <w:t xml:space="preserve"> </w:t>
      </w:r>
      <w:r>
        <w:tab/>
        <w:t xml:space="preserve">APTNT, </w:t>
      </w:r>
      <w:r w:rsidRPr="001C360C">
        <w:rPr>
          <w:rStyle w:val="AERtextitalic"/>
        </w:rPr>
        <w:t>Amadeus gas pipeline: Access arrangement revised proposal response to draft decision</w:t>
      </w:r>
      <w:r>
        <w:t>, January 2016, pp. 75-77.</w:t>
      </w:r>
    </w:p>
  </w:footnote>
  <w:footnote w:id="222">
    <w:p w:rsidR="006345FD" w:rsidRDefault="006345FD" w:rsidP="00DB049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23">
    <w:p w:rsidR="006345FD" w:rsidRDefault="006345FD" w:rsidP="00DB0499">
      <w:pPr>
        <w:pStyle w:val="FootnoteText"/>
      </w:pPr>
      <w:r>
        <w:rPr>
          <w:rStyle w:val="FootnoteReference"/>
        </w:rPr>
        <w:footnoteRef/>
      </w:r>
      <w:r>
        <w:t xml:space="preserve"> </w:t>
      </w:r>
      <w:r>
        <w:tab/>
        <w:t xml:space="preserve">HoustonKemp, </w:t>
      </w:r>
      <w:r w:rsidRPr="009D472A">
        <w:rPr>
          <w:rStyle w:val="AERtextitalic"/>
        </w:rPr>
        <w:t>The cost of equity: Response to the AER's draft decisions for the Victorian electricity distributors, ActewAGL Distribution and Australian Gas Networks</w:t>
      </w:r>
      <w:r>
        <w:t>, January 2016, pp. 48.</w:t>
      </w:r>
    </w:p>
  </w:footnote>
  <w:footnote w:id="224">
    <w:p w:rsidR="006345FD" w:rsidRDefault="006345FD" w:rsidP="00DB0499">
      <w:pPr>
        <w:pStyle w:val="FootnoteText"/>
      </w:pPr>
      <w:r>
        <w:rPr>
          <w:rStyle w:val="FootnoteReference"/>
        </w:rPr>
        <w:footnoteRef/>
      </w:r>
      <w:r>
        <w:t xml:space="preserve"> </w:t>
      </w:r>
      <w:r>
        <w:tab/>
        <w:t>Frontier Economics, The relationship between government bond yields and the market risk premium, January 2016, p. 39.</w:t>
      </w:r>
    </w:p>
  </w:footnote>
  <w:footnote w:id="225">
    <w:p w:rsidR="006345FD" w:rsidRDefault="006345FD" w:rsidP="00DB0499">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226">
    <w:p w:rsidR="006345FD" w:rsidRDefault="006345FD" w:rsidP="00DB0499">
      <w:pPr>
        <w:pStyle w:val="FootnoteText"/>
      </w:pPr>
      <w:r>
        <w:rPr>
          <w:rStyle w:val="FootnoteReference"/>
        </w:rPr>
        <w:footnoteRef/>
      </w:r>
      <w:r>
        <w:t xml:space="preserve"> </w:t>
      </w:r>
      <w:r>
        <w:tab/>
      </w:r>
      <w:r w:rsidRPr="00652E04">
        <w:t xml:space="preserve">McKenzie and Partington, </w:t>
      </w:r>
      <w:r w:rsidRPr="00652E04">
        <w:rPr>
          <w:rStyle w:val="AERtextitalic"/>
        </w:rPr>
        <w:t>Report to the AER, Part A: Return on equity</w:t>
      </w:r>
      <w:r w:rsidRPr="00652E04">
        <w:t xml:space="preserve"> October</w:t>
      </w:r>
      <w:r w:rsidRPr="00652E04" w:rsidDel="008662AA">
        <w:t xml:space="preserve"> </w:t>
      </w:r>
      <w:r w:rsidRPr="00652E04">
        <w:t xml:space="preserve">2014, pp. 26, 31; Partington, </w:t>
      </w:r>
      <w:r w:rsidRPr="00652E04">
        <w:rPr>
          <w:rStyle w:val="AERtextitalic"/>
        </w:rPr>
        <w:t>Report to the AER: Return on equity (Updated)</w:t>
      </w:r>
      <w:r w:rsidRPr="00652E04">
        <w:t xml:space="preserve">, April 2015, pp. 46, 51; McKenzie and Partington, </w:t>
      </w:r>
      <w:r w:rsidRPr="00652E04">
        <w:rPr>
          <w:rStyle w:val="AERtextitalic"/>
        </w:rPr>
        <w:t>The DGM</w:t>
      </w:r>
      <w:r w:rsidRPr="00652E04">
        <w:t xml:space="preserve">, December 2013, pp. 8–9. Also see Partington &amp; Satchell, </w:t>
      </w:r>
      <w:r w:rsidRPr="00652E04">
        <w:rPr>
          <w:rStyle w:val="AERtextitalic"/>
        </w:rPr>
        <w:t>Report to the AER: Analysis of criticism of 2015 determinations</w:t>
      </w:r>
      <w:r w:rsidRPr="00652E04">
        <w:t>, October 2015, p. 43.</w:t>
      </w:r>
    </w:p>
  </w:footnote>
  <w:footnote w:id="227">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228">
    <w:p w:rsidR="006345FD" w:rsidRDefault="006345FD" w:rsidP="00DB0499">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229">
    <w:p w:rsidR="006345FD" w:rsidRDefault="006345FD" w:rsidP="00DB0499">
      <w:pPr>
        <w:pStyle w:val="FootnoteText"/>
      </w:pPr>
      <w:r>
        <w:rPr>
          <w:rStyle w:val="FootnoteReference"/>
        </w:rPr>
        <w:footnoteRef/>
      </w:r>
      <w:r>
        <w:t xml:space="preserve"> </w:t>
      </w:r>
      <w:r>
        <w:tab/>
        <w:t xml:space="preserve">Partington and Satchell, </w:t>
      </w:r>
      <w:r w:rsidRPr="00024F5D">
        <w:rPr>
          <w:rStyle w:val="Emphasis"/>
        </w:rPr>
        <w:t>Report to the AER: Cost of equity issues–Final decisions for the VIC DNSPs</w:t>
      </w:r>
      <w:r>
        <w:t xml:space="preserve">, April 2016, pp. 49–52. </w:t>
      </w:r>
    </w:p>
  </w:footnote>
  <w:footnote w:id="230">
    <w:p w:rsidR="006345FD" w:rsidRDefault="006345FD" w:rsidP="00DB0499">
      <w:pPr>
        <w:pStyle w:val="FootnoteText"/>
      </w:pPr>
      <w:r>
        <w:rPr>
          <w:rStyle w:val="FootnoteReference"/>
        </w:rPr>
        <w:footnoteRef/>
      </w:r>
      <w:r>
        <w:t xml:space="preserve"> </w:t>
      </w:r>
      <w:r>
        <w:tab/>
      </w:r>
      <w:r w:rsidRPr="00D52A4F">
        <w:t xml:space="preserve">Partington &amp; Satchell, </w:t>
      </w:r>
      <w:r w:rsidRPr="00D52A4F">
        <w:rPr>
          <w:rStyle w:val="AERtextitalic"/>
        </w:rPr>
        <w:t>Report to the AER: Analysis of criticism of 2015 determinations</w:t>
      </w:r>
      <w:r w:rsidRPr="00D52A4F">
        <w:t>, October 2015, pp. 45–46.</w:t>
      </w:r>
    </w:p>
  </w:footnote>
  <w:footnote w:id="231">
    <w:p w:rsidR="006345FD" w:rsidRDefault="006345FD" w:rsidP="00DB0499">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232">
    <w:p w:rsidR="006345FD" w:rsidRDefault="006345FD" w:rsidP="00DB0499">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233">
    <w:p w:rsidR="006345FD" w:rsidRDefault="006345FD" w:rsidP="00DB0499">
      <w:pPr>
        <w:pStyle w:val="FootnoteText"/>
      </w:pPr>
      <w:r>
        <w:rPr>
          <w:rStyle w:val="FootnoteReference"/>
        </w:rPr>
        <w:footnoteRef/>
      </w:r>
      <w:r>
        <w:t xml:space="preserve"> </w:t>
      </w:r>
      <w:r>
        <w:tab/>
        <w:t>More precisely, standard control network services, see: NER, cl. 6.5.2(c). For transmission network service providers the rules refer to prescribed transmission services, see NER, cl. 6A.6.2(c). For gas network service providers the rules refer to reference services, see NGR, r. 87(3).</w:t>
      </w:r>
    </w:p>
  </w:footnote>
  <w:footnote w:id="234">
    <w:p w:rsidR="006345FD" w:rsidRDefault="006345FD" w:rsidP="00DB0499">
      <w:pPr>
        <w:pStyle w:val="FootnoteText"/>
      </w:pPr>
      <w:r>
        <w:rPr>
          <w:rStyle w:val="FootnoteReference"/>
        </w:rPr>
        <w:footnoteRef/>
      </w:r>
      <w:r>
        <w:t xml:space="preserve"> </w:t>
      </w:r>
      <w:r>
        <w:tab/>
        <w:t>More precisely, an efficient business (or benchmark efficient entity) with a similar degree of risk as that which applies to CitiPower in the provision of standard control services.</w:t>
      </w:r>
    </w:p>
  </w:footnote>
  <w:footnote w:id="235">
    <w:p w:rsidR="006345FD" w:rsidRDefault="006345FD" w:rsidP="00DB0499">
      <w:pPr>
        <w:pStyle w:val="FootnoteText"/>
      </w:pPr>
      <w:r>
        <w:rPr>
          <w:rStyle w:val="FootnoteReference"/>
        </w:rPr>
        <w:footnoteRef/>
      </w:r>
      <w:r>
        <w:t xml:space="preserve"> </w:t>
      </w:r>
      <w:r>
        <w:tab/>
        <w:t xml:space="preserve">See: </w:t>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31; Partington and Satchell, </w:t>
      </w:r>
      <w:r w:rsidRPr="00DB2844">
        <w:rPr>
          <w:rStyle w:val="AERtextitalic"/>
        </w:rPr>
        <w:t>Report to the AER: Return on equity and comment on submissions in relation to JGN</w:t>
      </w:r>
      <w:r>
        <w:t xml:space="preserve">, May 2015, p. 6; </w:t>
      </w:r>
      <w:r w:rsidRPr="00BA33A5">
        <w:t xml:space="preserve">Partington &amp; Satchell, </w:t>
      </w:r>
      <w:r w:rsidRPr="00BA33A5">
        <w:rPr>
          <w:rStyle w:val="AERtextitalic"/>
        </w:rPr>
        <w:t>Report to the AER: Analysis of criticism of 2015 determinations</w:t>
      </w:r>
      <w:r w:rsidRPr="00BA33A5">
        <w:t>, October 2015</w:t>
      </w:r>
      <w:r>
        <w:t>.</w:t>
      </w:r>
    </w:p>
  </w:footnote>
  <w:footnote w:id="236">
    <w:p w:rsidR="006345FD" w:rsidRDefault="006345FD" w:rsidP="00DB0499">
      <w:pPr>
        <w:pStyle w:val="FootnoteText"/>
      </w:pPr>
      <w:r>
        <w:rPr>
          <w:rStyle w:val="FootnoteReference"/>
        </w:rPr>
        <w:footnoteRef/>
      </w:r>
      <w:r>
        <w:t xml:space="preserve"> </w:t>
      </w:r>
      <w:r>
        <w:tab/>
        <w:t>However, the Black CAPM replaces this with an assumption of unlimited ability to short sell stocks.</w:t>
      </w:r>
    </w:p>
  </w:footnote>
  <w:footnote w:id="237">
    <w:p w:rsidR="006345FD" w:rsidRDefault="006345FD" w:rsidP="00DB0499">
      <w:pPr>
        <w:pStyle w:val="FootnoteText"/>
      </w:pPr>
      <w:r>
        <w:rPr>
          <w:rStyle w:val="FootnoteReference"/>
        </w:rPr>
        <w:footnoteRef/>
      </w:r>
      <w:r>
        <w:t xml:space="preserve"> </w:t>
      </w:r>
      <w:r>
        <w:tab/>
      </w:r>
      <w:r w:rsidRPr="002B7E9B">
        <w:rPr>
          <w:rStyle w:val="AERbody"/>
          <w:sz w:val="16"/>
        </w:rPr>
        <w:t xml:space="preserve">Stakeholders, particularly service providers, sought greater certainty of process. See: </w:t>
      </w:r>
      <w:r w:rsidRPr="002B7E9B">
        <w:t xml:space="preserve">AER, </w:t>
      </w:r>
      <w:r w:rsidRPr="002B7E9B">
        <w:rPr>
          <w:rStyle w:val="AERtextitalic"/>
        </w:rPr>
        <w:t>Explanatory statement: Rate of return guideline</w:t>
      </w:r>
      <w:r w:rsidRPr="002B7E9B">
        <w:t xml:space="preserve">, December 2013, p. 51; AEMC, </w:t>
      </w:r>
      <w:r w:rsidRPr="002B7E9B">
        <w:rPr>
          <w:rStyle w:val="AERtextitalic"/>
        </w:rPr>
        <w:t>Final rule determination</w:t>
      </w:r>
      <w:r w:rsidRPr="002B7E9B">
        <w:t xml:space="preserve">, November 2012, pp. 42–43, 45, 50; RARE Infrastructure Limited, </w:t>
      </w:r>
      <w:r w:rsidRPr="002B7E9B">
        <w:rPr>
          <w:rStyle w:val="AERtextitalic"/>
        </w:rPr>
        <w:t>Submission to AER’s rate of return guidelines consultation paper</w:t>
      </w:r>
      <w:r w:rsidRPr="002B7E9B">
        <w:t xml:space="preserve">, June 2013; The Financial Investor Group, </w:t>
      </w:r>
      <w:r w:rsidRPr="002B7E9B">
        <w:rPr>
          <w:rStyle w:val="AERtextitalic"/>
        </w:rPr>
        <w:t>Response to the AER’s rate of return guidelines consultation paper</w:t>
      </w:r>
      <w:r w:rsidRPr="002B7E9B">
        <w:t xml:space="preserve">, June 2013, p. 1; ENA, </w:t>
      </w:r>
      <w:r w:rsidRPr="002B7E9B">
        <w:rPr>
          <w:rStyle w:val="AERtextitalic"/>
        </w:rPr>
        <w:t>Submission to AER’s rate of return guidelines issues paper</w:t>
      </w:r>
      <w:r w:rsidRPr="002B7E9B">
        <w:t xml:space="preserve">, February 2013, p. 4; PIAC, </w:t>
      </w:r>
      <w:r w:rsidRPr="002B7E9B">
        <w:rPr>
          <w:rStyle w:val="AERtextitalic"/>
        </w:rPr>
        <w:t>Submission to AER’s rate of return guidelines issues paper</w:t>
      </w:r>
      <w:r w:rsidRPr="002B7E9B">
        <w:t>, February 2013, p. 17.</w:t>
      </w:r>
    </w:p>
  </w:footnote>
  <w:footnote w:id="238">
    <w:p w:rsidR="006345FD" w:rsidRDefault="006345FD" w:rsidP="00DB0499">
      <w:pPr>
        <w:pStyle w:val="FootnoteText"/>
      </w:pPr>
      <w:r>
        <w:rPr>
          <w:rStyle w:val="FootnoteReference"/>
        </w:rPr>
        <w:footnoteRef/>
      </w:r>
      <w:r>
        <w:t xml:space="preserve"> </w:t>
      </w:r>
      <w:r>
        <w:tab/>
        <w:t xml:space="preserve">That is, determinations prior to the 2012 Rule change. From 2010 to early 2014,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239">
    <w:p w:rsidR="006345FD" w:rsidRDefault="006345FD" w:rsidP="00DB0499">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p>
  </w:footnote>
  <w:footnote w:id="240">
    <w:p w:rsidR="006345FD" w:rsidRDefault="006345FD" w:rsidP="00DB0499">
      <w:pPr>
        <w:pStyle w:val="FootnoteText"/>
      </w:pPr>
      <w:r>
        <w:rPr>
          <w:rStyle w:val="FootnoteReference"/>
        </w:rPr>
        <w:footnoteRef/>
      </w:r>
      <w:r>
        <w:t xml:space="preserve"> </w:t>
      </w:r>
      <w:r>
        <w:tab/>
        <w:t xml:space="preserve">As discussed in detail in section </w:t>
      </w:r>
      <w:r>
        <w:fldChar w:fldCharType="begin"/>
      </w:r>
      <w:r>
        <w:instrText xml:space="preserve"> REF _Ref446255169 \r \h </w:instrText>
      </w:r>
      <w:r>
        <w:fldChar w:fldCharType="separate"/>
      </w:r>
      <w:r>
        <w:t>G.1</w:t>
      </w:r>
      <w:r>
        <w:fldChar w:fldCharType="end"/>
      </w:r>
      <w:r>
        <w:t>,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are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241">
    <w:p w:rsidR="006345FD" w:rsidRDefault="006345FD" w:rsidP="00DB0499">
      <w:pPr>
        <w:pStyle w:val="FootnoteText"/>
      </w:pPr>
      <w:r>
        <w:rPr>
          <w:rStyle w:val="FootnoteReference"/>
        </w:rPr>
        <w:footnoteRef/>
      </w:r>
      <w:r>
        <w:t xml:space="preserve"> </w:t>
      </w:r>
      <w:r>
        <w:tab/>
        <w:t>But does not support an estimate beyond our range. We hold this view based on:</w:t>
      </w:r>
    </w:p>
    <w:p w:rsidR="006345FD" w:rsidRDefault="006345FD" w:rsidP="00DB0499">
      <w:pPr>
        <w:pStyle w:val="FootnoteText"/>
      </w:pPr>
      <w:r>
        <w:tab/>
        <w:t>(1) the outcome of our conceptual analysis that a business with a similar degree of risk as CitiPower (in providing regulated services) is likely to have an equity beta less than one;</w:t>
      </w:r>
    </w:p>
    <w:p w:rsidR="006345FD" w:rsidRDefault="006345FD" w:rsidP="00DB0499">
      <w:pPr>
        <w:pStyle w:val="FootnoteText"/>
      </w:pPr>
      <w:r>
        <w:tab/>
        <w:t>(2) our assessment of the relative merits of the material, and conclusion that greater weight should be placed on Australian empirical estimates than international estimates or the theory of the Black CAPM.</w:t>
      </w:r>
    </w:p>
  </w:footnote>
  <w:footnote w:id="242">
    <w:p w:rsidR="006345FD" w:rsidRDefault="006345FD" w:rsidP="00DB0499">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CCP2 (Bruce Mountain), </w:t>
      </w:r>
      <w:r w:rsidRPr="002A70E8">
        <w:rPr>
          <w:rStyle w:val="AERtextitalic"/>
        </w:rPr>
        <w:t>Submission on the AER’s preliminary decisions for the Qld/SA distribution network service providers (2015-20</w:t>
      </w:r>
      <w:r>
        <w:rPr>
          <w:rStyle w:val="AERtextitalic"/>
        </w:rPr>
        <w:t>)</w:t>
      </w:r>
      <w:r w:rsidRPr="002A70E8">
        <w:rPr>
          <w:rStyle w:val="AERtextitalic"/>
        </w:rPr>
        <w:t xml:space="preserve">, </w:t>
      </w:r>
      <w:r w:rsidRPr="00E4101F">
        <w:rPr>
          <w:rStyle w:val="AERtextitalic"/>
          <w:i w:val="0"/>
        </w:rPr>
        <w:t>29 July 2015, pp</w:t>
      </w:r>
      <w:r w:rsidRPr="002A70E8">
        <w:rPr>
          <w:rStyle w:val="AERtextitalic"/>
          <w:i w:val="0"/>
        </w:rPr>
        <w:t>. 10-11</w:t>
      </w:r>
      <w:r>
        <w:t xml:space="preserve">; </w:t>
      </w:r>
      <w:r w:rsidRPr="004A4DF6">
        <w:t xml:space="preserve">Origin Energy, </w:t>
      </w:r>
      <w:r w:rsidRPr="004A4DF6">
        <w:rPr>
          <w:rStyle w:val="AERtextitalic"/>
        </w:rPr>
        <w:t>Submission on the AER’s preliminary decisions on the Victorian distribution network service providers for 2016–20</w:t>
      </w:r>
      <w:r w:rsidRPr="004A4DF6">
        <w:t>, 6 January 2016, p. 3</w:t>
      </w:r>
      <w:r>
        <w:t xml:space="preserve">. SFG/Frontier submitted 0.82 (under multiple model approach for return on equity) in SFG, </w:t>
      </w:r>
      <w:r w:rsidRPr="002C4DC1">
        <w:rPr>
          <w:rStyle w:val="AERtextitalic"/>
        </w:rPr>
        <w:t>The required return on equity for the benchmark efficient entity</w:t>
      </w:r>
      <w:r>
        <w:t xml:space="preserve">, 25 February 2015, p. 20; SFG, </w:t>
      </w:r>
      <w:r w:rsidRPr="0082349C">
        <w:rPr>
          <w:rStyle w:val="AERtextitalic"/>
        </w:rPr>
        <w:t>Beta and the Black capital asset pricing model</w:t>
      </w:r>
      <w:r>
        <w:t xml:space="preserve">, 13 February 2015, p. 4; and </w:t>
      </w:r>
      <w:r w:rsidRPr="004A4DF6">
        <w:t xml:space="preserve">Frontier, </w:t>
      </w:r>
      <w:r w:rsidRPr="004A4DF6">
        <w:rPr>
          <w:rStyle w:val="AERtextitalic"/>
        </w:rPr>
        <w:t>Estimating the equity beta for the benchmark efficient entity</w:t>
      </w:r>
      <w:r w:rsidRPr="004A4DF6">
        <w:t>, January 2016, p. 3</w:t>
      </w:r>
      <w:r>
        <w:t xml:space="preserve">. SFG/Frontier submitted 0.91 (under alternative 'foundation model' approaches for return on equity) in SFG, </w:t>
      </w:r>
      <w:r w:rsidRPr="008347D0">
        <w:rPr>
          <w:rStyle w:val="AERtextitalic"/>
        </w:rPr>
        <w:t>Beta and the Black capital asset pricing model</w:t>
      </w:r>
      <w:r w:rsidRPr="009B7797">
        <w:t>, 13 February 2015, p. 35</w:t>
      </w:r>
      <w:r>
        <w:t xml:space="preserve">; </w:t>
      </w:r>
      <w:r w:rsidRPr="004A4DF6">
        <w:t xml:space="preserve">Frontier, </w:t>
      </w:r>
      <w:r w:rsidRPr="004A4DF6">
        <w:rPr>
          <w:rStyle w:val="AERtextitalic"/>
        </w:rPr>
        <w:t>The required return on equity under a foundation model approach</w:t>
      </w:r>
      <w:r w:rsidRPr="004A4DF6">
        <w:t>, January 2016, p. 11</w:t>
      </w:r>
      <w:r>
        <w:t>.</w:t>
      </w:r>
    </w:p>
  </w:footnote>
  <w:footnote w:id="243">
    <w:p w:rsidR="006345FD" w:rsidRDefault="006345FD" w:rsidP="00DB0499">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8.</w:t>
      </w:r>
    </w:p>
  </w:footnote>
  <w:footnote w:id="244">
    <w:p w:rsidR="006345FD" w:rsidRDefault="006345FD" w:rsidP="00DB0499">
      <w:pPr>
        <w:pStyle w:val="FootnoteText"/>
      </w:pPr>
      <w:r>
        <w:rPr>
          <w:rStyle w:val="FootnoteReference"/>
        </w:rPr>
        <w:footnoteRef/>
      </w:r>
      <w:r>
        <w:t xml:space="preserve"> </w:t>
      </w:r>
      <w:r>
        <w:tab/>
        <w:t>NER, cl. 6.5.2(f); NER, cl. 6A.6.2(f); NGR, r. 87(6). NEL, s.16; NGL, s. 23.</w:t>
      </w:r>
    </w:p>
  </w:footnote>
  <w:footnote w:id="245">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10–11; Frontier Economics, </w:t>
      </w:r>
      <w:r w:rsidRPr="00331E87">
        <w:rPr>
          <w:rStyle w:val="AERtextitalic"/>
        </w:rPr>
        <w:t>Estimating the equity beta for the benchmark efficient entity</w:t>
      </w:r>
      <w:r>
        <w:t xml:space="preserve">, January 2016, pp. 13–19. CitiPower, Powercor, United Energy, JEN, AusNet, AGN and ActewAGL submitted these reports with their initial and revised proposals respectively. Also see CitiPower, </w:t>
      </w:r>
      <w:r w:rsidRPr="0063316D">
        <w:rPr>
          <w:rStyle w:val="AERtextitalic"/>
        </w:rPr>
        <w:t>Revised proposal</w:t>
      </w:r>
      <w:r>
        <w:t xml:space="preserve">, January 2016, p. 311–312; Powercor, </w:t>
      </w:r>
      <w:r w:rsidRPr="00525CDC">
        <w:rPr>
          <w:rStyle w:val="AERtextitalic"/>
        </w:rPr>
        <w:t>Revised proposal</w:t>
      </w:r>
      <w:r>
        <w:t xml:space="preserve">, January 2016, pp. 305-306; United Energy, </w:t>
      </w:r>
      <w:r w:rsidRPr="00A2228D">
        <w:rPr>
          <w:rStyle w:val="AERtextitalic"/>
        </w:rPr>
        <w:t>Response to AER Preliminary Determination Re: Rate of return and gamma</w:t>
      </w:r>
      <w:r>
        <w:t xml:space="preserve">, January 2016, pp. 65-66; JEN, </w:t>
      </w:r>
      <w:r w:rsidRPr="00AC149B">
        <w:rPr>
          <w:rStyle w:val="AERtextitalic"/>
        </w:rPr>
        <w:t>Revocation and substitution submission attachment 6-1</w:t>
      </w:r>
      <w:r>
        <w:t xml:space="preserve">, January 2016, pp. 70-71; AusNet, </w:t>
      </w:r>
      <w:r w:rsidRPr="00CD12C8">
        <w:rPr>
          <w:rStyle w:val="AERtextitalic"/>
        </w:rPr>
        <w:t>Revised regulatory proposal</w:t>
      </w:r>
      <w:r>
        <w:t xml:space="preserve">, January 2016, pp. 64-65; AGN, </w:t>
      </w:r>
      <w:r w:rsidRPr="00CD12C8">
        <w:rPr>
          <w:rStyle w:val="AERtextitalic"/>
        </w:rPr>
        <w:t>Revised SA access arrangement information</w:t>
      </w:r>
      <w:r>
        <w:t xml:space="preserve"> attachment 10.26, January 2016, pp. 69-70; and ActewAGL, </w:t>
      </w:r>
      <w:r w:rsidRPr="00CD12C8">
        <w:rPr>
          <w:rStyle w:val="AERtextitalic"/>
        </w:rPr>
        <w:t>Revised 2016-21 access arrangement proposal appendix 5.01</w:t>
      </w:r>
      <w:r>
        <w:t>, January 2016, pp. 87-88.</w:t>
      </w:r>
    </w:p>
  </w:footnote>
  <w:footnote w:id="246">
    <w:p w:rsidR="006345FD" w:rsidRPr="00AD55C1" w:rsidRDefault="006345FD" w:rsidP="00AD55C1">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pp. 26–34. </w:t>
      </w:r>
      <w:r w:rsidRPr="00AD55C1">
        <w:t xml:space="preserve">. Also see CitiPower, </w:t>
      </w:r>
      <w:r w:rsidRPr="00AD55C1">
        <w:rPr>
          <w:rStyle w:val="AERtextitalic"/>
        </w:rPr>
        <w:t>Revised proposal</w:t>
      </w:r>
      <w:r w:rsidRPr="00AD55C1">
        <w:t>, January 2016, p. 312–314. Powercor, United Energy, JEN, AusNet, AGN and ActewAGL's revised proposals contain similar reasoning.</w:t>
      </w:r>
    </w:p>
    <w:p w:rsidR="006345FD" w:rsidRDefault="006345FD" w:rsidP="00AD55C1">
      <w:pPr>
        <w:pStyle w:val="FootnoteText"/>
      </w:pPr>
      <w:r w:rsidRPr="00AD55C1">
        <w:tab/>
        <w:t xml:space="preserve">Powercor, </w:t>
      </w:r>
      <w:r w:rsidRPr="00AD55C1">
        <w:rPr>
          <w:rStyle w:val="Emphasis"/>
        </w:rPr>
        <w:t>Revised regulatory proposal 2016–2020,</w:t>
      </w:r>
      <w:r w:rsidRPr="00AD55C1">
        <w:t xml:space="preserve"> January 2016, pp. 306–308; ActewAGL, </w:t>
      </w:r>
      <w:r w:rsidRPr="00AD55C1">
        <w:rPr>
          <w:rStyle w:val="Emphasis"/>
        </w:rPr>
        <w:t>Revised 2016–21 access arrangement proposal Response to the AER's draft decision, Appendix 5.01 Detailed response to rate of return, gamma and inflation</w:t>
      </w:r>
      <w:r w:rsidRPr="00AD55C1">
        <w:t xml:space="preserve">, January 2016, pp. 88–91; United Energy, </w:t>
      </w:r>
      <w:r w:rsidRPr="00AD55C1">
        <w:rPr>
          <w:rStyle w:val="Emphasis"/>
        </w:rPr>
        <w:t>Response to AER preliminary determination–Re: rate of return and gamma</w:t>
      </w:r>
      <w:r w:rsidRPr="00AD55C1">
        <w:t xml:space="preserve">, 6 January 2016, pp. 66–68; AGN, </w:t>
      </w:r>
      <w:r w:rsidRPr="00AD55C1">
        <w:rPr>
          <w:rStyle w:val="Emphasis"/>
        </w:rPr>
        <w:t>2016–17 to 2020/21 Access Arrangement information response to draft decision: Attachment 10.26 Response to draft decision: rate of return</w:t>
      </w:r>
      <w:r w:rsidRPr="00AD55C1">
        <w:t xml:space="preserve">, January 2016, pp. 70–72; JEN (Vic), </w:t>
      </w:r>
      <w:r w:rsidRPr="00AD55C1">
        <w:rPr>
          <w:rStyle w:val="Emphasis"/>
        </w:rPr>
        <w:t>2016–20 Electricity distribution price review regulatory proposal revocation and substitution submission: Attachment 6–1 Rate of return, gamma, forecast inflation, and debt and equity raising costs,</w:t>
      </w:r>
      <w:r w:rsidRPr="00AD55C1">
        <w:t xml:space="preserve"> 6 January 2016, pp. 71–73; AusNet Services, </w:t>
      </w:r>
      <w:r w:rsidRPr="00AD55C1">
        <w:rPr>
          <w:rStyle w:val="Emphasis"/>
        </w:rPr>
        <w:t>Electricity distribution price review 2016–20 Revised regulatory proposal: Chapter 7 Rate of return &amp; gamma</w:t>
      </w:r>
      <w:r w:rsidRPr="00AD55C1">
        <w:t>, 6 January 2016, pp. 65–67.</w:t>
      </w:r>
    </w:p>
  </w:footnote>
  <w:footnote w:id="247">
    <w:p w:rsidR="006345FD" w:rsidRDefault="006345FD" w:rsidP="00395B67">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310. Powercor, United Energy, JEN, AusNet, AGN and ActewAGL's revised proposals contain similar reasoning . </w:t>
      </w:r>
    </w:p>
  </w:footnote>
  <w:footnote w:id="248">
    <w:p w:rsidR="006345FD" w:rsidRDefault="006345FD" w:rsidP="00DB0499">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75–77, </w:t>
      </w:r>
      <w:r w:rsidRPr="00265193">
        <w:t xml:space="preserve">CCP2 (Bruce Mountain), </w:t>
      </w:r>
      <w:r w:rsidRPr="00EC2AA5">
        <w:rPr>
          <w:rStyle w:val="AERtextitalic"/>
        </w:rPr>
        <w:t>Submission on the AER’s preliminary decisions for the Qld/SA distribution network service providers (2015-20)</w:t>
      </w:r>
      <w:r>
        <w:t xml:space="preserve">, </w:t>
      </w:r>
      <w:r w:rsidRPr="00265193">
        <w:t>July 2015</w:t>
      </w:r>
      <w:r>
        <w:t xml:space="preserve">, pp. 9–10; CCP3, </w:t>
      </w:r>
      <w:r w:rsidRPr="005A113D">
        <w:rPr>
          <w:rStyle w:val="AERtextitalic"/>
        </w:rPr>
        <w:t>Response to AER preliminary decisions and revised proposals for Victorian electricity distribution network service providers for a revenue reset for the 2016-2020 regulatory period</w:t>
      </w:r>
      <w:r>
        <w:t xml:space="preserve">, </w:t>
      </w:r>
      <w:r w:rsidRPr="005A113D">
        <w:t>February 2016</w:t>
      </w:r>
      <w:r>
        <w:t>, pp. 92–93.</w:t>
      </w:r>
    </w:p>
  </w:footnote>
  <w:footnote w:id="249">
    <w:p w:rsidR="006345FD" w:rsidRDefault="006345FD" w:rsidP="00DB0499">
      <w:pPr>
        <w:pStyle w:val="FootnoteText"/>
      </w:pPr>
      <w:r>
        <w:rPr>
          <w:rStyle w:val="FootnoteReference"/>
        </w:rPr>
        <w:footnoteRef/>
      </w:r>
      <w:r>
        <w:t xml:space="preserve"> </w:t>
      </w:r>
      <w:r>
        <w:tab/>
        <w:t xml:space="preserve">CitiPower, </w:t>
      </w:r>
      <w:r w:rsidRPr="00525CDC">
        <w:rPr>
          <w:rStyle w:val="AERtextitalic"/>
        </w:rPr>
        <w:t>Revised proposal</w:t>
      </w:r>
      <w:r>
        <w:t>, January 2016, pp. 310–311. Powercor, United Energy, JEN, AusNet, AGN and ActewAGL's revised proposals contain similar reasoning.</w:t>
      </w:r>
    </w:p>
    <w:p w:rsidR="006345FD" w:rsidRDefault="006345FD" w:rsidP="00DB0499">
      <w:pPr>
        <w:pStyle w:val="FootnoteText"/>
      </w:pPr>
      <w:r>
        <w:tab/>
      </w:r>
      <w:r w:rsidRPr="00AD55C1">
        <w:t xml:space="preserve">Powercor, </w:t>
      </w:r>
      <w:r w:rsidRPr="00AD55C1">
        <w:rPr>
          <w:rStyle w:val="Emphasis"/>
        </w:rPr>
        <w:t>Revised regulatory proposal 2016–2020,</w:t>
      </w:r>
      <w:r w:rsidRPr="00AD55C1">
        <w:t xml:space="preserve"> January 2016, pp. 304–305; ActewAGL, </w:t>
      </w:r>
      <w:r w:rsidRPr="00AD55C1">
        <w:rPr>
          <w:rStyle w:val="Emphasis"/>
        </w:rPr>
        <w:t>Revised 2016–21 access arrangement proposal Response to the AER's draft decision, Appendix 5.01 Detailed response to rate of return, gamma and inflation</w:t>
      </w:r>
      <w:r w:rsidRPr="00AD55C1">
        <w:t xml:space="preserve">, January 2016, pp. 87–88; United Energy, </w:t>
      </w:r>
      <w:r w:rsidRPr="00AD55C1">
        <w:rPr>
          <w:rStyle w:val="Emphasis"/>
        </w:rPr>
        <w:t>Response to AER preliminary determination–Re: rate of return and gamma</w:t>
      </w:r>
      <w:r w:rsidRPr="00AD55C1">
        <w:t xml:space="preserve">, 6 January 2016, pp. 64–65; AGN, </w:t>
      </w:r>
      <w:r w:rsidRPr="00AD55C1">
        <w:rPr>
          <w:rStyle w:val="Emphasis"/>
        </w:rPr>
        <w:t>2016–17 to 2020/21 Access Arrangement information response to draft decision: Attachment 10.26 Response to draft decision: rate of return</w:t>
      </w:r>
      <w:r w:rsidRPr="00AD55C1">
        <w:t xml:space="preserve">, January 2016, pp. 69–70; JEN (Vic), </w:t>
      </w:r>
      <w:r w:rsidRPr="00AD55C1">
        <w:rPr>
          <w:rStyle w:val="Emphasis"/>
        </w:rPr>
        <w:t>2016–20 Electricity distribution price review regulatory proposal revocation and substitution submission: Attachment 6–1 Rate of return, gamma, forecast inflation, and debt and equity raising costs,</w:t>
      </w:r>
      <w:r w:rsidRPr="00AD55C1">
        <w:t xml:space="preserve"> 6 January 2016, pp. 69–70; AusNet Services, </w:t>
      </w:r>
      <w:r w:rsidRPr="00AD55C1">
        <w:rPr>
          <w:rStyle w:val="Emphasis"/>
        </w:rPr>
        <w:t>Electricity distribution price review 2016–20 Revised regulatory proposal: Chapter 7 Rate of return &amp; gamma</w:t>
      </w:r>
      <w:r w:rsidRPr="00AD55C1">
        <w:t>, 6 January 2016, pp. 63–64.</w:t>
      </w:r>
    </w:p>
  </w:footnote>
  <w:footnote w:id="250">
    <w:p w:rsidR="006345FD" w:rsidRDefault="006345FD" w:rsidP="00DB0499">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xml:space="preserve">, January 2016, p. 4. </w:t>
      </w:r>
    </w:p>
  </w:footnote>
  <w:footnote w:id="251">
    <w:p w:rsidR="006345FD" w:rsidRDefault="006345FD" w:rsidP="00DB0499">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 APTNT submitted this report with its initial proposal.</w:t>
      </w:r>
    </w:p>
  </w:footnote>
  <w:footnote w:id="252">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pp. 29–30. </w:t>
      </w:r>
    </w:p>
  </w:footnote>
  <w:footnote w:id="253">
    <w:p w:rsidR="006345FD" w:rsidRDefault="006345FD" w:rsidP="00DB0499">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46. CitiPower, Powercor, United Energy, JEN, AusNet, AGN and ActewAGL submitted this report with their revised proposals. Also see Frontier Economics, </w:t>
      </w:r>
      <w:r w:rsidRPr="00331E87">
        <w:rPr>
          <w:rStyle w:val="AERtextitalic"/>
        </w:rPr>
        <w:t>Estimating the equity beta for the benchmark efficient entity</w:t>
      </w:r>
      <w:r>
        <w:t>, January 2016, pp. 5–6.</w:t>
      </w:r>
    </w:p>
  </w:footnote>
  <w:footnote w:id="254">
    <w:p w:rsidR="006345FD" w:rsidRDefault="006345FD" w:rsidP="00DB0499">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10.</w:t>
      </w:r>
    </w:p>
  </w:footnote>
  <w:footnote w:id="255">
    <w:p w:rsidR="006345FD" w:rsidRDefault="006345FD" w:rsidP="00DB0499">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 91.</w:t>
      </w:r>
    </w:p>
  </w:footnote>
  <w:footnote w:id="256">
    <w:p w:rsidR="006345FD" w:rsidRDefault="006345FD" w:rsidP="00DB0499">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Frontier Economics, </w:t>
      </w:r>
      <w:r w:rsidRPr="00A357BE">
        <w:rPr>
          <w:rStyle w:val="AERtextitalic"/>
        </w:rPr>
        <w:t>Estimating the equity beta for the benchmark efficient entity</w:t>
      </w:r>
      <w:r>
        <w:t>, January 2016, p</w:t>
      </w:r>
      <w:r w:rsidRPr="00A357BE">
        <w:t xml:space="preserve">. </w:t>
      </w:r>
      <w:r>
        <w:t xml:space="preserve">6;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257">
    <w:p w:rsidR="006345FD" w:rsidRDefault="006345FD" w:rsidP="00DB0499">
      <w:pPr>
        <w:pStyle w:val="FootnoteText"/>
      </w:pPr>
      <w:r>
        <w:rPr>
          <w:rStyle w:val="FootnoteReference"/>
        </w:rPr>
        <w:footnoteRef/>
      </w:r>
      <w:r>
        <w:t xml:space="preserve"> </w:t>
      </w:r>
      <w:r>
        <w:tab/>
        <w:t xml:space="preserve">CitiPower, </w:t>
      </w:r>
      <w:r w:rsidRPr="00525CDC">
        <w:rPr>
          <w:rStyle w:val="AERtextitalic"/>
        </w:rPr>
        <w:t>Revised proposal</w:t>
      </w:r>
      <w:r>
        <w:t xml:space="preserve">, January 2016, p. 314; Powercor, </w:t>
      </w:r>
      <w:r w:rsidRPr="00525CDC">
        <w:rPr>
          <w:rStyle w:val="AERtextitalic"/>
        </w:rPr>
        <w:t>Revised proposal</w:t>
      </w:r>
      <w:r>
        <w:t xml:space="preserve">, January 2016, p. 308; United Energy, </w:t>
      </w:r>
      <w:r w:rsidRPr="00AC149B">
        <w:rPr>
          <w:rStyle w:val="AERtextitalic"/>
        </w:rPr>
        <w:t>Response to AER preliminary decision re rate of return, gamma</w:t>
      </w:r>
      <w:r>
        <w:t xml:space="preserve">, January 2016, p. 68; JEN, </w:t>
      </w:r>
      <w:r w:rsidRPr="00AC149B">
        <w:rPr>
          <w:rStyle w:val="AERtextitalic"/>
        </w:rPr>
        <w:t>Revocation and substitution submission attachment 6-1</w:t>
      </w:r>
      <w:r>
        <w:t xml:space="preserve">, January 2016, p. 73; AusNet, </w:t>
      </w:r>
      <w:r w:rsidRPr="00CD12C8">
        <w:rPr>
          <w:rStyle w:val="AERtextitalic"/>
        </w:rPr>
        <w:t>Revised regulatory proposal</w:t>
      </w:r>
      <w:r>
        <w:t xml:space="preserve">, January 2016, p. 7-67; AGN, </w:t>
      </w:r>
      <w:r w:rsidRPr="00CD12C8">
        <w:rPr>
          <w:rStyle w:val="AERtextitalic"/>
        </w:rPr>
        <w:t>Revised SA access arrangement information</w:t>
      </w:r>
      <w:r>
        <w:t xml:space="preserve">, January 2016, p. 72; ActewAGL, </w:t>
      </w:r>
      <w:r w:rsidRPr="00CD12C8">
        <w:rPr>
          <w:rStyle w:val="AERtextitalic"/>
        </w:rPr>
        <w:t>Revised 2016-21 access arrangement proposal appendix 5.01</w:t>
      </w:r>
      <w:r>
        <w:t>, January 2016, pp. 91-92.</w:t>
      </w:r>
    </w:p>
  </w:footnote>
  <w:footnote w:id="258">
    <w:p w:rsidR="006345FD" w:rsidRDefault="006345FD" w:rsidP="00DB0499">
      <w:pPr>
        <w:pStyle w:val="FootnoteText"/>
      </w:pPr>
      <w:r>
        <w:rPr>
          <w:rStyle w:val="FootnoteReference"/>
        </w:rPr>
        <w:footnoteRef/>
      </w:r>
      <w:r>
        <w:t xml:space="preserve"> </w:t>
      </w:r>
      <w:r>
        <w:tab/>
        <w:t xml:space="preserve">See Henry, </w:t>
      </w:r>
      <w:r w:rsidRPr="00880024">
        <w:rPr>
          <w:rStyle w:val="AERtextitalic"/>
        </w:rPr>
        <w:t xml:space="preserve">Estimating </w:t>
      </w:r>
      <w:r w:rsidRPr="00316ED3">
        <w:rPr>
          <w:rStyle w:val="AERtextitalic"/>
        </w:rPr>
        <w:t>β</w:t>
      </w:r>
      <w:r w:rsidRPr="00880024">
        <w:rPr>
          <w:rStyle w:val="AERtextitalic"/>
        </w:rPr>
        <w:t>: An update</w:t>
      </w:r>
      <w:r>
        <w:t>, April 2014, p. 35.</w:t>
      </w:r>
    </w:p>
  </w:footnote>
  <w:footnote w:id="259">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February 2015, p. 31; Frontier Economics, </w:t>
      </w:r>
      <w:r w:rsidRPr="00331E87">
        <w:rPr>
          <w:rStyle w:val="AERtextitalic"/>
        </w:rPr>
        <w:t>Estimating the equity beta for the benchmark efficient entity</w:t>
      </w:r>
      <w:r>
        <w:t xml:space="preserve">, January 2016, pp. 4–5. </w:t>
      </w:r>
    </w:p>
  </w:footnote>
  <w:footnote w:id="260">
    <w:p w:rsidR="006345FD" w:rsidRDefault="006345FD" w:rsidP="00DB0499">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 39. </w:t>
      </w:r>
    </w:p>
  </w:footnote>
  <w:footnote w:id="261">
    <w:p w:rsidR="006345FD" w:rsidRPr="001715C1" w:rsidRDefault="006345FD" w:rsidP="001715C1">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10–11. </w:t>
      </w:r>
      <w:r w:rsidRPr="001715C1">
        <w:t xml:space="preserve">Also see CitiPower, </w:t>
      </w:r>
      <w:r w:rsidRPr="001715C1">
        <w:rPr>
          <w:rStyle w:val="AERtextitalic"/>
        </w:rPr>
        <w:t>Revised proposal</w:t>
      </w:r>
      <w:r w:rsidRPr="001715C1">
        <w:t>, January 2016, p. 311–312. Powercor, United Energy, JEN, AusNet, AGN and ActewAGL's revised proposals contain similar reasoning.</w:t>
      </w:r>
    </w:p>
    <w:p w:rsidR="006345FD" w:rsidRDefault="006345FD" w:rsidP="001715C1">
      <w:pPr>
        <w:pStyle w:val="FootnoteText"/>
      </w:pPr>
      <w:r w:rsidRPr="001715C1">
        <w:tab/>
        <w:t xml:space="preserve">Powercor, </w:t>
      </w:r>
      <w:r w:rsidRPr="001715C1">
        <w:rPr>
          <w:rStyle w:val="Emphasis"/>
        </w:rPr>
        <w:t>Revised regulatory proposal 2016–2020,</w:t>
      </w:r>
      <w:r w:rsidRPr="001715C1">
        <w:t xml:space="preserve"> January 2016, pp. 305–308; ActewAGL, </w:t>
      </w:r>
      <w:r w:rsidRPr="001715C1">
        <w:rPr>
          <w:rStyle w:val="Emphasis"/>
        </w:rPr>
        <w:t>Revised 2016–21 access arrangement proposal Response to the AER's draft decision, Appendix 5.01 Detailed response to rate of return, gamma and inflation</w:t>
      </w:r>
      <w:r w:rsidRPr="001715C1">
        <w:t xml:space="preserve">, January 2016, pp. 87–89; United Energy, </w:t>
      </w:r>
      <w:r w:rsidRPr="001715C1">
        <w:rPr>
          <w:rStyle w:val="Emphasis"/>
        </w:rPr>
        <w:t>Response to AER preliminary determination–Re: rate of return and gamma</w:t>
      </w:r>
      <w:r w:rsidRPr="001715C1">
        <w:t xml:space="preserve">, 6 January 2016, pp. 65–66; AGN, </w:t>
      </w:r>
      <w:r w:rsidRPr="001715C1">
        <w:rPr>
          <w:rStyle w:val="Emphasis"/>
        </w:rPr>
        <w:t>2016–17 to 2020/21 Access Arrangement information response to draft decision: Attachment 10.26 Response to draft decision: rate of return</w:t>
      </w:r>
      <w:r w:rsidRPr="001715C1">
        <w:t xml:space="preserve">, January 2016, pp. 69–71; JEN (Vic), </w:t>
      </w:r>
      <w:r w:rsidRPr="001715C1">
        <w:rPr>
          <w:rStyle w:val="Emphasis"/>
        </w:rPr>
        <w:t>2016–20 Electricity distribution price review regulatory proposal revocation and substitution submission: Attachment 6–1 Rate of return, gamma, forecast inflation, and debt and equity raising costs,</w:t>
      </w:r>
      <w:r w:rsidRPr="001715C1">
        <w:t xml:space="preserve"> 6 January 2016, pp. 70–72; AusNet Services, </w:t>
      </w:r>
      <w:r w:rsidRPr="001715C1">
        <w:rPr>
          <w:rStyle w:val="Emphasis"/>
        </w:rPr>
        <w:t>Electricity distribution price review 2016–20 Revised regulatory proposal: Chapter 7 Rate of return &amp; gamma</w:t>
      </w:r>
      <w:r w:rsidRPr="001715C1">
        <w:t>, 6 January 2016, pp. 64–65.</w:t>
      </w:r>
    </w:p>
  </w:footnote>
  <w:footnote w:id="262">
    <w:p w:rsidR="006345FD" w:rsidRDefault="006345FD" w:rsidP="00DB0499">
      <w:pPr>
        <w:pStyle w:val="FootnoteText"/>
      </w:pPr>
      <w:r>
        <w:rPr>
          <w:rStyle w:val="FootnoteReference"/>
        </w:rPr>
        <w:footnoteRef/>
      </w:r>
      <w:r>
        <w:t xml:space="preserve"> </w:t>
      </w:r>
      <w:r>
        <w:tab/>
      </w:r>
      <w:r w:rsidRPr="00C54839">
        <w:t xml:space="preserve">VECUA, </w:t>
      </w:r>
      <w:r w:rsidRPr="0063316D">
        <w:rPr>
          <w:rStyle w:val="AERtextitalic"/>
        </w:rPr>
        <w:t>Submission on the AER: AER preliminary 2016–20 revenue determinations for the Victorian DNSPs</w:t>
      </w:r>
      <w:r w:rsidRPr="00C54839">
        <w:t>, January 2016</w:t>
      </w:r>
      <w:r>
        <w:t>, pp. 17–18.</w:t>
      </w:r>
    </w:p>
  </w:footnote>
  <w:footnote w:id="263">
    <w:p w:rsidR="006345FD" w:rsidRDefault="006345FD" w:rsidP="00DB0499">
      <w:pPr>
        <w:pStyle w:val="FootnoteText"/>
      </w:pPr>
      <w:r>
        <w:rPr>
          <w:rStyle w:val="FootnoteReference"/>
        </w:rPr>
        <w:footnoteRef/>
      </w:r>
      <w:r>
        <w:t xml:space="preserve"> </w:t>
      </w:r>
      <w:r>
        <w:tab/>
        <w:t xml:space="preserve">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pp. 89–94.</w:t>
      </w:r>
    </w:p>
  </w:footnote>
  <w:footnote w:id="264">
    <w:p w:rsidR="006345FD" w:rsidRDefault="006345FD" w:rsidP="00DB0499">
      <w:pPr>
        <w:pStyle w:val="FootnoteText"/>
      </w:pPr>
      <w:r>
        <w:rPr>
          <w:rStyle w:val="FootnoteReference"/>
        </w:rPr>
        <w:footnoteRef/>
      </w:r>
      <w:r>
        <w:t xml:space="preserve"> </w:t>
      </w:r>
      <w:r>
        <w:tab/>
        <w:t xml:space="preserve">See Vo, Mero, Gellard, </w:t>
      </w:r>
      <w:r w:rsidRPr="005A113D">
        <w:rPr>
          <w:rStyle w:val="AERtextitalic"/>
        </w:rPr>
        <w:t>Equity beta for the Australian utilities is well below 1.0</w:t>
      </w:r>
      <w:r>
        <w:t xml:space="preserve">, March 2014. In this report, tables 1–12 and figures 1–8 appear to be the same as tables 19–29, 37, and figures 19–26 in the ERA's rate of return guideline (see ERA, </w:t>
      </w:r>
      <w:r w:rsidRPr="005A113D">
        <w:rPr>
          <w:rStyle w:val="AERtextitalic"/>
        </w:rPr>
        <w:t>Explanatory statement for the rate of return guidelines</w:t>
      </w:r>
      <w:r>
        <w:t xml:space="preserve">, December 2013, pp. 167–196).  </w:t>
      </w:r>
    </w:p>
  </w:footnote>
  <w:footnote w:id="265">
    <w:p w:rsidR="006345FD" w:rsidRDefault="006345FD" w:rsidP="00DB0499">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 CitiPower, Powercor, JEN and United Energy submitted this report with their initial proposals.</w:t>
      </w:r>
    </w:p>
  </w:footnote>
  <w:footnote w:id="266">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46–50. </w:t>
      </w:r>
    </w:p>
  </w:footnote>
  <w:footnote w:id="267">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18; Frontier Economics, </w:t>
      </w:r>
      <w:r>
        <w:rPr>
          <w:rStyle w:val="AERtextitalic"/>
        </w:rPr>
        <w:t>The required return on equity under a foundation model approach</w:t>
      </w:r>
      <w:r>
        <w:t xml:space="preserve">, January 2016, pp. 50–51. </w:t>
      </w:r>
    </w:p>
  </w:footnote>
  <w:footnote w:id="268">
    <w:p w:rsidR="006345FD" w:rsidRDefault="006345FD" w:rsidP="00DB0499">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40–41. Also see CitiPower, </w:t>
      </w:r>
      <w:r w:rsidRPr="00525CDC">
        <w:rPr>
          <w:rStyle w:val="AERtextitalic"/>
        </w:rPr>
        <w:t>Revised proposal</w:t>
      </w:r>
      <w:r>
        <w:t xml:space="preserve">, January 2016, pp. 315–316; Powercor, </w:t>
      </w:r>
      <w:r w:rsidRPr="00525CDC">
        <w:rPr>
          <w:rStyle w:val="AERtextitalic"/>
        </w:rPr>
        <w:t>Revised proposal</w:t>
      </w:r>
      <w:r>
        <w:t xml:space="preserve">, January 2016, pp. 309-310; United Energy, </w:t>
      </w:r>
      <w:r w:rsidRPr="00AC149B">
        <w:rPr>
          <w:rStyle w:val="AERtextitalic"/>
        </w:rPr>
        <w:t>Response to AER preliminary decision re rate of return, gamma</w:t>
      </w:r>
      <w:r>
        <w:t xml:space="preserve">, January 2016, pp. 68-70; JEN, </w:t>
      </w:r>
      <w:r w:rsidRPr="00AC149B">
        <w:rPr>
          <w:rStyle w:val="AERtextitalic"/>
        </w:rPr>
        <w:t>Revocation and substitution submission attachment 6-1</w:t>
      </w:r>
      <w:r>
        <w:t xml:space="preserve">, January 2016, pp. 74-75; AusNet, </w:t>
      </w:r>
      <w:r w:rsidRPr="00CD12C8">
        <w:rPr>
          <w:rStyle w:val="AERtextitalic"/>
        </w:rPr>
        <w:t>Revised regulatory proposal</w:t>
      </w:r>
      <w:r>
        <w:t xml:space="preserve">, January 2016, pp. 7-67 to 7-69; AGN, </w:t>
      </w:r>
      <w:r w:rsidRPr="00CD12C8">
        <w:rPr>
          <w:rStyle w:val="AERtextitalic"/>
        </w:rPr>
        <w:t>Revised SA access arrangement information</w:t>
      </w:r>
      <w:r>
        <w:t>, January 2016, pp. 73-4;</w:t>
      </w:r>
      <w:r w:rsidRPr="009C72A1">
        <w:t xml:space="preserve"> </w:t>
      </w:r>
      <w:r>
        <w:t xml:space="preserve">ActewAGL, </w:t>
      </w:r>
      <w:r w:rsidRPr="00CD12C8">
        <w:rPr>
          <w:rStyle w:val="AERtextitalic"/>
        </w:rPr>
        <w:t>Revised 2016-21 access arrangement proposal appendix 5.01</w:t>
      </w:r>
      <w:r>
        <w:t>, January 2016, pp. 92-94.</w:t>
      </w:r>
    </w:p>
  </w:footnote>
  <w:footnote w:id="269">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Frontier Economics, </w:t>
      </w:r>
      <w:r>
        <w:rPr>
          <w:rStyle w:val="AERtextitalic"/>
        </w:rPr>
        <w:t>The required return on equity under a foundation model approach</w:t>
      </w:r>
      <w:r>
        <w:t xml:space="preserve">, January 2016, pp. 40–41. </w:t>
      </w:r>
    </w:p>
    <w:p w:rsidR="006345FD" w:rsidRPr="001715C1" w:rsidRDefault="006345FD" w:rsidP="001715C1">
      <w:pPr>
        <w:pStyle w:val="FootnoteText"/>
      </w:pPr>
      <w:r>
        <w:tab/>
      </w:r>
      <w:r w:rsidRPr="001715C1">
        <w:t xml:space="preserve">Also see CitiPower, </w:t>
      </w:r>
      <w:r w:rsidRPr="001715C1">
        <w:rPr>
          <w:rStyle w:val="AERtextitalic"/>
        </w:rPr>
        <w:t>Revised proposal</w:t>
      </w:r>
      <w:r w:rsidRPr="001715C1">
        <w:t>, January 2016, pp. 315–316. Powercor, United Energy, JEN, AusNet, AGN and ActewAGL's revised proposals contain similar reasoning.</w:t>
      </w:r>
    </w:p>
    <w:p w:rsidR="006345FD" w:rsidRDefault="006345FD" w:rsidP="001715C1">
      <w:pPr>
        <w:pStyle w:val="FootnoteText"/>
      </w:pPr>
      <w:r w:rsidRPr="001715C1">
        <w:tab/>
        <w:t xml:space="preserve">Powercor, </w:t>
      </w:r>
      <w:r w:rsidRPr="001715C1">
        <w:rPr>
          <w:rStyle w:val="Emphasis"/>
        </w:rPr>
        <w:t>Revised regulatory proposal 2016–2020,</w:t>
      </w:r>
      <w:r w:rsidRPr="001715C1">
        <w:t xml:space="preserve"> January 2016, pp. 309–310; ActewAGL, </w:t>
      </w:r>
      <w:r w:rsidRPr="001715C1">
        <w:rPr>
          <w:rStyle w:val="Emphasis"/>
        </w:rPr>
        <w:t>Revised 2016–21 access arrangement proposal Response to the AER's draft decision, Appendix 5.01 Detailed response to rate of return, gamma and inflation</w:t>
      </w:r>
      <w:r w:rsidRPr="001715C1">
        <w:t xml:space="preserve">, January 2016, pp. 93–94; United Energy, </w:t>
      </w:r>
      <w:r w:rsidRPr="001715C1">
        <w:rPr>
          <w:rStyle w:val="Emphasis"/>
        </w:rPr>
        <w:t>Response to AER preliminary determination–Re: rate of return and gamma</w:t>
      </w:r>
      <w:r w:rsidRPr="001715C1">
        <w:t xml:space="preserve">, 6 January 2016, pp. 69–70; AGN, </w:t>
      </w:r>
      <w:r w:rsidRPr="001715C1">
        <w:rPr>
          <w:rStyle w:val="Emphasis"/>
        </w:rPr>
        <w:t>2016–17 to 2020/21 Access Arrangement information response to draft decision: Attachment 10.26 Response to draft decision: rate of return</w:t>
      </w:r>
      <w:r w:rsidRPr="001715C1">
        <w:t xml:space="preserve">, January 2016, pp. 73–74; JEN (Vic), </w:t>
      </w:r>
      <w:r w:rsidRPr="001715C1">
        <w:rPr>
          <w:rStyle w:val="Emphasis"/>
        </w:rPr>
        <w:t>2016–20 Electricity distribution price review regulatory proposal revocation and substitution submission: Attachment 6–1 Rate of return, gamma, forecast inflation, and debt and equity raising costs,</w:t>
      </w:r>
      <w:r w:rsidRPr="001715C1">
        <w:t xml:space="preserve"> 6 January 2016, pp. 74–75; AusNet Services, </w:t>
      </w:r>
      <w:r w:rsidRPr="001715C1">
        <w:rPr>
          <w:rStyle w:val="Emphasis"/>
        </w:rPr>
        <w:t>Electricity distribution price review 2016–20 Revised regulatory proposal: Chapter 7 Rate of return &amp; gamma</w:t>
      </w:r>
      <w:r w:rsidRPr="001715C1">
        <w:t>, 6 January 2016, pp. 68–69.</w:t>
      </w:r>
    </w:p>
  </w:footnote>
  <w:footnote w:id="270">
    <w:p w:rsidR="006345FD" w:rsidRDefault="006345FD" w:rsidP="00DB0499">
      <w:pPr>
        <w:pStyle w:val="FootnoteText"/>
      </w:pPr>
      <w:r>
        <w:rPr>
          <w:rStyle w:val="FootnoteReference"/>
        </w:rPr>
        <w:footnoteRef/>
      </w:r>
      <w:r>
        <w:t xml:space="preserve"> </w:t>
      </w:r>
      <w:r>
        <w:tab/>
        <w:t xml:space="preserve">In its report 'Beta and the Black CAPM', SFG recommends using empirical results from the Black CAPM to adjust the Sharpe-Lintner CAPM equity beta estimate to 0.91 (see SFG, </w:t>
      </w:r>
      <w:r w:rsidRPr="007D21B8">
        <w:rPr>
          <w:rStyle w:val="AERtextitalic"/>
        </w:rPr>
        <w:t>Beta and the Black capital asset pricing model</w:t>
      </w:r>
      <w:r>
        <w:t xml:space="preserve">, February 2015, pp. 32–35). In its report 'The required return on equity under a foundation model approach', Frontier Economics (previously SFG) recommends using empirical results from the Black CAPM to adjust the Sharpe-Lintner CAPM equity beta estimate for 'low beta bias', which results in an equity beta estimate of 0.88 (this excludes the subsequent adjustment for 'book-to-market bias using the Fama French model) (see Frontier, </w:t>
      </w:r>
      <w:r w:rsidRPr="00134A40">
        <w:rPr>
          <w:rStyle w:val="AERtextitalic"/>
        </w:rPr>
        <w:t>The required return on equity under a foundation model approach</w:t>
      </w:r>
      <w:r>
        <w:t>, January 2016, pp. 52–57).</w:t>
      </w:r>
    </w:p>
  </w:footnote>
  <w:footnote w:id="271">
    <w:p w:rsidR="006345FD" w:rsidRDefault="006345FD" w:rsidP="00DB0499">
      <w:pPr>
        <w:pStyle w:val="FootnoteText"/>
      </w:pPr>
      <w:r>
        <w:rPr>
          <w:rStyle w:val="FootnoteReference"/>
        </w:rPr>
        <w:footnoteRef/>
      </w:r>
      <w:r>
        <w:t xml:space="preserve"> </w:t>
      </w:r>
      <w:r>
        <w:tab/>
        <w:t xml:space="preserve">See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xml:space="preserve">, p. 10;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89–90. </w:t>
      </w:r>
    </w:p>
  </w:footnote>
  <w:footnote w:id="272">
    <w:p w:rsidR="006345FD" w:rsidRDefault="006345FD" w:rsidP="00DB0499">
      <w:pPr>
        <w:pStyle w:val="FootnoteText"/>
      </w:pPr>
      <w:r>
        <w:rPr>
          <w:rStyle w:val="FootnoteReference"/>
        </w:rPr>
        <w:footnoteRef/>
      </w:r>
      <w:r>
        <w:t xml:space="preserve"> </w:t>
      </w:r>
      <w:r>
        <w:tab/>
        <w:t>This assumption</w:t>
      </w:r>
      <w:r w:rsidRPr="00A55687">
        <w:t xml:space="preserve"> allows for unlimited borrowing and lending at the risk free rate.</w:t>
      </w:r>
      <w:r>
        <w:t xml:space="preserve"> However, the Black CAPM replaces this with an assumption of unlimited ability to short sell stocks.</w:t>
      </w:r>
    </w:p>
  </w:footnote>
  <w:footnote w:id="273">
    <w:p w:rsidR="006345FD" w:rsidRDefault="006345FD" w:rsidP="00DB0499">
      <w:pPr>
        <w:pStyle w:val="FootnoteText"/>
      </w:pPr>
      <w:r>
        <w:rPr>
          <w:rStyle w:val="FootnoteReference"/>
        </w:rPr>
        <w:footnoteRef/>
      </w:r>
      <w:r>
        <w:t xml:space="preserve"> </w:t>
      </w:r>
      <w:r>
        <w:tab/>
        <w:t xml:space="preserve">Partington, </w:t>
      </w:r>
      <w:r w:rsidRPr="00E02203">
        <w:rPr>
          <w:rStyle w:val="AERtextitalic"/>
        </w:rPr>
        <w:t>Report to the AER: Return on equity (updated)</w:t>
      </w:r>
      <w:r>
        <w:t xml:space="preserve">, April 2015, p. 33; Handley, </w:t>
      </w:r>
      <w:r w:rsidRPr="00E02203">
        <w:rPr>
          <w:rStyle w:val="AERtextitalic"/>
        </w:rPr>
        <w:t>Advice on the return on equity</w:t>
      </w:r>
      <w:r>
        <w:t xml:space="preserve">, October 2014, p. 5. Both consultants reiterated their support for our foundation model approach in their subsequent reports (see Partington and Satchell, </w:t>
      </w:r>
      <w:r w:rsidRPr="00E02203">
        <w:rPr>
          <w:rStyle w:val="AERtextitalic"/>
        </w:rPr>
        <w:t>Return on equity and comment on submissions in relation to JGN</w:t>
      </w:r>
      <w:r>
        <w:t xml:space="preserve">, May 2015, p. 6; Partington and Satchell, </w:t>
      </w:r>
      <w:r w:rsidRPr="00E02203">
        <w:rPr>
          <w:rStyle w:val="AERtextitalic"/>
        </w:rPr>
        <w:t>Report to the AER: Analysis of criticism of 2015 determinations</w:t>
      </w:r>
      <w:r>
        <w:t xml:space="preserve">, October 2015, p. 15; Handley, </w:t>
      </w:r>
      <w:r w:rsidRPr="00E02203">
        <w:rPr>
          <w:rStyle w:val="AERtextitalic"/>
        </w:rPr>
        <w:t>Advice on the rate of return for the 2015 AER energy network determination for Jemena Gas Networks</w:t>
      </w:r>
      <w:r>
        <w:t xml:space="preserve">, May 2015, p. 28). </w:t>
      </w:r>
    </w:p>
  </w:footnote>
  <w:footnote w:id="274">
    <w:p w:rsidR="006345FD" w:rsidRDefault="006345FD" w:rsidP="00DB0499">
      <w:pPr>
        <w:pStyle w:val="FootnoteText"/>
      </w:pPr>
      <w:r>
        <w:rPr>
          <w:rStyle w:val="FootnoteReference"/>
        </w:rPr>
        <w:footnoteRef/>
      </w:r>
      <w:r>
        <w:t xml:space="preserve"> </w:t>
      </w:r>
      <w:r>
        <w:tab/>
        <w:t xml:space="preserve">See </w:t>
      </w:r>
      <w:r w:rsidRPr="005C696D">
        <w:t xml:space="preserve">VECUA, </w:t>
      </w:r>
      <w:r w:rsidRPr="0063316D">
        <w:rPr>
          <w:rStyle w:val="AERtextitalic"/>
        </w:rPr>
        <w:t>Submission on the AER: AER preliminary 2016–20 revenue determinations for the Victorian DNSPs</w:t>
      </w:r>
      <w:r w:rsidRPr="005C696D">
        <w:t>, January 2016</w:t>
      </w:r>
      <w:r>
        <w:t xml:space="preserve">, p. 18; CCP3, </w:t>
      </w:r>
      <w:r w:rsidRPr="005A113D">
        <w:rPr>
          <w:rStyle w:val="AERtextitalic"/>
        </w:rPr>
        <w:t>Response to AER preliminary decisions and revised proposals for Victorian electricity distribution network service providers for a revenue reset for the 2016-2020 regulatory period</w:t>
      </w:r>
      <w:r w:rsidRPr="005A113D">
        <w:t>, 25 February 2016</w:t>
      </w:r>
      <w:r>
        <w:t xml:space="preserve">, pp. 89, 94–95.  </w:t>
      </w:r>
    </w:p>
  </w:footnote>
  <w:footnote w:id="275">
    <w:p w:rsidR="006345FD" w:rsidRDefault="006345FD" w:rsidP="00DB0499">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w:t>
      </w:r>
      <w:r>
        <w:t>, December 2013, p. 33.</w:t>
      </w:r>
    </w:p>
  </w:footnote>
  <w:footnote w:id="276">
    <w:p w:rsidR="006345FD" w:rsidRDefault="006345FD" w:rsidP="00DB0499">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r>
        <w:t>CitiPower, Powercor, United Energy, JEN, AGN and ActewAGL submitted this report during the decision process.</w:t>
      </w:r>
    </w:p>
  </w:footnote>
  <w:footnote w:id="277">
    <w:p w:rsidR="006345FD" w:rsidRDefault="006345FD" w:rsidP="00DB0499">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8–19.</w:t>
      </w:r>
      <w:r w:rsidRPr="004817BF">
        <w:t xml:space="preserve"> </w:t>
      </w:r>
    </w:p>
  </w:footnote>
  <w:footnote w:id="278">
    <w:p w:rsidR="006345FD" w:rsidRDefault="006345FD" w:rsidP="00DB0499">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June 2015, pp. 6–7.</w:t>
      </w:r>
    </w:p>
  </w:footnote>
  <w:footnote w:id="279">
    <w:p w:rsidR="006345FD" w:rsidRDefault="006345FD" w:rsidP="00DB0499">
      <w:pPr>
        <w:pStyle w:val="FootnoteText"/>
      </w:pPr>
      <w:r>
        <w:rPr>
          <w:rStyle w:val="FootnoteReference"/>
        </w:rPr>
        <w:footnoteRef/>
      </w:r>
      <w:r>
        <w:t xml:space="preserve"> </w:t>
      </w:r>
      <w:r>
        <w:tab/>
        <w:t xml:space="preserve">Frontier Economics, </w:t>
      </w:r>
      <w:r>
        <w:rPr>
          <w:rStyle w:val="AERtextitalic"/>
        </w:rPr>
        <w:t>Review of the AER's conceptual analysis for equity beta</w:t>
      </w:r>
      <w:r>
        <w:t xml:space="preserve">, June 2015, pp. 20–26. </w:t>
      </w:r>
    </w:p>
  </w:footnote>
  <w:footnote w:id="280">
    <w:p w:rsidR="006345FD" w:rsidRDefault="006345FD" w:rsidP="00DB0499">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24–25.</w:t>
      </w:r>
    </w:p>
  </w:footnote>
  <w:footnote w:id="281">
    <w:p w:rsidR="006345FD" w:rsidRDefault="006345FD" w:rsidP="00DB0499">
      <w:pPr>
        <w:pStyle w:val="FootnoteText"/>
      </w:pPr>
      <w:r>
        <w:rPr>
          <w:rStyle w:val="FootnoteReference"/>
        </w:rPr>
        <w:footnoteRef/>
      </w:r>
      <w:r>
        <w:t xml:space="preserve"> </w:t>
      </w:r>
      <w:r>
        <w:tab/>
        <w:t xml:space="preserve">AER, </w:t>
      </w:r>
      <w:r w:rsidRPr="008347D0">
        <w:rPr>
          <w:rStyle w:val="AERtextitalic"/>
        </w:rPr>
        <w:t>Equity beta issues paper</w:t>
      </w:r>
      <w:r>
        <w:t xml:space="preserve">, October 2013, p. 7. We provided similar reasoning in the final Guideline. See: AER, </w:t>
      </w:r>
      <w:r w:rsidRPr="008347D0">
        <w:rPr>
          <w:rStyle w:val="AERtextitalic"/>
        </w:rPr>
        <w:t>Explanatory statement to the rate of return guideline</w:t>
      </w:r>
      <w:r>
        <w:t>, December 2013, pp. 84–85.</w:t>
      </w:r>
    </w:p>
  </w:footnote>
  <w:footnote w:id="282">
    <w:p w:rsidR="006345FD" w:rsidRDefault="006345FD" w:rsidP="00DB0499">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 entity</w:t>
      </w:r>
      <w:r>
        <w:t xml:space="preserve">, June 2015, pp. 20–25, 47–54. Also see Frontier Economics, </w:t>
      </w:r>
      <w:r>
        <w:rPr>
          <w:rStyle w:val="AERtextitalic"/>
        </w:rPr>
        <w:t>The required return on equity under a foundation model approach</w:t>
      </w:r>
      <w:r>
        <w:t>, January 2016, p. 39.</w:t>
      </w:r>
    </w:p>
    <w:p w:rsidR="006345FD" w:rsidRDefault="006345FD" w:rsidP="00DB0499">
      <w:pPr>
        <w:pStyle w:val="FootnoteText"/>
      </w:pPr>
      <w:r>
        <w:tab/>
      </w:r>
      <w:r w:rsidRPr="001715C1">
        <w:t xml:space="preserve">CitiPower, </w:t>
      </w:r>
      <w:r w:rsidRPr="001715C1">
        <w:rPr>
          <w:rStyle w:val="AERtextitalic"/>
        </w:rPr>
        <w:t>Revised proposal</w:t>
      </w:r>
      <w:r w:rsidRPr="001715C1">
        <w:t xml:space="preserve">, January 2016, pp. 311–313; Powercor, </w:t>
      </w:r>
      <w:r w:rsidRPr="001715C1">
        <w:rPr>
          <w:rStyle w:val="Emphasis"/>
        </w:rPr>
        <w:t>Revised regulatory proposal 2016–2020,</w:t>
      </w:r>
      <w:r w:rsidRPr="001715C1">
        <w:t xml:space="preserve"> January 2016, pp. 305–307; ActewAGL, </w:t>
      </w:r>
      <w:r w:rsidRPr="001715C1">
        <w:rPr>
          <w:rStyle w:val="Emphasis"/>
        </w:rPr>
        <w:t>Revised 2016–21 access arrangement proposal Response to the AER's draft decision, Appendix 5.01 Detailed response to rate of return, gamma and inflation</w:t>
      </w:r>
      <w:r w:rsidRPr="001715C1">
        <w:t xml:space="preserve">, January 2016, pp. 87–91; United Energy, </w:t>
      </w:r>
      <w:r w:rsidRPr="001715C1">
        <w:rPr>
          <w:rStyle w:val="Emphasis"/>
        </w:rPr>
        <w:t>Response to AER preliminary determination–Re: rate of return and gamma</w:t>
      </w:r>
      <w:r w:rsidRPr="001715C1">
        <w:t xml:space="preserve">, 6 January 2016, pp. 65–67; AGN, </w:t>
      </w:r>
      <w:r w:rsidRPr="001715C1">
        <w:rPr>
          <w:rStyle w:val="Emphasis"/>
        </w:rPr>
        <w:t>2016–17 to 2020/21 Access Arrangement information response to draft decision: Attachment 10.26 Response to draft decision: rate of return</w:t>
      </w:r>
      <w:r w:rsidRPr="001715C1">
        <w:t xml:space="preserve">, January 2016, pp. 69–71; JEN (Vic), </w:t>
      </w:r>
      <w:r w:rsidRPr="001715C1">
        <w:rPr>
          <w:rStyle w:val="Emphasis"/>
        </w:rPr>
        <w:t>2016–20 Electricity distribution price review regulatory proposal revocation and substitution submission: Attachment 6–1 Rate of return, gamma, forecast inflation, and debt and equity raising costs,</w:t>
      </w:r>
      <w:r w:rsidRPr="001715C1">
        <w:t xml:space="preserve"> 6 January 2016, pp. 70–72; AusNet Services, </w:t>
      </w:r>
      <w:r w:rsidRPr="001715C1">
        <w:rPr>
          <w:rStyle w:val="Emphasis"/>
        </w:rPr>
        <w:t>Electricity distribution price review 2016–20 Revised regulatory proposal: Chapter 7 Rate of return &amp; gamma</w:t>
      </w:r>
      <w:r w:rsidRPr="001715C1">
        <w:t>, 6 January 2016, pp. 64–66.</w:t>
      </w:r>
    </w:p>
  </w:footnote>
  <w:footnote w:id="283">
    <w:p w:rsidR="006345FD" w:rsidRDefault="006345FD" w:rsidP="00DB0499">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xml:space="preserve">, January 2016, pp. 41–42, 65–66. Also see CitiPower, </w:t>
      </w:r>
      <w:r w:rsidRPr="00525CDC">
        <w:rPr>
          <w:rStyle w:val="AERtextitalic"/>
        </w:rPr>
        <w:t>Revised proposal</w:t>
      </w:r>
      <w:r>
        <w:t xml:space="preserve">, January 2016, pp. 324–326; Powercor, </w:t>
      </w:r>
      <w:r w:rsidRPr="00525CDC">
        <w:rPr>
          <w:rStyle w:val="AERtextitalic"/>
        </w:rPr>
        <w:t>Revised proposal</w:t>
      </w:r>
      <w:r>
        <w:t xml:space="preserve">, January 2016, pp. 318-320; United Energy, </w:t>
      </w:r>
      <w:r w:rsidRPr="00A2228D">
        <w:rPr>
          <w:rStyle w:val="AERtextitalic"/>
        </w:rPr>
        <w:t>Response to AER Preliminary Determination Re: Rate of return and gamma</w:t>
      </w:r>
      <w:r>
        <w:t xml:space="preserve">, January 2016, pp. 77-78; JEN, </w:t>
      </w:r>
      <w:r w:rsidRPr="00AC149B">
        <w:rPr>
          <w:rStyle w:val="AERtextitalic"/>
        </w:rPr>
        <w:t>Revocation and substitution submission attachment 6-1</w:t>
      </w:r>
      <w:r>
        <w:t xml:space="preserve">, January 2016, pp. 83-84; AusNet, </w:t>
      </w:r>
      <w:r w:rsidRPr="00CD12C8">
        <w:rPr>
          <w:rStyle w:val="AERtextitalic"/>
        </w:rPr>
        <w:t>Revised regulatory proposal</w:t>
      </w:r>
      <w:r>
        <w:t xml:space="preserve">, January 2016, pp. 76-77; AGN, </w:t>
      </w:r>
      <w:r w:rsidRPr="00CD12C8">
        <w:rPr>
          <w:rStyle w:val="AERtextitalic"/>
        </w:rPr>
        <w:t>Revised SA access arrangement information</w:t>
      </w:r>
      <w:r>
        <w:t xml:space="preserve"> attachment 10.26, January 2016, pp. 81-82; and ActewAGL, </w:t>
      </w:r>
      <w:r w:rsidRPr="00CD12C8">
        <w:rPr>
          <w:rStyle w:val="AERtextitalic"/>
        </w:rPr>
        <w:t>Revised 2016-21 access arrangement proposal appendix 5.01</w:t>
      </w:r>
      <w:r>
        <w:t>, January 2016, pp. 104-105.</w:t>
      </w:r>
    </w:p>
  </w:footnote>
  <w:footnote w:id="284">
    <w:p w:rsidR="006345FD" w:rsidRDefault="006345FD" w:rsidP="00DB0499">
      <w:pPr>
        <w:pStyle w:val="FootnoteText"/>
      </w:pPr>
      <w:r>
        <w:rPr>
          <w:rStyle w:val="FootnoteReference"/>
        </w:rPr>
        <w:footnoteRef/>
      </w:r>
      <w:r>
        <w:t xml:space="preserve"> </w:t>
      </w:r>
      <w:r>
        <w:tab/>
        <w:t xml:space="preserve">Frontier Economics, </w:t>
      </w:r>
      <w:r>
        <w:rPr>
          <w:rStyle w:val="AERtextitalic"/>
        </w:rPr>
        <w:t>The required return on equity under a foundation model approach</w:t>
      </w:r>
      <w:r>
        <w:t>, January 2016, pp. 41–42, 64–65.</w:t>
      </w:r>
    </w:p>
  </w:footnote>
  <w:footnote w:id="285">
    <w:p w:rsidR="006345FD" w:rsidRDefault="006345FD" w:rsidP="00DB0499">
      <w:pPr>
        <w:pStyle w:val="FootnoteText"/>
      </w:pPr>
      <w:r>
        <w:rPr>
          <w:rStyle w:val="FootnoteReference"/>
        </w:rPr>
        <w:footnoteRef/>
      </w:r>
      <w:r>
        <w:t xml:space="preserve"> </w:t>
      </w:r>
      <w:r>
        <w:tab/>
        <w:t xml:space="preserve">APTNT, </w:t>
      </w:r>
      <w:r w:rsidRPr="0063316D">
        <w:rPr>
          <w:rStyle w:val="AERtextitalic"/>
        </w:rPr>
        <w:t>Revised access arrangement proposal: Response to draft decision submission</w:t>
      </w:r>
      <w:r>
        <w:t xml:space="preserve">, January 2016, pp. 74–75. </w:t>
      </w:r>
    </w:p>
  </w:footnote>
  <w:footnote w:id="286">
    <w:p w:rsidR="006345FD" w:rsidRDefault="006345FD" w:rsidP="00B75657">
      <w:pPr>
        <w:pStyle w:val="FootnoteText"/>
      </w:pPr>
      <w:r>
        <w:rPr>
          <w:rStyle w:val="FootnoteReference"/>
        </w:rPr>
        <w:footnoteRef/>
      </w:r>
      <w:r>
        <w:t xml:space="preserve"> </w:t>
      </w:r>
      <w:r>
        <w:tab/>
        <w:t>This includes broker reports, independent valuation reports, other regulators' decisions, the Wright approach and comparison between the return on equity and return on debt.</w:t>
      </w:r>
    </w:p>
  </w:footnote>
  <w:footnote w:id="287">
    <w:p w:rsidR="006345FD" w:rsidRDefault="006345FD" w:rsidP="00B75657">
      <w:pPr>
        <w:pStyle w:val="FootnoteText"/>
      </w:pPr>
      <w:r>
        <w:rPr>
          <w:rStyle w:val="FootnoteReference"/>
        </w:rPr>
        <w:footnoteRef/>
      </w:r>
      <w:r>
        <w:t xml:space="preserve"> </w:t>
      </w:r>
      <w:r>
        <w:tab/>
        <w:t>In respect of the provision of network services. 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288">
    <w:p w:rsidR="006345FD" w:rsidRDefault="006345FD" w:rsidP="00B75657">
      <w:pPr>
        <w:pStyle w:val="FootnoteText"/>
      </w:pPr>
      <w:r>
        <w:rPr>
          <w:rStyle w:val="FootnoteReference"/>
        </w:rPr>
        <w:footnoteRef/>
      </w:r>
      <w:r>
        <w:t xml:space="preserve"> </w:t>
      </w:r>
      <w:r>
        <w:tab/>
        <w:t>Or more precisely, a benchmark efficient entity with a similar degree of risk as CitiPower in respect of the provision of standard control services.</w:t>
      </w:r>
    </w:p>
  </w:footnote>
  <w:footnote w:id="289">
    <w:p w:rsidR="006345FD" w:rsidRDefault="006345FD" w:rsidP="00B75657">
      <w:pPr>
        <w:pStyle w:val="FootnoteText"/>
      </w:pPr>
      <w:r>
        <w:rPr>
          <w:rStyle w:val="FootnoteReference"/>
        </w:rPr>
        <w:footnoteRef/>
      </w:r>
      <w:r>
        <w:t xml:space="preserve"> </w:t>
      </w:r>
      <w:r>
        <w:tab/>
        <w:t xml:space="preserve">The Rate of Return Guideline outlines the use of certain other material to inform our final estimate of the return on equity: the Wright approach, other regulators' estimates, broker returns, independent export reports and comparison with return on debt. See: AER, </w:t>
      </w:r>
      <w:r w:rsidRPr="00074148">
        <w:rPr>
          <w:rStyle w:val="Emphasis"/>
        </w:rPr>
        <w:t>Better Regulation: Explanatory Statement, Rate of Return Guideline</w:t>
      </w:r>
      <w:r>
        <w:t xml:space="preserve">, December 2013, p. 61. </w:t>
      </w:r>
    </w:p>
  </w:footnote>
  <w:footnote w:id="290">
    <w:p w:rsidR="006345FD" w:rsidRDefault="006345FD" w:rsidP="00B75657">
      <w:pPr>
        <w:pStyle w:val="FootnoteText"/>
      </w:pPr>
      <w:r>
        <w:rPr>
          <w:rStyle w:val="FootnoteReference"/>
        </w:rPr>
        <w:footnoteRef/>
      </w:r>
      <w:r>
        <w:t xml:space="preserve"> </w:t>
      </w:r>
      <w:r>
        <w:tab/>
        <w:t>The other material include our construction of the Wright CAPM, other regulators' estimates, comparison with return on debt and relevant broker and independent expert reports.</w:t>
      </w:r>
    </w:p>
  </w:footnote>
  <w:footnote w:id="291">
    <w:p w:rsidR="006345FD" w:rsidRDefault="006345FD" w:rsidP="00B75657">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292">
    <w:p w:rsidR="006345FD" w:rsidRDefault="006345FD" w:rsidP="00B75657">
      <w:pPr>
        <w:pStyle w:val="FootnoteText"/>
      </w:pPr>
      <w:r>
        <w:rPr>
          <w:rStyle w:val="FootnoteReference"/>
        </w:rPr>
        <w:footnoteRef/>
      </w:r>
      <w:r>
        <w:t xml:space="preserve"> </w:t>
      </w:r>
      <w:r>
        <w:tab/>
        <w:t>CitiPower, Powercor, United Energy, AusNet Services (distribution), JEN (Vic),</w:t>
      </w:r>
      <w:r w:rsidRPr="00B752EE">
        <w:t xml:space="preserve"> </w:t>
      </w:r>
      <w:r>
        <w:t xml:space="preserve">ActewAGL, APTNT (Amadeus Gas Pipeline) and AGN. </w:t>
      </w:r>
    </w:p>
  </w:footnote>
  <w:footnote w:id="293">
    <w:p w:rsidR="006345FD" w:rsidRDefault="006345FD" w:rsidP="00B75657">
      <w:pPr>
        <w:pStyle w:val="FootnoteText"/>
      </w:pPr>
      <w:r>
        <w:rPr>
          <w:rStyle w:val="FootnoteReference"/>
        </w:rPr>
        <w:footnoteRef/>
      </w:r>
      <w:r>
        <w:t xml:space="preserve"> </w:t>
      </w:r>
      <w:r>
        <w:tab/>
        <w:t xml:space="preserve">VECUA, </w:t>
      </w:r>
      <w:r w:rsidRPr="001A0C41">
        <w:rPr>
          <w:rStyle w:val="AERtextitalic"/>
        </w:rPr>
        <w:t>Submission to the AER: AER preliminary 2016–20 revenue determinations for the Victorian DNSPs</w:t>
      </w:r>
      <w:r>
        <w:t>, 6 January 2016.</w:t>
      </w:r>
    </w:p>
  </w:footnote>
  <w:footnote w:id="294">
    <w:p w:rsidR="006345FD" w:rsidRDefault="006345FD" w:rsidP="00B75657">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B23FAA">
        <w:t xml:space="preserve">Origin Energy, </w:t>
      </w:r>
      <w:r w:rsidRPr="001A0C41">
        <w:rPr>
          <w:rStyle w:val="AERtextitalic"/>
        </w:rPr>
        <w:t>Submission on AGN’s revised access arrangement for 2016–21</w:t>
      </w:r>
      <w:r w:rsidRPr="00B23FAA">
        <w:t>, February 2016; Origin Energy, S</w:t>
      </w:r>
      <w:r w:rsidRPr="001A0C41">
        <w:rPr>
          <w:rStyle w:val="AERtextitalic"/>
        </w:rPr>
        <w:t>ubmission on the AER’s preliminary decisions on the Victorian distribution network service providers for 2016–20</w:t>
      </w:r>
      <w:r w:rsidRPr="00B23FAA">
        <w:t>, 6 January 2016, p. 3</w:t>
      </w:r>
      <w:r>
        <w:t xml:space="preserve">; </w:t>
      </w:r>
      <w:r w:rsidRPr="00B23FAA">
        <w:t xml:space="preserve">Origin Energy, </w:t>
      </w:r>
      <w:r w:rsidRPr="001A0C41">
        <w:rPr>
          <w:rStyle w:val="AERtextitalic"/>
        </w:rPr>
        <w:t>Submission on the Victorian networks’ revised proposals (for 2016–21)</w:t>
      </w:r>
      <w:r w:rsidRPr="00B23FAA">
        <w:t>, 4 February 2016</w:t>
      </w:r>
      <w:r>
        <w:t xml:space="preserve">. </w:t>
      </w:r>
    </w:p>
  </w:footnote>
  <w:footnote w:id="295">
    <w:p w:rsidR="006345FD" w:rsidRDefault="006345FD" w:rsidP="00B75657">
      <w:pPr>
        <w:pStyle w:val="FootnoteText"/>
      </w:pPr>
      <w:r>
        <w:rPr>
          <w:rStyle w:val="FootnoteReference"/>
        </w:rPr>
        <w:footnoteRef/>
      </w:r>
      <w:r>
        <w:t xml:space="preserve"> </w:t>
      </w:r>
      <w:r>
        <w:tab/>
        <w:t xml:space="preserve">For more detail on our consideration of this material, see sections </w:t>
      </w:r>
      <w:r>
        <w:fldChar w:fldCharType="begin"/>
      </w:r>
      <w:r>
        <w:instrText xml:space="preserve"> REF _Ref445898024 \r \h </w:instrText>
      </w:r>
      <w:r>
        <w:fldChar w:fldCharType="separate"/>
      </w:r>
      <w:r>
        <w:t>F.2</w:t>
      </w:r>
      <w:r>
        <w:fldChar w:fldCharType="end"/>
      </w:r>
      <w:r>
        <w:t xml:space="preserve">, </w:t>
      </w:r>
      <w:r>
        <w:fldChar w:fldCharType="begin"/>
      </w:r>
      <w:r>
        <w:instrText xml:space="preserve"> REF _Ref451416171 \r \h </w:instrText>
      </w:r>
      <w:r>
        <w:fldChar w:fldCharType="separate"/>
      </w:r>
      <w:r>
        <w:t>F.3</w:t>
      </w:r>
      <w:r>
        <w:fldChar w:fldCharType="end"/>
      </w:r>
      <w:r>
        <w:t xml:space="preserve">, </w:t>
      </w:r>
      <w:r>
        <w:fldChar w:fldCharType="begin"/>
      </w:r>
      <w:r>
        <w:instrText xml:space="preserve"> REF _Ref451416189 \r \h </w:instrText>
      </w:r>
      <w:r>
        <w:fldChar w:fldCharType="separate"/>
      </w:r>
      <w:r>
        <w:t>F.4</w:t>
      </w:r>
      <w:r>
        <w:fldChar w:fldCharType="end"/>
      </w:r>
      <w:r>
        <w:t xml:space="preserve">, and </w:t>
      </w:r>
      <w:r>
        <w:fldChar w:fldCharType="begin"/>
      </w:r>
      <w:r>
        <w:instrText xml:space="preserve"> REF _Ref445926700 \r \h </w:instrText>
      </w:r>
      <w:r>
        <w:fldChar w:fldCharType="separate"/>
      </w:r>
      <w:r>
        <w:t>C.2</w:t>
      </w:r>
      <w:r>
        <w:fldChar w:fldCharType="end"/>
      </w:r>
      <w:r>
        <w:t xml:space="preserve"> respectively.</w:t>
      </w:r>
    </w:p>
  </w:footnote>
  <w:footnote w:id="296">
    <w:p w:rsidR="006345FD" w:rsidRDefault="006345FD" w:rsidP="00B75657">
      <w:pPr>
        <w:pStyle w:val="FootnoteText"/>
      </w:pPr>
      <w:r>
        <w:rPr>
          <w:rStyle w:val="FootnoteReference"/>
        </w:rPr>
        <w:footnoteRef/>
      </w:r>
      <w:r>
        <w:t xml:space="preserve"> </w:t>
      </w:r>
      <w:r>
        <w:tab/>
        <w:t>Estimated as the difference between our estimate of the equity risk premium and the prevailing debt risk premium for February 2016.</w:t>
      </w:r>
    </w:p>
  </w:footnote>
  <w:footnote w:id="297">
    <w:p w:rsidR="006345FD" w:rsidRDefault="006345FD" w:rsidP="00B75657">
      <w:pPr>
        <w:pStyle w:val="FootnoteText"/>
      </w:pPr>
      <w:r>
        <w:rPr>
          <w:rStyle w:val="FootnoteReference"/>
        </w:rPr>
        <w:footnoteRef/>
      </w:r>
      <w:r>
        <w:t xml:space="preserve"> </w:t>
      </w:r>
      <w:r>
        <w:tab/>
        <w:t xml:space="preserve">We consider that the expected return on debt is likely to exceed the expected return on equity during periods of financial distress because holders of debt are typically ranked ahead of equity holders in the event of bankruptcy. We also consider that </w:t>
      </w:r>
      <w:r w:rsidRPr="00B268EB">
        <w:t>equity and debt may face different types of risk. Inflation risk is one risk that is likely to affect debt more significantly than equity. Movements in the risk premia for these different types of risk may, theoretically, result in a</w:t>
      </w:r>
      <w:r>
        <w:t>n</w:t>
      </w:r>
      <w:r w:rsidRPr="00B268EB">
        <w:t xml:space="preserve"> </w:t>
      </w:r>
      <w:r>
        <w:t>expected return on debt that exceeds an expected return on equity.</w:t>
      </w:r>
    </w:p>
  </w:footnote>
  <w:footnote w:id="298">
    <w:p w:rsidR="006345FD" w:rsidRDefault="006345FD" w:rsidP="00B75657">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section pages 96 to 99 of Attachment 3 to our preliminary decision for CitiPower.</w:t>
      </w:r>
    </w:p>
  </w:footnote>
  <w:footnote w:id="299">
    <w:p w:rsidR="006345FD" w:rsidRDefault="006345FD" w:rsidP="00B75657">
      <w:pPr>
        <w:pStyle w:val="FootnoteText"/>
      </w:pPr>
      <w:r>
        <w:rPr>
          <w:rStyle w:val="FootnoteReference"/>
        </w:rPr>
        <w:footnoteRef/>
      </w:r>
      <w:r>
        <w:t xml:space="preserve"> </w:t>
      </w:r>
      <w:r>
        <w:tab/>
        <w:t xml:space="preserve">RBA, </w:t>
      </w:r>
      <w:r w:rsidRPr="001A0C41">
        <w:rPr>
          <w:rStyle w:val="AERtextitalic"/>
        </w:rPr>
        <w:t>Statement on monetary policy</w:t>
      </w:r>
      <w:r>
        <w:t>, February 2016, p. 50.</w:t>
      </w:r>
    </w:p>
  </w:footnote>
  <w:footnote w:id="300">
    <w:p w:rsidR="006345FD" w:rsidRDefault="006345FD" w:rsidP="00B75657">
      <w:pPr>
        <w:pStyle w:val="FootnoteText"/>
      </w:pPr>
      <w:r>
        <w:rPr>
          <w:rStyle w:val="FootnoteReference"/>
        </w:rPr>
        <w:footnoteRef/>
      </w:r>
      <w:r>
        <w:t xml:space="preserve"> </w:t>
      </w:r>
      <w:r>
        <w:tab/>
        <w:t>Due to the regulatory regime and the businesses' monopoly positions shielding them from systematic risk. For more information, see pages 96 to 99 of Attachment 3 to our preliminary decision for CitiPower.</w:t>
      </w:r>
    </w:p>
  </w:footnote>
  <w:footnote w:id="301">
    <w:p w:rsidR="006345FD" w:rsidRDefault="006345FD" w:rsidP="00B75657">
      <w:pPr>
        <w:pStyle w:val="FootnoteText"/>
      </w:pPr>
      <w:r>
        <w:rPr>
          <w:rStyle w:val="FootnoteReference"/>
        </w:rPr>
        <w:footnoteRef/>
      </w:r>
      <w:r>
        <w:t xml:space="preserve"> </w:t>
      </w:r>
      <w:r>
        <w:tab/>
        <w:t>The debt risk premium to CGS is calculated as the extrapolated effective annual yield to maturity on BBB related debt with 10 years to maturity less the effective annual yield to maturity on CGS with 10 years to maturity. BBB bond yields have been used instead of BBB+ because the RBA and Bloomberg quote BBB yields to maturity.</w:t>
      </w:r>
    </w:p>
  </w:footnote>
  <w:footnote w:id="302">
    <w:p w:rsidR="006345FD" w:rsidRDefault="006345FD" w:rsidP="00B75657">
      <w:pPr>
        <w:pStyle w:val="FootnoteText"/>
      </w:pPr>
      <w:r>
        <w:rPr>
          <w:rStyle w:val="FootnoteReference"/>
        </w:rPr>
        <w:footnoteRef/>
      </w:r>
      <w:r>
        <w:t xml:space="preserve"> </w:t>
      </w:r>
      <w:r>
        <w:tab/>
        <w:t xml:space="preserve">See, for example, DUET, </w:t>
      </w:r>
      <w:r w:rsidRPr="001A0C41">
        <w:rPr>
          <w:rStyle w:val="AERtextitalic"/>
        </w:rPr>
        <w:t>Successful comp</w:t>
      </w:r>
      <w:r>
        <w:rPr>
          <w:rStyle w:val="AERtextitalic"/>
        </w:rPr>
        <w:t>le</w:t>
      </w:r>
      <w:r w:rsidRPr="001A0C41">
        <w:rPr>
          <w:rStyle w:val="AERtextitalic"/>
        </w:rPr>
        <w:t>tion of DUET's $200 million placement offer</w:t>
      </w:r>
      <w:r>
        <w:t xml:space="preserve">, 1 April 2016;  DUET, </w:t>
      </w:r>
      <w:r w:rsidRPr="001A0C41">
        <w:rPr>
          <w:rStyle w:val="AERtextitalic"/>
        </w:rPr>
        <w:t>DUET completes $1.67 billion placement and entitlement offer</w:t>
      </w:r>
      <w:r>
        <w:t xml:space="preserve">, 13 August 2015; DUET, </w:t>
      </w:r>
      <w:r w:rsidRPr="001A0C41">
        <w:rPr>
          <w:rStyle w:val="AERtextitalic"/>
        </w:rPr>
        <w:t>DU</w:t>
      </w:r>
      <w:r>
        <w:rPr>
          <w:rStyle w:val="AERtextitalic"/>
        </w:rPr>
        <w:t>E</w:t>
      </w:r>
      <w:r w:rsidRPr="001A0C41">
        <w:rPr>
          <w:rStyle w:val="AERtextitalic"/>
        </w:rPr>
        <w:t>T completes $396.7 million entitlement offer</w:t>
      </w:r>
      <w:r>
        <w:t xml:space="preserve">, December 2014; SP AusNet, </w:t>
      </w:r>
      <w:r w:rsidRPr="001A0C41">
        <w:rPr>
          <w:rStyle w:val="AERtextitalic"/>
        </w:rPr>
        <w:t>SP AusNet completes A$434 million Entitlement Offer</w:t>
      </w:r>
      <w:r>
        <w:t>, 15 June 2012.</w:t>
      </w:r>
    </w:p>
  </w:footnote>
  <w:footnote w:id="303">
    <w:p w:rsidR="006345FD" w:rsidRDefault="006345FD" w:rsidP="00B75657">
      <w:pPr>
        <w:pStyle w:val="FootnoteText"/>
      </w:pPr>
      <w:r>
        <w:rPr>
          <w:rStyle w:val="FootnoteReference"/>
        </w:rPr>
        <w:footnoteRef/>
      </w:r>
      <w:r>
        <w:t xml:space="preserve"> </w:t>
      </w:r>
      <w:r>
        <w:tab/>
      </w:r>
      <w:r w:rsidRPr="003431CD">
        <w:t>RARE infrastructure submitted that "[t]here are many characteristics of the Australian Regulatory framework that makes its energy network potentially attractive investments" RARE Infrastructure, Letter to the AER, 13 February 2015</w:t>
      </w:r>
      <w:r>
        <w:t>.</w:t>
      </w:r>
    </w:p>
  </w:footnote>
  <w:footnote w:id="304">
    <w:p w:rsidR="006345FD" w:rsidRDefault="006345FD" w:rsidP="00B75657">
      <w:pPr>
        <w:pStyle w:val="FootnoteText"/>
      </w:pPr>
      <w:r>
        <w:rPr>
          <w:rStyle w:val="FootnoteReference"/>
        </w:rPr>
        <w:footnoteRef/>
      </w:r>
      <w:r>
        <w:t xml:space="preserve"> </w:t>
      </w:r>
      <w:r>
        <w:tab/>
        <w:t>For details, see section L.1 of Confidential Appendix L in Attachment 3 to our preliminary decision.</w:t>
      </w:r>
    </w:p>
  </w:footnote>
  <w:footnote w:id="305">
    <w:p w:rsidR="006345FD" w:rsidRDefault="006345FD" w:rsidP="00B75657">
      <w:pPr>
        <w:pStyle w:val="FootnoteText"/>
      </w:pPr>
      <w:r>
        <w:rPr>
          <w:rStyle w:val="FootnoteReference"/>
        </w:rPr>
        <w:footnoteRef/>
      </w:r>
      <w:r>
        <w:t xml:space="preserve"> </w:t>
      </w:r>
      <w:r>
        <w:tab/>
        <w:t xml:space="preserve">See section </w:t>
      </w:r>
      <w:r>
        <w:fldChar w:fldCharType="begin"/>
      </w:r>
      <w:r>
        <w:instrText xml:space="preserve"> REF _Ref451416262 \r \h </w:instrText>
      </w:r>
      <w:r>
        <w:fldChar w:fldCharType="separate"/>
      </w:r>
      <w:r>
        <w:t>E.1</w:t>
      </w:r>
      <w:r>
        <w:fldChar w:fldCharType="end"/>
      </w:r>
      <w:r>
        <w:t xml:space="preserve">, </w:t>
      </w:r>
      <w:r>
        <w:fldChar w:fldCharType="begin"/>
      </w:r>
      <w:r>
        <w:instrText xml:space="preserve"> REF _Ref451416269 \r \h </w:instrText>
      </w:r>
      <w:r>
        <w:fldChar w:fldCharType="separate"/>
      </w:r>
      <w:r>
        <w:t>E.2</w:t>
      </w:r>
      <w:r>
        <w:fldChar w:fldCharType="end"/>
      </w:r>
      <w:r>
        <w:t xml:space="preserve">, and </w:t>
      </w:r>
      <w:r>
        <w:fldChar w:fldCharType="begin"/>
      </w:r>
      <w:r>
        <w:instrText xml:space="preserve"> REF _Ref451416273 \r \h </w:instrText>
      </w:r>
      <w:r>
        <w:fldChar w:fldCharType="separate"/>
      </w:r>
      <w:r>
        <w:t>E.3</w:t>
      </w:r>
      <w:r>
        <w:fldChar w:fldCharType="end"/>
      </w:r>
      <w:r>
        <w:t xml:space="preserve"> for further discussion.</w:t>
      </w:r>
    </w:p>
  </w:footnote>
  <w:footnote w:id="306">
    <w:p w:rsidR="006345FD" w:rsidRDefault="006345FD" w:rsidP="00B75657">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307">
    <w:p w:rsidR="006345FD" w:rsidRDefault="006345FD" w:rsidP="00B75657">
      <w:pPr>
        <w:pStyle w:val="FootnoteText"/>
      </w:pPr>
      <w:r>
        <w:rPr>
          <w:rStyle w:val="FootnoteReference"/>
        </w:rPr>
        <w:footnoteRef/>
      </w:r>
      <w:r>
        <w:t xml:space="preserve"> </w:t>
      </w:r>
      <w:r>
        <w:tab/>
        <w:t>Broker reports, independent expert reports, other regulators' estimates, comparison with return on debt and our construction of the Wright CAPM.</w:t>
      </w:r>
    </w:p>
  </w:footnote>
  <w:footnote w:id="308">
    <w:p w:rsidR="006345FD" w:rsidRDefault="006345FD" w:rsidP="00B75657">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AGL, </w:t>
      </w:r>
      <w:r w:rsidRPr="001A0C41">
        <w:rPr>
          <w:rStyle w:val="AERtextitalic"/>
        </w:rPr>
        <w:t>Submission on the AER’s draft decision on AGN’s 2016–21 access arrangement</w:t>
      </w:r>
      <w:r w:rsidRPr="004177B1">
        <w:t>, 4 February 2016, p. 2</w:t>
      </w:r>
      <w:r>
        <w:t xml:space="preserve">; </w:t>
      </w:r>
      <w:r w:rsidRPr="004177B1">
        <w:t>Victorian Government, S</w:t>
      </w:r>
      <w:r w:rsidRPr="001A0C41">
        <w:rPr>
          <w:rStyle w:val="AERtextitalic"/>
        </w:rPr>
        <w:t>ubmission on the Victorian electricity distribution network service providers’ revised regulatory proposals for 2016–20</w:t>
      </w:r>
      <w:r w:rsidRPr="004177B1">
        <w:t>, 12 February 2016, p. 1–2</w:t>
      </w:r>
      <w:r>
        <w:t xml:space="preserve">; </w:t>
      </w:r>
      <w:r w:rsidRPr="004177B1">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4177B1">
        <w:t>, February 2016</w:t>
      </w:r>
      <w:r>
        <w:t xml:space="preserve">, p. 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EUCV</w:t>
      </w:r>
      <w:r w:rsidRPr="001A0C41">
        <w:rPr>
          <w:rStyle w:val="AERtextitalic"/>
        </w:rPr>
        <w:t>, A response to AusNet revenue reset proposal for the 2017–2022 period</w:t>
      </w:r>
      <w:r w:rsidRPr="001876F5">
        <w:t>, 9 February 2016</w:t>
      </w:r>
      <w:r>
        <w:t xml:space="preserve">, p. 40; CCP ( panel 8), </w:t>
      </w:r>
      <w:r w:rsidRPr="001A0C41">
        <w:rPr>
          <w:rStyle w:val="AERtextitalic"/>
        </w:rPr>
        <w:t xml:space="preserve">Advice to AER from Consumer Challenge Panel sub-panel 8 regarding the AER Daft Decision and Australian Gas </w:t>
      </w:r>
      <w:r>
        <w:rPr>
          <w:rStyle w:val="AERtextitalic"/>
        </w:rPr>
        <w:t>Networks' (SA) revised access a</w:t>
      </w:r>
      <w:r w:rsidRPr="001A0C41">
        <w:rPr>
          <w:rStyle w:val="AERtextitalic"/>
        </w:rPr>
        <w:t>rrangement 2016–2021 proposal</w:t>
      </w:r>
      <w:r>
        <w:t>, 32 March 2016, p. 2.</w:t>
      </w:r>
    </w:p>
  </w:footnote>
  <w:footnote w:id="309">
    <w:p w:rsidR="006345FD" w:rsidRDefault="006345FD" w:rsidP="00B75657">
      <w:pPr>
        <w:pStyle w:val="FootnoteText"/>
      </w:pPr>
      <w:r>
        <w:rPr>
          <w:rStyle w:val="FootnoteReference"/>
        </w:rPr>
        <w:footnoteRef/>
      </w:r>
      <w:r>
        <w:t xml:space="preserve"> </w:t>
      </w:r>
      <w:r>
        <w:tab/>
      </w:r>
      <w:r w:rsidRPr="009751A6">
        <w:t xml:space="preserve">Origin Energy, </w:t>
      </w:r>
      <w:r w:rsidRPr="001A0C41">
        <w:rPr>
          <w:rStyle w:val="AERtextitalic"/>
        </w:rPr>
        <w:t>Submission on ActewAGL’s revised access arrangement for 2016–21</w:t>
      </w:r>
      <w:r w:rsidRPr="009751A6">
        <w:t>, 4 February 2016</w:t>
      </w:r>
      <w:r>
        <w:t xml:space="preserve">, p. 3; </w:t>
      </w:r>
      <w:r w:rsidRPr="004177B1">
        <w:t xml:space="preserve">Origin Energy, </w:t>
      </w:r>
      <w:r w:rsidRPr="001A0C41">
        <w:rPr>
          <w:rStyle w:val="AERtextitalic"/>
        </w:rPr>
        <w:t>Submission on AGN’s revised access arrangement for 2016–21</w:t>
      </w:r>
      <w:r w:rsidRPr="004177B1">
        <w:t xml:space="preserve">, February 2016; Origin Energy, </w:t>
      </w:r>
      <w:r w:rsidRPr="001A0C41">
        <w:rPr>
          <w:rStyle w:val="AERtextitalic"/>
        </w:rPr>
        <w:t>Submission on the AER’s preliminary decisions on the Victorian distribution network service providers for 2016–20</w:t>
      </w:r>
      <w:r w:rsidRPr="004177B1">
        <w:t>, 6 January 2016, p. 3</w:t>
      </w:r>
      <w:r>
        <w:t xml:space="preserve">; </w:t>
      </w:r>
      <w:r w:rsidRPr="004177B1">
        <w:t xml:space="preserve">Origin Energy, </w:t>
      </w:r>
      <w:r w:rsidRPr="001A0C41">
        <w:rPr>
          <w:rStyle w:val="AERtextitalic"/>
        </w:rPr>
        <w:t>Submission on the Victorian networks’ revised proposals (for 2016–21)</w:t>
      </w:r>
      <w:r w:rsidRPr="004177B1">
        <w:t>, 4 February 2016</w:t>
      </w:r>
      <w:r>
        <w:t xml:space="preserve">; </w:t>
      </w:r>
      <w:r w:rsidRPr="00F3489A">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F3489A">
        <w:t>, February 2016</w:t>
      </w:r>
      <w:r>
        <w:t xml:space="preserve">; </w:t>
      </w:r>
    </w:p>
  </w:footnote>
  <w:footnote w:id="310">
    <w:p w:rsidR="006345FD" w:rsidRDefault="006345FD" w:rsidP="00B75657">
      <w:pPr>
        <w:pStyle w:val="FootnoteText"/>
      </w:pPr>
      <w:r>
        <w:rPr>
          <w:rStyle w:val="FootnoteReference"/>
        </w:rPr>
        <w:footnoteRef/>
      </w:r>
      <w:r>
        <w:t xml:space="preserve"> </w:t>
      </w:r>
      <w:r>
        <w:tab/>
        <w:t xml:space="preserve">AGL, </w:t>
      </w:r>
      <w:r w:rsidRPr="001A0C41">
        <w:rPr>
          <w:rStyle w:val="AERtextitalic"/>
        </w:rPr>
        <w:t>Submission on the AER’s draft decision on AGN’s 2016–21 access arrangement</w:t>
      </w:r>
      <w:r w:rsidRPr="00940B70">
        <w:t>, 4 February 2016, p. 2</w:t>
      </w:r>
      <w:r>
        <w:t xml:space="preserve">; </w:t>
      </w:r>
      <w:r w:rsidRPr="00B94AEE">
        <w:t xml:space="preserve">ECCSA, </w:t>
      </w:r>
      <w:r w:rsidRPr="001A0C41">
        <w:rPr>
          <w:rStyle w:val="AERtextitalic"/>
        </w:rPr>
        <w:t>A response to the AER draft decision on AGN’s AA2016 revenue reset</w:t>
      </w:r>
      <w:r w:rsidRPr="00B94AEE">
        <w:t>, February 2016, p. 36</w:t>
      </w:r>
      <w:r>
        <w:t xml:space="preserve">; </w:t>
      </w:r>
      <w:r w:rsidRPr="00B94AEE">
        <w:t xml:space="preserve">EUCV, </w:t>
      </w:r>
      <w:r w:rsidRPr="001A0C41">
        <w:rPr>
          <w:rStyle w:val="AERtextitalic"/>
        </w:rPr>
        <w:t>A response to AusNet revenue reset proposal for the 2017–2022 period, 9 February 2016</w:t>
      </w:r>
      <w:r>
        <w:t xml:space="preserve">, p. 40; </w:t>
      </w:r>
      <w:r w:rsidRPr="00B94AEE">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B94AEE">
        <w:t>, February 2016</w:t>
      </w:r>
      <w:r>
        <w:t xml:space="preserve">, p. 41;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25 February 2016. pp. 10 &amp; 29–30.</w:t>
      </w:r>
    </w:p>
  </w:footnote>
  <w:footnote w:id="311">
    <w:p w:rsidR="006345FD" w:rsidRDefault="006345FD" w:rsidP="00B75657">
      <w:pPr>
        <w:pStyle w:val="FootnoteText"/>
      </w:pPr>
      <w:r>
        <w:rPr>
          <w:rStyle w:val="FootnoteReference"/>
        </w:rPr>
        <w:footnoteRef/>
      </w:r>
      <w:r>
        <w:t xml:space="preserve"> </w:t>
      </w:r>
      <w:r>
        <w:tab/>
      </w:r>
      <w:r w:rsidRPr="00856793">
        <w:t xml:space="preserve">ECCSA, </w:t>
      </w:r>
      <w:r w:rsidRPr="001A0C41">
        <w:rPr>
          <w:rStyle w:val="AERtextitalic"/>
        </w:rPr>
        <w:t>A response to the AER draft decision on AGN’s AA2016 revenue reset, February 2016</w:t>
      </w:r>
      <w:r w:rsidRPr="00856793">
        <w:t>, p. 36–37</w:t>
      </w:r>
      <w:r>
        <w:t xml:space="preserve">; </w:t>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856793">
        <w:t xml:space="preserve">CCP (panel 5), </w:t>
      </w:r>
      <w:r w:rsidRPr="001A0C41">
        <w:rPr>
          <w:rStyle w:val="AERtextitalic"/>
        </w:rPr>
        <w:t>Transmission for the generations: Response to proposal by AusNet Services transmission group pty ltd and AER issues paper for AusNet Services transmission revenue review 2017–22</w:t>
      </w:r>
      <w:r w:rsidRPr="00856793">
        <w:t>, February 2016</w:t>
      </w:r>
      <w:r>
        <w:t xml:space="preserve">, p. 40;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&amp; 29. </w:t>
      </w:r>
    </w:p>
  </w:footnote>
  <w:footnote w:id="312">
    <w:p w:rsidR="006345FD" w:rsidRDefault="006345FD" w:rsidP="00B75657">
      <w:pPr>
        <w:pStyle w:val="FootnoteText"/>
      </w:pPr>
      <w:r>
        <w:rPr>
          <w:rStyle w:val="FootnoteReference"/>
        </w:rPr>
        <w:footnoteRef/>
      </w:r>
      <w:r>
        <w:t xml:space="preserve"> </w:t>
      </w:r>
      <w:r>
        <w:tab/>
      </w:r>
      <w:r w:rsidRPr="00C04896">
        <w:t xml:space="preserve">VECUA, </w:t>
      </w:r>
      <w:r w:rsidRPr="001A0C41">
        <w:rPr>
          <w:rStyle w:val="AERtextitalic"/>
        </w:rPr>
        <w:t>Submission on the AER: AER preliminary 2016–20 revenue determinations for the Victorian DNSPs</w:t>
      </w:r>
      <w:r w:rsidRPr="00C04896">
        <w:t>, 6 January 2016, p. 2</w:t>
      </w:r>
      <w:r>
        <w:t xml:space="preserve">, 12, 17; </w:t>
      </w:r>
      <w:r w:rsidRPr="00DD0D03">
        <w:t xml:space="preserve">EUCV, </w:t>
      </w:r>
      <w:r w:rsidRPr="001A0C41">
        <w:rPr>
          <w:rStyle w:val="AERtextitalic"/>
        </w:rPr>
        <w:t>A response to AusNet revenue reset proposal for the 2017–2022 period</w:t>
      </w:r>
      <w:r w:rsidRPr="00DD0D03">
        <w:t>, 9 February 2016</w:t>
      </w:r>
      <w:r>
        <w:t xml:space="preserve">, pp. 40–41; 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10; </w:t>
      </w:r>
      <w:r w:rsidRPr="00CA64ED">
        <w:t xml:space="preserve">ECCSA, </w:t>
      </w:r>
      <w:r w:rsidRPr="001A0C41">
        <w:rPr>
          <w:rStyle w:val="AERtextitalic"/>
        </w:rPr>
        <w:t>A response to the AER draft decision on AGN’s AA2016 revenue reset,</w:t>
      </w:r>
      <w:r w:rsidRPr="00CA64ED">
        <w:t xml:space="preserve"> February 2016</w:t>
      </w:r>
      <w:r>
        <w:t>, pp. 36–37.</w:t>
      </w:r>
    </w:p>
  </w:footnote>
  <w:footnote w:id="313">
    <w:p w:rsidR="006345FD" w:rsidRDefault="006345FD" w:rsidP="00B75657">
      <w:pPr>
        <w:pStyle w:val="FootnoteText"/>
      </w:pPr>
      <w:r>
        <w:rPr>
          <w:rStyle w:val="FootnoteReference"/>
        </w:rPr>
        <w:footnoteRef/>
      </w:r>
      <w:r>
        <w:t xml:space="preserve"> </w:t>
      </w:r>
      <w:r>
        <w:tab/>
        <w:t xml:space="preserve">ActewAGL, </w:t>
      </w:r>
      <w:r w:rsidRPr="001A0C41">
        <w:rPr>
          <w:rStyle w:val="AERtextitalic"/>
        </w:rPr>
        <w:t>Access arrangement information for the 2016–21 ACT, Queanbeyan and Palerang Access Arrangement, Appendix 8.05: Return on equity – detailed proposal</w:t>
      </w:r>
      <w:r>
        <w:t>, June 2015, p. 48.</w:t>
      </w:r>
    </w:p>
  </w:footnote>
  <w:footnote w:id="314">
    <w:p w:rsidR="006345FD" w:rsidRDefault="006345FD" w:rsidP="00B75657">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96–98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97–101.</w:t>
      </w:r>
    </w:p>
  </w:footnote>
  <w:footnote w:id="315">
    <w:p w:rsidR="006345FD" w:rsidRDefault="006345FD" w:rsidP="00B75657">
      <w:pPr>
        <w:pStyle w:val="FootnoteText"/>
      </w:pPr>
      <w:r>
        <w:rPr>
          <w:rStyle w:val="FootnoteReference"/>
        </w:rPr>
        <w:footnoteRef/>
      </w:r>
      <w:r>
        <w:t xml:space="preserve"> </w:t>
      </w:r>
      <w:r>
        <w:tab/>
        <w:t xml:space="preserve">AER, </w:t>
      </w:r>
      <w:r w:rsidRPr="001A0C41">
        <w:rPr>
          <w:rStyle w:val="AERtextitalic"/>
        </w:rPr>
        <w:t>Better regulation: Explanatory statement–rate of return guideline, December 2013</w:t>
      </w:r>
      <w:r>
        <w:t xml:space="preserve">, p. 61; AER, </w:t>
      </w:r>
      <w:r w:rsidRPr="001A0C41">
        <w:rPr>
          <w:rStyle w:val="AERtextitalic"/>
        </w:rPr>
        <w:t>Preliminary decision: CitiPower determination 2016 to 2020: Attachment 3 – Rate of return</w:t>
      </w:r>
      <w:r>
        <w:t>, October 2015, p. 95;</w:t>
      </w:r>
      <w:r w:rsidRPr="00B55FA0">
        <w:t xml:space="preserve"> AER, </w:t>
      </w:r>
      <w:r w:rsidRPr="00B55FA0">
        <w:rPr>
          <w:rStyle w:val="AERtextitalic"/>
        </w:rPr>
        <w:t>Preliminary decision: Powercor determination 2016 to 2020: Attachment 3 – Rate of return</w:t>
      </w:r>
      <w:r w:rsidRPr="00B55FA0">
        <w:t xml:space="preserve">, November 2015, p. 95;  AER, </w:t>
      </w:r>
      <w:r w:rsidRPr="00B55FA0">
        <w:rPr>
          <w:rStyle w:val="Emphasis"/>
        </w:rPr>
        <w:t>Draft decision ActewAGL distribution determination 2016 to 2021: Attachment 3 – Rate of return</w:t>
      </w:r>
      <w:r w:rsidRPr="00B55FA0">
        <w:t xml:space="preserve">, November 2015, p. 97 AER, </w:t>
      </w:r>
      <w:r w:rsidRPr="00B55FA0">
        <w:rPr>
          <w:rStyle w:val="Emphasis"/>
        </w:rPr>
        <w:t>Preliminary decision United Energy determination 2016 to 2020: Attachment 3 – Rate of return</w:t>
      </w:r>
      <w:r w:rsidRPr="00B55FA0">
        <w:t xml:space="preserve">, October 2015, p. 93–96; AER, </w:t>
      </w:r>
      <w:r w:rsidRPr="00B55FA0">
        <w:rPr>
          <w:rStyle w:val="Emphasis"/>
        </w:rPr>
        <w:t>Draft decision Australian Gas Networks access arrangement 2016 to 2021–Attachment 3: rate of return</w:t>
      </w:r>
      <w:r w:rsidRPr="00B55FA0">
        <w:t xml:space="preserve">, November 2015, pp. 95–100;  AER, </w:t>
      </w:r>
      <w:r w:rsidRPr="00B55FA0">
        <w:rPr>
          <w:rStyle w:val="Emphasis"/>
        </w:rPr>
        <w:t>Preliminary decision Jemena distribution determination 2016 to 2020: Attachment 3–Rate of return</w:t>
      </w:r>
      <w:r w:rsidRPr="00B55FA0">
        <w:t xml:space="preserve">, October 2015, pp. 95–98;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October 2015, pp. 94–98</w:t>
      </w:r>
      <w:r>
        <w:t xml:space="preserve">;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rsidRPr="00B55FA0">
        <w:t>.</w:t>
      </w:r>
      <w:r>
        <w:t xml:space="preserve"> 96–101.</w:t>
      </w:r>
    </w:p>
  </w:footnote>
  <w:footnote w:id="316">
    <w:p w:rsidR="006345FD" w:rsidRDefault="006345FD" w:rsidP="00B75657">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46–48</w:t>
      </w:r>
      <w:r w:rsidRPr="00831925">
        <w:t>.</w:t>
      </w:r>
    </w:p>
  </w:footnote>
  <w:footnote w:id="317">
    <w:p w:rsidR="006345FD" w:rsidRDefault="006345FD" w:rsidP="00B75657">
      <w:pPr>
        <w:pStyle w:val="FootnoteText"/>
      </w:pPr>
      <w:r>
        <w:rPr>
          <w:rStyle w:val="FootnoteReference"/>
        </w:rPr>
        <w:footnoteRef/>
      </w:r>
      <w:r>
        <w:t xml:space="preserve"> </w:t>
      </w:r>
      <w:r>
        <w:tab/>
        <w:t>We consider that CitiPower would be shielded from systematic risk due to reasons such natural monopoly positions and limited demand risk. See CitiPower preliminary decision.</w:t>
      </w:r>
    </w:p>
  </w:footnote>
  <w:footnote w:id="318">
    <w:p w:rsidR="006345FD" w:rsidRDefault="006345FD" w:rsidP="00B75657">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25–26.</w:t>
      </w:r>
    </w:p>
  </w:footnote>
  <w:footnote w:id="319">
    <w:p w:rsidR="006345FD" w:rsidRDefault="006345FD" w:rsidP="00B75657">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xml:space="preserve">, 14 March 2013; Partington, </w:t>
      </w:r>
      <w:r w:rsidRPr="0092646A">
        <w:rPr>
          <w:rStyle w:val="AERtextitalic"/>
        </w:rPr>
        <w:t>Report to the AER: Return on Equity</w:t>
      </w:r>
      <w:r>
        <w:rPr>
          <w:rStyle w:val="AERtextitalic"/>
        </w:rPr>
        <w:t xml:space="preserve"> (updated)</w:t>
      </w:r>
      <w:r>
        <w:t>, April 2015, pp. 72–73.</w:t>
      </w:r>
    </w:p>
  </w:footnote>
  <w:footnote w:id="320">
    <w:p w:rsidR="006345FD" w:rsidRDefault="006345FD" w:rsidP="00B75657">
      <w:pPr>
        <w:pStyle w:val="FootnoteText"/>
      </w:pPr>
      <w:r>
        <w:rPr>
          <w:rStyle w:val="FootnoteReference"/>
        </w:rPr>
        <w:footnoteRef/>
      </w:r>
      <w:r>
        <w:t xml:space="preserve"> </w:t>
      </w:r>
      <w:r>
        <w:tab/>
        <w:t xml:space="preserve">Frontier Economics, </w:t>
      </w:r>
      <w:r w:rsidRPr="00C31257">
        <w:rPr>
          <w:rStyle w:val="AERtextitalic"/>
        </w:rPr>
        <w:t>The required return on equity under a foundation model approach</w:t>
      </w:r>
      <w:r>
        <w:t>, January 2016, p. 69.</w:t>
      </w:r>
    </w:p>
  </w:footnote>
  <w:footnote w:id="321">
    <w:p w:rsidR="006345FD" w:rsidRDefault="006345FD" w:rsidP="00B75657">
      <w:pPr>
        <w:pStyle w:val="FootnoteText"/>
      </w:pPr>
      <w:r>
        <w:rPr>
          <w:rStyle w:val="FootnoteReference"/>
        </w:rPr>
        <w:footnoteRef/>
      </w:r>
      <w:r>
        <w:t xml:space="preserve"> </w:t>
      </w:r>
      <w:r>
        <w:tab/>
        <w:t xml:space="preserve">Frontier Economics, </w:t>
      </w:r>
      <w:r w:rsidRPr="002F61BA">
        <w:rPr>
          <w:rStyle w:val="AERtextitalic"/>
        </w:rPr>
        <w:t>The required return on equity under a foundation model approach</w:t>
      </w:r>
      <w:r>
        <w:t>, January 2016, p. 34.</w:t>
      </w:r>
    </w:p>
  </w:footnote>
  <w:footnote w:id="322">
    <w:p w:rsidR="006345FD" w:rsidRDefault="006345FD" w:rsidP="00B75657">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323">
    <w:p w:rsidR="006345FD" w:rsidRDefault="006345FD" w:rsidP="00B75657">
      <w:pPr>
        <w:pStyle w:val="FootnoteText"/>
      </w:pPr>
      <w:r>
        <w:rPr>
          <w:rStyle w:val="FootnoteReference"/>
        </w:rPr>
        <w:footnoteRef/>
      </w:r>
      <w:r>
        <w:t xml:space="preserve"> </w:t>
      </w:r>
      <w:r>
        <w:tab/>
        <w:t xml:space="preserve">AER, </w:t>
      </w:r>
      <w:r w:rsidRPr="001A0C41">
        <w:rPr>
          <w:rStyle w:val="AERtextitalic"/>
        </w:rPr>
        <w:t>Explanatory statement: Rate of return guideline (appendices),</w:t>
      </w:r>
      <w:r>
        <w:t xml:space="preserve"> December 2013, pp. 37–39.</w:t>
      </w:r>
    </w:p>
  </w:footnote>
  <w:footnote w:id="324">
    <w:p w:rsidR="006345FD" w:rsidRDefault="006345FD" w:rsidP="00B75657">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299, 307–308; </w:t>
      </w:r>
      <w:r w:rsidRPr="00B55FA0">
        <w:t xml:space="preserve">Powercor, </w:t>
      </w:r>
      <w:r w:rsidRPr="00B55FA0">
        <w:rPr>
          <w:rStyle w:val="AERtextitalic"/>
        </w:rPr>
        <w:t>Revised regulatory proposal 2016–2020</w:t>
      </w:r>
      <w:r w:rsidRPr="00B55FA0">
        <w:t xml:space="preserve">, January  2016, pp. 293, 301–302;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72–74, 83–84; United Energy, </w:t>
      </w:r>
      <w:r w:rsidRPr="00B55FA0">
        <w:rPr>
          <w:rStyle w:val="Emphasis"/>
        </w:rPr>
        <w:t>Response to AER preliminary determination–Re: rate of return and gamma</w:t>
      </w:r>
      <w:r w:rsidRPr="00B55FA0">
        <w:t xml:space="preserve">, 6 January 2016, pp.53–54, 61–62; AGN, </w:t>
      </w:r>
      <w:r w:rsidRPr="00B55FA0">
        <w:rPr>
          <w:rStyle w:val="Emphasis"/>
        </w:rPr>
        <w:t>2016–17 to 2020/21 Access Arrangement information response to draft decision: Attachment 10.26 Response to draft decision: rate of return</w:t>
      </w:r>
      <w:r w:rsidRPr="00B55FA0">
        <w:t xml:space="preserve">, January 2016, pp, 75–78;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67, 76–79;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pp.70–74.</w:t>
      </w:r>
    </w:p>
  </w:footnote>
  <w:footnote w:id="325">
    <w:p w:rsidR="006345FD" w:rsidRDefault="006345FD" w:rsidP="00B75657">
      <w:pPr>
        <w:pStyle w:val="FootnoteText"/>
      </w:pPr>
      <w:r>
        <w:rPr>
          <w:rStyle w:val="FootnoteReference"/>
        </w:rPr>
        <w:footnoteRef/>
      </w:r>
      <w:r>
        <w:t xml:space="preserve"> </w:t>
      </w:r>
      <w:r>
        <w:tab/>
        <w:t xml:space="preserve">HoustonKemp, </w:t>
      </w:r>
      <w:r w:rsidRPr="008860FD">
        <w:rPr>
          <w:rStyle w:val="AERtextitalic"/>
        </w:rPr>
        <w:t>The cost of equity: Response to the AER's draft decisions for the Victorian electricity distributors, ActewAGL Distribution and Australian Gas Networks</w:t>
      </w:r>
      <w:r>
        <w:t>, January 2016, p. 52–59.</w:t>
      </w:r>
    </w:p>
  </w:footnote>
  <w:footnote w:id="326">
    <w:p w:rsidR="006345FD" w:rsidRDefault="006345FD" w:rsidP="00B75657">
      <w:pPr>
        <w:pStyle w:val="FootnoteText"/>
      </w:pPr>
      <w:r>
        <w:rPr>
          <w:rStyle w:val="FootnoteReference"/>
        </w:rPr>
        <w:footnoteRef/>
      </w:r>
      <w:r>
        <w:t xml:space="preserve"> </w:t>
      </w:r>
      <w:r>
        <w:tab/>
        <w:t xml:space="preserve">AER, </w:t>
      </w:r>
      <w:r w:rsidRPr="001A0C41">
        <w:rPr>
          <w:rStyle w:val="AERtextitalic"/>
        </w:rPr>
        <w:t>Preliminary decision: CitiPower determination 2016 to 2020: Attachment 3 – Rate of return</w:t>
      </w:r>
      <w:r>
        <w:t xml:space="preserve">, October 2015, pp. 100, 516 &amp; 521–526; </w:t>
      </w:r>
      <w:r w:rsidRPr="00B55FA0">
        <w:t xml:space="preserve">AER, </w:t>
      </w:r>
      <w:r w:rsidRPr="00B55FA0">
        <w:rPr>
          <w:rStyle w:val="AERtextitalic"/>
        </w:rPr>
        <w:t>Powercor Preliminary Decision - Attachment 3: Rate of Return</w:t>
      </w:r>
      <w:r w:rsidRPr="00B55FA0">
        <w:t xml:space="preserve">, October 2015, pp. 100, 516 &amp; 521–526;. AER, </w:t>
      </w:r>
      <w:r w:rsidRPr="00B55FA0">
        <w:rPr>
          <w:rStyle w:val="Emphasis"/>
        </w:rPr>
        <w:t>Draft decision ActewAGL distribution determination 2016 to 2021: Attachment 3 – Rate of return,</w:t>
      </w:r>
      <w:r w:rsidRPr="00B55FA0">
        <w:t xml:space="preserve"> November 2015, p. 101–105, 525–530; AER, </w:t>
      </w:r>
      <w:r w:rsidRPr="00B55FA0">
        <w:rPr>
          <w:rStyle w:val="Emphasis"/>
        </w:rPr>
        <w:t>Preliminary decision United Energy determination 2016 to 2020: Attachment 3 – Rate of return</w:t>
      </w:r>
      <w:r w:rsidRPr="00B55FA0">
        <w:t xml:space="preserve">, October 2015, pp. 99–102, 516–520, 524–537; AER, </w:t>
      </w:r>
      <w:r w:rsidRPr="00B55FA0">
        <w:rPr>
          <w:rStyle w:val="Emphasis"/>
        </w:rPr>
        <w:t>Draft decision Australian Gas Networks access arrangement 2016 to 2021–Attachment 3: rate of return</w:t>
      </w:r>
      <w:r w:rsidRPr="00B55FA0">
        <w:t xml:space="preserve">, November 2015, pp. 100–103, 521, 526, 530–544; AER, </w:t>
      </w:r>
      <w:r w:rsidRPr="00B55FA0">
        <w:rPr>
          <w:rStyle w:val="Emphasis"/>
        </w:rPr>
        <w:t>Preliminary decision Jemena distribution determination 2016 to 2020: Attachment 3–Rate of return</w:t>
      </w:r>
      <w:r w:rsidRPr="00B55FA0">
        <w:t xml:space="preserve">, October 2015, pp. 99–102, 516–520, 525–537; ; AER, </w:t>
      </w:r>
      <w:r w:rsidRPr="00B55FA0">
        <w:rPr>
          <w:rStyle w:val="Emphasis"/>
        </w:rPr>
        <w:t>Preliminary decision Jemena distribution determination 2016 to 2020: Attachment 3–Rate of return</w:t>
      </w:r>
      <w:r w:rsidRPr="00B55FA0">
        <w:t>, October 2015, pp. 95–98; AER</w:t>
      </w:r>
      <w:r w:rsidRPr="00B55FA0">
        <w:rPr>
          <w:rStyle w:val="Emphasis"/>
        </w:rPr>
        <w:t>, Preliminary decision AusNet Services determination 2016 to 2020: Attachment 3–Rate of return</w:t>
      </w:r>
      <w:r w:rsidRPr="00B55FA0">
        <w:t xml:space="preserve">, October 2015, pp.  99–102, 522–529; </w:t>
      </w:r>
      <w:r w:rsidRPr="00450194">
        <w:t xml:space="preserve">AER, </w:t>
      </w:r>
      <w:r w:rsidRPr="00450194">
        <w:rPr>
          <w:rStyle w:val="Emphasis"/>
        </w:rPr>
        <w:t>Draft decision Amadeus Gas Pipeline access arrangement 2016 to 2021: Attachment 3</w:t>
      </w:r>
      <w:r w:rsidRPr="00450194">
        <w:rPr>
          <w:rStyle w:val="Emphasis"/>
        </w:rPr>
        <w:softHyphen/>
        <w:t>–Rate of return</w:t>
      </w:r>
      <w:r w:rsidRPr="00450194">
        <w:t>, November 2015, pp</w:t>
      </w:r>
      <w:r>
        <w:t xml:space="preserve">. 524–530; AER, </w:t>
      </w:r>
      <w:r w:rsidRPr="001A0C41">
        <w:rPr>
          <w:rStyle w:val="AERtextitalic"/>
        </w:rPr>
        <w:t>Explanatory statement: Rate of return guideline (appendices)</w:t>
      </w:r>
      <w:r>
        <w:t>, December 2013, pp. 40–42.</w:t>
      </w:r>
    </w:p>
  </w:footnote>
  <w:footnote w:id="327">
    <w:p w:rsidR="006345FD" w:rsidRDefault="006345FD" w:rsidP="00B75657">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317–321; </w:t>
      </w:r>
      <w:r w:rsidRPr="00B55FA0">
        <w:t xml:space="preserve">; Powercor, </w:t>
      </w:r>
      <w:r w:rsidRPr="00B55FA0">
        <w:rPr>
          <w:rStyle w:val="AERtextitalic"/>
        </w:rPr>
        <w:t>Revised regulatory proposal 2016–2020</w:t>
      </w:r>
      <w:r w:rsidRPr="00B55FA0">
        <w:t xml:space="preserve">, January  2016, pp. 311–315;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96–101; United Energy, </w:t>
      </w:r>
      <w:r w:rsidRPr="00B55FA0">
        <w:rPr>
          <w:rStyle w:val="Emphasis"/>
        </w:rPr>
        <w:t>Response to AER preliminary determination–Re: rate of return and gamma</w:t>
      </w:r>
      <w:r w:rsidRPr="00B55FA0">
        <w:t xml:space="preserve">, 6 January 2016, pp. 71–74; AGN, </w:t>
      </w:r>
      <w:r w:rsidRPr="00B55FA0">
        <w:rPr>
          <w:rStyle w:val="Emphasis"/>
        </w:rPr>
        <w:t>2016–17 to 2020/21 Access Arrangement information response to draft decision: Attachment 10.26 Response to draft decision: rate of return</w:t>
      </w:r>
      <w:r w:rsidRPr="00B55FA0">
        <w:t xml:space="preserve">, January 2016, pp. 75–78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76–80;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70–74.</w:t>
      </w:r>
    </w:p>
  </w:footnote>
  <w:footnote w:id="328">
    <w:p w:rsidR="006345FD" w:rsidRDefault="006345FD" w:rsidP="00B75657">
      <w:pPr>
        <w:pStyle w:val="FootnoteText"/>
      </w:pPr>
      <w:r>
        <w:rPr>
          <w:rStyle w:val="FootnoteReference"/>
        </w:rPr>
        <w:footnoteRef/>
      </w:r>
      <w:r>
        <w:t xml:space="preserve"> </w:t>
      </w:r>
      <w:r>
        <w:tab/>
        <w:t xml:space="preserve">CitiPower, </w:t>
      </w:r>
      <w:r w:rsidRPr="00C31257">
        <w:rPr>
          <w:rStyle w:val="AERtextitalic"/>
        </w:rPr>
        <w:t>Revised regulatory proposal 2016–2020</w:t>
      </w:r>
      <w:r>
        <w:t>, p. 321</w:t>
      </w:r>
      <w:r w:rsidRPr="00B55FA0">
        <w:t xml:space="preserve">; Powercor, </w:t>
      </w:r>
      <w:r w:rsidRPr="00B55FA0">
        <w:rPr>
          <w:rStyle w:val="AERtextitalic"/>
        </w:rPr>
        <w:t>Revised regulatory proposal 2016–2020</w:t>
      </w:r>
      <w:r w:rsidRPr="00B55FA0">
        <w:t xml:space="preserve">, January  2016, p. 315; ActewAGL, </w:t>
      </w:r>
      <w:r w:rsidRPr="00B55FA0">
        <w:rPr>
          <w:rStyle w:val="Emphasis"/>
        </w:rPr>
        <w:t>Revised 2016–21 access ar</w:t>
      </w:r>
      <w:r>
        <w:rPr>
          <w:rStyle w:val="Emphasis"/>
        </w:rPr>
        <w:t>r</w:t>
      </w:r>
      <w:r w:rsidRPr="00B55FA0">
        <w:rPr>
          <w:rStyle w:val="Emphasis"/>
        </w:rPr>
        <w:t>angement proposal Response to the AER's draft decision, Appendix 5.01 Detailed response to rate of return, gamma and inflation</w:t>
      </w:r>
      <w:r w:rsidRPr="00B55FA0">
        <w:t xml:space="preserve">, January 2016, pp. 100–101; United Energy, </w:t>
      </w:r>
      <w:r w:rsidRPr="00B55FA0">
        <w:rPr>
          <w:rStyle w:val="Emphasis"/>
        </w:rPr>
        <w:t>Response to AER preliminary determination–Re: rate of return and gamma</w:t>
      </w:r>
      <w:r w:rsidRPr="00B55FA0">
        <w:t xml:space="preserve">, 6 January 2016, p. 74; AGN, </w:t>
      </w:r>
      <w:r w:rsidRPr="00B55FA0">
        <w:rPr>
          <w:rStyle w:val="Emphasis"/>
        </w:rPr>
        <w:t>2016–17 to 2020/21 Access Arrangement information response to draft decision: Attachment 10.26 Response to draft decision: rate of return</w:t>
      </w:r>
      <w:r w:rsidRPr="00B55FA0">
        <w:t xml:space="preserve">, January 2016, p. 78 ; JEN (Vic), </w:t>
      </w:r>
      <w:r w:rsidRPr="00B55FA0">
        <w:rPr>
          <w:rStyle w:val="Emphasis"/>
        </w:rPr>
        <w:t>2016–20 Electricity distribution price review regulatory proposal revocation and substitution submission: Attachment 6–1 Rate of return, gamma, forecast inflation, and debt and equity raising costs,</w:t>
      </w:r>
      <w:r w:rsidRPr="00B55FA0">
        <w:t xml:space="preserve"> 6 January 2016, pp. 80; AusNet Services, </w:t>
      </w:r>
      <w:r w:rsidRPr="00B55FA0">
        <w:rPr>
          <w:rStyle w:val="Emphasis"/>
        </w:rPr>
        <w:t>Electricity distribution price review 2016–20 Re</w:t>
      </w:r>
      <w:r>
        <w:rPr>
          <w:rStyle w:val="Emphasis"/>
        </w:rPr>
        <w:t>vised regulatory proposal: Chap</w:t>
      </w:r>
      <w:r w:rsidRPr="00B55FA0">
        <w:rPr>
          <w:rStyle w:val="Emphasis"/>
        </w:rPr>
        <w:t>ter 7 Rate of return &amp; gamma</w:t>
      </w:r>
      <w:r w:rsidRPr="00B55FA0">
        <w:t>, 6 January 2016, pp. 73–74.</w:t>
      </w:r>
    </w:p>
  </w:footnote>
  <w:footnote w:id="329">
    <w:p w:rsidR="006345FD" w:rsidRDefault="006345FD" w:rsidP="00B75657">
      <w:pPr>
        <w:pStyle w:val="FootnoteText"/>
      </w:pPr>
      <w:r>
        <w:rPr>
          <w:rStyle w:val="FootnoteReference"/>
        </w:rPr>
        <w:footnoteRef/>
      </w:r>
      <w:r>
        <w:t xml:space="preserve"> </w:t>
      </w:r>
      <w:r>
        <w:tab/>
        <w:t xml:space="preserve">Frontier Economics, </w:t>
      </w:r>
      <w:r w:rsidRPr="00AB7811">
        <w:rPr>
          <w:rStyle w:val="AERtextitalic"/>
        </w:rPr>
        <w:t>The relationship between government bond yields and the market risk premium</w:t>
      </w:r>
      <w:r>
        <w:t>, January 2016, pp. 19</w:t>
      </w:r>
      <w:r>
        <w:noBreakHyphen/>
        <w:t>20.</w:t>
      </w:r>
    </w:p>
  </w:footnote>
  <w:footnote w:id="330">
    <w:p w:rsidR="006345FD" w:rsidRDefault="006345FD" w:rsidP="00B75657">
      <w:pPr>
        <w:pStyle w:val="FootnoteText"/>
      </w:pPr>
      <w:r>
        <w:rPr>
          <w:rStyle w:val="FootnoteReference"/>
        </w:rPr>
        <w:footnoteRef/>
      </w:r>
      <w:r>
        <w:t xml:space="preserve"> </w:t>
      </w:r>
      <w:r>
        <w:tab/>
        <w:t xml:space="preserve">CCP (panel 3), </w:t>
      </w:r>
      <w:r w:rsidRPr="001A0C41">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t xml:space="preserve">, 25 February 2016, p. 30; </w:t>
      </w:r>
      <w:r w:rsidRPr="001876F5">
        <w:t xml:space="preserve">EUCV, </w:t>
      </w:r>
      <w:r w:rsidRPr="001A0C41">
        <w:rPr>
          <w:rStyle w:val="AERtextitalic"/>
        </w:rPr>
        <w:t>A response to AusNet revenue reset proposal for the 2017–2022 period</w:t>
      </w:r>
      <w:r w:rsidRPr="001876F5">
        <w:t>, 9 February 2016</w:t>
      </w:r>
      <w:r>
        <w:t>, p. 40</w:t>
      </w:r>
    </w:p>
  </w:footnote>
  <w:footnote w:id="331">
    <w:p w:rsidR="006345FD" w:rsidRDefault="006345FD" w:rsidP="00B75657">
      <w:pPr>
        <w:pStyle w:val="FootnoteText"/>
      </w:pPr>
      <w:r>
        <w:rPr>
          <w:rStyle w:val="FootnoteReference"/>
        </w:rPr>
        <w:footnoteRef/>
      </w:r>
      <w:r>
        <w:t xml:space="preserve"> </w:t>
      </w:r>
      <w:r>
        <w:tab/>
        <w:t>Or more precisely, a benchmark efficient entity with a similar degree of risk as CitiPower in respect of the provision of standard control services.</w:t>
      </w:r>
    </w:p>
  </w:footnote>
  <w:footnote w:id="332">
    <w:p w:rsidR="006345FD" w:rsidRDefault="006345FD" w:rsidP="00B75657">
      <w:pPr>
        <w:pStyle w:val="FootnoteText"/>
      </w:pPr>
      <w:r>
        <w:rPr>
          <w:rStyle w:val="FootnoteReference"/>
        </w:rPr>
        <w:footnoteRef/>
      </w:r>
      <w:r>
        <w:t xml:space="preserve"> </w:t>
      </w:r>
      <w:r>
        <w:tab/>
        <w:t>In accordance with our task under the NER and NGR.</w:t>
      </w:r>
      <w:r w:rsidRPr="00A71F09">
        <w:t xml:space="preserve"> </w:t>
      </w:r>
      <w:r>
        <w:t>While there may be many various risks associated with providing regulated network or pipeline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333">
    <w:p w:rsidR="006345FD" w:rsidRDefault="006345FD" w:rsidP="00B75657">
      <w:pPr>
        <w:pStyle w:val="FootnoteText"/>
      </w:pPr>
      <w:r>
        <w:rPr>
          <w:rStyle w:val="FootnoteReference"/>
        </w:rPr>
        <w:footnoteRef/>
      </w:r>
      <w:r>
        <w:t xml:space="preserve"> </w:t>
      </w:r>
      <w:r>
        <w:tab/>
      </w:r>
      <w:r w:rsidRPr="007F0B12">
        <w:t xml:space="preserve">For a discussion, see AER, </w:t>
      </w:r>
      <w:r w:rsidRPr="007F0B12">
        <w:rPr>
          <w:rStyle w:val="AERtextitalic"/>
        </w:rPr>
        <w:t>Explanatory statement to the rate of return guideline (appendices)</w:t>
      </w:r>
      <w:r w:rsidRPr="007F0B12">
        <w:t xml:space="preserve">, 17 December 2013, pp. 25–26. Also see CEPA, </w:t>
      </w:r>
      <w:r w:rsidRPr="007F0B12">
        <w:rPr>
          <w:rStyle w:val="AERtextitalic"/>
        </w:rPr>
        <w:t>AER: Victorian gas networks market evidence paper</w:t>
      </w:r>
      <w:r w:rsidRPr="007F0B12">
        <w:t xml:space="preserve">, February 2013; McKenzie and Partington, </w:t>
      </w:r>
      <w:r w:rsidRPr="007F0B12">
        <w:rPr>
          <w:rStyle w:val="AERtextitalic"/>
        </w:rPr>
        <w:t>Review of the AER’s overall approach to the risk free rate and MRP</w:t>
      </w:r>
      <w:r w:rsidRPr="007F0B12">
        <w:t xml:space="preserve">, February 2013; Lally, </w:t>
      </w:r>
      <w:r w:rsidRPr="007F0B12">
        <w:rPr>
          <w:rStyle w:val="AERtextitalic"/>
        </w:rPr>
        <w:t>Review of the AER’s methodology</w:t>
      </w:r>
      <w:r w:rsidRPr="007F0B12">
        <w:t>, March 2013.</w:t>
      </w:r>
    </w:p>
  </w:footnote>
  <w:footnote w:id="334">
    <w:p w:rsidR="006345FD" w:rsidRDefault="006345FD" w:rsidP="00B75657">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335">
    <w:p w:rsidR="006345FD" w:rsidRDefault="006345FD" w:rsidP="00B75657">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336">
    <w:p w:rsidR="006345FD" w:rsidRDefault="006345FD" w:rsidP="00B00752">
      <w:pPr>
        <w:pStyle w:val="FootnoteText"/>
      </w:pPr>
      <w:r>
        <w:rPr>
          <w:rStyle w:val="FootnoteReference"/>
        </w:rPr>
        <w:footnoteRef/>
      </w:r>
      <w:r>
        <w:t xml:space="preserve"> </w:t>
      </w:r>
      <w:r>
        <w:tab/>
        <w:t xml:space="preserve">See AER, </w:t>
      </w:r>
      <w:r w:rsidRPr="002868D4">
        <w:rPr>
          <w:rStyle w:val="AERtextitalic"/>
        </w:rPr>
        <w:t>Explanatory statement: Rate of return guideline (appendices)</w:t>
      </w:r>
      <w:r>
        <w:t xml:space="preserve">, 17 December 2013, pp. 104–110; AER, </w:t>
      </w:r>
      <w:r w:rsidRPr="006063CB">
        <w:rPr>
          <w:rStyle w:val="AERtextitalic"/>
        </w:rPr>
        <w:t>Access arrangement final decision: Multinet Gas (DB No. 1) Pty Ltd Multinet Gas (DB No. 2) Pty Ltd 2013–17—Part 3: Appendices</w:t>
      </w:r>
      <w:r>
        <w:t xml:space="preserve">, March 2013, pp. 31–35; AER, </w:t>
      </w:r>
      <w:r w:rsidRPr="009E1CF5">
        <w:rPr>
          <w:rStyle w:val="AERtextitalic"/>
        </w:rPr>
        <w:t>Access arrangement final decision: APA GasNet Australia (Operations) Pty Ltd 2013–17: Part 3—Appendices</w:t>
      </w:r>
      <w:r>
        <w:t xml:space="preserve">, March 2013, pp. 32–38. AER, SAPN final decision: Attachment 3–Rate of return, October 2015, pp. 411–412; AER, </w:t>
      </w:r>
      <w:r w:rsidRPr="00074148">
        <w:rPr>
          <w:rStyle w:val="Emphasis"/>
        </w:rPr>
        <w:t>CitiPower preliminary decision: Attachment 3–Rate of return</w:t>
      </w:r>
      <w:r>
        <w:t xml:space="preserve">, October 2015, pp. 265–266; </w:t>
      </w:r>
      <w:r w:rsidRPr="003E0718">
        <w:t xml:space="preserve">McKenzie and Partington, </w:t>
      </w:r>
      <w:r w:rsidRPr="008347D0">
        <w:rPr>
          <w:rStyle w:val="AERtextitalic"/>
        </w:rPr>
        <w:t>Review of the AER’s overall approach to the risk free rate and market risk premium</w:t>
      </w:r>
      <w:r w:rsidRPr="003E0718">
        <w:t>, February 2013, pp. 6, 24.</w:t>
      </w:r>
    </w:p>
  </w:footnote>
  <w:footnote w:id="337">
    <w:p w:rsidR="006345FD" w:rsidRDefault="006345FD" w:rsidP="00B75657">
      <w:pPr>
        <w:pStyle w:val="FootnoteText"/>
      </w:pPr>
      <w:r>
        <w:rPr>
          <w:rStyle w:val="FootnoteReference"/>
        </w:rPr>
        <w:footnoteRef/>
      </w:r>
      <w:r>
        <w:t xml:space="preserve"> </w:t>
      </w:r>
      <w:r>
        <w:tab/>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p>
  </w:footnote>
  <w:footnote w:id="338">
    <w:p w:rsidR="006345FD" w:rsidRDefault="006345FD" w:rsidP="00B75657">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339">
    <w:p w:rsidR="006345FD" w:rsidRDefault="006345FD" w:rsidP="00B75657">
      <w:pPr>
        <w:pStyle w:val="FootnoteText"/>
      </w:pPr>
      <w:r>
        <w:rPr>
          <w:rStyle w:val="FootnoteReference"/>
        </w:rPr>
        <w:footnoteRef/>
      </w:r>
      <w:r>
        <w:t xml:space="preserve"> </w:t>
      </w:r>
      <w:r>
        <w:tab/>
        <w:t xml:space="preserve">Partington, </w:t>
      </w:r>
      <w:r w:rsidRPr="00B27D98">
        <w:rPr>
          <w:rStyle w:val="AERtextitalic"/>
        </w:rPr>
        <w:t xml:space="preserve">Report to the AER: </w:t>
      </w:r>
      <w:r>
        <w:rPr>
          <w:rStyle w:val="AERtextitalic"/>
        </w:rPr>
        <w:t>Return on equity (updated), April 2015</w:t>
      </w:r>
      <w:r>
        <w:t>, p. 72.</w:t>
      </w:r>
    </w:p>
  </w:footnote>
  <w:footnote w:id="340">
    <w:p w:rsidR="006345FD" w:rsidRDefault="006345FD" w:rsidP="00B75657">
      <w:pPr>
        <w:pStyle w:val="FootnoteText"/>
      </w:pPr>
      <w:r>
        <w:rPr>
          <w:rStyle w:val="FootnoteReference"/>
        </w:rPr>
        <w:footnoteRef/>
      </w:r>
      <w:r>
        <w:t xml:space="preserve"> </w:t>
      </w:r>
      <w:r>
        <w:tab/>
        <w:t xml:space="preserve">Partington, </w:t>
      </w:r>
      <w:r>
        <w:rPr>
          <w:rStyle w:val="AERtextitalic"/>
        </w:rPr>
        <w:t>Report to the AER: Return on equity (updated)</w:t>
      </w:r>
      <w:r>
        <w:t>, April 2015, p. 74.</w:t>
      </w:r>
    </w:p>
  </w:footnote>
  <w:footnote w:id="341">
    <w:p w:rsidR="006345FD" w:rsidRDefault="006345FD" w:rsidP="00B75657">
      <w:pPr>
        <w:pStyle w:val="FootnoteText"/>
      </w:pPr>
      <w:r>
        <w:rPr>
          <w:rStyle w:val="FootnoteReference"/>
        </w:rPr>
        <w:footnoteRef/>
      </w:r>
      <w:r>
        <w:t xml:space="preserve"> </w:t>
      </w:r>
      <w:r>
        <w:tab/>
      </w:r>
      <w:r w:rsidRPr="00F15FFD">
        <w:t xml:space="preserve">Partington &amp; Satchell, </w:t>
      </w:r>
      <w:r w:rsidRPr="00665803">
        <w:rPr>
          <w:rStyle w:val="AERtextitalic"/>
        </w:rPr>
        <w:t>Report to the AER: Analysis of criticism of 2015 determinations</w:t>
      </w:r>
      <w:r w:rsidRPr="00F15FFD">
        <w:t>, October 2015</w:t>
      </w:r>
      <w:r>
        <w:t>, p. 17.</w:t>
      </w:r>
    </w:p>
  </w:footnote>
  <w:footnote w:id="342">
    <w:p w:rsidR="006345FD" w:rsidRDefault="006345FD" w:rsidP="00B75657">
      <w:pPr>
        <w:pStyle w:val="FootnoteText"/>
      </w:pPr>
      <w:r>
        <w:rPr>
          <w:rStyle w:val="FootnoteReference"/>
        </w:rPr>
        <w:footnoteRef/>
      </w:r>
      <w:r>
        <w:t xml:space="preserve"> </w:t>
      </w:r>
      <w:r>
        <w:tab/>
        <w:t xml:space="preserve">For example, see AER, </w:t>
      </w:r>
      <w:r w:rsidRPr="00074148">
        <w:rPr>
          <w:rStyle w:val="Emphasis"/>
        </w:rPr>
        <w:t>Preliminary Decision CitiPower determination 2016–2020: Attachment 3-Rate of return</w:t>
      </w:r>
      <w:r>
        <w:t>, October 2015, pp. 267–270</w:t>
      </w:r>
      <w:r w:rsidRPr="00C36099">
        <w:t>.</w:t>
      </w:r>
    </w:p>
  </w:footnote>
  <w:footnote w:id="343">
    <w:p w:rsidR="006345FD" w:rsidRDefault="006345FD" w:rsidP="00B75657">
      <w:pPr>
        <w:pStyle w:val="FootnoteText"/>
      </w:pPr>
      <w:r>
        <w:rPr>
          <w:rStyle w:val="FootnoteReference"/>
        </w:rPr>
        <w:footnoteRef/>
      </w:r>
      <w:r>
        <w:t xml:space="preserve"> </w:t>
      </w:r>
      <w:r>
        <w:tab/>
        <w:t xml:space="preserve">CitiPower, </w:t>
      </w:r>
      <w:r w:rsidRPr="00074148">
        <w:rPr>
          <w:rStyle w:val="Emphasis"/>
        </w:rPr>
        <w:t>Revised regulatory proposal 2016–2020</w:t>
      </w:r>
      <w:r>
        <w:t>, January 2016, p. 285</w:t>
      </w:r>
      <w:r w:rsidRPr="00C36099">
        <w:t xml:space="preserve">; Powercor, </w:t>
      </w:r>
      <w:r w:rsidRPr="00C36099">
        <w:rPr>
          <w:rStyle w:val="AERtextitalic"/>
        </w:rPr>
        <w:t>Revised regulatory proposal 2016–2020</w:t>
      </w:r>
      <w:r w:rsidRPr="00C36099">
        <w:t xml:space="preserve">, January  2016, p. 219;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54–56; United Energy, </w:t>
      </w:r>
      <w:r w:rsidRPr="00C36099">
        <w:rPr>
          <w:rStyle w:val="Emphasis"/>
        </w:rPr>
        <w:t>Response to AER preliminary determination–Re: rate of return and gamma</w:t>
      </w:r>
      <w:r w:rsidRPr="00C36099">
        <w:t xml:space="preserve">, 6 January 2016, pp. 38–40, 51–52; AGN, </w:t>
      </w:r>
      <w:r w:rsidRPr="00C36099">
        <w:rPr>
          <w:rStyle w:val="Emphasis"/>
        </w:rPr>
        <w:t>2016–17 to 2020/21 Access Arrangement information response to draft decision: Attachment 10.26 Response to draft decision: rate of return</w:t>
      </w:r>
      <w:r w:rsidRPr="00C36099">
        <w:t xml:space="preserve">, January 2016, pp. 45–46, 57–58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44–45, 56–58;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xml:space="preserve">, 6 January 2016, pp, 39–40, 50–52; APTNT, </w:t>
      </w:r>
      <w:r w:rsidRPr="00C36099">
        <w:rPr>
          <w:rStyle w:val="Emphasis"/>
        </w:rPr>
        <w:t>Amadeus Gas Pipeline Access arrangement revised proposal: response to Draft Decision,</w:t>
      </w:r>
      <w:r w:rsidRPr="00C36099">
        <w:t xml:space="preserve"> January 2016, pp. 76–77.</w:t>
      </w:r>
      <w:r>
        <w:t>.</w:t>
      </w:r>
    </w:p>
  </w:footnote>
  <w:footnote w:id="344">
    <w:p w:rsidR="006345FD" w:rsidRDefault="006345FD" w:rsidP="00B75657">
      <w:pPr>
        <w:pStyle w:val="FootnoteText"/>
      </w:pPr>
      <w:r>
        <w:rPr>
          <w:rStyle w:val="FootnoteReference"/>
        </w:rPr>
        <w:footnoteRef/>
      </w:r>
      <w:r>
        <w:t xml:space="preserve"> </w:t>
      </w:r>
      <w:r>
        <w:tab/>
        <w:t xml:space="preserve">A 2014 article from McKinsey and a 2012 article from JP Morgan. </w:t>
      </w:r>
    </w:p>
  </w:footnote>
  <w:footnote w:id="345">
    <w:p w:rsidR="006345FD" w:rsidRDefault="006345FD" w:rsidP="00B75657">
      <w:pPr>
        <w:pStyle w:val="FootnoteText"/>
      </w:pPr>
      <w:r>
        <w:rPr>
          <w:rStyle w:val="FootnoteReference"/>
        </w:rPr>
        <w:footnoteRef/>
      </w:r>
      <w:r>
        <w:t xml:space="preserve"> </w:t>
      </w:r>
      <w:r>
        <w:tab/>
        <w:t>A 2014 decision by the Federal Energy Regulatory Commission (FERC) in the United States.</w:t>
      </w:r>
    </w:p>
  </w:footnote>
  <w:footnote w:id="346">
    <w:p w:rsidR="006345FD" w:rsidRDefault="006345FD" w:rsidP="00B75657">
      <w:pPr>
        <w:pStyle w:val="FootnoteText"/>
      </w:pPr>
      <w:r>
        <w:rPr>
          <w:rStyle w:val="FootnoteReference"/>
        </w:rPr>
        <w:footnoteRef/>
      </w:r>
      <w:r>
        <w:t xml:space="preserve"> </w:t>
      </w:r>
      <w:r>
        <w:tab/>
        <w:t xml:space="preserve">Frontier Economics, </w:t>
      </w:r>
      <w:r w:rsidRPr="00C31257">
        <w:rPr>
          <w:rStyle w:val="AERtextitalic"/>
        </w:rPr>
        <w:t>The relationship between government bond yields and the market risk premium</w:t>
      </w:r>
      <w:r>
        <w:t>, January 2016, pp. 21–25.</w:t>
      </w:r>
    </w:p>
  </w:footnote>
  <w:footnote w:id="347">
    <w:p w:rsidR="006345FD" w:rsidRDefault="006345FD" w:rsidP="00B75657">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82–83; United Energy, </w:t>
      </w:r>
      <w:r w:rsidRPr="00C36099">
        <w:rPr>
          <w:rStyle w:val="Emphasis"/>
        </w:rPr>
        <w:t>Response to AER preliminary determination–Re: rate of return and gamma</w:t>
      </w:r>
      <w:r w:rsidRPr="00C36099">
        <w:t xml:space="preserve">, 6 January 2016, p. 60; AGN, </w:t>
      </w:r>
      <w:r w:rsidRPr="00C36099">
        <w:rPr>
          <w:rStyle w:val="Emphasis"/>
        </w:rPr>
        <w:t>2016–17 to 2020/21 Access Arrangement information response to draft decision: Attachment 10.26 Response to draft decision: rate of return</w:t>
      </w:r>
      <w:r w:rsidRPr="00C36099">
        <w:t xml:space="preserve">, January 2016, pp. 66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66–67;  AusNet Services, </w:t>
      </w:r>
      <w:r w:rsidRPr="00C36099">
        <w:rPr>
          <w:rStyle w:val="Emphasis"/>
        </w:rPr>
        <w:t>Electricity distribution price review 2016–20 R</w:t>
      </w:r>
      <w:r>
        <w:rPr>
          <w:rStyle w:val="Emphasis"/>
        </w:rPr>
        <w:t>evised regulatory proposal: Chap</w:t>
      </w:r>
      <w:r w:rsidRPr="00C36099">
        <w:rPr>
          <w:rStyle w:val="Emphasis"/>
        </w:rPr>
        <w:t>ter 7 Rate of return &amp; gamma</w:t>
      </w:r>
      <w:r w:rsidRPr="00C36099">
        <w:t xml:space="preserve">, 6 January 2016, pp. 59–60; APTNT, </w:t>
      </w:r>
      <w:r w:rsidRPr="00C36099">
        <w:rPr>
          <w:rStyle w:val="Emphasis"/>
        </w:rPr>
        <w:t>Amadeus Gas Pipeline Access arrangement revised proposal: response to Draft Decision,</w:t>
      </w:r>
      <w:r w:rsidRPr="00C36099">
        <w:t xml:space="preserve"> January 2016, pp. 66–68.</w:t>
      </w:r>
    </w:p>
  </w:footnote>
  <w:footnote w:id="348">
    <w:p w:rsidR="006345FD" w:rsidRDefault="006345FD" w:rsidP="00B75657">
      <w:pPr>
        <w:pStyle w:val="FootnoteText"/>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13.</w:t>
      </w:r>
    </w:p>
  </w:footnote>
  <w:footnote w:id="349">
    <w:p w:rsidR="006345FD" w:rsidRDefault="006345FD" w:rsidP="00B75657">
      <w:pPr>
        <w:pStyle w:val="FootnoteText"/>
        <w:ind w:left="0" w:firstLine="0"/>
      </w:pPr>
      <w:r>
        <w:rPr>
          <w:rStyle w:val="FootnoteReference"/>
        </w:rPr>
        <w:footnoteRef/>
      </w:r>
      <w:r>
        <w:t xml:space="preserve"> </w:t>
      </w:r>
      <w:r>
        <w:tab/>
        <w:t xml:space="preserve">Frontier, </w:t>
      </w:r>
      <w:r w:rsidRPr="00074148">
        <w:rPr>
          <w:rStyle w:val="Emphasis"/>
        </w:rPr>
        <w:t>The relationship between government bond yields and the market risk premium</w:t>
      </w:r>
      <w:r>
        <w:t>, January 2016, p. 14.</w:t>
      </w:r>
    </w:p>
  </w:footnote>
  <w:footnote w:id="350">
    <w:p w:rsidR="006345FD" w:rsidRDefault="006345FD" w:rsidP="00B75657">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351">
    <w:p w:rsidR="006345FD" w:rsidRDefault="006345FD" w:rsidP="00B75657">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352">
    <w:p w:rsidR="006345FD" w:rsidRDefault="006345FD" w:rsidP="00B75657">
      <w:pPr>
        <w:pStyle w:val="FootnoteText"/>
      </w:pPr>
      <w:r>
        <w:rPr>
          <w:rStyle w:val="FootnoteReference"/>
        </w:rPr>
        <w:footnoteRef/>
      </w:r>
      <w:r>
        <w:t xml:space="preserve"> </w:t>
      </w:r>
      <w:r>
        <w:tab/>
      </w:r>
      <w:r w:rsidRPr="0063511B">
        <w:t xml:space="preserve">McKinsey, </w:t>
      </w:r>
      <w:r w:rsidRPr="00074148">
        <w:rPr>
          <w:rStyle w:val="Emphasis"/>
        </w:rPr>
        <w:t>What effect has quantitative easing had on your share price</w:t>
      </w:r>
      <w:r w:rsidRPr="00D73AF9">
        <w:t>,</w:t>
      </w:r>
      <w:r>
        <w:t>2014, p. 17.</w:t>
      </w:r>
    </w:p>
  </w:footnote>
  <w:footnote w:id="353">
    <w:p w:rsidR="006345FD" w:rsidRDefault="006345FD" w:rsidP="00B75657">
      <w:pPr>
        <w:pStyle w:val="FootnoteText"/>
      </w:pPr>
      <w:r>
        <w:rPr>
          <w:rStyle w:val="FootnoteReference"/>
        </w:rPr>
        <w:footnoteRef/>
      </w:r>
      <w:r>
        <w:t xml:space="preserve"> </w:t>
      </w:r>
      <w:r>
        <w:tab/>
        <w:t>See section C.7.2 of Attachment 3 to our preliminary decision for CitiPower.</w:t>
      </w:r>
    </w:p>
  </w:footnote>
  <w:footnote w:id="354">
    <w:p w:rsidR="006345FD" w:rsidRDefault="006345FD" w:rsidP="00B75657">
      <w:pPr>
        <w:pStyle w:val="FootnoteText"/>
      </w:pPr>
      <w:r>
        <w:rPr>
          <w:rStyle w:val="FootnoteReference"/>
        </w:rPr>
        <w:footnoteRef/>
      </w:r>
      <w:r>
        <w:t xml:space="preserve"> </w:t>
      </w:r>
      <w:r>
        <w:tab/>
        <w:t xml:space="preserve">RBA, </w:t>
      </w:r>
      <w:r w:rsidRPr="00074148">
        <w:rPr>
          <w:rStyle w:val="Emphasis"/>
        </w:rPr>
        <w:t>Bulletin - Firms' investment decisions and interest rates</w:t>
      </w:r>
      <w:r>
        <w:t>, June quarter 2015.</w:t>
      </w:r>
    </w:p>
  </w:footnote>
  <w:footnote w:id="355">
    <w:p w:rsidR="006345FD" w:rsidRDefault="006345FD" w:rsidP="00B75657">
      <w:pPr>
        <w:pStyle w:val="FootnoteText"/>
      </w:pPr>
      <w:r>
        <w:rPr>
          <w:rStyle w:val="FootnoteReference"/>
        </w:rPr>
        <w:footnoteRef/>
      </w:r>
      <w:r>
        <w:t xml:space="preserve"> </w:t>
      </w:r>
      <w:r>
        <w:tab/>
        <w:t xml:space="preserve">McDonald, </w:t>
      </w:r>
      <w:r w:rsidRPr="00C766A5">
        <w:rPr>
          <w:rStyle w:val="AERtextitalic"/>
        </w:rPr>
        <w:t>Real options and rules of thumb in capital budgeting</w:t>
      </w:r>
      <w:r>
        <w:t>, Oxford University, 2000, p. 1.</w:t>
      </w:r>
    </w:p>
  </w:footnote>
  <w:footnote w:id="356">
    <w:p w:rsidR="006345FD" w:rsidRDefault="006345FD" w:rsidP="00B75657">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xml:space="preserve">, June 2015, p. 3; 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7">
    <w:p w:rsidR="006345FD" w:rsidRDefault="006345FD" w:rsidP="00B75657">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517.</w:t>
      </w:r>
    </w:p>
  </w:footnote>
  <w:footnote w:id="358">
    <w:p w:rsidR="006345FD" w:rsidRDefault="006345FD" w:rsidP="00B75657">
      <w:pPr>
        <w:pStyle w:val="FootnoteText"/>
      </w:pPr>
      <w:r>
        <w:rPr>
          <w:rStyle w:val="FootnoteReference"/>
        </w:rPr>
        <w:footnoteRef/>
      </w:r>
      <w:r>
        <w:t xml:space="preserve"> </w:t>
      </w:r>
      <w:r>
        <w:tab/>
        <w:t xml:space="preserve">Driver and Temple, </w:t>
      </w:r>
      <w:r w:rsidRPr="00074148">
        <w:rPr>
          <w:rStyle w:val="Emphasis"/>
        </w:rPr>
        <w:t>Why do hurdle rates differ from the cost of capital?,</w:t>
      </w:r>
      <w:r>
        <w:t xml:space="preserve"> </w:t>
      </w:r>
      <w:r w:rsidRPr="00D90001">
        <w:rPr>
          <w:rStyle w:val="AERtextitalic"/>
        </w:rPr>
        <w:t>Cambridge journal of economics</w:t>
      </w:r>
      <w:r>
        <w:t>, 34(3), 2010, p. 516.</w:t>
      </w:r>
    </w:p>
  </w:footnote>
  <w:footnote w:id="359">
    <w:p w:rsidR="006345FD" w:rsidRDefault="006345FD" w:rsidP="00B75657">
      <w:pPr>
        <w:pStyle w:val="FootnoteText"/>
      </w:pPr>
      <w:r>
        <w:rPr>
          <w:rStyle w:val="FootnoteReference"/>
        </w:rPr>
        <w:footnoteRef/>
      </w:r>
      <w:r>
        <w:t xml:space="preserve"> </w:t>
      </w:r>
      <w:r>
        <w:tab/>
        <w:t xml:space="preserve">RBA (Lane and Rosewall), </w:t>
      </w:r>
      <w:r w:rsidRPr="003B25CD">
        <w:rPr>
          <w:rStyle w:val="AERtextitalic"/>
        </w:rPr>
        <w:t>Bulletin: Firms' investment decisions and interest rates</w:t>
      </w:r>
      <w:r>
        <w:t>, June 2015, p. 4.</w:t>
      </w:r>
    </w:p>
  </w:footnote>
  <w:footnote w:id="360">
    <w:p w:rsidR="006345FD" w:rsidRDefault="006345FD" w:rsidP="00B75657">
      <w:pPr>
        <w:pStyle w:val="FootnoteText"/>
      </w:pPr>
      <w:r>
        <w:rPr>
          <w:rStyle w:val="FootnoteReference"/>
        </w:rPr>
        <w:footnoteRef/>
      </w:r>
      <w:r>
        <w:t xml:space="preserve"> </w:t>
      </w:r>
      <w:r>
        <w:tab/>
        <w:t>Assuming rational, well-functioning markets.</w:t>
      </w:r>
    </w:p>
  </w:footnote>
  <w:footnote w:id="361">
    <w:p w:rsidR="006345FD" w:rsidRDefault="006345FD" w:rsidP="00B75657">
      <w:pPr>
        <w:pStyle w:val="FootnoteText"/>
      </w:pPr>
      <w:r>
        <w:rPr>
          <w:rStyle w:val="FootnoteReference"/>
        </w:rPr>
        <w:footnoteRef/>
      </w:r>
      <w:r>
        <w:t xml:space="preserve"> </w:t>
      </w:r>
      <w:r>
        <w:tab/>
        <w:t xml:space="preserve">Frontier Economics, </w:t>
      </w:r>
      <w:r w:rsidRPr="00074148">
        <w:rPr>
          <w:rStyle w:val="Emphasis"/>
        </w:rPr>
        <w:t>The relationship between government bond yields an</w:t>
      </w:r>
      <w:r>
        <w:rPr>
          <w:rStyle w:val="Emphasis"/>
        </w:rPr>
        <w:t>d</w:t>
      </w:r>
      <w:r w:rsidRPr="00074148">
        <w:rPr>
          <w:rStyle w:val="Emphasis"/>
        </w:rPr>
        <w:t xml:space="preserve"> the market risk premium</w:t>
      </w:r>
      <w:r>
        <w:t>, January 2016, p. 21.</w:t>
      </w:r>
    </w:p>
  </w:footnote>
  <w:footnote w:id="362">
    <w:p w:rsidR="006345FD" w:rsidRDefault="006345FD" w:rsidP="00B75657">
      <w:pPr>
        <w:pStyle w:val="FootnoteText"/>
      </w:pPr>
      <w:r>
        <w:rPr>
          <w:rStyle w:val="FootnoteReference"/>
        </w:rPr>
        <w:footnoteRef/>
      </w:r>
      <w:r>
        <w:t xml:space="preserve"> </w:t>
      </w:r>
      <w:r>
        <w:tab/>
        <w:t xml:space="preserve">JP Morgan, </w:t>
      </w:r>
      <w:r w:rsidRPr="00074148">
        <w:rPr>
          <w:rStyle w:val="Emphasis"/>
        </w:rPr>
        <w:t>Musings on low cost of debt and high risk premia</w:t>
      </w:r>
      <w:r w:rsidRPr="003B72AC">
        <w:t xml:space="preserve">, </w:t>
      </w:r>
      <w:r>
        <w:t>April 2012, p. 2.</w:t>
      </w:r>
    </w:p>
  </w:footnote>
  <w:footnote w:id="363">
    <w:p w:rsidR="006345FD" w:rsidRDefault="006345FD" w:rsidP="00B75657">
      <w:pPr>
        <w:pStyle w:val="FootnoteText"/>
      </w:pPr>
      <w:r>
        <w:rPr>
          <w:rStyle w:val="FootnoteReference"/>
        </w:rPr>
        <w:footnoteRef/>
      </w:r>
      <w:r>
        <w:t xml:space="preserve"> </w:t>
      </w:r>
      <w:r>
        <w:tab/>
      </w:r>
      <w:r w:rsidRPr="00C36099">
        <w:t xml:space="preserve">CitiPower, </w:t>
      </w:r>
      <w:r w:rsidRPr="00C36099">
        <w:rPr>
          <w:rStyle w:val="Emphasis"/>
        </w:rPr>
        <w:t>Revised regulatory proposal 2016–2020</w:t>
      </w:r>
      <w:r w:rsidRPr="00C36099">
        <w:t xml:space="preserve">, January 2016, pp. 307, 316; Powercor, </w:t>
      </w:r>
      <w:r w:rsidRPr="00C36099">
        <w:rPr>
          <w:rStyle w:val="AERtextitalic"/>
        </w:rPr>
        <w:t>Revised regulatory proposal 2016–2020</w:t>
      </w:r>
      <w:r w:rsidRPr="00C36099">
        <w:t xml:space="preserve">, January  2016, pp. 301, 310; ActewAGL, </w:t>
      </w:r>
      <w:r w:rsidRPr="00C36099">
        <w:rPr>
          <w:rStyle w:val="Emphasis"/>
        </w:rPr>
        <w:t>Revised 2016–21 access ar</w:t>
      </w:r>
      <w:r>
        <w:rPr>
          <w:rStyle w:val="Emphasis"/>
        </w:rPr>
        <w:t>r</w:t>
      </w:r>
      <w:r w:rsidRPr="00C36099">
        <w:rPr>
          <w:rStyle w:val="Emphasis"/>
        </w:rPr>
        <w:t>angement proposal Response to the AER's draft decision, Appendix 5.01 Detailed response to rate of return, gamma and inflation</w:t>
      </w:r>
      <w:r w:rsidRPr="00C36099">
        <w:t xml:space="preserve">, January 2016, pp. 73–74, 83–84; United Energy, </w:t>
      </w:r>
      <w:r w:rsidRPr="00C36099">
        <w:rPr>
          <w:rStyle w:val="Emphasis"/>
        </w:rPr>
        <w:t>Response to AER preliminary determination–Re: rate of return and gamma</w:t>
      </w:r>
      <w:r w:rsidRPr="00C36099">
        <w:t xml:space="preserve">, 6 January 2016, pp. 53–54,61–62; AGN, </w:t>
      </w:r>
      <w:r w:rsidRPr="00C36099">
        <w:rPr>
          <w:rStyle w:val="Emphasis"/>
        </w:rPr>
        <w:t>2016–17 to 2020/21 Access Arrangement information response to draft decision: Attachment 10.26 Response to draft decision: rate of return</w:t>
      </w:r>
      <w:r w:rsidRPr="00C36099">
        <w:t xml:space="preserve">, January 2016, pp. 67 ; JEN (Vic), </w:t>
      </w:r>
      <w:r w:rsidRPr="00C36099">
        <w:rPr>
          <w:rStyle w:val="Emphasis"/>
        </w:rPr>
        <w:t>2016–20 Electricity distribution price review regulatory proposal revocation and substitution submission: Attachment 6–1 Rate of return, gamma, forecast inflation, and debt and equity raising costs,</w:t>
      </w:r>
      <w:r w:rsidRPr="00C36099">
        <w:t xml:space="preserve"> 6 January 2016, pp. 58–59, 67–68; AusNet Services, </w:t>
      </w:r>
      <w:r w:rsidRPr="00C36099">
        <w:rPr>
          <w:rStyle w:val="Emphasis"/>
        </w:rPr>
        <w:t>Electricity distribution price review 2016–20 Re</w:t>
      </w:r>
      <w:r>
        <w:rPr>
          <w:rStyle w:val="Emphasis"/>
        </w:rPr>
        <w:t>vised regulatory proposal: Chap</w:t>
      </w:r>
      <w:r w:rsidRPr="00C36099">
        <w:rPr>
          <w:rStyle w:val="Emphasis"/>
        </w:rPr>
        <w:t>ter 7 Rate of return &amp; gamma</w:t>
      </w:r>
      <w:r w:rsidRPr="00C36099">
        <w:t>, 6 January 2016, pp. 53, 70–73.</w:t>
      </w:r>
    </w:p>
  </w:footnote>
  <w:footnote w:id="364">
    <w:p w:rsidR="006345FD" w:rsidRDefault="006345FD" w:rsidP="00B75657">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xml:space="preserve">, January 2016, pp. xiii–xiv. </w:t>
      </w:r>
    </w:p>
  </w:footnote>
  <w:footnote w:id="365">
    <w:p w:rsidR="006345FD" w:rsidRDefault="006345FD" w:rsidP="00B75657">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366">
    <w:p w:rsidR="006345FD" w:rsidRDefault="006345FD" w:rsidP="000F4BC3">
      <w:pPr>
        <w:pStyle w:val="FootnoteText"/>
      </w:pPr>
      <w:r>
        <w:rPr>
          <w:rStyle w:val="FootnoteReference"/>
        </w:rPr>
        <w:footnoteRef/>
      </w:r>
      <w:r>
        <w:t xml:space="preserve"> </w:t>
      </w:r>
      <w:r>
        <w:tab/>
      </w:r>
      <w:r w:rsidRPr="00851313">
        <w:t xml:space="preserve">CitiPower, </w:t>
      </w:r>
      <w:r w:rsidRPr="00851313">
        <w:rPr>
          <w:rStyle w:val="AERtextitalic"/>
        </w:rPr>
        <w:t>Revised Regulatory Proposal 2016—2020</w:t>
      </w:r>
      <w:r w:rsidRPr="00851313">
        <w:t>, 6 January 2016</w:t>
      </w:r>
      <w:r>
        <w:t>, p. 261</w:t>
      </w:r>
      <w:r w:rsidRPr="00851313">
        <w:t>.</w:t>
      </w:r>
    </w:p>
  </w:footnote>
  <w:footnote w:id="367">
    <w:p w:rsidR="006345FD" w:rsidRDefault="006345FD" w:rsidP="006C5BEA">
      <w:pPr>
        <w:pStyle w:val="FootnoteText"/>
      </w:pPr>
      <w:r>
        <w:rPr>
          <w:rStyle w:val="FootnoteReference"/>
        </w:rPr>
        <w:footnoteRef/>
      </w:r>
      <w:r>
        <w:t xml:space="preserve"> </w:t>
      </w:r>
      <w:r>
        <w:tab/>
        <w:t>For clarity, that is 100% of the base rate and DRP components of the allowed return on debt.</w:t>
      </w:r>
    </w:p>
  </w:footnote>
  <w:footnote w:id="368">
    <w:p w:rsidR="006345FD" w:rsidRDefault="006345FD" w:rsidP="006C5BEA">
      <w:pPr>
        <w:pStyle w:val="FootnoteText"/>
      </w:pPr>
      <w:r>
        <w:rPr>
          <w:rStyle w:val="FootnoteReference"/>
        </w:rPr>
        <w:footnoteRef/>
      </w:r>
      <w:r>
        <w:t xml:space="preserve"> </w:t>
      </w:r>
      <w:r>
        <w:tab/>
      </w:r>
      <w:r w:rsidRPr="0039163B">
        <w:t xml:space="preserve">AER, </w:t>
      </w:r>
      <w:r w:rsidRPr="0039163B">
        <w:rPr>
          <w:rStyle w:val="AERtextitalic"/>
        </w:rPr>
        <w:t>Better regulation—Explanatory statement to the rate of return guideline</w:t>
      </w:r>
      <w:r w:rsidRPr="0039163B">
        <w:t xml:space="preserve">, December 2013, chapters 3, 7 and 8; AER, </w:t>
      </w:r>
      <w:r w:rsidRPr="0039163B">
        <w:rPr>
          <w:rStyle w:val="AERtextitalic"/>
        </w:rPr>
        <w:t>Better regulation—Explanatory statement to the rate of return guideline (appendices)</w:t>
      </w:r>
      <w:r w:rsidRPr="0039163B">
        <w:t xml:space="preserve">, December 2013, appendix G; AER, </w:t>
      </w:r>
      <w:r w:rsidRPr="0039163B">
        <w:rPr>
          <w:rStyle w:val="AERtextitalic"/>
        </w:rPr>
        <w:t>Better regulation—Rate of return guideline</w:t>
      </w:r>
      <w:r w:rsidRPr="0039163B">
        <w:t xml:space="preserve">, December 2013, chapters 3,6 and appendix B; AER, </w:t>
      </w:r>
      <w:r>
        <w:rPr>
          <w:rStyle w:val="AERtextitalic"/>
        </w:rPr>
        <w:t xml:space="preserve">Draft </w:t>
      </w:r>
      <w:r w:rsidRPr="00F4618D">
        <w:rPr>
          <w:rStyle w:val="AERtextitalic"/>
        </w:rPr>
        <w:t>decision—</w:t>
      </w:r>
      <w:r>
        <w:rPr>
          <w:rStyle w:val="AERtextitalic"/>
        </w:rPr>
        <w:t xml:space="preserve">ActewAGL Distribution, </w:t>
      </w:r>
      <w:r w:rsidRPr="00F4618D">
        <w:rPr>
          <w:rStyle w:val="AERtextitalic"/>
        </w:rPr>
        <w:t>Attachment 3: Rate of return</w:t>
      </w:r>
      <w:r>
        <w:t>,</w:t>
      </w:r>
      <w:r w:rsidRPr="0039163B">
        <w:t xml:space="preserve"> </w:t>
      </w:r>
      <w:r>
        <w:t xml:space="preserve">November </w:t>
      </w:r>
      <w:r w:rsidRPr="0039163B">
        <w:t>2015, section 3.4.2, and appendices G and I.</w:t>
      </w:r>
    </w:p>
  </w:footnote>
  <w:footnote w:id="369">
    <w:p w:rsidR="006345FD" w:rsidRDefault="006345FD" w:rsidP="006C5BEA">
      <w:pPr>
        <w:pStyle w:val="FootnoteText"/>
      </w:pPr>
      <w:r>
        <w:rPr>
          <w:rStyle w:val="FootnoteReference"/>
        </w:rPr>
        <w:footnoteRef/>
      </w:r>
      <w:r>
        <w:t xml:space="preserve"> </w:t>
      </w:r>
      <w:r>
        <w:tab/>
        <w:t>S</w:t>
      </w:r>
      <w:r w:rsidRPr="00AE0473">
        <w:t>uch as our full transition</w:t>
      </w:r>
      <w:r>
        <w:t>.</w:t>
      </w:r>
    </w:p>
  </w:footnote>
  <w:footnote w:id="370">
    <w:p w:rsidR="006345FD" w:rsidRDefault="006345FD" w:rsidP="00ED04D5">
      <w:pPr>
        <w:pStyle w:val="FootnoteText"/>
      </w:pPr>
      <w:r>
        <w:rPr>
          <w:rStyle w:val="FootnoteReference"/>
        </w:rPr>
        <w:footnoteRef/>
      </w:r>
      <w:r>
        <w:t xml:space="preserve"> </w:t>
      </w:r>
      <w:r>
        <w:tab/>
        <w:t>The first regulatory year is 2016 for the Victorian DNSPs and 2016</w:t>
      </w:r>
      <w:r>
        <w:rPr>
          <w:rFonts w:cs="Arial"/>
        </w:rPr>
        <w:t>–</w:t>
      </w:r>
      <w:r>
        <w:t>17 for ActewAGL, AGN and Amadeus. We do not report ActewAGL's interval of delay (2015</w:t>
      </w:r>
      <w:r>
        <w:rPr>
          <w:rFonts w:cs="Arial"/>
        </w:rPr>
        <w:t>–</w:t>
      </w:r>
      <w:r>
        <w:t>16).</w:t>
      </w:r>
    </w:p>
  </w:footnote>
  <w:footnote w:id="371">
    <w:p w:rsidR="006345FD" w:rsidRDefault="006345FD">
      <w:pPr>
        <w:pStyle w:val="FootnoteText"/>
      </w:pPr>
      <w:r>
        <w:rPr>
          <w:rStyle w:val="FootnoteReference"/>
        </w:rPr>
        <w:footnoteRef/>
      </w:r>
      <w:r>
        <w:t xml:space="preserve"> </w:t>
      </w:r>
      <w:r>
        <w:tab/>
        <w:t>APTNT initially proposed a hybrid transition under an assumption that a benchmark efficient entity would have hedged 1/3 of the base rate. APTNT only proposed one option (no transition) in its revised proposal.</w:t>
      </w:r>
    </w:p>
  </w:footnote>
  <w:footnote w:id="372">
    <w:p w:rsidR="006345FD" w:rsidRDefault="006345FD" w:rsidP="006C5BEA">
      <w:pPr>
        <w:pStyle w:val="FootnoteText"/>
      </w:pPr>
      <w:r>
        <w:rPr>
          <w:rStyle w:val="FootnoteReference"/>
        </w:rPr>
        <w:footnoteRef/>
      </w:r>
      <w:r>
        <w:t xml:space="preserve"> </w:t>
      </w:r>
      <w:r>
        <w:tab/>
      </w:r>
      <w:r w:rsidRPr="00F4618D">
        <w:t xml:space="preserve">This approach is consistent with the approach we proposed in the Guideline, and have maintained in determination processes since the Guideline. In the Guideline, we based our transition on the approach recommended by the Queensland Treasury Corporation (QTC) (see QTC, </w:t>
      </w:r>
      <w:r w:rsidRPr="00F4618D">
        <w:rPr>
          <w:rStyle w:val="AERtextitalic"/>
        </w:rPr>
        <w:t>Moving average approach–Detailed design issues</w:t>
      </w:r>
      <w:r w:rsidRPr="00F4618D">
        <w:t>, 8 June 2012). We refer to this as 'the QTC approach'.</w:t>
      </w:r>
    </w:p>
  </w:footnote>
  <w:footnote w:id="373">
    <w:p w:rsidR="006345FD" w:rsidRDefault="006345FD" w:rsidP="006C5BEA">
      <w:pPr>
        <w:pStyle w:val="FootnoteText"/>
      </w:pPr>
      <w:r>
        <w:rPr>
          <w:rStyle w:val="FootnoteReference"/>
        </w:rPr>
        <w:footnoteRef/>
      </w:r>
      <w:r>
        <w:t xml:space="preserve"> </w:t>
      </w:r>
      <w:r>
        <w:tab/>
        <w:t>This decision determines the return on debt methodology for the 2016–20 regulatory control period. This period covers the first five years of the 10 year transition period. This decision also sets out our intended return on debt methodology for the remaining five years.</w:t>
      </w:r>
    </w:p>
  </w:footnote>
  <w:footnote w:id="374">
    <w:p w:rsidR="006345FD" w:rsidRDefault="006345FD" w:rsidP="006C5BEA">
      <w:pPr>
        <w:pStyle w:val="FootnoteText"/>
      </w:pPr>
      <w:r>
        <w:rPr>
          <w:rStyle w:val="FootnoteReference"/>
        </w:rPr>
        <w:footnoteRef/>
      </w:r>
      <w:r>
        <w:t xml:space="preserve"> </w:t>
      </w:r>
      <w:r>
        <w:tab/>
      </w:r>
      <w:r w:rsidRPr="000938BF">
        <w:t>NER cl. 6.5.2(l) and cl. 6A.6.2(l)</w:t>
      </w:r>
      <w:r>
        <w:t>and NGR, r.87(12). The return on debt methodology for the purposes of the annual update is set out in A</w:t>
      </w:r>
      <w:r w:rsidRPr="00901515">
        <w:t>ppendi</w:t>
      </w:r>
      <w:r>
        <w:t>x J of this attachment 3.</w:t>
      </w:r>
    </w:p>
  </w:footnote>
  <w:footnote w:id="375">
    <w:p w:rsidR="006345FD" w:rsidRDefault="006345FD" w:rsidP="006C5BEA">
      <w:pPr>
        <w:pStyle w:val="FootnoteText"/>
      </w:pPr>
      <w:r>
        <w:rPr>
          <w:rStyle w:val="FootnoteReference"/>
        </w:rPr>
        <w:footnoteRef/>
      </w:r>
      <w:r>
        <w:t xml:space="preserve"> </w:t>
      </w:r>
      <w:r>
        <w:tab/>
        <w:t>That is ActewAGL Gas, Amadeus gas pipeline, Australian Gas Networks, AusNet Services, CitiPower, Jemena Electricity Networks and Powercor.</w:t>
      </w:r>
    </w:p>
  </w:footnote>
  <w:footnote w:id="376">
    <w:p w:rsidR="006345FD" w:rsidRDefault="006345FD" w:rsidP="006C5BEA">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77">
    <w:p w:rsidR="006345FD" w:rsidRDefault="006345FD" w:rsidP="006C5BEA">
      <w:pPr>
        <w:pStyle w:val="FootnoteText"/>
      </w:pPr>
      <w:r>
        <w:rPr>
          <w:rStyle w:val="FootnoteReference"/>
        </w:rPr>
        <w:footnoteRef/>
      </w:r>
      <w:r>
        <w:t xml:space="preserve"> </w:t>
      </w:r>
      <w:r>
        <w:tab/>
        <w:t xml:space="preserve">ActewAGL, </w:t>
      </w:r>
      <w:r w:rsidRPr="005772E3">
        <w:rPr>
          <w:rStyle w:val="AERtextitalic"/>
        </w:rPr>
        <w:t>Access arrangement information: Rate of return, gamma and inflation</w:t>
      </w:r>
      <w:r>
        <w:t xml:space="preserve">, June 2015, p. 5; AGN, </w:t>
      </w:r>
      <w:r w:rsidRPr="005772E3">
        <w:rPr>
          <w:rStyle w:val="AERtextitalic"/>
        </w:rPr>
        <w:t>Access arrangement information</w:t>
      </w:r>
      <w:r>
        <w:t xml:space="preserve">, July 2015, p. 10; APT Pipelines, </w:t>
      </w:r>
      <w:r w:rsidRPr="005772E3">
        <w:rPr>
          <w:rStyle w:val="AERtextitalic"/>
        </w:rPr>
        <w:t>Amadeus Gas Pipeline access arrangement information</w:t>
      </w:r>
      <w:r>
        <w:t xml:space="preserve">, June 2015, p. 29; AusNet Services, </w:t>
      </w:r>
      <w:r w:rsidRPr="005772E3">
        <w:rPr>
          <w:rStyle w:val="AERtextitalic"/>
        </w:rPr>
        <w:t>Regulatory proposal</w:t>
      </w:r>
      <w:r>
        <w:t xml:space="preserve">, April 2015, p. 279; CitiPower, </w:t>
      </w:r>
      <w:r w:rsidRPr="005772E3">
        <w:rPr>
          <w:rStyle w:val="AERtextitalic"/>
        </w:rPr>
        <w:t>Regulatory proposal</w:t>
      </w:r>
      <w:r>
        <w:t xml:space="preserve">, April 2015, p. 193; JEN, </w:t>
      </w:r>
      <w:r w:rsidRPr="005772E3">
        <w:rPr>
          <w:rStyle w:val="AERtextitalic"/>
        </w:rPr>
        <w:t>Regulatory proposal: Attachment 9-2 rate of return proposal</w:t>
      </w:r>
      <w:r>
        <w:t xml:space="preserve">, April 2015, p. 7; Powercor, </w:t>
      </w:r>
      <w:r w:rsidRPr="005772E3">
        <w:rPr>
          <w:rStyle w:val="AERtextitalic"/>
        </w:rPr>
        <w:t>Regulatory proposal</w:t>
      </w:r>
      <w:r>
        <w:t xml:space="preserve">, April 2015, p. 201; United Energy, </w:t>
      </w:r>
      <w:r w:rsidRPr="005772E3">
        <w:rPr>
          <w:rStyle w:val="AERtextitalic"/>
        </w:rPr>
        <w:t>Regulatory proposal</w:t>
      </w:r>
      <w:r>
        <w:t>, April 2015, p. 104.</w:t>
      </w:r>
    </w:p>
  </w:footnote>
  <w:footnote w:id="378">
    <w:p w:rsidR="006345FD" w:rsidRDefault="006345FD" w:rsidP="006C5BEA">
      <w:pPr>
        <w:pStyle w:val="FootnoteText"/>
      </w:pPr>
      <w:r>
        <w:rPr>
          <w:rStyle w:val="FootnoteReference"/>
        </w:rPr>
        <w:footnoteRef/>
      </w:r>
      <w:r>
        <w:t xml:space="preserve"> </w:t>
      </w:r>
      <w:r>
        <w:tab/>
        <w:t xml:space="preserve">ActewAGL, </w:t>
      </w:r>
      <w:r w:rsidRPr="00C067F7">
        <w:rPr>
          <w:rStyle w:val="AERtextitalic"/>
        </w:rPr>
        <w:t>Access arrangement information: Rate of return, gamma and inflation</w:t>
      </w:r>
      <w:r>
        <w:t xml:space="preserve">, June 2015, p. 15; AGN, </w:t>
      </w:r>
      <w:r w:rsidRPr="00C067F7">
        <w:rPr>
          <w:rStyle w:val="AERtextitalic"/>
        </w:rPr>
        <w:t>Access arrangement information</w:t>
      </w:r>
      <w:r>
        <w:t>, July 2015, pp. 174</w:t>
      </w:r>
      <w:r w:rsidRPr="00F536E9">
        <w:t>–</w:t>
      </w:r>
      <w:r>
        <w:t xml:space="preserve">175; APT Pipelines, </w:t>
      </w:r>
      <w:r w:rsidRPr="00C067F7">
        <w:rPr>
          <w:rStyle w:val="AERtextitalic"/>
        </w:rPr>
        <w:t>Amadeus Gas Pipeline access arrangement information</w:t>
      </w:r>
      <w:r>
        <w:t xml:space="preserve">, June 2015, p. 29; AusNet Services, </w:t>
      </w:r>
      <w:r w:rsidRPr="00C067F7">
        <w:rPr>
          <w:rStyle w:val="AERtextitalic"/>
        </w:rPr>
        <w:t>Regulatory proposal</w:t>
      </w:r>
      <w:r>
        <w:t xml:space="preserve">, April 2015, p. 279; CitiPower, </w:t>
      </w:r>
      <w:r w:rsidRPr="00C067F7">
        <w:rPr>
          <w:rStyle w:val="AERtextitalic"/>
        </w:rPr>
        <w:t>Regulatory proposal</w:t>
      </w:r>
      <w:r>
        <w:t xml:space="preserve">, April 2015, p. 193; JEN, </w:t>
      </w:r>
      <w:r w:rsidRPr="00C067F7">
        <w:rPr>
          <w:rStyle w:val="AERtextitalic"/>
        </w:rPr>
        <w:t>Regulatory proposal: Attachment 9-2 rate of return proposal</w:t>
      </w:r>
      <w:r>
        <w:t xml:space="preserve">, April 2015, p. 93; Powercor, </w:t>
      </w:r>
      <w:r w:rsidRPr="00C067F7">
        <w:rPr>
          <w:rStyle w:val="AERtextitalic"/>
        </w:rPr>
        <w:t>Regulatory proposal</w:t>
      </w:r>
      <w:r>
        <w:t xml:space="preserve">, April 2015, p. 201; United Energy, </w:t>
      </w:r>
      <w:r w:rsidRPr="00C067F7">
        <w:rPr>
          <w:rStyle w:val="AERtextitalic"/>
        </w:rPr>
        <w:t>Regulatory proposal</w:t>
      </w:r>
      <w:r>
        <w:t>, April 2015, p. 174.</w:t>
      </w:r>
    </w:p>
  </w:footnote>
  <w:footnote w:id="379">
    <w:p w:rsidR="006345FD" w:rsidRDefault="006345FD" w:rsidP="006C5BEA">
      <w:pPr>
        <w:pStyle w:val="FootnoteText"/>
      </w:pPr>
      <w:r>
        <w:rPr>
          <w:rStyle w:val="FootnoteReference"/>
        </w:rPr>
        <w:footnoteRef/>
      </w:r>
      <w:r>
        <w:t xml:space="preserve"> </w:t>
      </w:r>
      <w:r>
        <w:tab/>
        <w:t xml:space="preserve">AusNet Services, </w:t>
      </w:r>
      <w:r w:rsidRPr="00C067F7">
        <w:rPr>
          <w:rStyle w:val="AERtextitalic"/>
        </w:rPr>
        <w:t>Regulatory proposal</w:t>
      </w:r>
      <w:r>
        <w:t xml:space="preserve">, April 2015, p. 339; CitiPower, </w:t>
      </w:r>
      <w:r w:rsidRPr="00C067F7">
        <w:rPr>
          <w:rStyle w:val="AERtextitalic"/>
        </w:rPr>
        <w:t>Regulatory proposal</w:t>
      </w:r>
      <w:r>
        <w:t>, April 2015, pp. 233</w:t>
      </w:r>
      <w:r w:rsidRPr="00F536E9">
        <w:t>–</w:t>
      </w:r>
      <w:r>
        <w:t xml:space="preserve">4; Powercor, </w:t>
      </w:r>
      <w:r w:rsidRPr="00C067F7">
        <w:rPr>
          <w:rStyle w:val="AERtextitalic"/>
        </w:rPr>
        <w:t>Regulatory proposal</w:t>
      </w:r>
      <w:r>
        <w:t>, April 2015, pp. 241</w:t>
      </w:r>
      <w:r>
        <w:rPr>
          <w:rFonts w:cs="Arial"/>
        </w:rPr>
        <w:t>–</w:t>
      </w:r>
      <w:r>
        <w:t>2.</w:t>
      </w:r>
    </w:p>
  </w:footnote>
  <w:footnote w:id="380">
    <w:p w:rsidR="006345FD" w:rsidRDefault="006345FD" w:rsidP="006C5BEA">
      <w:pPr>
        <w:pStyle w:val="FootnoteText"/>
      </w:pPr>
      <w:r>
        <w:rPr>
          <w:rStyle w:val="FootnoteReference"/>
        </w:rPr>
        <w:footnoteRef/>
      </w:r>
      <w:r>
        <w:t xml:space="preserve"> </w:t>
      </w:r>
      <w:r>
        <w:tab/>
        <w:t>See Appendix G of attachment 3 in our preliminary decisions for AusNet Services, CitiPower, Jemena Electricity Networks and Powercor, and United Energy. Also see these sections of our draft decisions for ActewAGL Gas, Amadeus gas pipeline and Australian Gas Networks.</w:t>
      </w:r>
    </w:p>
  </w:footnote>
  <w:footnote w:id="381">
    <w:p w:rsidR="006345FD" w:rsidRDefault="006345FD" w:rsidP="006C5BE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2">
    <w:p w:rsidR="006345FD" w:rsidRDefault="006345FD" w:rsidP="006C5BE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383">
    <w:p w:rsidR="006345FD" w:rsidRDefault="006345FD" w:rsidP="006C5BEA">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384">
    <w:p w:rsidR="006345FD" w:rsidRDefault="006345FD" w:rsidP="006C5BEA">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385">
    <w:p w:rsidR="006345FD" w:rsidRDefault="006345FD" w:rsidP="006C5BEA">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386">
    <w:p w:rsidR="006345FD" w:rsidRDefault="006345FD" w:rsidP="006C5BEA">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January 2016, p. 335</w:t>
      </w:r>
      <w:r w:rsidRPr="00FA673F">
        <w:t>.</w:t>
      </w:r>
    </w:p>
  </w:footnote>
  <w:footnote w:id="387">
    <w:p w:rsidR="006345FD" w:rsidRDefault="006345FD" w:rsidP="006C5BEA">
      <w:pPr>
        <w:pStyle w:val="FootnoteText"/>
      </w:pPr>
      <w:r>
        <w:rPr>
          <w:rStyle w:val="FootnoteReference"/>
        </w:rPr>
        <w:footnoteRef/>
      </w:r>
      <w:r>
        <w:t xml:space="preserve"> </w:t>
      </w:r>
      <w:r>
        <w:tab/>
        <w:t xml:space="preserve">CEG, </w:t>
      </w:r>
      <w:r w:rsidRPr="002F6463">
        <w:rPr>
          <w:rStyle w:val="AERtextitalic"/>
        </w:rPr>
        <w:t>Critique of the AER's approach to transition</w:t>
      </w:r>
      <w:r>
        <w:t xml:space="preserve">, January 2016, p. 2; CEG, </w:t>
      </w:r>
      <w:r w:rsidRPr="002F6463">
        <w:rPr>
          <w:rStyle w:val="AERtextitalic"/>
        </w:rPr>
        <w:t>Efficient use of interest rate swaps to manage interest rate risk</w:t>
      </w:r>
      <w:r>
        <w:t>, June 2015, pp. 64, 91.</w:t>
      </w:r>
    </w:p>
  </w:footnote>
  <w:footnote w:id="388">
    <w:p w:rsidR="006345FD" w:rsidRDefault="006345FD" w:rsidP="006C5BEA">
      <w:pPr>
        <w:pStyle w:val="FootnoteText"/>
      </w:pPr>
      <w:r>
        <w:rPr>
          <w:rStyle w:val="FootnoteReference"/>
        </w:rPr>
        <w:footnoteRef/>
      </w:r>
      <w:r>
        <w:t xml:space="preserve"> </w:t>
      </w:r>
      <w:r>
        <w:tab/>
        <w:t xml:space="preserve">Service providers proposed allowed return on debts ranging from 7.7% to 7.92%. See </w:t>
      </w:r>
      <w:r w:rsidRPr="002E600D">
        <w:t xml:space="preserve">ActewAGL, </w:t>
      </w:r>
      <w:r w:rsidRPr="00452C44">
        <w:rPr>
          <w:rStyle w:val="AERtextitalic"/>
        </w:rPr>
        <w:t>Access arrangement information</w:t>
      </w:r>
      <w:r>
        <w:t>, January 2016, p. 44;</w:t>
      </w:r>
      <w:r w:rsidRPr="002E600D">
        <w:t xml:space="preserve"> AGN, </w:t>
      </w:r>
      <w:r w:rsidRPr="00452C44">
        <w:rPr>
          <w:rStyle w:val="AERtextitalic"/>
        </w:rPr>
        <w:t>Attachment 10.26 response to draft decision: Rate of return</w:t>
      </w:r>
      <w:r w:rsidRPr="002E600D">
        <w:t>, January 2016</w:t>
      </w:r>
      <w:r>
        <w:t xml:space="preserve">, p. 38; </w:t>
      </w:r>
      <w:r w:rsidRPr="00851313">
        <w:t xml:space="preserve">APA Group, </w:t>
      </w:r>
      <w:r w:rsidRPr="00851313">
        <w:rPr>
          <w:rStyle w:val="AERtextitalic"/>
        </w:rPr>
        <w:t>Amadeus Gas Pipeline access arrangement information</w:t>
      </w:r>
      <w:r>
        <w:t xml:space="preserve">, January 2016, p. 24; </w:t>
      </w:r>
      <w:r w:rsidRPr="002E600D">
        <w:t xml:space="preserve">AusNet Electricity Services, </w:t>
      </w:r>
      <w:r w:rsidRPr="00452C44">
        <w:rPr>
          <w:rStyle w:val="AERtextitalic"/>
        </w:rPr>
        <w:t>Revised regulatory proposa</w:t>
      </w:r>
      <w:r>
        <w:t>l, J</w:t>
      </w:r>
      <w:r w:rsidRPr="002E600D">
        <w:t>anuary 2016</w:t>
      </w:r>
      <w:r>
        <w:t xml:space="preserve">, p. 7-106; </w:t>
      </w:r>
      <w:r w:rsidRPr="002E600D">
        <w:t xml:space="preserve">CitiPower, </w:t>
      </w:r>
      <w:r w:rsidRPr="00452C44">
        <w:rPr>
          <w:rStyle w:val="AERtextitalic"/>
        </w:rPr>
        <w:t>Revised Regulatory Proposal 2016—2020</w:t>
      </w:r>
      <w:r>
        <w:t xml:space="preserve">, </w:t>
      </w:r>
      <w:r w:rsidRPr="002E600D">
        <w:t>January 2016</w:t>
      </w:r>
      <w:r>
        <w:t xml:space="preserve">, p. 261;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35; </w:t>
      </w:r>
      <w:r w:rsidRPr="002E600D">
        <w:t xml:space="preserve">Powercor, </w:t>
      </w:r>
      <w:r w:rsidRPr="00452C44">
        <w:rPr>
          <w:rStyle w:val="AERtextitalic"/>
        </w:rPr>
        <w:t>Revised regulatory proposal 2016–20</w:t>
      </w:r>
      <w:r>
        <w:t xml:space="preserve">, </w:t>
      </w:r>
      <w:r w:rsidRPr="002E600D">
        <w:t>January 2016</w:t>
      </w:r>
      <w:r>
        <w:t>, p. 255;</w:t>
      </w:r>
      <w:r w:rsidRPr="002E600D">
        <w:t xml:space="preserve"> United Energy, </w:t>
      </w:r>
      <w:r w:rsidRPr="00452C44">
        <w:rPr>
          <w:rStyle w:val="AERtextitalic"/>
        </w:rPr>
        <w:t>2016 to 2020 revised regulatory proposal</w:t>
      </w:r>
      <w:r>
        <w:t xml:space="preserve">, </w:t>
      </w:r>
      <w:r w:rsidRPr="002E600D">
        <w:t>January 2016</w:t>
      </w:r>
      <w:r>
        <w:t>, p. 75.</w:t>
      </w:r>
    </w:p>
  </w:footnote>
  <w:footnote w:id="389">
    <w:p w:rsidR="006345FD" w:rsidRDefault="006345FD" w:rsidP="006C5BEA">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w:t>
      </w:r>
      <w:r>
        <w:rPr>
          <w:rStyle w:val="AERtextitalic"/>
          <w:rFonts w:cs="Arial"/>
        </w:rPr>
        <w:t>–</w:t>
      </w:r>
      <w:r w:rsidRPr="006C2193">
        <w:rPr>
          <w:rStyle w:val="AERtextitalic"/>
        </w:rPr>
        <w:t>2020 regulatory period</w:t>
      </w:r>
      <w:r>
        <w:t>, 22 February 2016, p. 34.</w:t>
      </w:r>
    </w:p>
  </w:footnote>
  <w:footnote w:id="390">
    <w:p w:rsidR="006345FD" w:rsidRDefault="006345FD" w:rsidP="006C5BEA">
      <w:pPr>
        <w:pStyle w:val="FootnoteText"/>
      </w:pPr>
      <w:r>
        <w:rPr>
          <w:rStyle w:val="FootnoteReference"/>
        </w:rPr>
        <w:footnoteRef/>
      </w:r>
      <w:r>
        <w:t xml:space="preserve"> </w:t>
      </w:r>
      <w:r>
        <w:tab/>
        <w:t>CCP3,</w:t>
      </w:r>
      <w:r w:rsidRPr="001C0350">
        <w:t xml:space="preserve"> </w:t>
      </w:r>
      <w:r w:rsidRPr="000E4FB4">
        <w:rPr>
          <w:rStyle w:val="AERtextitalic"/>
        </w:rPr>
        <w:t>Submission to the AER: An overview ― Response to AER Preliminary Decisions and revised proposals from Victorian electricity DNSPs</w:t>
      </w:r>
      <w:r>
        <w:t>, 22 February 2016, pp. 30</w:t>
      </w:r>
      <w:r w:rsidRPr="00FB4006">
        <w:t>–</w:t>
      </w:r>
      <w:r>
        <w:t xml:space="preserve">31; </w:t>
      </w:r>
      <w:r w:rsidRPr="00A54839">
        <w:t xml:space="preserve">Origin Energy, </w:t>
      </w:r>
      <w:r w:rsidRPr="000E4FB4">
        <w:rPr>
          <w:rStyle w:val="AERtextitalic"/>
        </w:rPr>
        <w:t>Submission on the Victorian networks’ revised proposals (for 2016–21)</w:t>
      </w:r>
      <w:r w:rsidRPr="00A54839">
        <w:t>, 4 February 2016</w:t>
      </w:r>
      <w:r>
        <w:t>, p. 1.</w:t>
      </w:r>
    </w:p>
  </w:footnote>
  <w:footnote w:id="391">
    <w:p w:rsidR="006345FD" w:rsidRDefault="006345FD" w:rsidP="006C5BEA">
      <w:pPr>
        <w:pStyle w:val="FootnoteText"/>
      </w:pPr>
      <w:r>
        <w:rPr>
          <w:rStyle w:val="FootnoteReference"/>
        </w:rPr>
        <w:footnoteRef/>
      </w:r>
      <w:r>
        <w:t xml:space="preserve"> </w:t>
      </w:r>
      <w:r>
        <w:tab/>
      </w:r>
      <w:r w:rsidRPr="00A54839">
        <w:t xml:space="preserve">SACOSS, </w:t>
      </w:r>
      <w:r w:rsidRPr="000E4FB4">
        <w:rPr>
          <w:rStyle w:val="AERtextitalic"/>
        </w:rPr>
        <w:t>Submission to the AER in response to AGN’s revised proposal for the 2016–2021 access arrangement</w:t>
      </w:r>
      <w:r w:rsidRPr="00A54839">
        <w:t>, February 2016</w:t>
      </w:r>
      <w:r>
        <w:t xml:space="preserve">, p. 10; </w:t>
      </w:r>
      <w:r w:rsidRPr="00A54839">
        <w:t xml:space="preserve">Minister for Industry, Energy and Resources Victorian Government, </w:t>
      </w:r>
      <w:r w:rsidRPr="000E4FB4">
        <w:rPr>
          <w:rStyle w:val="AERtextitalic"/>
        </w:rPr>
        <w:t>Submission to Victorian distribution businesses revised regulatory proposals (2016–20)</w:t>
      </w:r>
      <w:r w:rsidRPr="00A54839">
        <w:t>, 29 January 2016</w:t>
      </w:r>
      <w:r>
        <w:t xml:space="preserve">, p. 2; </w:t>
      </w:r>
      <w:r w:rsidRPr="00A54839">
        <w:t xml:space="preserve">Victorian Government, </w:t>
      </w:r>
      <w:r w:rsidRPr="000E4FB4">
        <w:rPr>
          <w:rStyle w:val="AERtextitalic"/>
        </w:rPr>
        <w:t>Submission on the Victorian electricity distribution network service providers’ revised regulatory proposals for 2016–20</w:t>
      </w:r>
      <w:r w:rsidRPr="00A54839">
        <w:t>, 12 February 2016</w:t>
      </w:r>
      <w:r>
        <w:t>,  p. 1.</w:t>
      </w:r>
    </w:p>
  </w:footnote>
  <w:footnote w:id="392">
    <w:p w:rsidR="006345FD" w:rsidRDefault="006345FD" w:rsidP="006C5BEA">
      <w:pPr>
        <w:pStyle w:val="FootnoteText"/>
      </w:pPr>
      <w:r>
        <w:rPr>
          <w:rStyle w:val="FootnoteReference"/>
        </w:rPr>
        <w:footnoteRef/>
      </w:r>
      <w:r>
        <w:t xml:space="preserve"> </w:t>
      </w:r>
      <w:r>
        <w:tab/>
        <w:t xml:space="preserve">CCP3, </w:t>
      </w:r>
      <w:r w:rsidRPr="000E4FB4">
        <w:rPr>
          <w:rStyle w:val="AERtextitalic"/>
        </w:rPr>
        <w:t>Submission to the AER: An overview ― Response to AER Preliminary Decisions and revised proposals from Victorian electricity DNSPs</w:t>
      </w:r>
      <w:r>
        <w:t>, 22 February 2016, pp. 33</w:t>
      </w:r>
      <w:r w:rsidRPr="00FB4006">
        <w:t>–</w:t>
      </w:r>
      <w:r>
        <w:t>35.</w:t>
      </w:r>
    </w:p>
  </w:footnote>
  <w:footnote w:id="393">
    <w:p w:rsidR="006345FD" w:rsidRDefault="006345FD" w:rsidP="006C5BEA">
      <w:pPr>
        <w:pStyle w:val="FootnoteText"/>
      </w:pPr>
      <w:r>
        <w:rPr>
          <w:rStyle w:val="FootnoteReference"/>
        </w:rPr>
        <w:footnoteRef/>
      </w:r>
      <w:r>
        <w:t xml:space="preserve"> </w:t>
      </w:r>
      <w:r>
        <w:tab/>
      </w:r>
      <w:r w:rsidRPr="00F21B32">
        <w:t xml:space="preserve">By </w:t>
      </w:r>
      <w:r>
        <w:t xml:space="preserve">appropriate </w:t>
      </w:r>
      <w:r w:rsidRPr="00F21B32">
        <w:t xml:space="preserve">compensation we mean that the ex-ante return should be commensurate with the expected return in the capital market for an investment </w:t>
      </w:r>
      <w:r>
        <w:t>with</w:t>
      </w:r>
      <w:r w:rsidRPr="00F21B32">
        <w:t xml:space="preserve"> a similar degree of risk as that of a benchmark efficient entity in the position of the </w:t>
      </w:r>
      <w:r>
        <w:t>service provider</w:t>
      </w:r>
      <w:r w:rsidRPr="00F21B32">
        <w:t xml:space="preserve"> supplying </w:t>
      </w:r>
      <w:r>
        <w:t>regulated</w:t>
      </w:r>
      <w:r w:rsidRPr="00F21B32">
        <w:t xml:space="preserve"> services</w:t>
      </w:r>
      <w:r>
        <w:t>.</w:t>
      </w:r>
    </w:p>
  </w:footnote>
  <w:footnote w:id="394">
    <w:p w:rsidR="006345FD" w:rsidRDefault="006345FD" w:rsidP="006C5BEA">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395">
    <w:p w:rsidR="006345FD" w:rsidRDefault="006345FD" w:rsidP="006C5BEA">
      <w:pPr>
        <w:pStyle w:val="FootnoteText"/>
      </w:pPr>
      <w:r>
        <w:rPr>
          <w:rStyle w:val="FootnoteReference"/>
        </w:rPr>
        <w:footnoteRef/>
      </w:r>
      <w:r>
        <w:t xml:space="preserve"> </w:t>
      </w:r>
      <w:r>
        <w:tab/>
        <w:t>For the RPPs see NEL, s. 7A; NGL, s. 24.</w:t>
      </w:r>
    </w:p>
  </w:footnote>
  <w:footnote w:id="396">
    <w:p w:rsidR="006345FD" w:rsidRPr="00B57A7C" w:rsidRDefault="006345FD" w:rsidP="006C5BE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397">
    <w:p w:rsidR="006345FD" w:rsidRDefault="006345FD" w:rsidP="006C5BEA">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rPr>
          <w:rStyle w:val="AERtextitalic"/>
        </w:rPr>
        <w:t xml:space="preserve"> (Appendices)</w:t>
      </w:r>
      <w:r>
        <w:t>, December 2013, p. 38.</w:t>
      </w:r>
    </w:p>
  </w:footnote>
  <w:footnote w:id="398">
    <w:p w:rsidR="006345FD" w:rsidRDefault="006345FD" w:rsidP="006C5BEA">
      <w:pPr>
        <w:pStyle w:val="FootnoteText"/>
      </w:pPr>
      <w:r>
        <w:rPr>
          <w:rStyle w:val="FootnoteReference"/>
        </w:rPr>
        <w:footnoteRef/>
      </w:r>
      <w:r>
        <w:t xml:space="preserve"> </w:t>
      </w:r>
      <w:r>
        <w:tab/>
      </w:r>
      <w:r w:rsidRPr="00A31070">
        <w:t xml:space="preserve">MEU, </w:t>
      </w:r>
      <w:r w:rsidRPr="005772E3">
        <w:rPr>
          <w:rStyle w:val="AERtextitalic"/>
        </w:rPr>
        <w:t>Submission to beta issues paper</w:t>
      </w:r>
      <w:r w:rsidRPr="00A31070">
        <w:t>, October 2013, p. 5</w:t>
      </w:r>
      <w:r>
        <w:t xml:space="preserve">; </w:t>
      </w:r>
      <w:r w:rsidRPr="00A31070">
        <w:t xml:space="preserve">PIAC, </w:t>
      </w:r>
      <w:r w:rsidRPr="005772E3">
        <w:rPr>
          <w:rStyle w:val="AERtextitalic"/>
        </w:rPr>
        <w:t>Submission to beta issues paper</w:t>
      </w:r>
      <w:r w:rsidRPr="00A31070">
        <w:t>, October 2013, pp. 6–7, 9–10.</w:t>
      </w:r>
    </w:p>
  </w:footnote>
  <w:footnote w:id="399">
    <w:p w:rsidR="006345FD" w:rsidRDefault="006345FD" w:rsidP="006C5BEA">
      <w:pPr>
        <w:pStyle w:val="FootnoteText"/>
      </w:pPr>
      <w:r>
        <w:rPr>
          <w:rStyle w:val="FootnoteReference"/>
        </w:rPr>
        <w:footnoteRef/>
      </w:r>
      <w:r>
        <w:t xml:space="preserve"> </w:t>
      </w:r>
      <w:r>
        <w:tab/>
      </w:r>
      <w:r w:rsidRPr="00A31070">
        <w:t xml:space="preserve">Frontier Economics, </w:t>
      </w:r>
      <w:r w:rsidRPr="005772E3">
        <w:rPr>
          <w:rStyle w:val="AERtextitalic"/>
        </w:rPr>
        <w:t>Assessing risk for regulated energy networks</w:t>
      </w:r>
      <w:r w:rsidRPr="00A31070">
        <w:t>, July 2013, p. 74.</w:t>
      </w:r>
    </w:p>
  </w:footnote>
  <w:footnote w:id="400">
    <w:p w:rsidR="006345FD" w:rsidRDefault="006345FD" w:rsidP="006C5BEA">
      <w:pPr>
        <w:pStyle w:val="FootnoteText"/>
      </w:pPr>
      <w:r>
        <w:rPr>
          <w:rStyle w:val="FootnoteReference"/>
        </w:rPr>
        <w:footnoteRef/>
      </w:r>
      <w:r>
        <w:t xml:space="preserve"> </w:t>
      </w:r>
      <w:r>
        <w:tab/>
        <w:t xml:space="preserve">AER, </w:t>
      </w:r>
      <w:r w:rsidRPr="00CA723D">
        <w:rPr>
          <w:rStyle w:val="AERtextitalic"/>
        </w:rPr>
        <w:t>Explanatory statement to the rate of return guideline</w:t>
      </w:r>
      <w:r>
        <w:t>, December 2013, pp. 108</w:t>
      </w:r>
      <w:r>
        <w:rPr>
          <w:rFonts w:cs="Arial"/>
        </w:rPr>
        <w:t>–</w:t>
      </w:r>
      <w:r>
        <w:t>111.</w:t>
      </w:r>
    </w:p>
  </w:footnote>
  <w:footnote w:id="401">
    <w:p w:rsidR="006345FD" w:rsidRDefault="006345FD" w:rsidP="006C5BEA">
      <w:pPr>
        <w:pStyle w:val="FootnoteText"/>
      </w:pPr>
      <w:r>
        <w:rPr>
          <w:rStyle w:val="FootnoteReference"/>
        </w:rPr>
        <w:footnoteRef/>
      </w:r>
      <w:r>
        <w:t xml:space="preserve"> </w:t>
      </w:r>
      <w:r>
        <w:tab/>
        <w:t>Only a full transition is revenue neutral</w:t>
      </w:r>
      <w:r w:rsidRPr="00E14029">
        <w:t xml:space="preserve"> </w:t>
      </w:r>
      <w:r>
        <w:t xml:space="preserve">of the different transition paths before us. However, there are other possible revenue paths that are revenue neutral (in a present value sense) from the change in methodology. For example, this could include a lump sum transfer (see Appendix H). </w:t>
      </w:r>
    </w:p>
  </w:footnote>
  <w:footnote w:id="402">
    <w:p w:rsidR="006345FD" w:rsidRDefault="006345FD" w:rsidP="006C5BEA">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403">
    <w:p w:rsidR="006345FD" w:rsidRDefault="006345FD" w:rsidP="006C5BEA">
      <w:pPr>
        <w:pStyle w:val="FootnoteText"/>
      </w:pPr>
      <w:r>
        <w:rPr>
          <w:rStyle w:val="FootnoteReference"/>
        </w:rPr>
        <w:footnoteRef/>
      </w:r>
      <w:r>
        <w:t xml:space="preserve"> </w:t>
      </w:r>
      <w:r>
        <w:tab/>
        <w:t xml:space="preserve">SFG, </w:t>
      </w:r>
      <w:r w:rsidRPr="002F34FF">
        <w:t xml:space="preserve">Rule change proposals relating to the debt component of the regulatory rate of </w:t>
      </w:r>
      <w:r w:rsidRPr="006441AF">
        <w:t>return</w:t>
      </w:r>
      <w:r>
        <w:t xml:space="preserve">, </w:t>
      </w:r>
      <w:r w:rsidRPr="006441AF">
        <w:t>August</w:t>
      </w:r>
      <w:r>
        <w:t xml:space="preserve"> 2012, p. 46.</w:t>
      </w:r>
    </w:p>
  </w:footnote>
  <w:footnote w:id="404">
    <w:p w:rsidR="006345FD" w:rsidRDefault="006345FD" w:rsidP="006C5BEA">
      <w:pPr>
        <w:pStyle w:val="FootnoteText"/>
      </w:pPr>
      <w:r>
        <w:rPr>
          <w:rStyle w:val="FootnoteReference"/>
        </w:rPr>
        <w:footnoteRef/>
      </w:r>
      <w:r>
        <w:t xml:space="preserve"> </w:t>
      </w:r>
      <w:r>
        <w:tab/>
        <w:t xml:space="preserve">NER, cl.  </w:t>
      </w:r>
      <w:r w:rsidRPr="00F21B32">
        <w:t>6.5.3(k)(4)</w:t>
      </w:r>
      <w:r>
        <w:t>, states '</w:t>
      </w:r>
      <w:r w:rsidRPr="004871A6">
        <w:t>(k) In estimating the return on debt under paragraph (h), regard must be had to the following factors…</w:t>
      </w:r>
      <w:r>
        <w:t xml:space="preserve"> (4) </w:t>
      </w:r>
      <w:r w:rsidRPr="004871A6">
        <w:t>any impacts (including in relation to the costs of servicing debt across regulatory control periods) on a benchmark efficient entity referred to in the allowed rate of return objective that could arise as a result of changing the methodology that is used to estimate the return on debt from one regulatory control period to the next</w:t>
      </w:r>
      <w:r>
        <w:t>'</w:t>
      </w:r>
      <w:r w:rsidRPr="004871A6">
        <w:t>.</w:t>
      </w:r>
      <w:r>
        <w:t xml:space="preserve"> Also see NER, cl. 6A.6.2 (k) (4); NGR, cl. 87(12) (d).</w:t>
      </w:r>
    </w:p>
  </w:footnote>
  <w:footnote w:id="405">
    <w:p w:rsidR="006345FD" w:rsidRDefault="006345FD" w:rsidP="006C5BEA">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 ember 2012, p. 85.</w:t>
      </w:r>
    </w:p>
  </w:footnote>
  <w:footnote w:id="406">
    <w:p w:rsidR="006345FD" w:rsidRDefault="006345FD" w:rsidP="006C5BEA">
      <w:pPr>
        <w:pStyle w:val="FootnoteText"/>
      </w:pPr>
      <w:r>
        <w:rPr>
          <w:rStyle w:val="FootnoteReference"/>
        </w:rPr>
        <w:footnoteRef/>
      </w:r>
      <w:r>
        <w:t xml:space="preserve"> </w:t>
      </w:r>
      <w:r>
        <w:tab/>
        <w:t>As required under NER, cl. 5.5.2(h); NER, cl. 6A.6.2(h); NGR, cl. 87(8).</w:t>
      </w:r>
    </w:p>
  </w:footnote>
  <w:footnote w:id="407">
    <w:p w:rsidR="006345FD" w:rsidRDefault="006345FD" w:rsidP="006C5BEA">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408">
    <w:p w:rsidR="006345FD" w:rsidRDefault="006345FD" w:rsidP="006C5BEA">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409">
    <w:p w:rsidR="006345FD" w:rsidRDefault="006345FD" w:rsidP="006C5BEA">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pp. 427, 434.</w:t>
      </w:r>
    </w:p>
  </w:footnote>
  <w:footnote w:id="410">
    <w:p w:rsidR="006345FD" w:rsidRDefault="006345FD" w:rsidP="006C5BEA">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411">
    <w:p w:rsidR="006345FD" w:rsidRDefault="006345FD" w:rsidP="006C5BEA">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412">
    <w:p w:rsidR="006345FD" w:rsidRDefault="006345FD" w:rsidP="006C5BEA">
      <w:pPr>
        <w:pStyle w:val="FootnoteText"/>
      </w:pPr>
      <w:r>
        <w:rPr>
          <w:rStyle w:val="FootnoteReference"/>
        </w:rPr>
        <w:footnoteRef/>
      </w:r>
      <w:r>
        <w:t xml:space="preserve"> </w:t>
      </w:r>
      <w:r>
        <w:tab/>
        <w:t>I</w:t>
      </w:r>
      <w:r w:rsidRPr="00E64F99">
        <w:t>n a competitive market</w:t>
      </w:r>
      <w:r>
        <w:t xml:space="preserve">, </w:t>
      </w:r>
      <w:r w:rsidRPr="00E64F99">
        <w:t xml:space="preserve">prices are </w:t>
      </w:r>
      <w:r>
        <w:t>th</w:t>
      </w:r>
      <w:r w:rsidRPr="00E64F99">
        <w:t>eoretically constrained by entry or the threat of entry</w:t>
      </w:r>
      <w:r>
        <w:t xml:space="preserve">. See HoustonKemp, </w:t>
      </w:r>
      <w:r w:rsidRPr="00163EC0">
        <w:rPr>
          <w:rStyle w:val="AERtextitalic"/>
        </w:rPr>
        <w:t>Memo: Appropriate objective to guide the setting of the cost of debt allowance</w:t>
      </w:r>
      <w:r>
        <w:t xml:space="preserve">, 3 March 2015, p. 1. This is also implied in Chairmont, </w:t>
      </w:r>
      <w:r w:rsidRPr="008A1995">
        <w:rPr>
          <w:rStyle w:val="AERtextitalic"/>
        </w:rPr>
        <w:t>Cost of debt comparative analysis</w:t>
      </w:r>
      <w:r>
        <w:t>, November 2013, p. 4.</w:t>
      </w:r>
    </w:p>
  </w:footnote>
  <w:footnote w:id="413">
    <w:p w:rsidR="006345FD" w:rsidRDefault="006345FD" w:rsidP="006C5BEA">
      <w:pPr>
        <w:pStyle w:val="FootnoteText"/>
      </w:pPr>
      <w:r>
        <w:rPr>
          <w:rStyle w:val="FootnoteReference"/>
        </w:rPr>
        <w:footnoteRef/>
      </w:r>
      <w:r>
        <w:t xml:space="preserve"> </w:t>
      </w:r>
      <w:r>
        <w:tab/>
      </w:r>
      <w:r w:rsidRPr="002E600D">
        <w:t xml:space="preserve">ActewAGL, </w:t>
      </w:r>
      <w:r w:rsidRPr="00452C44">
        <w:rPr>
          <w:rStyle w:val="AERtextitalic"/>
        </w:rPr>
        <w:t>Access arrangement information</w:t>
      </w:r>
      <w:r>
        <w:t>, January 2016, p. 35;</w:t>
      </w:r>
      <w:r w:rsidRPr="002E600D">
        <w:t xml:space="preserve"> AGN, </w:t>
      </w:r>
      <w:r w:rsidRPr="00452C44">
        <w:rPr>
          <w:rStyle w:val="AERtextitalic"/>
        </w:rPr>
        <w:t>Attachment 10.26 response to draft decision: Rate of return</w:t>
      </w:r>
      <w:r w:rsidRPr="002E600D">
        <w:t>, January 2016</w:t>
      </w:r>
      <w:r>
        <w:t xml:space="preserve">, p. 3; </w:t>
      </w:r>
      <w:r w:rsidRPr="002E600D">
        <w:t xml:space="preserve">AusNet Electricity Services, </w:t>
      </w:r>
      <w:r w:rsidRPr="00452C44">
        <w:rPr>
          <w:rStyle w:val="AERtextitalic"/>
        </w:rPr>
        <w:t>Revised regulatory proposa</w:t>
      </w:r>
      <w:r>
        <w:t>l, J</w:t>
      </w:r>
      <w:r w:rsidRPr="002E600D">
        <w:t>anuary 2016</w:t>
      </w:r>
      <w:r>
        <w:t xml:space="preserve">, p. 7-33; </w:t>
      </w:r>
      <w:r w:rsidRPr="002E600D">
        <w:t xml:space="preserve"> CitiPower, </w:t>
      </w:r>
      <w:r w:rsidRPr="00452C44">
        <w:rPr>
          <w:rStyle w:val="AERtextitalic"/>
        </w:rPr>
        <w:t>Revised Regulatory Proposal 2016—2020</w:t>
      </w:r>
      <w:r>
        <w:t xml:space="preserve">, </w:t>
      </w:r>
      <w:r w:rsidRPr="002E600D">
        <w:t>January 2016</w:t>
      </w:r>
      <w:r>
        <w:t xml:space="preserve">, p. 266; </w:t>
      </w:r>
      <w:r w:rsidRPr="002E600D">
        <w:t xml:space="preserve">JEN, </w:t>
      </w:r>
      <w:r w:rsidRPr="00452C44">
        <w:rPr>
          <w:rStyle w:val="AERtextitalic"/>
        </w:rPr>
        <w:t>Attachment 6-1 rate of return, gamma, forecast inflation, and debt and equity raising costs</w:t>
      </w:r>
      <w:r>
        <w:t xml:space="preserve">, </w:t>
      </w:r>
      <w:r w:rsidRPr="002E600D">
        <w:t>January 2016</w:t>
      </w:r>
      <w:r>
        <w:t xml:space="preserve">, p. 28; </w:t>
      </w:r>
      <w:r w:rsidRPr="002E600D">
        <w:t xml:space="preserve">Powercor, </w:t>
      </w:r>
      <w:r w:rsidRPr="00452C44">
        <w:rPr>
          <w:rStyle w:val="AERtextitalic"/>
        </w:rPr>
        <w:t>Revised regulatory proposal 2016–20</w:t>
      </w:r>
      <w:r>
        <w:t xml:space="preserve">, </w:t>
      </w:r>
      <w:r w:rsidRPr="002E600D">
        <w:t>January 2016</w:t>
      </w:r>
      <w:r>
        <w:t>, p. 260;</w:t>
      </w:r>
      <w:r w:rsidRPr="002E600D">
        <w:t xml:space="preserve"> United Energy, </w:t>
      </w:r>
      <w:r w:rsidRPr="00452C44">
        <w:rPr>
          <w:rStyle w:val="AERtextitalic"/>
        </w:rPr>
        <w:t>2016 to 2020 revised regulatory proposal</w:t>
      </w:r>
      <w:r>
        <w:t xml:space="preserve">, </w:t>
      </w:r>
      <w:r w:rsidRPr="002E600D">
        <w:t>January 2016</w:t>
      </w:r>
      <w:r>
        <w:t>, p. 79.</w:t>
      </w:r>
    </w:p>
  </w:footnote>
  <w:footnote w:id="414">
    <w:p w:rsidR="006345FD" w:rsidRDefault="006345FD" w:rsidP="006C5BEA">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415">
    <w:p w:rsidR="006345FD" w:rsidRDefault="006345FD" w:rsidP="006C5BEA">
      <w:pPr>
        <w:pStyle w:val="FootnoteText"/>
      </w:pPr>
      <w:r>
        <w:rPr>
          <w:rStyle w:val="FootnoteReference"/>
        </w:rPr>
        <w:footnoteRef/>
      </w:r>
      <w:r>
        <w:t xml:space="preserve"> </w:t>
      </w:r>
      <w:r>
        <w:tab/>
        <w:t xml:space="preserve">See HoustonKemp, </w:t>
      </w:r>
      <w:r w:rsidRPr="006C2193">
        <w:rPr>
          <w:rStyle w:val="AERtextitalic"/>
        </w:rPr>
        <w:t>Appropriate objective to guide the setting of the cost of debt allowance</w:t>
      </w:r>
      <w:r>
        <w:t xml:space="preserve">, 3 March 2015, p. 5; Expert Panel on Energy Access Pricing, </w:t>
      </w:r>
      <w:r w:rsidRPr="0070748E">
        <w:rPr>
          <w:rStyle w:val="AERtextitalic"/>
        </w:rPr>
        <w:t>Report to the M</w:t>
      </w:r>
      <w:r>
        <w:rPr>
          <w:rStyle w:val="AERtextitalic"/>
        </w:rPr>
        <w:t>inisterial Council on Energy</w:t>
      </w:r>
      <w:r>
        <w:t>, April 2006, p. 59.</w:t>
      </w:r>
    </w:p>
  </w:footnote>
  <w:footnote w:id="416">
    <w:p w:rsidR="006345FD" w:rsidRDefault="006345FD" w:rsidP="006C5BEA">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417">
    <w:p w:rsidR="006345FD" w:rsidRDefault="006345FD" w:rsidP="006C5BEA">
      <w:pPr>
        <w:pStyle w:val="FootnoteText"/>
      </w:pPr>
      <w:r>
        <w:rPr>
          <w:rStyle w:val="FootnoteReference"/>
        </w:rPr>
        <w:footnoteRef/>
      </w:r>
      <w:r>
        <w:t xml:space="preserve"> </w:t>
      </w:r>
      <w:r>
        <w:tab/>
        <w:t>The RPPs require we have regard to this effect on incentives. See NEL, s7A(3)(b); NGL,  s24(3)(b).</w:t>
      </w:r>
    </w:p>
  </w:footnote>
  <w:footnote w:id="418">
    <w:p w:rsidR="006345FD" w:rsidRDefault="006345FD" w:rsidP="006C5BEA">
      <w:pPr>
        <w:pStyle w:val="FootnoteText"/>
      </w:pPr>
      <w:r>
        <w:rPr>
          <w:rStyle w:val="FootnoteReference"/>
        </w:rPr>
        <w:footnoteRef/>
      </w:r>
      <w:r>
        <w:t xml:space="preserve"> </w:t>
      </w:r>
      <w:r>
        <w:tab/>
        <w:t xml:space="preserve">Lally, </w:t>
      </w:r>
      <w:r w:rsidRPr="006C2193">
        <w:rPr>
          <w:rStyle w:val="AERtextitalic"/>
        </w:rPr>
        <w:t>Review of submissions on the cost of debt</w:t>
      </w:r>
      <w:r>
        <w:t>, 21 April 2015, p. 25.</w:t>
      </w:r>
    </w:p>
  </w:footnote>
  <w:footnote w:id="419">
    <w:p w:rsidR="006345FD" w:rsidRDefault="006345FD" w:rsidP="006C5BEA">
      <w:pPr>
        <w:pStyle w:val="FootnoteText"/>
      </w:pPr>
      <w:r>
        <w:rPr>
          <w:rStyle w:val="FootnoteReference"/>
        </w:rPr>
        <w:footnoteRef/>
      </w:r>
      <w:r>
        <w:t xml:space="preserve"> </w:t>
      </w:r>
      <w:r>
        <w:tab/>
        <w:t xml:space="preserve">We have used the on-the-day approach to estimate the return on debt since 1998 where we interpreted our task as requiring us to derive a rate of return that was as up to date as possible at the time the access arrangement came into effect. See ACCC, </w:t>
      </w:r>
      <w:r w:rsidRPr="001C73AF">
        <w:rPr>
          <w:rStyle w:val="AERtextitalic"/>
        </w:rPr>
        <w:t>Victorian Gas Transmission Access Arrangements Final Decision</w:t>
      </w:r>
      <w:r>
        <w:t>, 6 October 1998, p. 49.</w:t>
      </w:r>
    </w:p>
  </w:footnote>
  <w:footnote w:id="420">
    <w:p w:rsidR="006345FD" w:rsidRDefault="006345FD" w:rsidP="006C5BEA">
      <w:pPr>
        <w:pStyle w:val="FootnoteText"/>
      </w:pPr>
      <w:r>
        <w:rPr>
          <w:rStyle w:val="FootnoteReference"/>
        </w:rPr>
        <w:footnoteRef/>
      </w:r>
      <w:r>
        <w:t xml:space="preserve"> </w:t>
      </w:r>
      <w:r>
        <w:tab/>
        <w:t>In particular, to the extent that the financial risks (including interest rate risk) arising from the on-the-day approach are systematic, they would be priced into investors' required return on equity. This would be compensated for in our equity beta estimate, which is calculated based on historical returns.</w:t>
      </w:r>
    </w:p>
  </w:footnote>
  <w:footnote w:id="421">
    <w:p w:rsidR="006345FD" w:rsidRDefault="006345FD" w:rsidP="006C5BEA">
      <w:pPr>
        <w:pStyle w:val="FootnoteText"/>
      </w:pPr>
      <w:r>
        <w:rPr>
          <w:rStyle w:val="FootnoteReference"/>
        </w:rPr>
        <w:footnoteRef/>
      </w:r>
      <w:r>
        <w:t xml:space="preserve"> </w:t>
      </w:r>
      <w:r>
        <w:tab/>
        <w:t xml:space="preserve">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sidRPr="008410DE">
        <w:rPr>
          <w:rStyle w:val="AERtextitalic"/>
        </w:rPr>
        <w:t>Directors' and financial report</w:t>
      </w:r>
      <w:r>
        <w:t xml:space="preserve">, 30 June 2014, p. 27; Spark Infrastructure, </w:t>
      </w:r>
      <w:r w:rsidRPr="00EB2DC2">
        <w:rPr>
          <w:rStyle w:val="AERtextitalic"/>
        </w:rPr>
        <w:t>Annual report 2012</w:t>
      </w:r>
      <w:r>
        <w:t xml:space="preserve">, p. 16; SP AusNet, </w:t>
      </w:r>
      <w:r w:rsidRPr="00012C61">
        <w:rPr>
          <w:rStyle w:val="AERtextitalic"/>
        </w:rPr>
        <w:t>Business review 2014: SP AusNet Distribution financial report</w:t>
      </w:r>
      <w:r>
        <w:t xml:space="preserve">, Note 19, p. 11. Spark Infrastructure cancelled its interest rate swaps in 2013. See Spark Infrastructure, </w:t>
      </w:r>
      <w:r w:rsidRPr="00BA1680">
        <w:rPr>
          <w:rStyle w:val="AERtextitalic"/>
        </w:rPr>
        <w:t>Annual Report 2013</w:t>
      </w:r>
      <w:r>
        <w:t>, p. 16.</w:t>
      </w:r>
    </w:p>
  </w:footnote>
  <w:footnote w:id="422">
    <w:p w:rsidR="006345FD" w:rsidRDefault="006345FD" w:rsidP="006C5BEA">
      <w:pPr>
        <w:pStyle w:val="FootnoteText"/>
      </w:pPr>
      <w:r>
        <w:rPr>
          <w:rStyle w:val="FootnoteReference"/>
        </w:rPr>
        <w:footnoteRef/>
      </w:r>
      <w:r>
        <w:t xml:space="preserve"> </w:t>
      </w:r>
      <w:r>
        <w:tab/>
        <w:t xml:space="preserve">For example, see AER, </w:t>
      </w:r>
      <w:r w:rsidRPr="00D1603D">
        <w:rPr>
          <w:rStyle w:val="AERtextitalic"/>
        </w:rPr>
        <w:t>Preliminary decision―CitiPower determination, Attachment 3: Rate of return</w:t>
      </w:r>
      <w:r>
        <w:t>, October 2015, pp. 190</w:t>
      </w:r>
      <w:r>
        <w:rPr>
          <w:rFonts w:cs="Arial"/>
        </w:rPr>
        <w:t>–</w:t>
      </w:r>
      <w:r>
        <w:t xml:space="preserve">2. Also see AER, </w:t>
      </w:r>
      <w:r w:rsidRPr="00D1603D">
        <w:rPr>
          <w:rStyle w:val="AERtextitalic"/>
        </w:rPr>
        <w:t>Explanatory statement to the rate of return guideline</w:t>
      </w:r>
      <w:r>
        <w:t xml:space="preserve">, December 2013, p. 166. </w:t>
      </w:r>
    </w:p>
  </w:footnote>
  <w:footnote w:id="423">
    <w:p w:rsidR="006345FD" w:rsidRDefault="006345FD" w:rsidP="006C5BEA">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t>, 13 February 2011, pp. 9</w:t>
      </w:r>
      <w:r>
        <w:rPr>
          <w:rFonts w:cs="Arial"/>
        </w:rPr>
        <w:t>–</w:t>
      </w:r>
      <w:r w:rsidRPr="00586A00">
        <w:t xml:space="preserve">10. </w:t>
      </w:r>
    </w:p>
  </w:footnote>
  <w:footnote w:id="424">
    <w:p w:rsidR="006345FD" w:rsidRDefault="006345FD" w:rsidP="006C5BEA">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25">
    <w:p w:rsidR="006345FD" w:rsidRDefault="006345FD" w:rsidP="006C5BEA">
      <w:pPr>
        <w:pStyle w:val="FootnoteText"/>
      </w:pPr>
      <w:r>
        <w:rPr>
          <w:rStyle w:val="FootnoteReference"/>
        </w:rPr>
        <w:footnoteRef/>
      </w:r>
      <w:r>
        <w:t xml:space="preserve"> </w:t>
      </w:r>
      <w:r>
        <w:tab/>
        <w:t xml:space="preserve">For example, see AER, </w:t>
      </w:r>
      <w:r w:rsidRPr="00D1603D">
        <w:rPr>
          <w:rStyle w:val="AERtextitalic"/>
        </w:rPr>
        <w:t>Preliminary decision―</w:t>
      </w:r>
      <w:r>
        <w:rPr>
          <w:rStyle w:val="AERtextitalic"/>
        </w:rPr>
        <w:t xml:space="preserve">CitiPower </w:t>
      </w:r>
      <w:r w:rsidRPr="00D1603D">
        <w:rPr>
          <w:rStyle w:val="AERtextitalic"/>
        </w:rPr>
        <w:t>determination, Attachment 3: Rate of return</w:t>
      </w:r>
      <w:r>
        <w:t>, October 2015, pp. 196</w:t>
      </w:r>
      <w:r w:rsidRPr="00D1603D">
        <w:t>–</w:t>
      </w:r>
      <w:r>
        <w:t xml:space="preserve">9. Also see AER, </w:t>
      </w:r>
      <w:r w:rsidRPr="00D1603D">
        <w:rPr>
          <w:rStyle w:val="AERtextitalic"/>
        </w:rPr>
        <w:t>Explanatory statement to the rate of return guideline</w:t>
      </w:r>
      <w:r>
        <w:t>, December 2013, pp. 166</w:t>
      </w:r>
      <w:r>
        <w:rPr>
          <w:rFonts w:cs="Arial"/>
        </w:rPr>
        <w:t>–</w:t>
      </w:r>
      <w:r>
        <w:t>7.</w:t>
      </w:r>
    </w:p>
  </w:footnote>
  <w:footnote w:id="426">
    <w:p w:rsidR="006345FD" w:rsidRDefault="006345FD" w:rsidP="006C5BEA">
      <w:pPr>
        <w:pStyle w:val="FootnoteText"/>
      </w:pPr>
      <w:r>
        <w:rPr>
          <w:rStyle w:val="FootnoteReference"/>
        </w:rPr>
        <w:footnoteRef/>
      </w:r>
      <w:r>
        <w:t xml:space="preserve"> </w:t>
      </w:r>
      <w:r>
        <w:tab/>
      </w:r>
      <w:r w:rsidRPr="00756A0D">
        <w:t>No third party data series is available for the full 10 year historical period, meaning a mixture of data series for different time periods would be required. The RBA and Bloomberg (BVAL) data series commenced in January 2005 and April 2010 respectively.</w:t>
      </w:r>
      <w:r>
        <w:t xml:space="preserve"> The</w:t>
      </w:r>
      <w:r w:rsidRPr="00756A0D">
        <w:t xml:space="preserve"> Commonwealth Bank of Australia</w:t>
      </w:r>
      <w:r>
        <w:t xml:space="preserve"> </w:t>
      </w:r>
      <w:r w:rsidRPr="00756A0D">
        <w:t>Spectrum and Bloomberg fair value curve data series ceased publication in August 2010 and May 2014 respective</w:t>
      </w:r>
      <w:r>
        <w:t>ly.</w:t>
      </w:r>
    </w:p>
  </w:footnote>
  <w:footnote w:id="427">
    <w:p w:rsidR="006345FD" w:rsidRDefault="006345FD" w:rsidP="006C5BEA">
      <w:pPr>
        <w:pStyle w:val="FootnoteText"/>
      </w:pPr>
      <w:r>
        <w:rPr>
          <w:rStyle w:val="FootnoteReference"/>
        </w:rPr>
        <w:footnoteRef/>
      </w:r>
      <w:r>
        <w:t xml:space="preserve"> </w:t>
      </w:r>
      <w:r>
        <w:tab/>
      </w:r>
      <w:r w:rsidRPr="00756A0D">
        <w:t xml:space="preserve">Lally, M, </w:t>
      </w:r>
      <w:r w:rsidRPr="005772E3">
        <w:rPr>
          <w:rStyle w:val="AERtextitalic"/>
        </w:rPr>
        <w:t>Transitional arrangements for the cost of debt</w:t>
      </w:r>
      <w:r w:rsidRPr="00756A0D">
        <w:t>, November 2014, p. 15.</w:t>
      </w:r>
    </w:p>
  </w:footnote>
  <w:footnote w:id="428">
    <w:p w:rsidR="006345FD" w:rsidRDefault="006345FD" w:rsidP="00F675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 21; AER, </w:t>
      </w:r>
      <w:r w:rsidRPr="00A5241A">
        <w:rPr>
          <w:rStyle w:val="AERtextitalic"/>
        </w:rPr>
        <w:t>Better regulation—Explanatory statement to the rate of return guideline</w:t>
      </w:r>
      <w:r>
        <w:t>, December 2013, pp. 135–147.</w:t>
      </w:r>
    </w:p>
  </w:footnote>
  <w:footnote w:id="429">
    <w:p w:rsidR="006345FD" w:rsidRDefault="006345FD" w:rsidP="00F67558">
      <w:pPr>
        <w:pStyle w:val="FootnoteText"/>
      </w:pPr>
      <w:r>
        <w:rPr>
          <w:rStyle w:val="FootnoteReference"/>
        </w:rPr>
        <w:footnoteRef/>
      </w:r>
      <w:r>
        <w:t xml:space="preserve"> </w:t>
      </w:r>
      <w:r>
        <w:tab/>
        <w:t xml:space="preserve">AER, </w:t>
      </w:r>
      <w:r>
        <w:rPr>
          <w:rStyle w:val="AERtextitalic"/>
        </w:rPr>
        <w:t xml:space="preserve">Preliminary </w:t>
      </w:r>
      <w:r w:rsidRPr="001E272C">
        <w:rPr>
          <w:rStyle w:val="AERtextitalic"/>
        </w:rPr>
        <w:t xml:space="preserve">decision: </w:t>
      </w:r>
      <w:r>
        <w:rPr>
          <w:rStyle w:val="AERtextitalic"/>
        </w:rPr>
        <w:t>CitiPower determination</w:t>
      </w:r>
      <w:r w:rsidRPr="001E272C">
        <w:rPr>
          <w:rStyle w:val="AERtextitalic"/>
        </w:rPr>
        <w:t xml:space="preserve"> 2016 to 202</w:t>
      </w:r>
      <w:r>
        <w:rPr>
          <w:rStyle w:val="AERtextitalic"/>
        </w:rPr>
        <w:t>0</w:t>
      </w:r>
      <w:r w:rsidRPr="001E272C">
        <w:rPr>
          <w:rStyle w:val="AERtextitalic"/>
        </w:rPr>
        <w:t>, Attachment 3―Rate of return</w:t>
      </w:r>
      <w:r>
        <w:t>, October 2015, pp. 210</w:t>
      </w:r>
      <w:r>
        <w:rPr>
          <w:rFonts w:cs="Arial"/>
        </w:rPr>
        <w:t>–</w:t>
      </w:r>
      <w:r>
        <w:t>214.</w:t>
      </w:r>
    </w:p>
  </w:footnote>
  <w:footnote w:id="430">
    <w:p w:rsidR="006345FD" w:rsidRDefault="006345FD" w:rsidP="00F67558">
      <w:pPr>
        <w:pStyle w:val="FootnoteText"/>
      </w:pPr>
      <w:r>
        <w:rPr>
          <w:rStyle w:val="FootnoteReference"/>
        </w:rPr>
        <w:footnoteRef/>
      </w:r>
      <w:r>
        <w:t xml:space="preserve"> </w:t>
      </w:r>
      <w:r>
        <w:tab/>
      </w:r>
      <w:r w:rsidRPr="001012B9">
        <w:t xml:space="preserve">ActewAGL, </w:t>
      </w:r>
      <w:r w:rsidRPr="001E272C">
        <w:rPr>
          <w:rStyle w:val="AERtextitalic"/>
        </w:rPr>
        <w:t>Access arrangement information</w:t>
      </w:r>
      <w:r>
        <w:t xml:space="preserve">, January 2016, p. 15; </w:t>
      </w:r>
      <w:r w:rsidRPr="001012B9">
        <w:t xml:space="preserve">AGN, </w:t>
      </w:r>
      <w:r w:rsidRPr="001E272C">
        <w:rPr>
          <w:rStyle w:val="AERtextitalic"/>
        </w:rPr>
        <w:t>Attachment 10.26 response to draft decision: Rate of return</w:t>
      </w:r>
      <w:r>
        <w:t>, January 2016, p. 7; APTNT</w:t>
      </w:r>
      <w:r w:rsidRPr="001012B9">
        <w:t xml:space="preserve">, </w:t>
      </w:r>
      <w:r w:rsidRPr="001E272C">
        <w:rPr>
          <w:rStyle w:val="AERtextitalic"/>
        </w:rPr>
        <w:t>Amadeus Gas Pipeline access arrangement information</w:t>
      </w:r>
      <w:r>
        <w:t xml:space="preserve">, January 2016, p. 24; </w:t>
      </w:r>
      <w:r w:rsidRPr="001012B9">
        <w:t xml:space="preserve"> AusNet Electricity Services, </w:t>
      </w:r>
      <w:r w:rsidRPr="001E272C">
        <w:rPr>
          <w:rStyle w:val="AERtextitalic"/>
        </w:rPr>
        <w:t>Revised regulatory proposal</w:t>
      </w:r>
      <w:r>
        <w:t xml:space="preserve">, January 2016, p. 7-5; </w:t>
      </w:r>
      <w:r w:rsidRPr="001012B9">
        <w:t xml:space="preserve">CitiPower, </w:t>
      </w:r>
      <w:r w:rsidRPr="001E272C">
        <w:rPr>
          <w:rStyle w:val="AERtextitalic"/>
        </w:rPr>
        <w:t>Revised Regulatory Proposal 2016—2020</w:t>
      </w:r>
      <w:r>
        <w:t xml:space="preserve">, 6anuary 2016, p. 262; </w:t>
      </w:r>
      <w:r w:rsidRPr="001012B9">
        <w:t xml:space="preserve">JEN, </w:t>
      </w:r>
      <w:r w:rsidRPr="001E272C">
        <w:rPr>
          <w:rStyle w:val="AERtextitalic"/>
        </w:rPr>
        <w:t>Attachment 6-1 rate of return, gamma, forecast inflation, and debt and equity raising costs</w:t>
      </w:r>
      <w:r>
        <w:t xml:space="preserve">, </w:t>
      </w:r>
      <w:r w:rsidRPr="001012B9">
        <w:t>January 2016</w:t>
      </w:r>
      <w:r>
        <w:t xml:space="preserve">, p. xi; </w:t>
      </w:r>
      <w:r w:rsidRPr="001012B9">
        <w:t xml:space="preserve">Powercor, </w:t>
      </w:r>
      <w:r w:rsidRPr="001E272C">
        <w:rPr>
          <w:rStyle w:val="AERtextitalic"/>
        </w:rPr>
        <w:t>Revised regulatory proposal 2016–20</w:t>
      </w:r>
      <w:r>
        <w:t xml:space="preserve">, January 2016, p. 256; </w:t>
      </w:r>
      <w:r w:rsidRPr="001012B9">
        <w:t xml:space="preserve">United Energy, </w:t>
      </w:r>
      <w:r w:rsidRPr="001E272C">
        <w:rPr>
          <w:rStyle w:val="AERtextitalic"/>
        </w:rPr>
        <w:t>2016 to 2020 revised regulatory proposal</w:t>
      </w:r>
      <w:r>
        <w:t xml:space="preserve">, </w:t>
      </w:r>
      <w:r w:rsidRPr="001012B9">
        <w:t>January 2016</w:t>
      </w:r>
      <w:r>
        <w:t>, p. 79</w:t>
      </w:r>
      <w:r w:rsidRPr="001012B9">
        <w:t>.</w:t>
      </w:r>
    </w:p>
  </w:footnote>
  <w:footnote w:id="431">
    <w:p w:rsidR="006345FD" w:rsidRDefault="006345FD" w:rsidP="00F67558">
      <w:pPr>
        <w:pStyle w:val="FootnoteText"/>
      </w:pPr>
      <w:r>
        <w:rPr>
          <w:rStyle w:val="FootnoteReference"/>
        </w:rPr>
        <w:footnoteRef/>
      </w:r>
      <w:r>
        <w:t xml:space="preserve"> </w:t>
      </w:r>
      <w:r>
        <w:tab/>
        <w:t xml:space="preserve">ActewAGL, </w:t>
      </w:r>
      <w:r w:rsidRPr="00AA7B4A">
        <w:rPr>
          <w:rStyle w:val="AERtextitalic"/>
        </w:rPr>
        <w:t>Initial proposal—Appendix 8.01: Detailed return on debt proposal</w:t>
      </w:r>
      <w:r>
        <w:t xml:space="preserve">, June 2015, pp. 1,6; AGN, </w:t>
      </w:r>
      <w:r w:rsidRPr="00E80769">
        <w:rPr>
          <w:rStyle w:val="AERtextitalic"/>
        </w:rPr>
        <w:t>Initial proposal—Attachment 10.1: Rate of return</w:t>
      </w:r>
      <w:r>
        <w:t xml:space="preserve">, July 2015, pp. 51–52; APTNT, </w:t>
      </w:r>
      <w:r w:rsidRPr="005101BD">
        <w:rPr>
          <w:rStyle w:val="AERtextitalic"/>
        </w:rPr>
        <w:t>Initial proposal—Access arrangement information</w:t>
      </w:r>
      <w:r>
        <w:t xml:space="preserve">, August 2015, pp. 28–33; </w:t>
      </w:r>
      <w:r w:rsidRPr="00C57C95">
        <w:t xml:space="preserve">AusNet Services, </w:t>
      </w:r>
      <w:r w:rsidRPr="00707A75">
        <w:rPr>
          <w:rStyle w:val="AERtextitalic"/>
        </w:rPr>
        <w:t>Initia</w:t>
      </w:r>
      <w:r>
        <w:rPr>
          <w:rStyle w:val="AERtextitalic"/>
        </w:rPr>
        <w:t>l regulatory p</w:t>
      </w:r>
      <w:r w:rsidRPr="00707A75">
        <w:rPr>
          <w:rStyle w:val="AERtextitalic"/>
        </w:rPr>
        <w:t>roposal,</w:t>
      </w:r>
      <w:r>
        <w:t xml:space="preserve"> April 2015, pp. 3</w:t>
      </w:r>
      <w:r w:rsidRPr="00C57C95">
        <w:t>35</w:t>
      </w:r>
      <w:r>
        <w:t>–336</w:t>
      </w:r>
      <w:r w:rsidRPr="00C57C95">
        <w:t xml:space="preserve">; </w:t>
      </w:r>
      <w:r w:rsidR="00FE3907" w:rsidRPr="00C57C95">
        <w:t>CitiPower</w:t>
      </w:r>
      <w:r w:rsidRPr="00C57C95">
        <w:t xml:space="preserve">, </w:t>
      </w:r>
      <w:r>
        <w:rPr>
          <w:rStyle w:val="AERtextitalic"/>
        </w:rPr>
        <w:t>Initial regulatory p</w:t>
      </w:r>
      <w:r w:rsidRPr="00707A75">
        <w:rPr>
          <w:rStyle w:val="AERtextitalic"/>
        </w:rPr>
        <w:t>roposal</w:t>
      </w:r>
      <w:r>
        <w:t>, April 2015, p. 2</w:t>
      </w:r>
      <w:r w:rsidRPr="00C57C95">
        <w:t xml:space="preserve">27; </w:t>
      </w:r>
      <w:r>
        <w:t>JEN</w:t>
      </w:r>
      <w:r w:rsidRPr="00C57C95">
        <w:t xml:space="preserve">, </w:t>
      </w:r>
      <w:r>
        <w:rPr>
          <w:rStyle w:val="AERtextitalic"/>
        </w:rPr>
        <w:t>Initial regulatory p</w:t>
      </w:r>
      <w:r w:rsidRPr="00707A75">
        <w:rPr>
          <w:rStyle w:val="AERtextitalic"/>
        </w:rPr>
        <w:t>roposal</w:t>
      </w:r>
      <w:r>
        <w:rPr>
          <w:rStyle w:val="AERtextitalic"/>
        </w:rPr>
        <w:t>—Attachment 9.2: Rate of return proposal</w:t>
      </w:r>
      <w:r w:rsidRPr="00707A75">
        <w:rPr>
          <w:rStyle w:val="AERtextitalic"/>
        </w:rPr>
        <w:t>,</w:t>
      </w:r>
      <w:r>
        <w:t xml:space="preserve"> April 2015, pp. 88–89</w:t>
      </w:r>
      <w:r w:rsidRPr="00C57C95">
        <w:t xml:space="preserve">; Powercor, </w:t>
      </w:r>
      <w:r>
        <w:rPr>
          <w:rStyle w:val="AERtextitalic"/>
        </w:rPr>
        <w:t>Initial regulatory p</w:t>
      </w:r>
      <w:r w:rsidRPr="00707A75">
        <w:rPr>
          <w:rStyle w:val="AERtextitalic"/>
        </w:rPr>
        <w:t>roposal</w:t>
      </w:r>
      <w:r>
        <w:t>, April 2015, pp. 2</w:t>
      </w:r>
      <w:r w:rsidRPr="00C57C95">
        <w:t>35</w:t>
      </w:r>
      <w:r>
        <w:noBreakHyphen/>
      </w:r>
      <w:r w:rsidRPr="00C57C95">
        <w:t xml:space="preserve">236; 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pp. 4–6.</w:t>
      </w:r>
    </w:p>
  </w:footnote>
  <w:footnote w:id="432">
    <w:p w:rsidR="006345FD" w:rsidRDefault="006345FD" w:rsidP="00F67558">
      <w:pPr>
        <w:pStyle w:val="FootnoteText"/>
      </w:pPr>
      <w:r>
        <w:rPr>
          <w:rStyle w:val="FootnoteReference"/>
        </w:rPr>
        <w:footnoteRef/>
      </w:r>
      <w:r>
        <w:t xml:space="preserve"> </w:t>
      </w:r>
      <w:r>
        <w:tab/>
      </w:r>
      <w:r w:rsidRPr="00354D35">
        <w:t xml:space="preserve">NERA, </w:t>
      </w:r>
      <w:r w:rsidRPr="00354D35">
        <w:rPr>
          <w:rStyle w:val="AERtextitalic"/>
        </w:rPr>
        <w:t>Return on capital of a regulated electricity network,</w:t>
      </w:r>
      <w:r w:rsidRPr="00354D35">
        <w:t xml:space="preserve"> May 2014, p. ii; </w:t>
      </w:r>
      <w:r w:rsidRPr="00075A2A">
        <w:rPr>
          <w:rStyle w:val="AERtextitalic"/>
          <w:i w:val="0"/>
        </w:rPr>
        <w:t>CEG</w:t>
      </w:r>
      <w:r w:rsidRPr="00354D35">
        <w:rPr>
          <w:rStyle w:val="AERtextitalic"/>
        </w:rPr>
        <w:t>, WACC estimates, a report for NSW DNSPs</w:t>
      </w:r>
      <w:r w:rsidRPr="00354D35">
        <w:t>. May 2014, pp. 48–49.</w:t>
      </w:r>
    </w:p>
  </w:footnote>
  <w:footnote w:id="433">
    <w:p w:rsidR="006345FD" w:rsidRPr="006F4CF4" w:rsidRDefault="006345FD" w:rsidP="00F67558">
      <w:pPr>
        <w:pStyle w:val="FootnoteText"/>
        <w:rPr>
          <w:rStyle w:val="AERtextitalic"/>
          <w:i w:val="0"/>
        </w:rPr>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 </w:t>
      </w:r>
      <w:r w:rsidRPr="006F4CF4">
        <w:rPr>
          <w:rStyle w:val="AERtextitalic"/>
          <w:i w:val="0"/>
        </w:rPr>
        <w:t>July 2015, p. 8</w:t>
      </w:r>
      <w:r>
        <w:rPr>
          <w:rStyle w:val="AERtextitalic"/>
        </w:rPr>
        <w:t>.</w:t>
      </w:r>
    </w:p>
  </w:footnote>
  <w:footnote w:id="434">
    <w:p w:rsidR="006345FD" w:rsidRDefault="006345FD" w:rsidP="00F67558">
      <w:pPr>
        <w:pStyle w:val="FootnoteText"/>
      </w:pPr>
      <w:r>
        <w:rPr>
          <w:rStyle w:val="FootnoteReference"/>
        </w:rPr>
        <w:footnoteRef/>
      </w:r>
      <w:r>
        <w:t xml:space="preserve"> </w:t>
      </w:r>
      <w:r>
        <w:tab/>
        <w:t xml:space="preserve">CCP3, </w:t>
      </w:r>
      <w:r w:rsidRPr="00461F11">
        <w:rPr>
          <w:rStyle w:val="AERtextitalic"/>
        </w:rPr>
        <w:t>Submission to the AER: An Overview ― Response to AER Preliminary Decisions and revised proposals from Victorian electricity DNSPs for a revenue reset for the 2016</w:t>
      </w:r>
      <w:r w:rsidRPr="00461F11">
        <w:rPr>
          <w:rStyle w:val="AERtextitalic"/>
          <w:rFonts w:ascii="Cambria Math" w:hAnsi="Cambria Math" w:cs="Cambria Math"/>
        </w:rPr>
        <w:t>‐</w:t>
      </w:r>
      <w:r w:rsidRPr="00461F11">
        <w:rPr>
          <w:rStyle w:val="AERtextitalic"/>
        </w:rPr>
        <w:t>2020 regulatory period</w:t>
      </w:r>
      <w:r>
        <w:t>, 22 February 2016, p. 29</w:t>
      </w:r>
    </w:p>
  </w:footnote>
  <w:footnote w:id="435">
    <w:p w:rsidR="006345FD" w:rsidRDefault="006345FD" w:rsidP="00F67558">
      <w:pPr>
        <w:pStyle w:val="FootnoteText"/>
      </w:pPr>
      <w:r>
        <w:rPr>
          <w:rStyle w:val="FootnoteReference"/>
        </w:rPr>
        <w:footnoteRef/>
      </w:r>
      <w:r>
        <w:t xml:space="preserve"> </w:t>
      </w:r>
      <w:r>
        <w:tab/>
        <w:t xml:space="preserve">We have recognised this previously in AER, </w:t>
      </w:r>
      <w:r>
        <w:rPr>
          <w:rStyle w:val="AERtextitalic"/>
        </w:rPr>
        <w:t xml:space="preserve">Preliminary </w:t>
      </w:r>
      <w:r w:rsidRPr="001E272C">
        <w:rPr>
          <w:rStyle w:val="AERtextitalic"/>
        </w:rPr>
        <w:t xml:space="preserve">decision: </w:t>
      </w:r>
      <w:r>
        <w:rPr>
          <w:rStyle w:val="AERtextitalic"/>
        </w:rPr>
        <w:t>CitiPower determination</w:t>
      </w:r>
      <w:r w:rsidRPr="001E272C">
        <w:rPr>
          <w:rStyle w:val="AERtextitalic"/>
        </w:rPr>
        <w:t xml:space="preserve"> 2016 to 202</w:t>
      </w:r>
      <w:r>
        <w:rPr>
          <w:rStyle w:val="AERtextitalic"/>
        </w:rPr>
        <w:t>0</w:t>
      </w:r>
      <w:r w:rsidRPr="001E272C">
        <w:rPr>
          <w:rStyle w:val="AERtextitalic"/>
        </w:rPr>
        <w:t>, Attachment 3―Rate of return</w:t>
      </w:r>
      <w:r>
        <w:t>, October 2015, p. 210</w:t>
      </w:r>
      <w:r>
        <w:rPr>
          <w:rFonts w:cs="Arial"/>
        </w:rPr>
        <w:t>–</w:t>
      </w:r>
      <w:r>
        <w:t>211.</w:t>
      </w:r>
    </w:p>
  </w:footnote>
  <w:footnote w:id="436">
    <w:p w:rsidR="006345FD" w:rsidRDefault="006345FD" w:rsidP="00F67558">
      <w:pPr>
        <w:pStyle w:val="FootnoteText"/>
      </w:pPr>
      <w:r>
        <w:rPr>
          <w:rStyle w:val="FootnoteReference"/>
        </w:rPr>
        <w:footnoteRef/>
      </w:r>
      <w:r>
        <w:t xml:space="preserve"> </w:t>
      </w:r>
      <w:r>
        <w:tab/>
        <w:t>For example, SAPN did not agree that the true benchmark debt term would likely to less than 10 years. SAPN,</w:t>
      </w:r>
      <w:r w:rsidRPr="00F52001">
        <w:t xml:space="preserve"> </w:t>
      </w:r>
      <w:r w:rsidRPr="00AA7B4A">
        <w:rPr>
          <w:rStyle w:val="AERtextitalic"/>
        </w:rPr>
        <w:t>Revised regulatory proposal</w:t>
      </w:r>
      <w:r w:rsidRPr="00F52001">
        <w:t xml:space="preserve">, June 2015, </w:t>
      </w:r>
      <w:r>
        <w:t>p. 381.</w:t>
      </w:r>
    </w:p>
  </w:footnote>
  <w:footnote w:id="437">
    <w:p w:rsidR="006345FD" w:rsidRDefault="006345FD" w:rsidP="00F67558">
      <w:pPr>
        <w:pStyle w:val="FootnoteText"/>
      </w:pPr>
      <w:r>
        <w:rPr>
          <w:rStyle w:val="FootnoteReference"/>
        </w:rPr>
        <w:footnoteRef/>
      </w:r>
      <w:r>
        <w:t xml:space="preserve"> </w:t>
      </w:r>
      <w:r>
        <w:tab/>
        <w:t xml:space="preserve">See for example, AER, </w:t>
      </w:r>
      <w:r>
        <w:rPr>
          <w:rStyle w:val="AERtextitalic"/>
        </w:rPr>
        <w:t>Preliminary</w:t>
      </w:r>
      <w:r w:rsidRPr="001E272C">
        <w:rPr>
          <w:rStyle w:val="AERtextitalic"/>
        </w:rPr>
        <w:t xml:space="preserve"> decision: </w:t>
      </w:r>
      <w:r>
        <w:rPr>
          <w:rStyle w:val="AERtextitalic"/>
        </w:rPr>
        <w:t xml:space="preserve">CitiPower determination </w:t>
      </w:r>
      <w:r w:rsidRPr="001E272C">
        <w:rPr>
          <w:rStyle w:val="AERtextitalic"/>
        </w:rPr>
        <w:t>2016 to 202</w:t>
      </w:r>
      <w:r>
        <w:rPr>
          <w:rStyle w:val="AERtextitalic"/>
        </w:rPr>
        <w:t>0</w:t>
      </w:r>
      <w:r w:rsidRPr="001E272C">
        <w:rPr>
          <w:rStyle w:val="AERtextitalic"/>
        </w:rPr>
        <w:t>, Attachment 3―Rate of return</w:t>
      </w:r>
      <w:r>
        <w:t>, October 2015, pp. 210</w:t>
      </w:r>
      <w:r w:rsidRPr="00D51564">
        <w:t>–</w:t>
      </w:r>
      <w:r>
        <w:t>214.</w:t>
      </w:r>
    </w:p>
  </w:footnote>
  <w:footnote w:id="438">
    <w:p w:rsidR="006345FD" w:rsidRDefault="006345FD" w:rsidP="00F67558">
      <w:pPr>
        <w:pStyle w:val="FootnoteText"/>
      </w:pPr>
      <w:r>
        <w:rPr>
          <w:rStyle w:val="FootnoteReference"/>
        </w:rPr>
        <w:footnoteRef/>
      </w:r>
      <w:r>
        <w:t xml:space="preserve"> </w:t>
      </w:r>
      <w:r>
        <w:tab/>
        <w:t xml:space="preserve">ActewAGL, </w:t>
      </w:r>
      <w:r w:rsidRPr="003A5970">
        <w:rPr>
          <w:rStyle w:val="AERtextitalic"/>
        </w:rPr>
        <w:t>Access arrangement information</w:t>
      </w:r>
      <w:r>
        <w:t xml:space="preserve">, January 2016, p. 36; AGN, </w:t>
      </w:r>
      <w:r w:rsidRPr="003A5970">
        <w:rPr>
          <w:rStyle w:val="AERtextitalic"/>
        </w:rPr>
        <w:t>Attachment 10.26 response to draft decision: Rate of return</w:t>
      </w:r>
      <w:r>
        <w:t xml:space="preserve">, January 2016, p. 36; AusNet Electricity Services, </w:t>
      </w:r>
      <w:r w:rsidRPr="003A5970">
        <w:rPr>
          <w:rStyle w:val="AERtextitalic"/>
        </w:rPr>
        <w:t>Revised regulatory proposal</w:t>
      </w:r>
      <w:r>
        <w:t>, January 2016, p. 175;</w:t>
      </w:r>
      <w:r w:rsidRPr="009E6238">
        <w:t xml:space="preserve"> </w:t>
      </w:r>
      <w:r>
        <w:t xml:space="preserve">CitiPower, </w:t>
      </w:r>
      <w:r w:rsidRPr="003A5970">
        <w:rPr>
          <w:rStyle w:val="AERtextitalic"/>
        </w:rPr>
        <w:t>Revised Regulatory Proposal 2016—2020</w:t>
      </w:r>
      <w:r>
        <w:t>, January 2016, p. 344;</w:t>
      </w:r>
      <w:r w:rsidRPr="009E6238">
        <w:t xml:space="preserve"> </w:t>
      </w:r>
      <w:r>
        <w:t xml:space="preserve">JEN, </w:t>
      </w:r>
      <w:r w:rsidRPr="003A5970">
        <w:rPr>
          <w:rStyle w:val="AERtextitalic"/>
        </w:rPr>
        <w:t>Attachment 6-1 rate of return, gamma, forecast inflation, and debt and equity raising costs</w:t>
      </w:r>
      <w:r>
        <w:t>, January 2016, p. 29;</w:t>
      </w:r>
      <w:r w:rsidRPr="009E6238">
        <w:t xml:space="preserve"> </w:t>
      </w:r>
      <w:r>
        <w:t xml:space="preserve">Powercor, </w:t>
      </w:r>
      <w:r w:rsidRPr="003A5970">
        <w:rPr>
          <w:rStyle w:val="AERtextitalic"/>
        </w:rPr>
        <w:t>Revised regulatory proposal 2016–20</w:t>
      </w:r>
      <w:r>
        <w:t>, January 2016, p. 338.</w:t>
      </w:r>
      <w:r w:rsidRPr="001B1590">
        <w:t xml:space="preserve"> </w:t>
      </w:r>
      <w:r>
        <w:t xml:space="preserve">These service providers referenced a report considered during the Guideline development process. That is, </w:t>
      </w:r>
      <w:r w:rsidRPr="00354D0F">
        <w:t xml:space="preserve">PwC, </w:t>
      </w:r>
      <w:r>
        <w:t>ENA</w:t>
      </w:r>
      <w:r w:rsidRPr="00354D0F">
        <w:t xml:space="preserve">: </w:t>
      </w:r>
      <w:r w:rsidRPr="006F1A7F">
        <w:rPr>
          <w:rStyle w:val="AERtextitalic"/>
        </w:rPr>
        <w:t>Benchmark term of debt assumption</w:t>
      </w:r>
      <w:r w:rsidRPr="00354D0F">
        <w:t>, June 2013</w:t>
      </w:r>
      <w:r>
        <w:t>.</w:t>
      </w:r>
    </w:p>
  </w:footnote>
  <w:footnote w:id="439">
    <w:p w:rsidR="006345FD" w:rsidRDefault="006345FD" w:rsidP="00F67558">
      <w:pPr>
        <w:pStyle w:val="FootnoteText"/>
      </w:pPr>
      <w:r>
        <w:rPr>
          <w:rStyle w:val="FootnoteReference"/>
        </w:rPr>
        <w:footnoteRef/>
      </w:r>
      <w:r>
        <w:t xml:space="preserve"> </w:t>
      </w:r>
      <w:r>
        <w:tab/>
        <w:t>NER, cl. 6.5.2(b); NGR, r. 87(2).</w:t>
      </w:r>
    </w:p>
  </w:footnote>
  <w:footnote w:id="440">
    <w:p w:rsidR="006345FD" w:rsidRDefault="006345FD" w:rsidP="00F67558">
      <w:pPr>
        <w:pStyle w:val="FootnoteText"/>
      </w:pPr>
      <w:r>
        <w:rPr>
          <w:rStyle w:val="FootnoteReference"/>
        </w:rPr>
        <w:footnoteRef/>
      </w:r>
      <w:r>
        <w:t xml:space="preserve"> </w:t>
      </w:r>
      <w:r>
        <w:tab/>
      </w:r>
      <w:r w:rsidRPr="007B13EA">
        <w:t>Information was received from APA Group, AusNet Services, CitiPower, Dampier to Bunbury Pipeline, ElectraNet, Envestra, Jemena, Multinet, Powercor, SA Power Networks and United Energy.</w:t>
      </w:r>
    </w:p>
  </w:footnote>
  <w:footnote w:id="441">
    <w:p w:rsidR="006345FD" w:rsidRDefault="006345FD" w:rsidP="00F675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December 2013, p. 136.</w:t>
      </w:r>
    </w:p>
  </w:footnote>
  <w:footnote w:id="442">
    <w:p w:rsidR="006345FD" w:rsidRDefault="006345FD" w:rsidP="00F67558">
      <w:pPr>
        <w:pStyle w:val="FootnoteText"/>
      </w:pPr>
      <w:r>
        <w:rPr>
          <w:rStyle w:val="FootnoteReference"/>
        </w:rPr>
        <w:footnoteRef/>
      </w:r>
      <w:r>
        <w:t xml:space="preserve"> </w:t>
      </w:r>
      <w:r>
        <w:tab/>
        <w:t xml:space="preserve">AER, </w:t>
      </w:r>
      <w:r w:rsidRPr="00A5241A">
        <w:rPr>
          <w:rStyle w:val="AERtextitalic"/>
        </w:rPr>
        <w:t>Better regulation—Rate of return guideline</w:t>
      </w:r>
      <w:r>
        <w:t xml:space="preserve">, December 2013, p.21; AER, </w:t>
      </w:r>
      <w:r w:rsidRPr="00A5241A">
        <w:rPr>
          <w:rStyle w:val="AERtextitalic"/>
        </w:rPr>
        <w:t>Better regulation—Explanatory statement to the rate of return guideline</w:t>
      </w:r>
      <w:r>
        <w:t xml:space="preserve">, December 2013, pp.152–157; AER, </w:t>
      </w:r>
      <w:r w:rsidRPr="00B96D23">
        <w:rPr>
          <w:rStyle w:val="AERtextitalic"/>
        </w:rPr>
        <w:t xml:space="preserve">Preliminary decision </w:t>
      </w:r>
      <w:r>
        <w:rPr>
          <w:rStyle w:val="AERtextitalic"/>
        </w:rPr>
        <w:t xml:space="preserve">CitiPower </w:t>
      </w:r>
      <w:r w:rsidRPr="00B96D23">
        <w:rPr>
          <w:rStyle w:val="AERtextitalic"/>
        </w:rPr>
        <w:t>distribution determination - Attachment 3 - Rate of return</w:t>
      </w:r>
      <w:r>
        <w:t>, October 2015, p. 214.</w:t>
      </w:r>
    </w:p>
  </w:footnote>
  <w:footnote w:id="443">
    <w:p w:rsidR="006345FD" w:rsidRDefault="006345FD" w:rsidP="00F67558">
      <w:pPr>
        <w:pStyle w:val="FootnoteText"/>
      </w:pPr>
      <w:r>
        <w:rPr>
          <w:rStyle w:val="FootnoteReference"/>
        </w:rPr>
        <w:footnoteRef/>
      </w:r>
      <w:r>
        <w:t xml:space="preserve"> </w:t>
      </w:r>
      <w:r>
        <w:tab/>
        <w:t xml:space="preserve">Australian Competition Tribunal, </w:t>
      </w:r>
      <w:r w:rsidRPr="001C40BE">
        <w:rPr>
          <w:rStyle w:val="AERtextitalic"/>
        </w:rPr>
        <w:t>Applications by Public Interest Advocacy Centre Ltd and Ausgrid [2016] ACompT 1</w:t>
      </w:r>
      <w:r>
        <w:t>, 26 February 2016, para 993.</w:t>
      </w:r>
    </w:p>
  </w:footnote>
  <w:footnote w:id="444">
    <w:p w:rsidR="006345FD" w:rsidRDefault="006345FD" w:rsidP="00F67558">
      <w:pPr>
        <w:pStyle w:val="FootnoteText"/>
      </w:pPr>
      <w:r>
        <w:rPr>
          <w:rStyle w:val="FootnoteReference"/>
        </w:rPr>
        <w:footnoteRef/>
      </w:r>
      <w:r>
        <w:t xml:space="preserve"> </w:t>
      </w:r>
      <w:r>
        <w:tab/>
        <w:t xml:space="preserve">AusNet Services,  </w:t>
      </w:r>
      <w:r w:rsidRPr="00FA2361">
        <w:rPr>
          <w:rStyle w:val="AERtextitalic"/>
        </w:rPr>
        <w:t>Revised Proposal</w:t>
      </w:r>
      <w:r>
        <w:t>, January 2016, pp. 7</w:t>
      </w:r>
      <w:r>
        <w:rPr>
          <w:rFonts w:cs="Arial"/>
        </w:rPr>
        <w:t>–</w:t>
      </w:r>
      <w:r>
        <w:t xml:space="preserve">5; CitiPower, </w:t>
      </w:r>
      <w:r w:rsidRPr="00FA2361">
        <w:rPr>
          <w:rStyle w:val="AERtextitalic"/>
        </w:rPr>
        <w:t>Revised proposal 2016-20</w:t>
      </w:r>
      <w:r>
        <w:t xml:space="preserve">, January 2016, p. 328; Powercor, </w:t>
      </w:r>
      <w:r w:rsidRPr="00FA2361">
        <w:rPr>
          <w:rStyle w:val="AERtextitalic"/>
        </w:rPr>
        <w:t>Revised Regulatory Proposal</w:t>
      </w:r>
      <w:r>
        <w:t xml:space="preserve">, 2016-2020, January 2016, p. 260; </w:t>
      </w:r>
      <w:r w:rsidRPr="00FA2361">
        <w:rPr>
          <w:rStyle w:val="AERtextitalic"/>
        </w:rPr>
        <w:t>ActewAGL, Revised access arrangement information</w:t>
      </w:r>
      <w:r>
        <w:t>, January 2016, p. 24.</w:t>
      </w:r>
    </w:p>
  </w:footnote>
  <w:footnote w:id="445">
    <w:p w:rsidR="006345FD" w:rsidRDefault="006345FD" w:rsidP="00F67558">
      <w:pPr>
        <w:pStyle w:val="FootnoteText"/>
      </w:pPr>
      <w:r>
        <w:rPr>
          <w:rStyle w:val="FootnoteReference"/>
        </w:rPr>
        <w:footnoteRef/>
      </w:r>
      <w:r>
        <w:t xml:space="preserve"> </w:t>
      </w:r>
      <w:r>
        <w:tab/>
        <w:t xml:space="preserve">Jemena, </w:t>
      </w:r>
      <w:r w:rsidRPr="00FA2361">
        <w:rPr>
          <w:rStyle w:val="AERtextitalic"/>
        </w:rPr>
        <w:t>Attachment 06-01 Rate of return and gamma [PUBLIC]</w:t>
      </w:r>
      <w:r>
        <w:t xml:space="preserve">, January 2016, p. 13; AGN, </w:t>
      </w:r>
      <w:r w:rsidRPr="00FA2361">
        <w:rPr>
          <w:rStyle w:val="AERtextitalic"/>
        </w:rPr>
        <w:t>Attachment 10.26 Rate of Return [PUBLIC]</w:t>
      </w:r>
      <w:r>
        <w:t>, January 2016, p. 2.</w:t>
      </w:r>
    </w:p>
  </w:footnote>
  <w:footnote w:id="446">
    <w:p w:rsidR="006345FD" w:rsidRDefault="006345FD" w:rsidP="00F67558">
      <w:pPr>
        <w:pStyle w:val="FootnoteText"/>
      </w:pPr>
      <w:r>
        <w:rPr>
          <w:rStyle w:val="FootnoteReference"/>
        </w:rPr>
        <w:footnoteRef/>
      </w:r>
      <w:r>
        <w:t xml:space="preserve"> </w:t>
      </w:r>
      <w:r>
        <w:tab/>
      </w:r>
      <w:r w:rsidRPr="009765E9">
        <w:t xml:space="preserve">AusNet Transmission Group Pty Ltd, </w:t>
      </w:r>
      <w:r w:rsidRPr="001C40BE">
        <w:rPr>
          <w:rStyle w:val="AERtextitalic"/>
        </w:rPr>
        <w:t>Transmission Revenue Review 2017–2022 regulatory proposal</w:t>
      </w:r>
      <w:r>
        <w:t xml:space="preserve">, 30 October 2015, p. 191; United Energy, </w:t>
      </w:r>
      <w:r w:rsidRPr="00987910">
        <w:rPr>
          <w:rStyle w:val="AERtextitalic"/>
        </w:rPr>
        <w:t>Revised Regulatory Proposal, 2016-20</w:t>
      </w:r>
      <w:r>
        <w:t>, January 2016, p. 79.</w:t>
      </w:r>
    </w:p>
  </w:footnote>
  <w:footnote w:id="447">
    <w:p w:rsidR="006345FD" w:rsidRDefault="006345FD" w:rsidP="00F67558">
      <w:pPr>
        <w:pStyle w:val="FootnoteText"/>
      </w:pPr>
      <w:r>
        <w:rPr>
          <w:rStyle w:val="FootnoteReference"/>
        </w:rPr>
        <w:footnoteRef/>
      </w:r>
      <w:r>
        <w:t xml:space="preserve"> </w:t>
      </w:r>
      <w:r>
        <w:tab/>
        <w:t xml:space="preserve">APTNT, </w:t>
      </w:r>
      <w:r w:rsidRPr="00820ABF">
        <w:rPr>
          <w:rStyle w:val="AERtextitalic"/>
        </w:rPr>
        <w:t>Access Arrangement Revised Proposal Response to Draft Decision</w:t>
      </w:r>
      <w:r>
        <w:t>, January 2016, p. 88.</w:t>
      </w:r>
    </w:p>
  </w:footnote>
  <w:footnote w:id="448">
    <w:p w:rsidR="006345FD" w:rsidRDefault="006345FD" w:rsidP="00F67558">
      <w:pPr>
        <w:pStyle w:val="FootnoteText"/>
      </w:pPr>
      <w:r>
        <w:rPr>
          <w:rStyle w:val="FootnoteReference"/>
        </w:rPr>
        <w:footnoteRef/>
      </w:r>
      <w:r>
        <w:t xml:space="preserve"> </w:t>
      </w:r>
      <w:r>
        <w:tab/>
      </w:r>
      <w:r w:rsidRPr="009765E9">
        <w:t xml:space="preserve">Powerlink, </w:t>
      </w:r>
      <w:r w:rsidRPr="001C40BE">
        <w:rPr>
          <w:rStyle w:val="AERtextitalic"/>
        </w:rPr>
        <w:t>Queensland revenue proposal</w:t>
      </w:r>
      <w:r>
        <w:t xml:space="preserve">, January 2016; </w:t>
      </w:r>
      <w:r w:rsidRPr="009765E9">
        <w:t xml:space="preserve">TasNetworks, </w:t>
      </w:r>
      <w:r w:rsidRPr="001C40BE">
        <w:rPr>
          <w:rStyle w:val="AERtextitalic"/>
        </w:rPr>
        <w:t>Tasmanian distribution regulatory proposal: Regulatory control period 1 July 2017 to 30 June 2019</w:t>
      </w:r>
      <w:r w:rsidRPr="009765E9">
        <w:t>, 29 January 2016.</w:t>
      </w:r>
    </w:p>
  </w:footnote>
  <w:footnote w:id="449">
    <w:p w:rsidR="006345FD" w:rsidRDefault="006345FD" w:rsidP="00F67558">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450">
    <w:p w:rsidR="006345FD" w:rsidRDefault="006345FD" w:rsidP="00F67558">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sidRPr="009201D8">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71</w:t>
      </w:r>
      <w:r w:rsidRPr="002A3876">
        <w:t xml:space="preserve">; </w:t>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 first round of regulatory determinations under the new rules</w:t>
      </w:r>
      <w:r w:rsidRPr="00A55DDF">
        <w:t>, February 2015</w:t>
      </w:r>
      <w:r>
        <w:t>;</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2A3876">
        <w:t xml:space="preserve">, </w:t>
      </w:r>
      <w:r>
        <w:t xml:space="preserve">Ergon Energy, </w:t>
      </w:r>
      <w:r w:rsidRPr="00073F41">
        <w:rPr>
          <w:rStyle w:val="AERtextitalic"/>
        </w:rPr>
        <w:t>Appendix C: Rate of return, Regulatory proposal</w:t>
      </w:r>
      <w:r>
        <w:t>, October 2014, p. 123</w:t>
      </w:r>
      <w:r w:rsidRPr="00390F5A">
        <w:t>;</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 xml:space="preserve">January 2015, p. 230;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451">
    <w:p w:rsidR="006345FD" w:rsidRDefault="006345FD" w:rsidP="00F67558">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t>, November 2014, pp. 28–3;</w:t>
      </w:r>
      <w:r w:rsidRPr="00284761">
        <w:t xml:space="preserve"> </w:t>
      </w:r>
      <w:r>
        <w:t xml:space="preserve">SACES, </w:t>
      </w:r>
      <w:r w:rsidRPr="00E05AA1">
        <w:rPr>
          <w:rStyle w:val="AERtextitalic"/>
        </w:rPr>
        <w:t>Independent estimates of the WACC for SAPN: Report commissioned by the SACOSS</w:t>
      </w:r>
      <w:r>
        <w:t>, January 2015, pp. 13</w:t>
      </w:r>
      <w:r w:rsidRPr="00284761">
        <w:t>–</w:t>
      </w:r>
      <w:r>
        <w:t>14.</w:t>
      </w:r>
    </w:p>
  </w:footnote>
  <w:footnote w:id="452">
    <w:p w:rsidR="006345FD" w:rsidRDefault="006345FD" w:rsidP="00F67558">
      <w:pPr>
        <w:pStyle w:val="FootnoteText"/>
      </w:pPr>
      <w:r>
        <w:rPr>
          <w:rStyle w:val="FootnoteReference"/>
        </w:rPr>
        <w:footnoteRef/>
      </w:r>
      <w:r>
        <w:t xml:space="preserve"> </w:t>
      </w:r>
      <w:r>
        <w:tab/>
        <w:t xml:space="preserve">CCIQ, </w:t>
      </w:r>
      <w:r w:rsidRPr="00D01FA2">
        <w:rPr>
          <w:rStyle w:val="AERtextitalic"/>
        </w:rPr>
        <w:t>Submission to the Australian Energy Regulator on Energex's regulatory proposal for the 2015-20 revenue determination</w:t>
      </w:r>
      <w:r>
        <w:t xml:space="preserve">, January 2015; ECCSA, </w:t>
      </w:r>
      <w:r w:rsidRPr="00D01FA2">
        <w:rPr>
          <w:rStyle w:val="AERtextitalic"/>
        </w:rPr>
        <w:t>AER review of SAPN application 2014: ECCSA response to AER's preliminary decision</w:t>
      </w:r>
      <w:r>
        <w:t>, June 2015.</w:t>
      </w:r>
    </w:p>
  </w:footnote>
  <w:footnote w:id="453">
    <w:p w:rsidR="006345FD" w:rsidRDefault="006345FD" w:rsidP="00F67558">
      <w:pPr>
        <w:pStyle w:val="FootnoteText"/>
      </w:pPr>
      <w:r>
        <w:rPr>
          <w:rStyle w:val="FootnoteReference"/>
        </w:rPr>
        <w:footnoteRef/>
      </w:r>
      <w:r>
        <w:t xml:space="preserve"> </w:t>
      </w:r>
      <w:r>
        <w:tab/>
      </w:r>
      <w:r w:rsidRPr="003E67D8">
        <w:t>ECCSA, A response to the AER draft decision on AGN’s AA2016 revenue reset, February 2016</w:t>
      </w:r>
      <w:r>
        <w:t>, p. 34.</w:t>
      </w:r>
    </w:p>
  </w:footnote>
  <w:footnote w:id="454">
    <w:p w:rsidR="006345FD" w:rsidRDefault="006345FD" w:rsidP="00F67558">
      <w:pPr>
        <w:pStyle w:val="FootnoteText"/>
      </w:pPr>
      <w:r>
        <w:rPr>
          <w:rStyle w:val="FootnoteReference"/>
        </w:rPr>
        <w:footnoteRef/>
      </w:r>
      <w:r>
        <w:t xml:space="preserve"> </w:t>
      </w:r>
      <w:r>
        <w:tab/>
        <w:t xml:space="preserve">ECCSA, </w:t>
      </w:r>
      <w:r w:rsidRPr="00D01FA2">
        <w:rPr>
          <w:rStyle w:val="AERtextitalic"/>
        </w:rPr>
        <w:t>AER review of SAPN application 2014: ECCSA response to AER's preliminary decision</w:t>
      </w:r>
      <w:r>
        <w:t>, June 2015</w:t>
      </w:r>
    </w:p>
  </w:footnote>
  <w:footnote w:id="455">
    <w:p w:rsidR="006345FD" w:rsidRDefault="006345FD" w:rsidP="00F67558">
      <w:pPr>
        <w:pStyle w:val="FootnoteText"/>
      </w:pPr>
      <w:r>
        <w:rPr>
          <w:rStyle w:val="FootnoteReference"/>
        </w:rPr>
        <w:footnoteRef/>
      </w:r>
      <w:r>
        <w:t xml:space="preserve"> </w:t>
      </w:r>
      <w:r>
        <w:tab/>
      </w:r>
      <w:r w:rsidRPr="001D5755">
        <w:t xml:space="preserve">VECUA, </w:t>
      </w:r>
      <w:r w:rsidRPr="001D5755">
        <w:rPr>
          <w:rStyle w:val="AERtextitalic"/>
        </w:rPr>
        <w:t>Submission to the AER: Victorian Distribution Networks' 2016-20 revenue proposals</w:t>
      </w:r>
      <w:r w:rsidRPr="00C364A0">
        <w:rPr>
          <w:rStyle w:val="AERtextitalic"/>
          <w:i w:val="0"/>
        </w:rPr>
        <w:t>, January 2016.</w:t>
      </w:r>
    </w:p>
  </w:footnote>
  <w:footnote w:id="456">
    <w:p w:rsidR="006345FD" w:rsidRDefault="006345FD" w:rsidP="00F67558">
      <w:pPr>
        <w:pStyle w:val="FootnoteText"/>
      </w:pPr>
      <w:r>
        <w:rPr>
          <w:rStyle w:val="FootnoteReference"/>
        </w:rPr>
        <w:footnoteRef/>
      </w:r>
      <w:r>
        <w:t xml:space="preserve"> </w:t>
      </w:r>
      <w:r>
        <w:tab/>
        <w:t xml:space="preserve">Victorian Energy Consumer and User Alliance (VECUA), </w:t>
      </w:r>
      <w:r w:rsidRPr="00FA2361">
        <w:rPr>
          <w:rStyle w:val="AERtextitalic"/>
        </w:rPr>
        <w:t>Submission to the AER - AER Preliminary 2016-20 Revenue Determinations for the Victorian DNSPs</w:t>
      </w:r>
      <w:r>
        <w:t>, January 2016, p. 18.</w:t>
      </w:r>
    </w:p>
  </w:footnote>
  <w:footnote w:id="457">
    <w:p w:rsidR="006345FD" w:rsidRDefault="006345FD" w:rsidP="00F67558">
      <w:pPr>
        <w:pStyle w:val="FootnoteText"/>
      </w:pPr>
      <w:r>
        <w:rPr>
          <w:rStyle w:val="FootnoteReference"/>
        </w:rPr>
        <w:footnoteRef/>
      </w:r>
      <w:r>
        <w:t xml:space="preserve"> </w:t>
      </w:r>
      <w:r>
        <w:tab/>
        <w:t xml:space="preserve">ActewAGL, AusNet Services and United Energy disagreed that our use of a broad BBB curve to estimate the return on debt was conservative in their favour. See </w:t>
      </w:r>
      <w:r w:rsidRPr="003E67D8">
        <w:t xml:space="preserve"> ActewAGL Distribution, </w:t>
      </w:r>
      <w:r w:rsidRPr="001C40BE">
        <w:rPr>
          <w:rStyle w:val="AERtextitalic"/>
        </w:rPr>
        <w:t>Attachment 3: Response to submission made to the AER by the VECUA dated 6 January 2016</w:t>
      </w:r>
      <w:r>
        <w:t xml:space="preserve">, p. 4; </w:t>
      </w:r>
      <w:r w:rsidRPr="003E67D8">
        <w:t xml:space="preserve">AusNet Services, </w:t>
      </w:r>
      <w:r w:rsidRPr="001C40BE">
        <w:rPr>
          <w:rStyle w:val="AERtextitalic"/>
        </w:rPr>
        <w:t>Response to submissions on the Victorian EDPR preliminary decision (2016–20)</w:t>
      </w:r>
      <w:r w:rsidRPr="003E67D8">
        <w:t>, 4 February 2016</w:t>
      </w:r>
      <w:r>
        <w:t>, pp. 22</w:t>
      </w:r>
      <w:r>
        <w:rPr>
          <w:rFonts w:cs="Arial"/>
        </w:rPr>
        <w:t>–</w:t>
      </w:r>
      <w:r>
        <w:t xml:space="preserve">7; </w:t>
      </w:r>
      <w:r w:rsidRPr="003E67D8">
        <w:t xml:space="preserve">United Energy, </w:t>
      </w:r>
      <w:r w:rsidRPr="001C40BE">
        <w:rPr>
          <w:rStyle w:val="AERtextitalic"/>
        </w:rPr>
        <w:t>Submission to the AER’s preliminary determination for United Energy (for 2016–20)</w:t>
      </w:r>
      <w:r w:rsidRPr="003E67D8">
        <w:t>, 4 February 2016</w:t>
      </w:r>
      <w:r>
        <w:t>, pp. 4</w:t>
      </w:r>
      <w:r>
        <w:rPr>
          <w:rFonts w:cs="Arial"/>
        </w:rPr>
        <w:t>–</w:t>
      </w:r>
      <w:r>
        <w:t>9.</w:t>
      </w:r>
    </w:p>
  </w:footnote>
  <w:footnote w:id="458">
    <w:p w:rsidR="006345FD" w:rsidRDefault="006345FD" w:rsidP="00F67558">
      <w:pPr>
        <w:pStyle w:val="FootnoteText"/>
      </w:pPr>
      <w:r>
        <w:rPr>
          <w:rStyle w:val="FootnoteReference"/>
        </w:rPr>
        <w:footnoteRef/>
      </w:r>
      <w:r>
        <w:t xml:space="preserve"> </w:t>
      </w:r>
      <w:r>
        <w:tab/>
        <w:t xml:space="preserve">CCP, </w:t>
      </w:r>
      <w:r w:rsidRPr="006F4CF4">
        <w:rPr>
          <w:rStyle w:val="AERtextitalic"/>
        </w:rPr>
        <w:t>Bruce Mountain:</w:t>
      </w:r>
      <w:r>
        <w:rPr>
          <w:rStyle w:val="AERtextitalic"/>
        </w:rPr>
        <w:t xml:space="preserve"> Comments on the AER's Preliminary Decision on the Weighted Average Cost of Capital (WACC) for Energex, Ergon and SA Power Networks</w:t>
      </w:r>
      <w:r w:rsidRPr="00C364A0">
        <w:rPr>
          <w:rStyle w:val="AERtextitalic"/>
          <w:i w:val="0"/>
        </w:rPr>
        <w:t>, July 2015, p. 8</w:t>
      </w:r>
      <w:r>
        <w:rPr>
          <w:rStyle w:val="AERtextitalic"/>
        </w:rPr>
        <w:t>.</w:t>
      </w:r>
    </w:p>
  </w:footnote>
  <w:footnote w:id="459">
    <w:p w:rsidR="006345FD" w:rsidRDefault="006345FD" w:rsidP="00F67558">
      <w:pPr>
        <w:pStyle w:val="FootnoteText"/>
      </w:pPr>
      <w:r>
        <w:rPr>
          <w:rStyle w:val="FootnoteReference"/>
        </w:rPr>
        <w:footnoteRef/>
      </w:r>
      <w:r>
        <w:t xml:space="preserve"> </w:t>
      </w:r>
      <w:r>
        <w:tab/>
        <w:t xml:space="preserve">See, for example, AER, </w:t>
      </w:r>
      <w:r w:rsidRPr="00630FC2">
        <w:rPr>
          <w:rStyle w:val="AERtextitalic"/>
        </w:rPr>
        <w:t xml:space="preserve">Explanatory statement: Rate of return </w:t>
      </w:r>
      <w:r w:rsidRPr="00993283">
        <w:rPr>
          <w:rStyle w:val="AERtextitalic"/>
        </w:rPr>
        <w:t>guideline</w:t>
      </w:r>
      <w:r>
        <w:t>, December 2013, pp. 152</w:t>
      </w:r>
      <w:r>
        <w:rPr>
          <w:rFonts w:cs="Arial"/>
        </w:rPr>
        <w:t>–</w:t>
      </w:r>
      <w:r>
        <w:t xml:space="preserve">157; AER, </w:t>
      </w:r>
      <w:r w:rsidRPr="00630FC2">
        <w:rPr>
          <w:rStyle w:val="AERtextitalic"/>
        </w:rPr>
        <w:t>Explanatory statement: Rate of return guideline (appendixes)</w:t>
      </w:r>
      <w:r>
        <w:t>, December 2013, pp. 126</w:t>
      </w:r>
      <w:r>
        <w:rPr>
          <w:rFonts w:cs="Arial"/>
        </w:rPr>
        <w:t>–</w:t>
      </w:r>
      <w:r>
        <w:t>130.</w:t>
      </w:r>
    </w:p>
  </w:footnote>
  <w:footnote w:id="460">
    <w:p w:rsidR="006345FD" w:rsidRDefault="006345FD" w:rsidP="00F67558">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CitiPower</w:t>
      </w:r>
      <w:r w:rsidRPr="00A81241">
        <w:rPr>
          <w:rStyle w:val="AERtextitalic"/>
        </w:rPr>
        <w:t xml:space="preserve"> distribution determination - Attachment 3 - Rate of return</w:t>
      </w:r>
      <w:r>
        <w:t>, October 2015, pp. 217</w:t>
      </w:r>
      <w:r>
        <w:rPr>
          <w:rFonts w:cs="Arial"/>
        </w:rPr>
        <w:t>–</w:t>
      </w:r>
      <w:r>
        <w:t>218.</w:t>
      </w:r>
    </w:p>
  </w:footnote>
  <w:footnote w:id="461">
    <w:p w:rsidR="006345FD" w:rsidRDefault="006345FD" w:rsidP="00F67558">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 xml:space="preserve">CitiPower </w:t>
      </w:r>
      <w:r w:rsidRPr="00A81241">
        <w:rPr>
          <w:rStyle w:val="AERtextitalic"/>
        </w:rPr>
        <w:t>distribution determination - Attachment 3 - Rate of return</w:t>
      </w:r>
      <w:r>
        <w:t>, October 2015, pp. 588</w:t>
      </w:r>
      <w:r>
        <w:rPr>
          <w:rFonts w:cs="Arial"/>
        </w:rPr>
        <w:t>–</w:t>
      </w:r>
      <w:r>
        <w:t>589.</w:t>
      </w:r>
    </w:p>
  </w:footnote>
  <w:footnote w:id="462">
    <w:p w:rsidR="006345FD" w:rsidRDefault="006345FD" w:rsidP="00F67558">
      <w:pPr>
        <w:pStyle w:val="FootnoteText"/>
      </w:pPr>
      <w:r>
        <w:rPr>
          <w:rStyle w:val="FootnoteReference"/>
        </w:rPr>
        <w:footnoteRef/>
      </w:r>
      <w:r>
        <w:t xml:space="preserve"> </w:t>
      </w:r>
      <w:r>
        <w:tab/>
        <w:t xml:space="preserve">These were put forward in </w:t>
      </w:r>
      <w:r w:rsidRPr="00451348">
        <w:t xml:space="preserve">CEG, </w:t>
      </w:r>
      <w:r w:rsidRPr="00A81241">
        <w:rPr>
          <w:rStyle w:val="AERtextitalic"/>
        </w:rPr>
        <w:t>Attachment 7.01: WACC estimates, a report for the NSW DNSPs</w:t>
      </w:r>
      <w:r w:rsidRPr="00451348">
        <w:t xml:space="preserve">, May 2014, p. 65; CEG, </w:t>
      </w:r>
      <w:r w:rsidRPr="00A81241">
        <w:rPr>
          <w:rStyle w:val="AERtextitalic"/>
        </w:rPr>
        <w:t>Memorandum: Factors relevant to estimating a trailing average cost of debt</w:t>
      </w:r>
      <w:r w:rsidRPr="00451348">
        <w: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463">
    <w:p w:rsidR="006345FD" w:rsidRDefault="006345FD" w:rsidP="00F67558">
      <w:pPr>
        <w:pStyle w:val="FootnoteText"/>
      </w:pPr>
      <w:r>
        <w:rPr>
          <w:rStyle w:val="FootnoteReference"/>
        </w:rPr>
        <w:footnoteRef/>
      </w:r>
      <w:r>
        <w:t xml:space="preserve"> </w:t>
      </w:r>
      <w:r>
        <w:tab/>
        <w:t xml:space="preserve">AusNet Services,  </w:t>
      </w:r>
      <w:r w:rsidRPr="0005122F">
        <w:rPr>
          <w:rStyle w:val="AERtextitalic"/>
        </w:rPr>
        <w:t>Revised Proposal</w:t>
      </w:r>
      <w:r>
        <w:t xml:space="preserve">, January 2016, pp. 7-33 to 7-35; CitiPower, </w:t>
      </w:r>
      <w:r w:rsidRPr="0005122F">
        <w:rPr>
          <w:rStyle w:val="AERtextitalic"/>
        </w:rPr>
        <w:t>Revised proposal 2016-20</w:t>
      </w:r>
      <w:r>
        <w:t xml:space="preserve">, January 2016, p. 344; Powercor, </w:t>
      </w:r>
      <w:r w:rsidRPr="0005122F">
        <w:rPr>
          <w:rStyle w:val="AERtextitalic"/>
        </w:rPr>
        <w:t>Revised Regulatory Proposal</w:t>
      </w:r>
      <w:r>
        <w:t xml:space="preserve">, 2016-2020, January 2016, p. 338; </w:t>
      </w:r>
      <w:r w:rsidRPr="0005122F">
        <w:rPr>
          <w:rStyle w:val="AERtextitalic"/>
        </w:rPr>
        <w:t>ActewAGL, Revised access arrangement information</w:t>
      </w:r>
      <w:r>
        <w:t xml:space="preserve">, January 2016, p. 24; Jemena, </w:t>
      </w:r>
      <w:r w:rsidRPr="0005122F">
        <w:rPr>
          <w:rStyle w:val="AERtextitalic"/>
        </w:rPr>
        <w:t>Attachment 06-01 Rate of return and gamma [PUBLIC]</w:t>
      </w:r>
      <w:r>
        <w:t>, January 2016, pp.  28</w:t>
      </w:r>
      <w:r>
        <w:rPr>
          <w:rFonts w:cs="Arial"/>
        </w:rPr>
        <w:t>–</w:t>
      </w:r>
      <w:r>
        <w:t xml:space="preserve">29; AGN, </w:t>
      </w:r>
      <w:r w:rsidRPr="0005122F">
        <w:rPr>
          <w:rStyle w:val="AERtextitalic"/>
        </w:rPr>
        <w:t>Attachment 10.26 Rate of Return [PUBLIC]</w:t>
      </w:r>
      <w:r>
        <w:t xml:space="preserve">, January 2016, p. 7; United Energy, </w:t>
      </w:r>
      <w:r w:rsidRPr="00987910">
        <w:rPr>
          <w:rStyle w:val="AERtextitalic"/>
        </w:rPr>
        <w:t>Revised Regulatory Proposal, 2016-20</w:t>
      </w:r>
      <w:r>
        <w:t xml:space="preserve">, January 2016, p. 79; APTNT, </w:t>
      </w:r>
      <w:r w:rsidRPr="0005122F">
        <w:rPr>
          <w:rStyle w:val="AERtextitalic"/>
        </w:rPr>
        <w:t>Access Arrangement Revised Proposal Response to Draft Decision</w:t>
      </w:r>
      <w:r>
        <w:t>, January 2016, p. 88.</w:t>
      </w:r>
    </w:p>
  </w:footnote>
  <w:footnote w:id="464">
    <w:p w:rsidR="006345FD" w:rsidRDefault="006345FD" w:rsidP="00F67558">
      <w:pPr>
        <w:pStyle w:val="FootnoteText"/>
      </w:pPr>
      <w:r>
        <w:rPr>
          <w:rStyle w:val="FootnoteReference"/>
        </w:rPr>
        <w:footnoteRef/>
      </w:r>
      <w:r>
        <w:t xml:space="preserve"> </w:t>
      </w:r>
      <w:r>
        <w:tab/>
        <w:t>That is, Ergon Energy Corp Ltd.</w:t>
      </w:r>
    </w:p>
  </w:footnote>
  <w:footnote w:id="465">
    <w:p w:rsidR="006345FD" w:rsidRDefault="006345FD" w:rsidP="00F67558">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CitiPower</w:t>
      </w:r>
      <w:r w:rsidRPr="00A81241">
        <w:rPr>
          <w:rStyle w:val="AERtextitalic"/>
        </w:rPr>
        <w:t xml:space="preserve"> distribution determination - Attachment 3 - Rate of return</w:t>
      </w:r>
      <w:r>
        <w:t>, October 2015, pp. 590</w:t>
      </w:r>
      <w:r>
        <w:rPr>
          <w:rFonts w:cs="Arial"/>
        </w:rPr>
        <w:t>–</w:t>
      </w:r>
      <w:r>
        <w:t>592.</w:t>
      </w:r>
    </w:p>
  </w:footnote>
  <w:footnote w:id="466">
    <w:p w:rsidR="006345FD" w:rsidRDefault="006345FD" w:rsidP="00F67558">
      <w:pPr>
        <w:pStyle w:val="FootnoteText"/>
      </w:pPr>
      <w:r>
        <w:rPr>
          <w:rStyle w:val="FootnoteReference"/>
        </w:rPr>
        <w:footnoteRef/>
      </w:r>
      <w:r>
        <w:t xml:space="preserve"> </w:t>
      </w:r>
      <w:r>
        <w:tab/>
        <w:t xml:space="preserve">AER, </w:t>
      </w:r>
      <w:r w:rsidRPr="00A81241">
        <w:rPr>
          <w:rStyle w:val="AERtextitalic"/>
        </w:rPr>
        <w:t xml:space="preserve">Preliminary decision </w:t>
      </w:r>
      <w:r>
        <w:rPr>
          <w:rStyle w:val="AERtextitalic"/>
        </w:rPr>
        <w:t xml:space="preserve">CitiPower </w:t>
      </w:r>
      <w:r w:rsidRPr="00A81241">
        <w:rPr>
          <w:rStyle w:val="AERtextitalic"/>
        </w:rPr>
        <w:t>distribution determination - Attachment 3 - Rate of return</w:t>
      </w:r>
      <w:r>
        <w:t>, October 2015, pp. 214-218, 585</w:t>
      </w:r>
      <w:r>
        <w:rPr>
          <w:rFonts w:cs="Arial"/>
        </w:rPr>
        <w:t>–</w:t>
      </w:r>
      <w:r>
        <w:t>592.</w:t>
      </w:r>
    </w:p>
  </w:footnote>
  <w:footnote w:id="467">
    <w:p w:rsidR="006345FD" w:rsidRDefault="006345FD" w:rsidP="00F67558">
      <w:pPr>
        <w:pStyle w:val="FootnoteText"/>
      </w:pPr>
      <w:r>
        <w:rPr>
          <w:rStyle w:val="FootnoteReference"/>
        </w:rPr>
        <w:footnoteRef/>
      </w:r>
      <w:r>
        <w:t xml:space="preserve"> </w:t>
      </w:r>
      <w:r>
        <w:tab/>
        <w:t xml:space="preserve">AER, </w:t>
      </w:r>
      <w:r w:rsidRPr="00A5241A">
        <w:rPr>
          <w:rStyle w:val="AERtextitalic"/>
        </w:rPr>
        <w:t>Better regulation—Explanatory statement to the rate of return guideline</w:t>
      </w:r>
      <w:r>
        <w:t xml:space="preserve">, December 2013, p.156; AER, </w:t>
      </w:r>
      <w:r w:rsidRPr="00B96D23">
        <w:rPr>
          <w:rStyle w:val="AERtextitalic"/>
        </w:rPr>
        <w:t xml:space="preserve">Preliminary decision </w:t>
      </w:r>
      <w:r>
        <w:rPr>
          <w:rStyle w:val="AERtextitalic"/>
        </w:rPr>
        <w:t>CitiPower</w:t>
      </w:r>
      <w:r w:rsidRPr="00B96D23">
        <w:rPr>
          <w:rStyle w:val="AERtextitalic"/>
        </w:rPr>
        <w:t xml:space="preserve"> distribution determination - Attachment 3 - Rate of return</w:t>
      </w:r>
      <w:r>
        <w:t>, October 2015, p. 214.</w:t>
      </w:r>
    </w:p>
  </w:footnote>
  <w:footnote w:id="468">
    <w:p w:rsidR="006345FD" w:rsidRDefault="006345FD" w:rsidP="00F67558">
      <w:pPr>
        <w:pStyle w:val="FootnoteText"/>
      </w:pPr>
      <w:r>
        <w:rPr>
          <w:rStyle w:val="FootnoteReference"/>
        </w:rPr>
        <w:footnoteRef/>
      </w:r>
      <w:r>
        <w:t xml:space="preserve"> </w:t>
      </w:r>
      <w:r>
        <w:tab/>
        <w:t xml:space="preserve">Australian Competition Tribunal, </w:t>
      </w:r>
      <w:r w:rsidRPr="00FA2361">
        <w:rPr>
          <w:rStyle w:val="AERtextitalic"/>
        </w:rPr>
        <w:t>Applications by Public Interest Advocacy Centre Ltd and Ausgrid [2016] ACompT 1</w:t>
      </w:r>
      <w:r>
        <w:t>, 26 February 2016, para 993.</w:t>
      </w:r>
    </w:p>
  </w:footnote>
  <w:footnote w:id="469">
    <w:p w:rsidR="006345FD" w:rsidRDefault="006345FD" w:rsidP="00F67558">
      <w:pPr>
        <w:pStyle w:val="FootnoteText"/>
      </w:pPr>
      <w:r>
        <w:rPr>
          <w:rStyle w:val="FootnoteReference"/>
        </w:rPr>
        <w:footnoteRef/>
      </w:r>
      <w:r>
        <w:t xml:space="preserve"> </w:t>
      </w:r>
      <w:r>
        <w:tab/>
      </w:r>
      <w:r w:rsidRPr="00C50D37">
        <w:t>AER</w:t>
      </w:r>
      <w:r>
        <w:t xml:space="preserve">, </w:t>
      </w:r>
      <w:r w:rsidRPr="00C50D37">
        <w:t xml:space="preserve"> </w:t>
      </w:r>
      <w:r w:rsidRPr="00FA2361">
        <w:rPr>
          <w:rStyle w:val="AERtextitalic"/>
        </w:rPr>
        <w:t xml:space="preserve">Preliminary decision </w:t>
      </w:r>
      <w:r>
        <w:rPr>
          <w:rStyle w:val="AERtextitalic"/>
        </w:rPr>
        <w:t>CitiPower</w:t>
      </w:r>
      <w:r w:rsidRPr="00FA2361">
        <w:rPr>
          <w:rStyle w:val="AERtextitalic"/>
        </w:rPr>
        <w:t xml:space="preserve"> distribution determination - Attachment 3 - Rate of return</w:t>
      </w:r>
      <w:r>
        <w:t xml:space="preserve">, October 2015, p. 217; </w:t>
      </w:r>
      <w:r w:rsidRPr="00C50D37">
        <w:t>AER</w:t>
      </w:r>
      <w:r>
        <w:t xml:space="preserve">, </w:t>
      </w:r>
      <w:r w:rsidRPr="00C50D37">
        <w:t xml:space="preserve"> </w:t>
      </w:r>
      <w:r>
        <w:rPr>
          <w:rStyle w:val="AERtextitalic"/>
        </w:rPr>
        <w:t>Final decision Ausgrid</w:t>
      </w:r>
      <w:r w:rsidRPr="00B96D23">
        <w:rPr>
          <w:rStyle w:val="AERtextitalic"/>
        </w:rPr>
        <w:t xml:space="preserve"> distribution determination - Attachment 3 - Rate of return</w:t>
      </w:r>
      <w:r>
        <w:t>, April 2015, p. 197.</w:t>
      </w:r>
    </w:p>
  </w:footnote>
  <w:footnote w:id="470">
    <w:p w:rsidR="006345FD" w:rsidRDefault="006345FD" w:rsidP="00F67558">
      <w:pPr>
        <w:pStyle w:val="FootnoteText"/>
      </w:pPr>
      <w:r>
        <w:rPr>
          <w:rStyle w:val="FootnoteReference"/>
        </w:rPr>
        <w:footnoteRef/>
      </w:r>
      <w:r>
        <w:t xml:space="preserve"> </w:t>
      </w:r>
      <w:r>
        <w:tab/>
        <w:t xml:space="preserve">AER, </w:t>
      </w:r>
      <w:r w:rsidRPr="00FA2361">
        <w:rPr>
          <w:rStyle w:val="AERtextitalic"/>
        </w:rPr>
        <w:t xml:space="preserve">Preliminary decision </w:t>
      </w:r>
      <w:r>
        <w:rPr>
          <w:rStyle w:val="AERtextitalic"/>
        </w:rPr>
        <w:t xml:space="preserve">CitiPower </w:t>
      </w:r>
      <w:r w:rsidRPr="00FA2361">
        <w:rPr>
          <w:rStyle w:val="AERtextitalic"/>
        </w:rPr>
        <w:t>distribution determination - Attachment 3 - Rate of return</w:t>
      </w:r>
      <w:r>
        <w:t>, October 2015, p. 587.</w:t>
      </w:r>
    </w:p>
  </w:footnote>
  <w:footnote w:id="471">
    <w:p w:rsidR="006345FD" w:rsidRDefault="006345FD" w:rsidP="00F67558">
      <w:pPr>
        <w:pStyle w:val="FootnoteText"/>
      </w:pPr>
      <w:r>
        <w:rPr>
          <w:rStyle w:val="FootnoteReference"/>
        </w:rPr>
        <w:footnoteRef/>
      </w:r>
      <w:r>
        <w:t xml:space="preserve"> </w:t>
      </w:r>
      <w:r>
        <w:tab/>
        <w:t xml:space="preserve">Spark Infrastructure, </w:t>
      </w:r>
      <w:r w:rsidRPr="00FA2361">
        <w:rPr>
          <w:rStyle w:val="AERtextitalic"/>
        </w:rPr>
        <w:t>Victoria Power Networks announces new joint funding vehicle for CitiPower and Powerco</w:t>
      </w:r>
      <w:r w:rsidRPr="00E63C04">
        <w:t>r</w:t>
      </w:r>
      <w:r>
        <w:t xml:space="preserve">, 2 November 2015, see </w:t>
      </w:r>
      <w:r w:rsidRPr="007706A6">
        <w:t>http://www.asx.com.au/asxpdf/20151102/pdf/432p758z1zn56z.pdf</w:t>
      </w:r>
      <w:r>
        <w:t>.</w:t>
      </w:r>
    </w:p>
  </w:footnote>
  <w:footnote w:id="472">
    <w:p w:rsidR="006345FD" w:rsidRDefault="006345FD" w:rsidP="00520CEF">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130.</w:t>
      </w:r>
    </w:p>
  </w:footnote>
  <w:footnote w:id="473">
    <w:p w:rsidR="006345FD" w:rsidRDefault="006345FD" w:rsidP="00520CEF">
      <w:pPr>
        <w:pStyle w:val="FootnoteText"/>
      </w:pPr>
      <w:r>
        <w:rPr>
          <w:rStyle w:val="FootnoteReference"/>
        </w:rPr>
        <w:footnoteRef/>
      </w:r>
      <w:r>
        <w:t xml:space="preserve"> </w:t>
      </w:r>
      <w:r>
        <w:tab/>
        <w:t>We explain this in the 'Response to key issues raised by stakeholders' section below.</w:t>
      </w:r>
    </w:p>
  </w:footnote>
  <w:footnote w:id="474">
    <w:p w:rsidR="006345FD" w:rsidRDefault="006345FD" w:rsidP="00520CEF">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475">
    <w:p w:rsidR="006345FD" w:rsidRDefault="006345FD" w:rsidP="00520CEF">
      <w:pPr>
        <w:pStyle w:val="FootnoteText"/>
      </w:pPr>
      <w:r>
        <w:rPr>
          <w:rStyle w:val="FootnoteReference"/>
        </w:rPr>
        <w:footnoteRef/>
      </w:r>
      <w:r>
        <w:t xml:space="preserve"> </w:t>
      </w:r>
      <w:r>
        <w:tab/>
      </w:r>
      <w:r w:rsidRPr="0084261F">
        <w:t>IPART</w:t>
      </w:r>
      <w:r>
        <w:t xml:space="preserve"> has switched from having its own approach to using an independent data service provider (the RBA). </w:t>
      </w:r>
      <w:r w:rsidRPr="0084261F">
        <w:t xml:space="preserve"> The ERA has developed its own bond yield approach and the QCA engaged PwC to develop </w:t>
      </w:r>
      <w:r>
        <w:t>its own</w:t>
      </w:r>
      <w:r w:rsidRPr="0084261F">
        <w:t xml:space="preserve"> econometric</w:t>
      </w:r>
      <w:r>
        <w:t>ally derived approach</w:t>
      </w:r>
      <w:r w:rsidRPr="0084261F">
        <w:t xml:space="preserve"> </w:t>
      </w:r>
      <w:r>
        <w:t xml:space="preserve">(and combines this with using a third party data series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476">
    <w:p w:rsidR="006345FD" w:rsidRDefault="006345FD" w:rsidP="00520CEF">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477">
    <w:p w:rsidR="006345FD" w:rsidRDefault="006345FD" w:rsidP="00520CEF">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478">
    <w:p w:rsidR="006345FD" w:rsidRDefault="006345FD" w:rsidP="00520CEF">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479">
    <w:p w:rsidR="006345FD" w:rsidRDefault="006345FD" w:rsidP="00520CEF">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w:t>
      </w:r>
      <w:r>
        <w:t xml:space="preserve"> Group</w:t>
      </w:r>
      <w:r w:rsidRPr="003D33F1">
        <w:t xml:space="preserve">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480">
    <w:p w:rsidR="006345FD" w:rsidRDefault="006345FD" w:rsidP="00520CEF">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481">
    <w:p w:rsidR="006345FD" w:rsidRDefault="006345FD" w:rsidP="00520CEF">
      <w:pPr>
        <w:pStyle w:val="FootnoteText"/>
      </w:pPr>
      <w:r>
        <w:rPr>
          <w:rStyle w:val="FootnoteReference"/>
        </w:rPr>
        <w:footnoteRef/>
      </w:r>
      <w:r>
        <w:t xml:space="preserve"> </w:t>
      </w:r>
      <w:r>
        <w:tab/>
      </w:r>
      <w:r w:rsidRPr="00C57C95">
        <w:t xml:space="preserve">United Energy, </w:t>
      </w:r>
      <w:r>
        <w:rPr>
          <w:rStyle w:val="AERtextitalic"/>
        </w:rPr>
        <w:t>Initial r</w:t>
      </w:r>
      <w:r w:rsidRPr="00707A75">
        <w:rPr>
          <w:rStyle w:val="AERtextitalic"/>
        </w:rPr>
        <w:t>egu</w:t>
      </w:r>
      <w:r>
        <w:rPr>
          <w:rStyle w:val="AERtextitalic"/>
        </w:rPr>
        <w:t>latory p</w:t>
      </w:r>
      <w:r w:rsidRPr="00707A75">
        <w:rPr>
          <w:rStyle w:val="AERtextitalic"/>
        </w:rPr>
        <w:t>roposal</w:t>
      </w:r>
      <w:r>
        <w:rPr>
          <w:rStyle w:val="AERtextitalic"/>
        </w:rPr>
        <w:t>—Attachment: Rate of return on debt</w:t>
      </w:r>
      <w:r w:rsidRPr="00C57C95">
        <w:t xml:space="preserve">, April 2015, </w:t>
      </w:r>
      <w:r>
        <w:t xml:space="preserve">pp. 25–28; Esquant, </w:t>
      </w:r>
      <w:r w:rsidRPr="00051330">
        <w:rPr>
          <w:rStyle w:val="AERtextitalic"/>
        </w:rPr>
        <w:t>The development of yield curves, zero coupon yields, and par value yields for corporate bonds—A report prepared for United Energy and Multinet Gas in response to the AER's draft rate of return guideline</w:t>
      </w:r>
      <w:r>
        <w:t>, 17 October 2013.</w:t>
      </w:r>
    </w:p>
  </w:footnote>
  <w:footnote w:id="482">
    <w:p w:rsidR="006345FD" w:rsidRDefault="006345FD" w:rsidP="00520CEF">
      <w:pPr>
        <w:pStyle w:val="FootnoteText"/>
      </w:pPr>
      <w:r>
        <w:rPr>
          <w:rStyle w:val="FootnoteReference"/>
        </w:rPr>
        <w:footnoteRef/>
      </w:r>
      <w:r>
        <w:t xml:space="preserve"> </w:t>
      </w:r>
      <w:r>
        <w:tab/>
        <w:t xml:space="preserve">Lally, </w:t>
      </w:r>
      <w:r w:rsidRPr="00FB2A2F">
        <w:rPr>
          <w:rStyle w:val="AERtextitalic"/>
        </w:rPr>
        <w:t>Review of submissions on implementation issues for the cost of debt</w:t>
      </w:r>
      <w:r>
        <w:t>, 18 October 2015, p. 23.</w:t>
      </w:r>
    </w:p>
  </w:footnote>
  <w:footnote w:id="483">
    <w:p w:rsidR="006345FD" w:rsidRDefault="006345FD" w:rsidP="00520CEF">
      <w:pPr>
        <w:pStyle w:val="FootnoteText"/>
      </w:pPr>
      <w:r>
        <w:rPr>
          <w:rStyle w:val="FootnoteReference"/>
        </w:rPr>
        <w:footnoteRef/>
      </w:r>
      <w:r>
        <w:t xml:space="preserve"> </w:t>
      </w:r>
      <w:r>
        <w:tab/>
        <w:t xml:space="preserve">The RBA data series is available on the RBA's website in Statistical Table F3: </w:t>
      </w:r>
      <w:hyperlink r:id="rId10" w:anchor="interest-rates" w:history="1">
        <w:r w:rsidRPr="00E2692B">
          <w:rPr>
            <w:rStyle w:val="Hyperlink"/>
            <w:sz w:val="16"/>
          </w:rPr>
          <w:t>http://www.rba.gov.au/statistics/tables/index.html#interest-rates</w:t>
        </w:r>
      </w:hyperlink>
    </w:p>
  </w:footnote>
  <w:footnote w:id="484">
    <w:p w:rsidR="006345FD" w:rsidRDefault="006345FD" w:rsidP="00520CEF">
      <w:pPr>
        <w:pStyle w:val="FootnoteText"/>
      </w:pPr>
      <w:r>
        <w:rPr>
          <w:rStyle w:val="FootnoteReference"/>
        </w:rPr>
        <w:footnoteRef/>
      </w:r>
      <w:r>
        <w:t xml:space="preserve"> </w:t>
      </w:r>
      <w:r>
        <w:tab/>
        <w:t xml:space="preserve">The BVAL data series is available through a licence service from Bloomberg under the code 'BVCSAB10 index'. </w:t>
      </w:r>
      <w:r w:rsidRPr="0084652D">
        <w:t>As of 14 April 2015, Bloomberg had revised its methodology for the BVAL curve and had recommenced publis</w:t>
      </w:r>
      <w:r>
        <w:t>hing a 10 year yield estimate.</w:t>
      </w:r>
    </w:p>
  </w:footnote>
  <w:footnote w:id="485">
    <w:p w:rsidR="006345FD" w:rsidRDefault="006345FD" w:rsidP="00520CEF">
      <w:pPr>
        <w:pStyle w:val="FootnoteText"/>
      </w:pPr>
      <w:r>
        <w:rPr>
          <w:rStyle w:val="FootnoteReference"/>
        </w:rPr>
        <w:footnoteRef/>
      </w:r>
      <w:r>
        <w:t xml:space="preserve"> </w:t>
      </w:r>
      <w:r>
        <w:tab/>
        <w:t xml:space="preserve">While the RBA publishes an estimate for a 10 year ‘target’ term, the ‘effective’ term of the RBA’s estimate is commonly less than 10 years, and so requires extrapolation to produce a 10 year term. This is because the RBA’s method involves weighting bonds with less weight placed on bonds the further the term to maturity of the bond is from the 10 year target term. There are commonly more bonds with terms to maturity of less than 10 years than there are bonds with terms to maturity greater of than 10 years. As a result, the RBA’s methodology places greater weight on the collective pool of bonds with terms of less than 10 years, which results in the ‘effective’ (or average) term being less than the 10 year ‘target’ term of the RBA curve: see ACCC Regulatory Economic Unit, </w:t>
      </w:r>
      <w:r w:rsidRPr="00465D99">
        <w:rPr>
          <w:i/>
        </w:rPr>
        <w:t>Return on debt estimation: A review of the alternative third party data series</w:t>
      </w:r>
      <w:r>
        <w:t xml:space="preserve">, August 2014, pages 34–40. The Lally method of extrapolation is set out in Lally, </w:t>
      </w:r>
      <w:r w:rsidRPr="009C3F2D">
        <w:rPr>
          <w:rStyle w:val="AERtextitalic"/>
        </w:rPr>
        <w:t>Implementation issues for the cost of debt</w:t>
      </w:r>
      <w:r>
        <w:t>, 20 November 2014, pp.38–44.</w:t>
      </w:r>
    </w:p>
  </w:footnote>
  <w:footnote w:id="486">
    <w:p w:rsidR="006345FD" w:rsidRDefault="006345FD" w:rsidP="00520CEF">
      <w:pPr>
        <w:pStyle w:val="FootnoteText"/>
      </w:pPr>
      <w:r>
        <w:rPr>
          <w:rStyle w:val="FootnoteReference"/>
        </w:rPr>
        <w:footnoteRef/>
      </w:r>
      <w:r>
        <w:t xml:space="preserve"> </w:t>
      </w:r>
      <w:r>
        <w:tab/>
      </w:r>
      <w:r w:rsidRPr="0084652D">
        <w:t>As</w:t>
      </w:r>
      <w:r>
        <w:t xml:space="preserve"> of 14 April 2015, Bloomberg </w:t>
      </w:r>
      <w:r w:rsidRPr="0084652D">
        <w:t>revised its method</w:t>
      </w:r>
      <w:r>
        <w:t>ology for the BVAL curve and has</w:t>
      </w:r>
      <w:r w:rsidRPr="0084652D">
        <w:t xml:space="preserve"> recommenced publishing a 10 year yield estimate.</w:t>
      </w:r>
      <w:r>
        <w:t xml:space="preserve"> In the current round of decisions, only Energex and Ergon Energy have averaging periods which commenced before 14 April 2015. Before 14 April 2015, the longest tenor estimate published by Bloomberg was either 5 or 7 years, depending on the dates, and therefore required extrapolation to produce a 10 year estimate. Accordingly, for Energex and Ergon Energy we have also applied an extrapolation adjustment to the Bloomberg data before 14 April 2015.</w:t>
      </w:r>
    </w:p>
  </w:footnote>
  <w:footnote w:id="487">
    <w:p w:rsidR="006345FD" w:rsidRPr="00B85376" w:rsidRDefault="006345FD" w:rsidP="00520CEF">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rsidRPr="00B85376">
        <w:rPr>
          <w:rFonts w:cs="Arial"/>
          <w:szCs w:val="16"/>
        </w:rPr>
        <w:tab/>
      </w:r>
      <w:r>
        <w:t xml:space="preserve">AER, </w:t>
      </w:r>
      <w:r w:rsidRPr="00CE11C9">
        <w:rPr>
          <w:rStyle w:val="AERtextitalic"/>
        </w:rPr>
        <w:t>Final decision—JGN access arrangement 2015-20—Attachment 3—Rate of return</w:t>
      </w:r>
      <w:r>
        <w:t>, June 2015, pp.3-201 to 3-216.</w:t>
      </w:r>
    </w:p>
  </w:footnote>
  <w:footnote w:id="488">
    <w:p w:rsidR="006345FD" w:rsidRDefault="006345FD" w:rsidP="00520CEF">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 However, the RBA curve requires several adjustments from its published form.</w:t>
      </w:r>
    </w:p>
  </w:footnote>
  <w:footnote w:id="489">
    <w:p w:rsidR="006345FD" w:rsidRDefault="006345FD" w:rsidP="00520CEF">
      <w:pPr>
        <w:pStyle w:val="FootnoteText"/>
      </w:pPr>
      <w:r>
        <w:rPr>
          <w:rStyle w:val="FootnoteReference"/>
        </w:rPr>
        <w:footnoteRef/>
      </w:r>
      <w:r>
        <w:t xml:space="preserve"> </w:t>
      </w:r>
      <w:r>
        <w:tab/>
        <w:t xml:space="preserve">Lally, </w:t>
      </w:r>
      <w:r w:rsidRPr="00BC1CD1">
        <w:rPr>
          <w:rStyle w:val="AERtextitalic"/>
        </w:rPr>
        <w:t>Implementation issues for the cost of debt</w:t>
      </w:r>
      <w:r>
        <w:t xml:space="preserve">, 20 November 2014, p.3; Lally, </w:t>
      </w:r>
      <w:r w:rsidRPr="009C3F2D">
        <w:rPr>
          <w:rStyle w:val="AERtextitalic"/>
        </w:rPr>
        <w:t>Review of submissions on implementation issues for the cost of debt</w:t>
      </w:r>
      <w:r>
        <w:t>, 18 October 2015, 5.</w:t>
      </w:r>
    </w:p>
  </w:footnote>
  <w:footnote w:id="490">
    <w:p w:rsidR="006345FD" w:rsidRDefault="006345FD" w:rsidP="00520CEF">
      <w:pPr>
        <w:pStyle w:val="FootnoteText"/>
      </w:pPr>
      <w:r>
        <w:rPr>
          <w:rStyle w:val="FootnoteReference"/>
        </w:rPr>
        <w:footnoteRef/>
      </w:r>
      <w:r>
        <w:t xml:space="preserve"> </w:t>
      </w:r>
      <w:r>
        <w:tab/>
        <w:t xml:space="preserve">Lally, </w:t>
      </w:r>
      <w:r w:rsidRPr="006B6F90">
        <w:rPr>
          <w:rStyle w:val="AERtextitalic"/>
        </w:rPr>
        <w:t>Implementation issues for the cost of debt</w:t>
      </w:r>
      <w:r>
        <w:t>, 20 November 2014, p. 5.</w:t>
      </w:r>
    </w:p>
  </w:footnote>
  <w:footnote w:id="491">
    <w:p w:rsidR="006345FD" w:rsidRDefault="006345FD" w:rsidP="00520CEF">
      <w:pPr>
        <w:pStyle w:val="FootnoteText"/>
      </w:pPr>
      <w:r>
        <w:rPr>
          <w:rStyle w:val="FootnoteReference"/>
        </w:rPr>
        <w:footnoteRef/>
      </w:r>
      <w:r>
        <w:t xml:space="preserve"> </w:t>
      </w:r>
      <w:r>
        <w:tab/>
        <w:t xml:space="preserve">In this decision, the issue before the Tribunal was the choice between the Bloomberg fair value curve (BFVC) and the CBASpectrum curve, neither of which are currently published. See: </w:t>
      </w:r>
      <w:r w:rsidRPr="002452B3">
        <w:rPr>
          <w:rStyle w:val="AERtextitalic"/>
        </w:rPr>
        <w:t>Application by ActewAGL Distribution [2010] ACompT4</w:t>
      </w:r>
      <w:r>
        <w:t>, 17 September 2010, paragraph 78.</w:t>
      </w:r>
    </w:p>
  </w:footnote>
  <w:footnote w:id="492">
    <w:p w:rsidR="006345FD" w:rsidRDefault="006345FD" w:rsidP="00520CEF">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w:t>
      </w:r>
      <w:r>
        <w:t>p. 3-134 to 3-158, 3-301 to 3-308</w:t>
      </w:r>
      <w:r w:rsidRPr="00CE11C9">
        <w:t>.</w:t>
      </w:r>
    </w:p>
  </w:footnote>
  <w:footnote w:id="493">
    <w:p w:rsidR="006345FD" w:rsidRPr="00465D99" w:rsidRDefault="006345FD" w:rsidP="00520CEF">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19.</w:t>
      </w:r>
    </w:p>
  </w:footnote>
  <w:footnote w:id="494">
    <w:p w:rsidR="006345FD" w:rsidRPr="00465D99" w:rsidRDefault="006345FD" w:rsidP="00520CEF">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 p. 3.</w:t>
      </w:r>
    </w:p>
  </w:footnote>
  <w:footnote w:id="495">
    <w:p w:rsidR="006345FD" w:rsidRDefault="006345FD" w:rsidP="00520CEF">
      <w:pPr>
        <w:pStyle w:val="FootnoteText"/>
      </w:pPr>
      <w:r>
        <w:rPr>
          <w:rStyle w:val="FootnoteReference"/>
        </w:rPr>
        <w:footnoteRef/>
      </w:r>
      <w:r>
        <w:t xml:space="preserve"> </w:t>
      </w:r>
      <w:r>
        <w:tab/>
      </w:r>
      <w:r w:rsidRPr="009F0E67">
        <w:t xml:space="preserve">Identified by REU, </w:t>
      </w:r>
      <w:r w:rsidRPr="009F0E67">
        <w:rPr>
          <w:rStyle w:val="AERtextitalic"/>
        </w:rPr>
        <w:t>Return on debt estimation: A review of the alternative third party data series: Report for the AER</w:t>
      </w:r>
      <w:r w:rsidRPr="009F0E67">
        <w:t>, August 2014</w:t>
      </w:r>
      <w:r>
        <w:t xml:space="preserve">; </w:t>
      </w:r>
      <w:r w:rsidRPr="009F0E67">
        <w:t xml:space="preserve">and summarised by Lally, </w:t>
      </w:r>
      <w:r w:rsidRPr="009F0E67">
        <w:rPr>
          <w:rStyle w:val="AERtextitalic"/>
        </w:rPr>
        <w:t>Implementation issues with the cost of debt</w:t>
      </w:r>
      <w:r w:rsidRPr="009F0E67">
        <w:t>, November 2014</w:t>
      </w:r>
      <w:r>
        <w:t>,</w:t>
      </w:r>
      <w:r w:rsidRPr="009F0E67">
        <w:t xml:space="preserve"> </w:t>
      </w:r>
      <w:r>
        <w:t>pp.</w:t>
      </w:r>
      <w:r w:rsidRPr="009F0E67">
        <w:t xml:space="preserve"> </w:t>
      </w:r>
      <w:r>
        <w:t>7–</w:t>
      </w:r>
      <w:r w:rsidRPr="009F0E67">
        <w:t>8.</w:t>
      </w:r>
    </w:p>
  </w:footnote>
  <w:footnote w:id="496">
    <w:p w:rsidR="006345FD" w:rsidRDefault="006345FD" w:rsidP="00520CEF">
      <w:pPr>
        <w:pStyle w:val="FootnoteText"/>
      </w:pPr>
      <w:r>
        <w:rPr>
          <w:rStyle w:val="FootnoteReference"/>
        </w:rPr>
        <w:footnoteRef/>
      </w:r>
      <w:r>
        <w:t xml:space="preserve"> </w:t>
      </w:r>
      <w:r>
        <w:tab/>
      </w:r>
      <w:r w:rsidRPr="009F0E67">
        <w:t xml:space="preserve">Set out by Lally, </w:t>
      </w:r>
      <w:r w:rsidRPr="009F0E67">
        <w:rPr>
          <w:rStyle w:val="AERtextitalic"/>
        </w:rPr>
        <w:t>Implementation issues with the cost of debt</w:t>
      </w:r>
      <w:r w:rsidRPr="009F0E67">
        <w:t>, November 2014</w:t>
      </w:r>
      <w:r>
        <w:t xml:space="preserve">, pp. </w:t>
      </w:r>
      <w:r w:rsidRPr="009F0E67">
        <w:t xml:space="preserve">8 to 19, and summarised on </w:t>
      </w:r>
      <w:r>
        <w:t>p.</w:t>
      </w:r>
      <w:r w:rsidRPr="009F0E67">
        <w:t xml:space="preserve"> 19.</w:t>
      </w:r>
    </w:p>
  </w:footnote>
  <w:footnote w:id="497">
    <w:p w:rsidR="006345FD" w:rsidRDefault="006345FD" w:rsidP="00520CEF">
      <w:pPr>
        <w:pStyle w:val="FootnoteText"/>
      </w:pPr>
      <w:r>
        <w:rPr>
          <w:rStyle w:val="FootnoteReference"/>
        </w:rPr>
        <w:footnoteRef/>
      </w:r>
      <w:r>
        <w:t xml:space="preserve"> </w:t>
      </w:r>
      <w:r>
        <w:tab/>
      </w:r>
      <w:r w:rsidRPr="004359FC">
        <w:t xml:space="preserve">Lally, </w:t>
      </w:r>
      <w:r w:rsidRPr="004359FC">
        <w:rPr>
          <w:rStyle w:val="AERtextitalic"/>
        </w:rPr>
        <w:t>Implementation issues for the cost of debt</w:t>
      </w:r>
      <w:r>
        <w:t>, 20 November 2014.</w:t>
      </w:r>
    </w:p>
  </w:footnote>
  <w:footnote w:id="498">
    <w:p w:rsidR="006345FD" w:rsidRDefault="006345FD" w:rsidP="00520CEF">
      <w:pPr>
        <w:pStyle w:val="FootnoteText"/>
      </w:pPr>
      <w:r>
        <w:rPr>
          <w:rStyle w:val="FootnoteReference"/>
        </w:rPr>
        <w:footnoteRef/>
      </w:r>
      <w:r>
        <w:t xml:space="preserve"> </w:t>
      </w:r>
      <w:r>
        <w:tab/>
      </w:r>
      <w:r w:rsidRPr="00CE11C9">
        <w:t xml:space="preserve">AER, </w:t>
      </w:r>
      <w:r>
        <w:rPr>
          <w:rStyle w:val="AERtextitalic"/>
        </w:rPr>
        <w:t>Draft</w:t>
      </w:r>
      <w:r w:rsidRPr="00CE11C9">
        <w:rPr>
          <w:rStyle w:val="AERtextitalic"/>
        </w:rPr>
        <w:t xml:space="preserve"> decision—JGN access arrangement 2015-20—Attachment 3—Rate of return</w:t>
      </w:r>
      <w:r w:rsidRPr="00CE11C9">
        <w:t xml:space="preserve">, </w:t>
      </w:r>
      <w:r>
        <w:t>November 2014</w:t>
      </w:r>
      <w:r w:rsidRPr="00CE11C9">
        <w:t>, pp.</w:t>
      </w:r>
      <w:r>
        <w:t>3-134 to 3-158, 3-301 to 3-308</w:t>
      </w:r>
      <w:r w:rsidRPr="00CE11C9">
        <w:t>.</w:t>
      </w:r>
    </w:p>
  </w:footnote>
  <w:footnote w:id="499">
    <w:p w:rsidR="006345FD" w:rsidRDefault="006345FD" w:rsidP="00520CEF">
      <w:pPr>
        <w:pStyle w:val="FootnoteText"/>
      </w:pPr>
      <w:r>
        <w:rPr>
          <w:rStyle w:val="FootnoteReference"/>
        </w:rPr>
        <w:footnoteRef/>
      </w:r>
      <w:r>
        <w:t xml:space="preserve"> </w:t>
      </w:r>
      <w:r>
        <w:tab/>
        <w:t>[2016] ACompT 1 at 263</w:t>
      </w:r>
    </w:p>
  </w:footnote>
  <w:footnote w:id="500">
    <w:p w:rsidR="006345FD" w:rsidRDefault="006345FD" w:rsidP="00520CEF">
      <w:pPr>
        <w:pStyle w:val="FootnoteText"/>
      </w:pPr>
      <w:r>
        <w:rPr>
          <w:rStyle w:val="FootnoteReference"/>
        </w:rPr>
        <w:footnoteRef/>
      </w:r>
      <w:r>
        <w:t xml:space="preserve"> </w:t>
      </w:r>
      <w:r>
        <w:tab/>
        <w:t>[2016] ACompT 1 at 265</w:t>
      </w:r>
    </w:p>
  </w:footnote>
  <w:footnote w:id="501">
    <w:p w:rsidR="006345FD" w:rsidRDefault="006345FD" w:rsidP="00520CEF">
      <w:pPr>
        <w:pStyle w:val="FootnoteText"/>
      </w:pPr>
      <w:r>
        <w:rPr>
          <w:rStyle w:val="FootnoteReference"/>
        </w:rPr>
        <w:footnoteRef/>
      </w:r>
      <w:r>
        <w:t xml:space="preserve"> </w:t>
      </w:r>
      <w:r>
        <w:tab/>
        <w:t>[2016] ACompT 1 at 265-6</w:t>
      </w:r>
    </w:p>
  </w:footnote>
  <w:footnote w:id="502">
    <w:p w:rsidR="006345FD" w:rsidRDefault="006345FD" w:rsidP="00520CEF">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5.</w:t>
      </w:r>
    </w:p>
  </w:footnote>
  <w:footnote w:id="503">
    <w:p w:rsidR="006345FD" w:rsidRDefault="006345FD" w:rsidP="00520CEF">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ARORO. AGN, </w:t>
      </w:r>
      <w:r w:rsidRPr="00186C53">
        <w:rPr>
          <w:rStyle w:val="AERtextitalic"/>
        </w:rPr>
        <w:t>Submission: Attachment 1: Implications of Tribunal decisions for ActewAGL Distribution</w:t>
      </w:r>
      <w:r>
        <w:t>, May 2016, p. 7.</w:t>
      </w:r>
    </w:p>
  </w:footnote>
  <w:footnote w:id="504">
    <w:p w:rsidR="006345FD" w:rsidRDefault="006345FD" w:rsidP="00520CEF">
      <w:pPr>
        <w:pStyle w:val="FootnoteText"/>
      </w:pPr>
      <w:r>
        <w:rPr>
          <w:rStyle w:val="FootnoteReference"/>
        </w:rPr>
        <w:footnoteRef/>
      </w:r>
      <w:r>
        <w:t xml:space="preserve"> </w:t>
      </w:r>
      <w:r>
        <w:tab/>
        <w:t>Victorian electricity revised proposals—</w:t>
      </w:r>
      <w:r w:rsidRPr="005379ED">
        <w:t xml:space="preserve"> AusNet Services, </w:t>
      </w:r>
      <w:r w:rsidRPr="005379ED">
        <w:rPr>
          <w:rStyle w:val="AERtextitalic"/>
        </w:rPr>
        <w:t>Revised regulatory proposal</w:t>
      </w:r>
      <w:r w:rsidRPr="005379ED">
        <w:t>, January 2016, pp. 7-34–7-35</w:t>
      </w:r>
      <w:r w:rsidRPr="00C57C95">
        <w:t xml:space="preserve">; </w:t>
      </w:r>
      <w:r w:rsidRPr="005379ED">
        <w:t xml:space="preserve">CitiPower, </w:t>
      </w:r>
      <w:r w:rsidRPr="005379ED">
        <w:rPr>
          <w:rStyle w:val="AERtextitalic"/>
        </w:rPr>
        <w:t>Revised regulatory proposal</w:t>
      </w:r>
      <w:r w:rsidRPr="005379ED">
        <w:t>, January 2016, pp. 346–347</w:t>
      </w:r>
      <w:r w:rsidRPr="00C57C95">
        <w:t xml:space="preserve">; </w:t>
      </w:r>
      <w:r w:rsidRPr="005379ED">
        <w:t xml:space="preserve">JEN, </w:t>
      </w:r>
      <w:r w:rsidRPr="005379ED">
        <w:rPr>
          <w:rStyle w:val="AERtextitalic"/>
        </w:rPr>
        <w:t>Revised regulatory proposal: Attachment 6-1—Rate of return, gamma, forecast inflation, and debt and equity raising costs</w:t>
      </w:r>
      <w:r w:rsidRPr="005379ED">
        <w:t>, January 2016, pp. 29–34</w:t>
      </w:r>
      <w:r w:rsidRPr="00C57C95">
        <w:t xml:space="preserve">; </w:t>
      </w:r>
      <w:r w:rsidRPr="005379ED">
        <w:t xml:space="preserve">Powercor, </w:t>
      </w:r>
      <w:r w:rsidRPr="005379ED">
        <w:rPr>
          <w:rStyle w:val="AERtextitalic"/>
        </w:rPr>
        <w:t>Revised regulatory proposal</w:t>
      </w:r>
      <w:r w:rsidRPr="005379ED">
        <w:t>, January 2016, pp. 340–341</w:t>
      </w:r>
      <w:r w:rsidRPr="00C57C95">
        <w:t xml:space="preserve">; </w:t>
      </w:r>
      <w:r w:rsidRPr="005379ED">
        <w:t xml:space="preserve">United Energy, </w:t>
      </w:r>
      <w:r w:rsidRPr="005379ED">
        <w:rPr>
          <w:rStyle w:val="AERtextitalic"/>
        </w:rPr>
        <w:t>Revised regulatory proposal: Attachment 8-2—Response to AER preliminary determination re: rate of return and gamma</w:t>
      </w:r>
      <w:r w:rsidRPr="005379ED">
        <w:t>, January</w:t>
      </w:r>
      <w:r>
        <w:t xml:space="preserve"> </w:t>
      </w:r>
      <w:r w:rsidRPr="005379ED">
        <w:t>2016, pp. 20, 34–35</w:t>
      </w:r>
      <w:r>
        <w:t>. Gas revised access arrangement proposals—</w:t>
      </w:r>
      <w:r w:rsidRPr="005379ED">
        <w:t xml:space="preserve"> ActewAGL, </w:t>
      </w:r>
      <w:r w:rsidRPr="005379ED">
        <w:rPr>
          <w:rStyle w:val="AERtextitalic"/>
        </w:rPr>
        <w:t>Revised access arrangement proposal: Appendix 5.01—Rate of return, gamma and inflation</w:t>
      </w:r>
      <w:r w:rsidRPr="005379ED">
        <w:t>, January 2016, pp. 36–40</w:t>
      </w:r>
      <w:r>
        <w:t xml:space="preserve">; </w:t>
      </w:r>
      <w:r w:rsidRPr="005379ED">
        <w:t xml:space="preserve">AGN, </w:t>
      </w:r>
      <w:r w:rsidRPr="005379ED">
        <w:rPr>
          <w:rStyle w:val="AERtextitalic"/>
        </w:rPr>
        <w:t>Revised access arrangement proposal: Attachment 10.26—Response to draft decision: Rate of return</w:t>
      </w:r>
      <w:r w:rsidRPr="005379ED">
        <w:t>, January 2016, pp. 37–38</w:t>
      </w:r>
      <w:r>
        <w:t xml:space="preserve">; </w:t>
      </w:r>
      <w:r w:rsidRPr="005379ED">
        <w:t xml:space="preserve">APTNT (Amadeus gas pipeline), </w:t>
      </w:r>
      <w:r w:rsidRPr="005379ED">
        <w:rPr>
          <w:rStyle w:val="AERtextitalic"/>
        </w:rPr>
        <w:t>Revised access arrangement proposal: Response to draft decision—Submission</w:t>
      </w:r>
      <w:r w:rsidRPr="005379ED">
        <w:t>, January 2016, pp. 83–88</w:t>
      </w:r>
      <w:r>
        <w:t>.</w:t>
      </w:r>
    </w:p>
  </w:footnote>
  <w:footnote w:id="505">
    <w:p w:rsidR="006345FD" w:rsidRDefault="006345FD" w:rsidP="00520CEF">
      <w:pPr>
        <w:pStyle w:val="FootnoteText"/>
      </w:pPr>
      <w:r>
        <w:rPr>
          <w:rStyle w:val="FootnoteReference"/>
        </w:rPr>
        <w:footnoteRef/>
      </w:r>
      <w:r>
        <w:t xml:space="preserve"> </w:t>
      </w:r>
      <w:r>
        <w:tab/>
      </w:r>
      <w:r w:rsidRPr="00F95704">
        <w:t>We recognise that this appeal considered our approach prior to Bloomberg publishing a 10 year BVAL estimate. However, we specified in our contingencies for the approach under appeal that we would adopt a 10 year estimate where Bloomberg resumed publication of it.</w:t>
      </w:r>
    </w:p>
  </w:footnote>
  <w:footnote w:id="506">
    <w:p w:rsidR="006345FD" w:rsidRDefault="006345FD" w:rsidP="00520CEF">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141.</w:t>
      </w:r>
    </w:p>
  </w:footnote>
  <w:footnote w:id="507">
    <w:p w:rsidR="006345FD" w:rsidRDefault="006345FD" w:rsidP="00520CEF">
      <w:pPr>
        <w:pStyle w:val="FootnoteText"/>
      </w:pPr>
      <w:r>
        <w:rPr>
          <w:rStyle w:val="FootnoteReference"/>
        </w:rPr>
        <w:footnoteRef/>
      </w:r>
      <w:r>
        <w:t xml:space="preserve"> </w:t>
      </w:r>
      <w:r>
        <w:tab/>
        <w:t>AER analysis, calculated using the RBA F3 data release—'aggregate measures of Australian corporate bond spreads and yields: non-financial corporate bonds'.</w:t>
      </w:r>
    </w:p>
  </w:footnote>
  <w:footnote w:id="508">
    <w:p w:rsidR="006345FD" w:rsidRDefault="006345FD" w:rsidP="00520CEF">
      <w:pPr>
        <w:pStyle w:val="FootnoteText"/>
      </w:pPr>
      <w:r>
        <w:rPr>
          <w:rStyle w:val="FootnoteReference"/>
        </w:rPr>
        <w:footnoteRef/>
      </w:r>
      <w:r>
        <w:t xml:space="preserve"> </w:t>
      </w:r>
      <w:r>
        <w:tab/>
        <w:t xml:space="preserve">While this was ActewAGL's revised proposal, it made a late submission on 12 May 2016 in which it updated its position  to suggest that a simple average of the BVAL, RBA and Reuters curves would contribute to achievement of the ARORO. AGN, </w:t>
      </w:r>
      <w:r w:rsidRPr="00186C53">
        <w:rPr>
          <w:rStyle w:val="AERtextitalic"/>
        </w:rPr>
        <w:t>Submission: Attachment 1: Implications of Tribunal decisions for ActewAGL Distribution</w:t>
      </w:r>
      <w:r>
        <w:t>, May 2016, p. 7.</w:t>
      </w:r>
    </w:p>
  </w:footnote>
  <w:footnote w:id="509">
    <w:p w:rsidR="006345FD" w:rsidRDefault="006345FD" w:rsidP="00520CEF">
      <w:pPr>
        <w:pStyle w:val="FootnoteText"/>
      </w:pPr>
      <w:r>
        <w:rPr>
          <w:rStyle w:val="FootnoteReference"/>
        </w:rPr>
        <w:footnoteRef/>
      </w:r>
      <w:r>
        <w:t xml:space="preserve"> </w:t>
      </w:r>
      <w:r>
        <w:tab/>
        <w:t>NER, cll. 6.5.2(l) and 6A.6.2(l), NGR, r. 87(12).</w:t>
      </w:r>
    </w:p>
  </w:footnote>
  <w:footnote w:id="510">
    <w:p w:rsidR="006345FD" w:rsidRDefault="006345FD" w:rsidP="00520CEF">
      <w:pPr>
        <w:pStyle w:val="FootnoteText"/>
      </w:pPr>
      <w:r>
        <w:rPr>
          <w:rStyle w:val="FootnoteReference"/>
        </w:rPr>
        <w:footnoteRef/>
      </w:r>
      <w:r>
        <w:t xml:space="preserve"> </w:t>
      </w:r>
      <w:r>
        <w:tab/>
      </w:r>
      <w:r w:rsidRPr="00B25EF6">
        <w:rPr>
          <w:rStyle w:val="AERtextitalic"/>
        </w:rPr>
        <w:t>Application by Jemena Gas Networks (NSW) Ltd (No 5) [2011] ACompT 10</w:t>
      </w:r>
      <w:r>
        <w:rPr>
          <w:rStyle w:val="AERtextitalic"/>
        </w:rPr>
        <w:t>.</w:t>
      </w:r>
    </w:p>
  </w:footnote>
  <w:footnote w:id="511">
    <w:p w:rsidR="006345FD" w:rsidRDefault="006345FD" w:rsidP="00520CEF">
      <w:pPr>
        <w:pStyle w:val="FootnoteText"/>
      </w:pPr>
      <w:r>
        <w:rPr>
          <w:rStyle w:val="FootnoteReference"/>
        </w:rPr>
        <w:footnoteRef/>
      </w:r>
      <w:r>
        <w:t xml:space="preserve"> </w:t>
      </w:r>
      <w:r>
        <w:tab/>
      </w:r>
      <w:r w:rsidRPr="00B25EF6">
        <w:rPr>
          <w:rStyle w:val="AERtextitalic"/>
        </w:rPr>
        <w:t>Application by Jemena Gas Networks (NSW) Ltd (No 5) [2011] ACompT 10</w:t>
      </w:r>
      <w:r>
        <w:t xml:space="preserve"> at [83].</w:t>
      </w:r>
    </w:p>
  </w:footnote>
  <w:footnote w:id="512">
    <w:p w:rsidR="006345FD" w:rsidRDefault="006345FD" w:rsidP="00520CEF">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[78].</w:t>
      </w:r>
    </w:p>
  </w:footnote>
  <w:footnote w:id="513">
    <w:p w:rsidR="006345FD" w:rsidRDefault="006345FD" w:rsidP="00520CEF">
      <w:pPr>
        <w:pStyle w:val="FootnoteText"/>
      </w:pPr>
      <w:r>
        <w:rPr>
          <w:rStyle w:val="FootnoteReference"/>
        </w:rPr>
        <w:footnoteRef/>
      </w:r>
      <w:r>
        <w:t xml:space="preserve"> </w:t>
      </w:r>
      <w:r>
        <w:tab/>
      </w:r>
      <w:r w:rsidRPr="00305172">
        <w:t>Application by ActewAGL Distribution</w:t>
      </w:r>
      <w:r w:rsidRPr="00B4791A">
        <w:t xml:space="preserve"> [2010] ACompT</w:t>
      </w:r>
      <w:r>
        <w:t xml:space="preserve"> </w:t>
      </w:r>
      <w:r w:rsidRPr="00B4791A">
        <w:t>4</w:t>
      </w:r>
      <w:r>
        <w:t xml:space="preserve"> at [67–68].</w:t>
      </w:r>
    </w:p>
  </w:footnote>
  <w:footnote w:id="514">
    <w:p w:rsidR="006345FD" w:rsidRDefault="006345FD" w:rsidP="00520CEF">
      <w:pPr>
        <w:pStyle w:val="FootnoteText"/>
      </w:pPr>
      <w:r>
        <w:rPr>
          <w:rStyle w:val="FootnoteReference"/>
        </w:rPr>
        <w:footnoteRef/>
      </w:r>
      <w:r>
        <w:t xml:space="preserve"> </w:t>
      </w:r>
      <w:r>
        <w:tab/>
        <w:t>NER, cll. 6.5.2(l) and 6A.6.2(l), NGR, r. 87(12).</w:t>
      </w:r>
    </w:p>
  </w:footnote>
  <w:footnote w:id="515">
    <w:p w:rsidR="006345FD" w:rsidRDefault="006345FD" w:rsidP="00520CEF">
      <w:pPr>
        <w:pStyle w:val="FootnoteText"/>
      </w:pPr>
      <w:r>
        <w:rPr>
          <w:rStyle w:val="FootnoteReference"/>
        </w:rPr>
        <w:footnoteRef/>
      </w:r>
      <w:r>
        <w:t xml:space="preserve"> </w:t>
      </w:r>
      <w:r>
        <w:tab/>
        <w:t>NER, cll. 6.5.2(l) and 6A.6.2(l), NGR, r. 87(12).</w:t>
      </w:r>
    </w:p>
  </w:footnote>
  <w:footnote w:id="516">
    <w:p w:rsidR="006345FD" w:rsidRPr="00B85376" w:rsidRDefault="006345FD" w:rsidP="00520CEF">
      <w:pPr>
        <w:pStyle w:val="FootnoteText"/>
        <w:rPr>
          <w:rFonts w:cs="Arial"/>
          <w:szCs w:val="16"/>
          <w:lang w:val="en-US"/>
        </w:rPr>
      </w:pPr>
      <w:r w:rsidRPr="00B85376">
        <w:rPr>
          <w:rStyle w:val="FootnoteReference"/>
          <w:rFonts w:cs="Arial"/>
          <w:szCs w:val="16"/>
        </w:rPr>
        <w:footnoteRef/>
      </w:r>
      <w:r w:rsidRPr="00B85376">
        <w:rPr>
          <w:rFonts w:cs="Arial"/>
          <w:szCs w:val="16"/>
        </w:rPr>
        <w:t xml:space="preserve"> </w:t>
      </w:r>
      <w:r>
        <w:tab/>
        <w:t>AEMC</w:t>
      </w:r>
      <w:r w:rsidRPr="003774C0">
        <w:t xml:space="preserve">, </w:t>
      </w:r>
      <w:r w:rsidRPr="00477FC6">
        <w:rPr>
          <w:rStyle w:val="AERtextitalic"/>
        </w:rPr>
        <w:t>Economic Regulation of Network Service Providers, and Price and Revenue Regulation of Gas Services, Final Position Paper</w:t>
      </w:r>
      <w:r>
        <w:t xml:space="preserve">, 29 November 2012, </w:t>
      </w:r>
      <w:r w:rsidRPr="00B85376">
        <w:rPr>
          <w:rFonts w:cs="Arial"/>
          <w:szCs w:val="16"/>
          <w:lang w:val="en-US"/>
        </w:rPr>
        <w:t>p 91.</w:t>
      </w:r>
    </w:p>
  </w:footnote>
  <w:footnote w:id="517">
    <w:p w:rsidR="006345FD" w:rsidRDefault="006345FD" w:rsidP="00520CEF">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 23.</w:t>
      </w:r>
    </w:p>
  </w:footnote>
  <w:footnote w:id="518">
    <w:p w:rsidR="006345FD" w:rsidRDefault="006345FD" w:rsidP="00520CEF">
      <w:pPr>
        <w:pStyle w:val="FootnoteText"/>
      </w:pPr>
      <w:r>
        <w:rPr>
          <w:rStyle w:val="FootnoteReference"/>
        </w:rPr>
        <w:footnoteRef/>
      </w:r>
      <w:r>
        <w:t xml:space="preserve"> </w:t>
      </w:r>
      <w:r>
        <w:tab/>
        <w:t xml:space="preserve">For example: AER, Preliminary determination: </w:t>
      </w:r>
      <w:r w:rsidR="00FE3907">
        <w:t>CitiPower</w:t>
      </w:r>
      <w:r>
        <w:t>—Attachment 3: Rate of return, October 2015, pp. 230–236. These reasons are common across all October/November 2015 determinations.</w:t>
      </w:r>
    </w:p>
  </w:footnote>
  <w:footnote w:id="519">
    <w:p w:rsidR="006345FD" w:rsidRDefault="006345FD" w:rsidP="00520CEF">
      <w:pPr>
        <w:pStyle w:val="FootnoteText"/>
      </w:pPr>
      <w:r>
        <w:rPr>
          <w:rStyle w:val="FootnoteReference"/>
        </w:rPr>
        <w:footnoteRef/>
      </w:r>
      <w:r>
        <w:t xml:space="preserve">  </w:t>
      </w:r>
      <w:r>
        <w:tab/>
        <w:t xml:space="preserve">Australian Competition Tribunal, </w:t>
      </w:r>
      <w:r w:rsidRPr="008523DD">
        <w:rPr>
          <w:rStyle w:val="AERtextitalic"/>
        </w:rPr>
        <w:t>Application by Jemena Gas Networks (NSW) Ltd [2016] ACompT 5</w:t>
      </w:r>
      <w:r>
        <w:t>, March 2016, para 47.</w:t>
      </w:r>
    </w:p>
  </w:footnote>
  <w:footnote w:id="520">
    <w:p w:rsidR="006345FD" w:rsidRDefault="006345FD" w:rsidP="00520CEF">
      <w:pPr>
        <w:pStyle w:val="FootnoteText"/>
      </w:pPr>
      <w:r>
        <w:rPr>
          <w:rStyle w:val="FootnoteReference"/>
        </w:rPr>
        <w:footnoteRef/>
      </w:r>
      <w:r>
        <w:t xml:space="preserve"> </w:t>
      </w:r>
      <w:r>
        <w:tab/>
        <w:t xml:space="preserve">For example, the difference between approaches over 2 June 2014 to 30 June 2014 was 0.22 basis points, or 0.0022 per cent. </w:t>
      </w:r>
    </w:p>
  </w:footnote>
  <w:footnote w:id="521">
    <w:p w:rsidR="006345FD" w:rsidRDefault="006345FD" w:rsidP="00520CEF">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522">
    <w:p w:rsidR="006345FD" w:rsidRDefault="006345FD" w:rsidP="00520CEF">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523">
    <w:p w:rsidR="006345FD" w:rsidRDefault="006345FD" w:rsidP="00520CEF">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1" w:history="1">
        <w:r w:rsidRPr="005B5C16">
          <w:rPr>
            <w:rStyle w:val="Hyperlink"/>
            <w:color w:val="auto"/>
            <w:sz w:val="16"/>
            <w:u w:val="none"/>
          </w:rPr>
          <w:t>http://www.rba.gov.au/statistics/tables/xls/f03hist.xls</w:t>
        </w:r>
      </w:hyperlink>
      <w:r w:rsidRPr="005B5C16">
        <w:t>.</w:t>
      </w:r>
    </w:p>
  </w:footnote>
  <w:footnote w:id="524">
    <w:p w:rsidR="006345FD" w:rsidRDefault="006345FD" w:rsidP="00520CEF">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525">
    <w:p w:rsidR="006345FD" w:rsidRDefault="006345FD" w:rsidP="00520CEF">
      <w:pPr>
        <w:pStyle w:val="FootnoteText"/>
      </w:pPr>
      <w:r>
        <w:rPr>
          <w:rStyle w:val="FootnoteReference"/>
        </w:rPr>
        <w:footnoteRef/>
      </w:r>
      <w:r>
        <w:t xml:space="preserve"> </w:t>
      </w:r>
      <w:r>
        <w:tab/>
        <w:t>Specifically, from 15 September 2014 to 3 November 2014.</w:t>
      </w:r>
    </w:p>
  </w:footnote>
  <w:footnote w:id="526">
    <w:p w:rsidR="006345FD" w:rsidRDefault="006345FD" w:rsidP="00520CEF">
      <w:pPr>
        <w:pStyle w:val="FootnoteText"/>
      </w:pPr>
      <w:r>
        <w:rPr>
          <w:rStyle w:val="FootnoteReference"/>
        </w:rPr>
        <w:footnoteRef/>
      </w:r>
      <w:r>
        <w:t xml:space="preserve"> </w:t>
      </w:r>
      <w:r>
        <w:tab/>
        <w:t>Specifically, 14 April 2015.</w:t>
      </w:r>
    </w:p>
  </w:footnote>
  <w:footnote w:id="527">
    <w:p w:rsidR="006345FD" w:rsidRDefault="006345FD" w:rsidP="00520CEF">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528">
    <w:p w:rsidR="006345FD" w:rsidRDefault="006345FD" w:rsidP="00520CEF">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529">
    <w:p w:rsidR="006345FD" w:rsidRDefault="006345FD" w:rsidP="00520CEF">
      <w:pPr>
        <w:pStyle w:val="FootnoteText"/>
      </w:pPr>
      <w:r>
        <w:rPr>
          <w:rStyle w:val="FootnoteReference"/>
        </w:rPr>
        <w:footnoteRef/>
      </w:r>
      <w:r>
        <w:t xml:space="preserve"> </w:t>
      </w:r>
      <w:r>
        <w:tab/>
        <w:t xml:space="preserve">CitiPower, </w:t>
      </w:r>
      <w:r w:rsidRPr="00006E71">
        <w:rPr>
          <w:rStyle w:val="AERtextitalic"/>
        </w:rPr>
        <w:t>Revised regulatory proposal</w:t>
      </w:r>
      <w:r>
        <w:t xml:space="preserve">, January 2016, p. 341; Powercor, </w:t>
      </w:r>
      <w:r w:rsidRPr="00006E71">
        <w:rPr>
          <w:rStyle w:val="AERtextitalic"/>
        </w:rPr>
        <w:t>Revised regulatory proposal</w:t>
      </w:r>
      <w:r>
        <w:t>, January 2016, p. 340;</w:t>
      </w:r>
      <w:r w:rsidRPr="002C6820">
        <w:t xml:space="preserve"> CitiPower, </w:t>
      </w:r>
      <w:r w:rsidRPr="002C6820">
        <w:rPr>
          <w:rStyle w:val="AERtextitalic"/>
        </w:rPr>
        <w:t>Regulatory proposal</w:t>
      </w:r>
      <w:r w:rsidRPr="002C6820">
        <w:t xml:space="preserve">, April 2015, pp.234–235; Powercor, </w:t>
      </w:r>
      <w:r w:rsidRPr="002C6820">
        <w:rPr>
          <w:rStyle w:val="AERtextitalic"/>
        </w:rPr>
        <w:t>Regulatory proposal</w:t>
      </w:r>
      <w:r w:rsidRPr="002C6820">
        <w:t>, April 2015, pp.242–243</w:t>
      </w:r>
      <w:r>
        <w:t>.</w:t>
      </w:r>
    </w:p>
  </w:footnote>
  <w:footnote w:id="530">
    <w:p w:rsidR="006345FD" w:rsidRDefault="006345FD" w:rsidP="00520CEF">
      <w:pPr>
        <w:pStyle w:val="FootnoteText"/>
      </w:pPr>
      <w:r>
        <w:rPr>
          <w:rStyle w:val="FootnoteReference"/>
        </w:rPr>
        <w:footnoteRef/>
      </w:r>
      <w:r>
        <w:t xml:space="preserve"> </w:t>
      </w:r>
      <w:r>
        <w:tab/>
      </w:r>
      <w:r w:rsidRPr="00C57C95">
        <w:t xml:space="preserve">AusNet Services, </w:t>
      </w:r>
      <w:r>
        <w:rPr>
          <w:rStyle w:val="AERtextitalic"/>
        </w:rPr>
        <w:t>Regulatory p</w:t>
      </w:r>
      <w:r w:rsidRPr="00707A75">
        <w:rPr>
          <w:rStyle w:val="AERtextitalic"/>
        </w:rPr>
        <w:t>roposal,</w:t>
      </w:r>
      <w:r>
        <w:t xml:space="preserve"> April 2015, pp.343–345.</w:t>
      </w:r>
    </w:p>
  </w:footnote>
  <w:footnote w:id="531">
    <w:p w:rsidR="006345FD" w:rsidRDefault="006345FD" w:rsidP="00520CEF">
      <w:pPr>
        <w:pStyle w:val="FootnoteText"/>
      </w:pPr>
      <w:r>
        <w:rPr>
          <w:rStyle w:val="FootnoteReference"/>
        </w:rPr>
        <w:footnoteRef/>
      </w:r>
      <w:r>
        <w:t xml:space="preserve"> </w:t>
      </w:r>
      <w:r>
        <w:tab/>
        <w:t xml:space="preserve">AusNet Services, </w:t>
      </w:r>
      <w:r w:rsidRPr="00006E71">
        <w:rPr>
          <w:rStyle w:val="AERtextitalic"/>
        </w:rPr>
        <w:t>Revised regulatory proposal</w:t>
      </w:r>
      <w:r>
        <w:t>, January 2016, pp. 7-35.</w:t>
      </w:r>
    </w:p>
  </w:footnote>
  <w:footnote w:id="532">
    <w:p w:rsidR="006345FD" w:rsidRDefault="006345FD" w:rsidP="00520CEF">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p.21.</w:t>
      </w:r>
    </w:p>
  </w:footnote>
  <w:footnote w:id="533">
    <w:p w:rsidR="006345FD" w:rsidRDefault="006345FD" w:rsidP="00520CEF">
      <w:pPr>
        <w:pStyle w:val="FootnoteText"/>
      </w:pPr>
      <w:r>
        <w:rPr>
          <w:rStyle w:val="FootnoteReference"/>
        </w:rPr>
        <w:footnoteRef/>
      </w:r>
      <w:r>
        <w:t xml:space="preserve"> </w:t>
      </w:r>
      <w:r>
        <w:tab/>
        <w:t>Specifically, CEG concluded that the Bloomberg curve '</w:t>
      </w:r>
      <w:r w:rsidRPr="00E64CE2">
        <w:t xml:space="preserve"> would give rise to estimates that are inconsistent with standard predictions of finance theory in that it would impose a downward sloping term structure for credit spreads (and inconsistent with a clear upward slope where there is available data);</w:t>
      </w:r>
      <w:r>
        <w:t>'</w:t>
      </w:r>
    </w:p>
  </w:footnote>
  <w:footnote w:id="534">
    <w:p w:rsidR="006345FD" w:rsidRDefault="006345FD" w:rsidP="00520CEF">
      <w:pPr>
        <w:pStyle w:val="FootnoteText"/>
      </w:pPr>
      <w:r>
        <w:rPr>
          <w:rStyle w:val="FootnoteReference"/>
        </w:rPr>
        <w:footnoteRef/>
      </w:r>
      <w:r>
        <w:t xml:space="preserve"> </w:t>
      </w:r>
      <w:r>
        <w:tab/>
        <w:t>Being pure expectations theory, market segmentation theory or preferred habitat theory.</w:t>
      </w:r>
    </w:p>
  </w:footnote>
  <w:footnote w:id="535">
    <w:p w:rsidR="006345FD" w:rsidRDefault="006345FD" w:rsidP="00520CEF">
      <w:pPr>
        <w:pStyle w:val="FootnoteText"/>
      </w:pPr>
      <w:r>
        <w:rPr>
          <w:rStyle w:val="FootnoteReference"/>
        </w:rPr>
        <w:footnoteRef/>
      </w:r>
      <w:r>
        <w:t xml:space="preserve"> </w:t>
      </w:r>
      <w:r>
        <w:tab/>
        <w:t>See SA Power Networks</w:t>
      </w:r>
      <w:r w:rsidRPr="00F52001">
        <w:t xml:space="preserve">, </w:t>
      </w:r>
      <w:r w:rsidRPr="00AA7B4A">
        <w:rPr>
          <w:rStyle w:val="AERtextitalic"/>
        </w:rPr>
        <w:t>Revised regulatory proposal</w:t>
      </w:r>
      <w:r w:rsidRPr="00F52001">
        <w:t xml:space="preserve">, June 2015, </w:t>
      </w:r>
      <w:r>
        <w:t>pp.389–391.</w:t>
      </w:r>
    </w:p>
  </w:footnote>
  <w:footnote w:id="536">
    <w:p w:rsidR="006345FD" w:rsidRDefault="006345FD" w:rsidP="00520CEF">
      <w:pPr>
        <w:pStyle w:val="FootnoteText"/>
      </w:pPr>
      <w:r>
        <w:rPr>
          <w:rStyle w:val="FootnoteReference"/>
        </w:rPr>
        <w:footnoteRef/>
      </w:r>
      <w:r>
        <w:t xml:space="preserve"> </w:t>
      </w:r>
      <w:r>
        <w:tab/>
      </w:r>
      <w:r w:rsidRPr="002C49C4">
        <w:t xml:space="preserve">Lally, </w:t>
      </w:r>
      <w:r w:rsidRPr="002C49C4">
        <w:rPr>
          <w:rStyle w:val="AERtextitalic"/>
        </w:rPr>
        <w:t>Review of submissions on implementation issues for the cost of debt</w:t>
      </w:r>
      <w:r w:rsidRPr="002C49C4">
        <w:t>,</w:t>
      </w:r>
      <w:r>
        <w:t xml:space="preserve"> 18 October 2015, pp.13–15.</w:t>
      </w:r>
    </w:p>
  </w:footnote>
  <w:footnote w:id="537">
    <w:p w:rsidR="006345FD" w:rsidRDefault="006345FD" w:rsidP="00520CEF">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w:t>
      </w:r>
      <w:r>
        <w:t>hing a 10 year yield estimate.</w:t>
      </w:r>
    </w:p>
  </w:footnote>
  <w:footnote w:id="538">
    <w:p w:rsidR="006345FD" w:rsidRDefault="006345FD" w:rsidP="00520CEF">
      <w:pPr>
        <w:pStyle w:val="FootnoteText"/>
      </w:pPr>
      <w:r>
        <w:rPr>
          <w:rStyle w:val="FootnoteReference"/>
        </w:rPr>
        <w:footnoteRef/>
      </w:r>
      <w:r>
        <w:t xml:space="preserve"> </w:t>
      </w:r>
      <w:r>
        <w:tab/>
        <w:t>NER, cl. 6.5.2(l) and cl. 6A.6.2(l), NGR, r. 87(12).</w:t>
      </w:r>
    </w:p>
  </w:footnote>
  <w:footnote w:id="539">
    <w:p w:rsidR="006345FD" w:rsidRDefault="006345FD" w:rsidP="00520CEF">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540">
    <w:p w:rsidR="006345FD" w:rsidRDefault="006345FD" w:rsidP="00520CEF">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541">
    <w:p w:rsidR="006345FD" w:rsidRDefault="006345FD" w:rsidP="00520CEF">
      <w:pPr>
        <w:pStyle w:val="FootnoteText"/>
      </w:pPr>
      <w:r>
        <w:rPr>
          <w:rStyle w:val="FootnoteReference"/>
        </w:rPr>
        <w:footnoteRef/>
      </w:r>
      <w:r>
        <w:t xml:space="preserve"> </w:t>
      </w:r>
      <w:r>
        <w:tab/>
        <w:t>Specifically, the spread to CGS.</w:t>
      </w:r>
    </w:p>
  </w:footnote>
  <w:footnote w:id="542">
    <w:p w:rsidR="006345FD" w:rsidRDefault="006345FD" w:rsidP="00520CEF">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543">
    <w:p w:rsidR="006345FD" w:rsidRDefault="006345FD" w:rsidP="00475D3A">
      <w:pPr>
        <w:pStyle w:val="FootnoteText"/>
      </w:pPr>
      <w:r>
        <w:rPr>
          <w:rStyle w:val="FootnoteReference"/>
        </w:rPr>
        <w:footnoteRef/>
      </w:r>
      <w:r>
        <w:t xml:space="preserve"> </w:t>
      </w:r>
      <w:r>
        <w:tab/>
      </w:r>
      <w:r w:rsidRPr="00DF3557">
        <w:t xml:space="preserve">CitiPower, </w:t>
      </w:r>
      <w:r w:rsidRPr="00786E5F">
        <w:rPr>
          <w:rStyle w:val="AERtextitalic"/>
        </w:rPr>
        <w:t>Revised Regulatory Proposal 2016-2020</w:t>
      </w:r>
      <w:r w:rsidRPr="00DF3557">
        <w:t>, January 2016, p. 351</w:t>
      </w:r>
      <w:r>
        <w:t>.</w:t>
      </w:r>
    </w:p>
  </w:footnote>
  <w:footnote w:id="544">
    <w:p w:rsidR="006345FD" w:rsidRDefault="006345FD" w:rsidP="00475D3A">
      <w:pPr>
        <w:pStyle w:val="FootnoteText"/>
      </w:pPr>
      <w:r>
        <w:rPr>
          <w:rStyle w:val="FootnoteReference"/>
        </w:rPr>
        <w:footnoteRef/>
      </w:r>
      <w:r>
        <w:t xml:space="preserve"> </w:t>
      </w:r>
      <w:r>
        <w:tab/>
      </w:r>
      <w:r w:rsidRPr="0018148E">
        <w:t xml:space="preserve">The service providers' submissions on this topic </w:t>
      </w:r>
      <w:r>
        <w:t>submit that a new issue premium is</w:t>
      </w:r>
      <w:r w:rsidRPr="0018148E">
        <w:t xml:space="preserve"> a systematic difference betw</w:t>
      </w:r>
      <w:r>
        <w:t xml:space="preserve">een </w:t>
      </w:r>
      <w:r w:rsidRPr="0018148E">
        <w:t xml:space="preserve">yields at which </w:t>
      </w:r>
      <w:r>
        <w:t>firms issue</w:t>
      </w:r>
      <w:r w:rsidRPr="0018148E">
        <w:t xml:space="preserve"> bonds on the primary market</w:t>
      </w:r>
      <w:r>
        <w:t xml:space="preserve"> (which would determine their effective cost of debt) and </w:t>
      </w:r>
      <w:r w:rsidRPr="0018148E">
        <w:t>third party</w:t>
      </w:r>
      <w:r>
        <w:t xml:space="preserve"> benchmark</w:t>
      </w:r>
      <w:r w:rsidRPr="0018148E">
        <w:t xml:space="preserve"> yield curves</w:t>
      </w:r>
      <w:r>
        <w:t xml:space="preserve"> (which we use to estimate the debt allowance).</w:t>
      </w:r>
    </w:p>
  </w:footnote>
  <w:footnote w:id="545">
    <w:p w:rsidR="006345FD" w:rsidRDefault="006345FD" w:rsidP="00475D3A">
      <w:pPr>
        <w:pStyle w:val="FootnoteText"/>
      </w:pPr>
      <w:r>
        <w:rPr>
          <w:rStyle w:val="FootnoteReference"/>
        </w:rPr>
        <w:footnoteRef/>
      </w:r>
      <w:r>
        <w:t xml:space="preserve"> </w:t>
      </w:r>
      <w:r>
        <w:tab/>
      </w:r>
      <w:r w:rsidRPr="00DC7F5E">
        <w:t>NER, rules 6.5.2(c) and 6.5.2(h); NGR, rules 87(3) and 87(10).</w:t>
      </w:r>
    </w:p>
  </w:footnote>
  <w:footnote w:id="546">
    <w:p w:rsidR="006345FD" w:rsidRDefault="006345FD" w:rsidP="00475D3A">
      <w:pPr>
        <w:pStyle w:val="FootnoteText"/>
      </w:pPr>
      <w:r>
        <w:rPr>
          <w:rStyle w:val="FootnoteReference"/>
        </w:rPr>
        <w:footnoteRef/>
      </w:r>
      <w:r>
        <w:t xml:space="preserve"> </w:t>
      </w:r>
      <w:r>
        <w:tab/>
        <w:t xml:space="preserve">CEG, </w:t>
      </w:r>
      <w:r w:rsidRPr="00ED0DF8">
        <w:rPr>
          <w:rStyle w:val="AERtextitalic"/>
        </w:rPr>
        <w:t>The New Issue Premium</w:t>
      </w:r>
      <w:r>
        <w:t>, October 2014.</w:t>
      </w:r>
    </w:p>
  </w:footnote>
  <w:footnote w:id="547">
    <w:p w:rsidR="006345FD" w:rsidRDefault="006345FD" w:rsidP="00475D3A">
      <w:pPr>
        <w:pStyle w:val="FootnoteText"/>
      </w:pPr>
      <w:r>
        <w:rPr>
          <w:rStyle w:val="FootnoteReference"/>
        </w:rPr>
        <w:footnoteRef/>
      </w:r>
      <w:r>
        <w:t xml:space="preserve"> </w:t>
      </w:r>
      <w:r>
        <w:tab/>
        <w:t xml:space="preserve">We raised some concerns in AER, </w:t>
      </w:r>
      <w:r w:rsidRPr="00ED0DF8">
        <w:rPr>
          <w:rStyle w:val="AERtextitalic"/>
        </w:rPr>
        <w:t>SA Power Networks Preliminary Decision - Attachment 3: Rate of Return</w:t>
      </w:r>
      <w:r>
        <w:t xml:space="preserve">, April 2015, pp. 478-481. CEG responded to these concerns in CEG, </w:t>
      </w:r>
      <w:r w:rsidRPr="00642D33">
        <w:rPr>
          <w:rStyle w:val="AERtextitalic"/>
        </w:rPr>
        <w:t>Critique of AER Analysis of New Issue Premium</w:t>
      </w:r>
      <w:r>
        <w:t>, December 2015.</w:t>
      </w:r>
    </w:p>
  </w:footnote>
  <w:footnote w:id="548">
    <w:p w:rsidR="006345FD" w:rsidRDefault="006345FD" w:rsidP="00475D3A">
      <w:pPr>
        <w:pStyle w:val="FootnoteText"/>
      </w:pPr>
      <w:r>
        <w:rPr>
          <w:rStyle w:val="FootnoteReference"/>
        </w:rPr>
        <w:footnoteRef/>
      </w:r>
      <w:r>
        <w:t xml:space="preserve"> </w:t>
      </w:r>
      <w:r>
        <w:tab/>
        <w:t xml:space="preserve">AER, </w:t>
      </w:r>
      <w:r w:rsidRPr="00CD7956">
        <w:rPr>
          <w:rStyle w:val="AERtextitalic"/>
        </w:rPr>
        <w:t>Final decision: United Energy distribution determination - Attachment 3: Rate of return</w:t>
      </w:r>
      <w:r>
        <w:t>, May 2016.</w:t>
      </w:r>
    </w:p>
  </w:footnote>
  <w:footnote w:id="549">
    <w:p w:rsidR="006345FD" w:rsidRDefault="006345FD" w:rsidP="002A5C40">
      <w:pPr>
        <w:pStyle w:val="FootnoteText"/>
      </w:pPr>
      <w:r>
        <w:rPr>
          <w:rStyle w:val="FootnoteReference"/>
        </w:rPr>
        <w:footnoteRef/>
      </w:r>
      <w:r>
        <w:t xml:space="preserve"> </w:t>
      </w:r>
      <w:r>
        <w:tab/>
      </w:r>
      <w:r w:rsidRPr="00A21803">
        <w:t xml:space="preserve">CitiPower, </w:t>
      </w:r>
      <w:r w:rsidRPr="00F20092">
        <w:rPr>
          <w:rStyle w:val="AERtextitalic"/>
        </w:rPr>
        <w:t>Confidential letter to AER Director</w:t>
      </w:r>
      <w:r>
        <w:t xml:space="preserve">, 29 April 2015 </w:t>
      </w:r>
    </w:p>
  </w:footnote>
  <w:footnote w:id="550">
    <w:p w:rsidR="006345FD" w:rsidRDefault="006345FD" w:rsidP="002A5C40">
      <w:pPr>
        <w:pStyle w:val="FootnoteText"/>
      </w:pPr>
      <w:r>
        <w:rPr>
          <w:rStyle w:val="FootnoteReference"/>
        </w:rPr>
        <w:footnoteRef/>
      </w:r>
      <w:r>
        <w:t xml:space="preserve"> </w:t>
      </w:r>
      <w:r>
        <w:tab/>
        <w:t xml:space="preserve">AER, </w:t>
      </w:r>
      <w:r w:rsidRPr="00B1337B">
        <w:rPr>
          <w:rStyle w:val="AERtextitalic"/>
        </w:rPr>
        <w:t xml:space="preserve">Preliminary decision: </w:t>
      </w:r>
      <w:r>
        <w:rPr>
          <w:rStyle w:val="AERtextitalic"/>
        </w:rPr>
        <w:t>CitiPower</w:t>
      </w:r>
      <w:r w:rsidRPr="00B1337B">
        <w:rPr>
          <w:rStyle w:val="AERtextitalic"/>
        </w:rPr>
        <w:t xml:space="preserve"> determination </w:t>
      </w:r>
      <w:r>
        <w:rPr>
          <w:rStyle w:val="AERtextitalic"/>
        </w:rPr>
        <w:t>2016 to 2020</w:t>
      </w:r>
      <w:r w:rsidRPr="00B1337B">
        <w:rPr>
          <w:rStyle w:val="AERtextitalic"/>
        </w:rPr>
        <w:t>: Confidential appendix K—Rate of return–equity and debt averaging periods</w:t>
      </w:r>
      <w:r>
        <w:t>, October 2015.</w:t>
      </w:r>
    </w:p>
  </w:footnote>
  <w:footnote w:id="551">
    <w:p w:rsidR="006345FD" w:rsidRDefault="006345FD" w:rsidP="002A5C40">
      <w:pPr>
        <w:pStyle w:val="FootnoteText"/>
      </w:pPr>
      <w:r>
        <w:rPr>
          <w:rStyle w:val="FootnoteReference"/>
        </w:rPr>
        <w:footnoteRef/>
      </w:r>
      <w:r>
        <w:t xml:space="preserve"> </w:t>
      </w:r>
      <w:r>
        <w:tab/>
        <w:t>CitiPower</w:t>
      </w:r>
      <w:r w:rsidRPr="004A22C2">
        <w:rPr>
          <w:rStyle w:val="AERtextitalic"/>
        </w:rPr>
        <w:t>, Revised regulatory proposal</w:t>
      </w:r>
      <w:r>
        <w:t>, January 2016, p. 349.</w:t>
      </w:r>
    </w:p>
  </w:footnote>
  <w:footnote w:id="552">
    <w:p w:rsidR="006345FD" w:rsidRDefault="006345FD" w:rsidP="002A5C40">
      <w:pPr>
        <w:pStyle w:val="FootnoteText"/>
      </w:pPr>
      <w:r>
        <w:rPr>
          <w:rStyle w:val="FootnoteReference"/>
        </w:rPr>
        <w:footnoteRef/>
      </w:r>
      <w:r>
        <w:t xml:space="preserve"> </w:t>
      </w:r>
      <w:r>
        <w:tab/>
      </w:r>
      <w:r w:rsidRPr="007E60B1">
        <w:t xml:space="preserve">AER, </w:t>
      </w:r>
      <w:r w:rsidRPr="007E60B1">
        <w:rPr>
          <w:rStyle w:val="AERtextitalic"/>
        </w:rPr>
        <w:t>Rate of return guideline</w:t>
      </w:r>
      <w:r w:rsidRPr="007E60B1">
        <w:t>, December 2013, p. 21.</w:t>
      </w:r>
    </w:p>
  </w:footnote>
  <w:footnote w:id="553">
    <w:p w:rsidR="006345FD" w:rsidRDefault="006345FD" w:rsidP="002A5C40">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54">
    <w:p w:rsidR="006345FD" w:rsidRDefault="006345FD" w:rsidP="002A5C40">
      <w:pPr>
        <w:pStyle w:val="FootnoteText"/>
      </w:pPr>
      <w:r>
        <w:rPr>
          <w:rStyle w:val="FootnoteReference"/>
        </w:rPr>
        <w:footnoteRef/>
      </w:r>
      <w:r>
        <w:t xml:space="preserve"> </w:t>
      </w:r>
      <w:r>
        <w:tab/>
      </w:r>
      <w:r w:rsidRPr="005528EA">
        <w:t xml:space="preserve">Lally, </w:t>
      </w:r>
      <w:r w:rsidRPr="000A68E1">
        <w:rPr>
          <w:rStyle w:val="AERtextitalic"/>
        </w:rPr>
        <w:t>Expert Report of Martin Thomas Lally</w:t>
      </w:r>
      <w:r w:rsidRPr="005528EA">
        <w:t>, 13 February 2011, pp. 9–10.</w:t>
      </w:r>
    </w:p>
  </w:footnote>
  <w:footnote w:id="555">
    <w:p w:rsidR="006345FD" w:rsidRDefault="006345FD" w:rsidP="002A5C40">
      <w:pPr>
        <w:pStyle w:val="FootnoteText"/>
      </w:pPr>
      <w:r>
        <w:rPr>
          <w:rStyle w:val="FootnoteReference"/>
        </w:rPr>
        <w:footnoteRef/>
      </w:r>
      <w:r>
        <w:t xml:space="preserve"> </w:t>
      </w:r>
      <w:r>
        <w:tab/>
        <w:t xml:space="preserve">This preferred timeframe does </w:t>
      </w:r>
      <w:r w:rsidRPr="007D10EB">
        <w:t xml:space="preserve">not apply to the </w:t>
      </w:r>
      <w:r>
        <w:t>first regulatory year in the regulatory control or access arrangement period</w:t>
      </w:r>
      <w:r w:rsidRPr="007D10EB">
        <w:t xml:space="preserve">. This is because the distribution determination </w:t>
      </w:r>
      <w:r>
        <w:t xml:space="preserve">or access arrangement </w:t>
      </w:r>
      <w:r w:rsidRPr="007D10EB">
        <w:t xml:space="preserve">will include the X factor for the first year, which will already incorporate the first year </w:t>
      </w:r>
      <w:r>
        <w:t xml:space="preserve">return on debt. Therefore, the annual debt update </w:t>
      </w:r>
      <w:r w:rsidRPr="007D10EB">
        <w:t xml:space="preserve">process will generally apply to the subsequent years of a regulatory control </w:t>
      </w:r>
      <w:r>
        <w:t xml:space="preserve">or access arrangement </w:t>
      </w:r>
      <w:r w:rsidRPr="007D10EB">
        <w:t>period.</w:t>
      </w:r>
    </w:p>
  </w:footnote>
  <w:footnote w:id="556">
    <w:p w:rsidR="006345FD" w:rsidRDefault="006345FD" w:rsidP="002A5C40">
      <w:pPr>
        <w:pStyle w:val="FootnoteText"/>
      </w:pPr>
      <w:r>
        <w:rPr>
          <w:rStyle w:val="FootnoteReference"/>
        </w:rPr>
        <w:footnoteRef/>
      </w:r>
      <w:r>
        <w:t xml:space="preserve"> </w:t>
      </w:r>
      <w:r>
        <w:tab/>
      </w:r>
      <w:r w:rsidRPr="00322722">
        <w:t xml:space="preserve">However, we are open to individual </w:t>
      </w:r>
      <w:r>
        <w:t>service providers</w:t>
      </w:r>
      <w:r w:rsidRPr="00322722">
        <w:t xml:space="preserve"> requiring a longer period (or requesting a shorter period) than 25 business days to accommodate their internal processes.</w:t>
      </w:r>
    </w:p>
  </w:footnote>
  <w:footnote w:id="557">
    <w:p w:rsidR="006345FD" w:rsidRDefault="006345FD" w:rsidP="002A5C40">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558">
    <w:p w:rsidR="006345FD" w:rsidRDefault="006345FD" w:rsidP="00A81F8C">
      <w:pPr>
        <w:pStyle w:val="FootnoteText"/>
      </w:pPr>
      <w:r>
        <w:rPr>
          <w:rStyle w:val="FootnoteReference"/>
        </w:rPr>
        <w:footnoteRef/>
      </w:r>
      <w:r>
        <w:t xml:space="preserve"> </w:t>
      </w:r>
      <w:r>
        <w:tab/>
        <w:t xml:space="preserve">Australian Competition Tribunal, </w:t>
      </w:r>
      <w:r>
        <w:rPr>
          <w:rStyle w:val="AERtextitalic"/>
        </w:rPr>
        <w:t>Application by Jemena Gas Networks (NSW) Ltd [2016] ACompT5</w:t>
      </w:r>
      <w:r>
        <w:t>, 3 March 2016, para 87.</w:t>
      </w:r>
    </w:p>
  </w:footnote>
  <w:footnote w:id="559">
    <w:p w:rsidR="006345FD" w:rsidRDefault="006345FD" w:rsidP="002A5C40">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p.21.</w:t>
      </w:r>
    </w:p>
  </w:footnote>
  <w:footnote w:id="560">
    <w:p w:rsidR="006345FD" w:rsidRDefault="006345FD" w:rsidP="002A5C40">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August 2013, p.103</w:t>
      </w:r>
      <w:r>
        <w:t>.</w:t>
      </w:r>
    </w:p>
  </w:footnote>
  <w:footnote w:id="561">
    <w:p w:rsidR="006345FD" w:rsidRDefault="006345FD" w:rsidP="002A5C40">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562">
    <w:p w:rsidR="006345FD" w:rsidRDefault="006345FD" w:rsidP="002A5C40">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563">
    <w:p w:rsidR="006345FD" w:rsidRDefault="006345FD" w:rsidP="002A5C40">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564">
    <w:p w:rsidR="006345FD" w:rsidRDefault="006345FD" w:rsidP="002A5C40">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565">
    <w:p w:rsidR="006345FD" w:rsidRDefault="006345FD" w:rsidP="002A5C40">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566">
    <w:p w:rsidR="006345FD" w:rsidRDefault="006345FD" w:rsidP="002A5C40">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567">
    <w:p w:rsidR="006345FD" w:rsidRDefault="006345FD" w:rsidP="002A5C40">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xml:space="preserve">, 27 November 2014, pp. 103, 110–112 (transitional arrangements for Victorian distributors), 112–113 (transitional arrangements for non-Victorian distributors). </w:t>
      </w:r>
    </w:p>
  </w:footnote>
  <w:footnote w:id="568">
    <w:p w:rsidR="006345FD" w:rsidRDefault="006345FD" w:rsidP="002A5C40">
      <w:pPr>
        <w:pStyle w:val="FootnoteText"/>
      </w:pPr>
      <w:r>
        <w:rPr>
          <w:rStyle w:val="FootnoteReference"/>
        </w:rPr>
        <w:footnoteRef/>
      </w:r>
      <w:r>
        <w:t xml:space="preserve"> </w:t>
      </w:r>
      <w:r>
        <w:tab/>
        <w:t>NER, transitional clause 11.76.1(c).</w:t>
      </w:r>
    </w:p>
  </w:footnote>
  <w:footnote w:id="569">
    <w:p w:rsidR="006345FD" w:rsidRDefault="006345FD" w:rsidP="002A5C40">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570">
    <w:p w:rsidR="006345FD" w:rsidRDefault="006345FD" w:rsidP="002A5C40">
      <w:pPr>
        <w:pStyle w:val="FootnoteText"/>
      </w:pPr>
      <w:r>
        <w:rPr>
          <w:rStyle w:val="FootnoteReference"/>
        </w:rPr>
        <w:footnoteRef/>
      </w:r>
      <w:r>
        <w:t xml:space="preserve"> </w:t>
      </w:r>
      <w:r>
        <w:tab/>
      </w:r>
      <w:r w:rsidRPr="007E60B1">
        <w:t>NER</w:t>
      </w:r>
      <w:r>
        <w:t>,</w:t>
      </w:r>
      <w:r w:rsidRPr="007E60B1">
        <w:t xml:space="preserve"> cl. 6.5.2(c)</w:t>
      </w:r>
      <w:r>
        <w:t xml:space="preserve"> and 6A.6.2(c); NGR, r. 87(3)</w:t>
      </w:r>
      <w:r w:rsidRPr="007E60B1">
        <w:t>.</w:t>
      </w:r>
    </w:p>
  </w:footnote>
  <w:footnote w:id="571">
    <w:p w:rsidR="006345FD" w:rsidRDefault="006345FD" w:rsidP="002A5C40">
      <w:pPr>
        <w:pStyle w:val="FootnoteText"/>
      </w:pPr>
      <w:r>
        <w:rPr>
          <w:rStyle w:val="FootnoteReference"/>
        </w:rPr>
        <w:footnoteRef/>
      </w:r>
      <w:r>
        <w:t xml:space="preserve"> </w:t>
      </w:r>
      <w:r>
        <w:tab/>
        <w:t xml:space="preserve">AER, </w:t>
      </w:r>
      <w:r w:rsidRPr="002C65E6">
        <w:rPr>
          <w:rStyle w:val="AERtextitalic"/>
        </w:rPr>
        <w:t>Explanatory statement to the proposed amendment: Electricity transmission and distribution network service providers—Post-tax revenue models (version 3)</w:t>
      </w:r>
      <w:r>
        <w:t>, 3 October 2014, pp. 16–17.</w:t>
      </w:r>
    </w:p>
  </w:footnote>
  <w:footnote w:id="572">
    <w:p w:rsidR="006345FD" w:rsidRDefault="006345FD" w:rsidP="002A5C40">
      <w:pPr>
        <w:pStyle w:val="FootnoteText"/>
      </w:pPr>
      <w:r>
        <w:rPr>
          <w:rStyle w:val="FootnoteReference"/>
        </w:rPr>
        <w:footnoteRef/>
      </w:r>
      <w:r>
        <w:t xml:space="preserve"> </w:t>
      </w:r>
      <w:r>
        <w:tab/>
        <w:t xml:space="preserve">AER, </w:t>
      </w:r>
      <w:r w:rsidRPr="00F366FC">
        <w:rPr>
          <w:rStyle w:val="AERtextitalic"/>
        </w:rPr>
        <w:t>Explanatory statement to the proposed amendment: Electricity transmission and distribution network service providers—Post-tax revenue models (version 3)</w:t>
      </w:r>
      <w:r>
        <w:t>, 3 October 2014, p. 17.</w:t>
      </w:r>
    </w:p>
  </w:footnote>
  <w:footnote w:id="573">
    <w:p w:rsidR="006345FD" w:rsidRDefault="006345FD" w:rsidP="002A5C40">
      <w:pPr>
        <w:pStyle w:val="FootnoteText"/>
      </w:pPr>
      <w:r>
        <w:rPr>
          <w:rStyle w:val="FootnoteReference"/>
        </w:rPr>
        <w:footnoteRef/>
      </w:r>
      <w:r>
        <w:t xml:space="preserve"> </w:t>
      </w:r>
      <w:r>
        <w:tab/>
        <w:t>NER, cl. 6.5.2(k</w:t>
      </w:r>
      <w:r w:rsidRPr="005F1830">
        <w:t>)</w:t>
      </w:r>
      <w:r>
        <w:t>(1) and 6A.6.2(k)(1); NGR, r. 87(11)(1)</w:t>
      </w:r>
      <w:r w:rsidRPr="005F1830">
        <w:t>.</w:t>
      </w:r>
    </w:p>
  </w:footnote>
  <w:footnote w:id="574">
    <w:p w:rsidR="006345FD" w:rsidRDefault="006345FD" w:rsidP="00117328">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t>, 6 January 2016, p</w:t>
      </w:r>
      <w:r w:rsidRPr="00273F0E">
        <w:t xml:space="preserve">. </w:t>
      </w:r>
      <w:r>
        <w:t>384</w:t>
      </w:r>
      <w:r w:rsidRPr="00273F0E">
        <w:t xml:space="preserve">; Powercor, </w:t>
      </w:r>
      <w:r w:rsidRPr="00273F0E">
        <w:rPr>
          <w:rStyle w:val="AERtextitalic"/>
        </w:rPr>
        <w:t>Revised regulatory proposal 2016–2020</w:t>
      </w:r>
      <w:r>
        <w:t>, 6 January 2016, p</w:t>
      </w:r>
      <w:r w:rsidRPr="00273F0E">
        <w:t xml:space="preserve">. </w:t>
      </w:r>
      <w:r>
        <w:t>378</w:t>
      </w:r>
      <w:r w:rsidRPr="00273F0E">
        <w:t xml:space="preserve">; ActewAGL, </w:t>
      </w:r>
      <w:r w:rsidRPr="00273F0E">
        <w:rPr>
          <w:rStyle w:val="Emphasis"/>
        </w:rPr>
        <w:t>Revised 2016–21 access arrangement proposal</w:t>
      </w:r>
      <w:r>
        <w:rPr>
          <w:rStyle w:val="Emphasis"/>
        </w:rPr>
        <w:t>:</w:t>
      </w:r>
      <w:r w:rsidRPr="00273F0E">
        <w:rPr>
          <w:rStyle w:val="Emphasis"/>
        </w:rPr>
        <w:t xml:space="preserve"> Response to the AER's draft decision, Appendix 5.01</w:t>
      </w:r>
      <w:r>
        <w:rPr>
          <w:rStyle w:val="Emphasis"/>
        </w:rPr>
        <w:t>:</w:t>
      </w:r>
      <w:r w:rsidRPr="00273F0E">
        <w:rPr>
          <w:rStyle w:val="Emphasis"/>
        </w:rPr>
        <w:t xml:space="preserve"> Detailed response to rate of return, gamma and inflation</w:t>
      </w:r>
      <w:r w:rsidRPr="00273F0E">
        <w:t>,</w:t>
      </w:r>
      <w:r>
        <w:t xml:space="preserve"> 6 January 2016, p</w:t>
      </w:r>
      <w:r w:rsidRPr="00273F0E">
        <w:t xml:space="preserve">. </w:t>
      </w:r>
      <w:r>
        <w:t>138</w:t>
      </w:r>
      <w:r w:rsidRPr="00273F0E">
        <w:t xml:space="preserve">; United Energy, </w:t>
      </w:r>
      <w:r w:rsidRPr="00273F0E">
        <w:rPr>
          <w:rStyle w:val="Emphasis"/>
        </w:rPr>
        <w:t>Response to AER preliminary determination</w:t>
      </w:r>
      <w:r w:rsidRPr="005666DD">
        <w:t>—</w:t>
      </w:r>
      <w:r w:rsidRPr="00273F0E">
        <w:rPr>
          <w:rStyle w:val="Emphasis"/>
        </w:rPr>
        <w:t>Re: rate of return and gamma</w:t>
      </w:r>
      <w:r>
        <w:t>, 6 January 2016, p</w:t>
      </w:r>
      <w:r w:rsidRPr="00273F0E">
        <w:t>.</w:t>
      </w:r>
      <w:r>
        <w:t xml:space="preserve"> 106</w:t>
      </w:r>
      <w:r w:rsidRPr="00273F0E">
        <w:t xml:space="preserve">; AGN, </w:t>
      </w:r>
      <w:r>
        <w:rPr>
          <w:rStyle w:val="Emphasis"/>
        </w:rPr>
        <w:t>2016/</w:t>
      </w:r>
      <w:r w:rsidRPr="00273F0E">
        <w:rPr>
          <w:rStyle w:val="Emphasis"/>
        </w:rPr>
        <w:t>17 to 2020/21 Access Arrangemen</w:t>
      </w:r>
      <w:r>
        <w:rPr>
          <w:rStyle w:val="Emphasis"/>
        </w:rPr>
        <w:t>t i</w:t>
      </w:r>
      <w:r w:rsidRPr="00273F0E">
        <w:rPr>
          <w:rStyle w:val="Emphasis"/>
        </w:rPr>
        <w:t>nformation</w:t>
      </w:r>
      <w:r>
        <w:rPr>
          <w:rStyle w:val="Emphasis"/>
        </w:rPr>
        <w:t>:</w:t>
      </w:r>
      <w:r w:rsidRPr="00273F0E">
        <w:rPr>
          <w:rStyle w:val="Emphasis"/>
        </w:rPr>
        <w:t xml:space="preserve"> </w:t>
      </w:r>
      <w:r>
        <w:rPr>
          <w:rStyle w:val="Emphasis"/>
        </w:rPr>
        <w:t>Response to draft decision,</w:t>
      </w:r>
      <w:r w:rsidRPr="00273F0E">
        <w:rPr>
          <w:rStyle w:val="Emphasis"/>
        </w:rPr>
        <w:t xml:space="preserve"> Attachment 10.26</w:t>
      </w:r>
      <w:r>
        <w:rPr>
          <w:rStyle w:val="Emphasis"/>
        </w:rPr>
        <w:t>:</w:t>
      </w:r>
      <w:r w:rsidRPr="00273F0E">
        <w:rPr>
          <w:rStyle w:val="Emphasis"/>
        </w:rPr>
        <w:t xml:space="preserve"> </w:t>
      </w:r>
      <w:r>
        <w:rPr>
          <w:rStyle w:val="Emphasis"/>
        </w:rPr>
        <w:t>R</w:t>
      </w:r>
      <w:r w:rsidRPr="00273F0E">
        <w:rPr>
          <w:rStyle w:val="Emphasis"/>
        </w:rPr>
        <w:t>ate of return</w:t>
      </w:r>
      <w:r w:rsidRPr="00273F0E">
        <w:t xml:space="preserve">, </w:t>
      </w:r>
      <w:r>
        <w:t>6 January 2016, p</w:t>
      </w:r>
      <w:r w:rsidRPr="00273F0E">
        <w:t xml:space="preserve">. </w:t>
      </w:r>
      <w:r>
        <w:t>83</w:t>
      </w:r>
      <w:r w:rsidRPr="00273F0E">
        <w:t xml:space="preserve">; AusNet Services, </w:t>
      </w:r>
      <w:r w:rsidRPr="00273F0E">
        <w:rPr>
          <w:rStyle w:val="Emphasis"/>
        </w:rPr>
        <w:t>Electricity distribution price review</w:t>
      </w:r>
      <w:r>
        <w:rPr>
          <w:rStyle w:val="Emphasis"/>
        </w:rPr>
        <w:t xml:space="preserve"> 2016–20: Revised regulatory proposal,</w:t>
      </w:r>
      <w:r w:rsidRPr="00273F0E">
        <w:rPr>
          <w:rStyle w:val="Emphasis"/>
        </w:rPr>
        <w:t xml:space="preserve"> Chapter 7</w:t>
      </w:r>
      <w:r>
        <w:rPr>
          <w:rStyle w:val="Emphasis"/>
        </w:rPr>
        <w:t>:</w:t>
      </w:r>
      <w:r w:rsidRPr="00273F0E">
        <w:rPr>
          <w:rStyle w:val="Emphasis"/>
        </w:rPr>
        <w:t xml:space="preserve"> Rate of return &amp; gamma</w:t>
      </w:r>
      <w:r w:rsidRPr="00273F0E">
        <w:t xml:space="preserve">, 6 January 2016, pp. </w:t>
      </w:r>
      <w:r>
        <w:t>103. APTNT and Jemena did not make this claim.</w:t>
      </w:r>
    </w:p>
  </w:footnote>
  <w:footnote w:id="575">
    <w:p w:rsidR="006345FD" w:rsidRDefault="006345FD" w:rsidP="00117328">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w:t>
      </w:r>
    </w:p>
  </w:footnote>
  <w:footnote w:id="576">
    <w:p w:rsidR="006345FD" w:rsidRDefault="006345FD" w:rsidP="00117328">
      <w:pPr>
        <w:pStyle w:val="FootnoteText"/>
      </w:pPr>
      <w:r>
        <w:rPr>
          <w:rStyle w:val="FootnoteReference"/>
        </w:rPr>
        <w:footnoteRef/>
      </w:r>
      <w:r>
        <w:t xml:space="preserve"> </w:t>
      </w:r>
      <w:r>
        <w:tab/>
        <w:t xml:space="preserve">Frontier Economics, </w:t>
      </w:r>
      <w:r w:rsidRPr="00331E87">
        <w:rPr>
          <w:rStyle w:val="AERtextitalic"/>
        </w:rPr>
        <w:t>Estimating the equity beta for the benchmark efficient entity</w:t>
      </w:r>
      <w:r>
        <w:t>, January 2016, p. 22 (fn. 23).</w:t>
      </w:r>
    </w:p>
  </w:footnote>
  <w:footnote w:id="577">
    <w:p w:rsidR="006345FD" w:rsidRDefault="006345FD" w:rsidP="00780B07">
      <w:pPr>
        <w:pStyle w:val="FootnoteText"/>
      </w:pPr>
      <w:r>
        <w:rPr>
          <w:rStyle w:val="FootnoteReference"/>
        </w:rPr>
        <w:footnoteRef/>
      </w:r>
      <w:r>
        <w:t xml:space="preserve"> </w:t>
      </w:r>
      <w:r>
        <w:tab/>
        <w:t xml:space="preserve">ECCSA, </w:t>
      </w:r>
      <w:r w:rsidRPr="00DA67DD">
        <w:rPr>
          <w:rStyle w:val="AERtextitalic"/>
        </w:rPr>
        <w:t>A response to the Australian Energy Regulator draft decision on Australian Gas Networks AA2016 revenue reset</w:t>
      </w:r>
      <w:r>
        <w:t>, February 2016, p. 34.</w:t>
      </w:r>
    </w:p>
  </w:footnote>
  <w:footnote w:id="578">
    <w:p w:rsidR="006345FD" w:rsidRDefault="006345FD" w:rsidP="00780B07">
      <w:pPr>
        <w:pStyle w:val="FootnoteText"/>
      </w:pPr>
      <w:r>
        <w:rPr>
          <w:rStyle w:val="FootnoteReference"/>
        </w:rPr>
        <w:footnoteRef/>
      </w:r>
      <w:r>
        <w:t xml:space="preserve"> </w:t>
      </w:r>
      <w:r>
        <w:tab/>
      </w:r>
      <w:r w:rsidRPr="00F64B59">
        <w:t xml:space="preserve">CCP3, </w:t>
      </w:r>
      <w:r w:rsidRPr="00F64B59">
        <w:rPr>
          <w:rStyle w:val="AERtextitalic"/>
        </w:rPr>
        <w:t>Submission to t</w:t>
      </w:r>
      <w:r>
        <w:rPr>
          <w:rStyle w:val="AERtextitalic"/>
        </w:rPr>
        <w:t xml:space="preserve">he AER: </w:t>
      </w:r>
      <w:r w:rsidRPr="00F64B59">
        <w:rPr>
          <w:rStyle w:val="AERtextitalic"/>
        </w:rPr>
        <w:t>Response to AER Preliminary Decisions and revised proposals from Victorian electricity DNSPs for a revenue reset for the 2016–2020 regulatory period</w:t>
      </w:r>
      <w:r w:rsidRPr="00F64B59">
        <w:t>, February 2016</w:t>
      </w:r>
      <w:r>
        <w:t>, pp. 83, 94-95.</w:t>
      </w:r>
    </w:p>
  </w:footnote>
  <w:footnote w:id="579">
    <w:p w:rsidR="006345FD" w:rsidRDefault="006345FD" w:rsidP="007D6D75">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580">
    <w:p w:rsidR="006345FD" w:rsidRDefault="006345FD" w:rsidP="00961F79">
      <w:pPr>
        <w:pStyle w:val="FootnoteText"/>
      </w:pPr>
      <w:r>
        <w:rPr>
          <w:rStyle w:val="FootnoteReference"/>
        </w:rPr>
        <w:footnoteRef/>
      </w:r>
      <w:r>
        <w:t xml:space="preserve"> </w:t>
      </w:r>
      <w:r>
        <w:tab/>
      </w:r>
      <w:r w:rsidRPr="001413ED">
        <w:t xml:space="preserve">AER, </w:t>
      </w:r>
      <w:r w:rsidRPr="00B26B3C">
        <w:rPr>
          <w:rStyle w:val="AERtextitalic"/>
        </w:rPr>
        <w:t xml:space="preserve">Preliminary decision </w:t>
      </w:r>
      <w:r>
        <w:rPr>
          <w:rStyle w:val="AERtextitalic"/>
        </w:rPr>
        <w:t xml:space="preserve">CitiPower </w:t>
      </w:r>
      <w:r w:rsidRPr="00B26B3C">
        <w:rPr>
          <w:rStyle w:val="AERtextitalic"/>
        </w:rPr>
        <w:t>determination, Attachment 3 Rate of return</w:t>
      </w:r>
      <w:r w:rsidRPr="001413ED">
        <w:t xml:space="preserve">, </w:t>
      </w:r>
      <w:r>
        <w:t xml:space="preserve">October </w:t>
      </w:r>
      <w:r w:rsidRPr="001413ED">
        <w:t>2015, p</w:t>
      </w:r>
      <w:r>
        <w:t>p</w:t>
      </w:r>
      <w:r w:rsidRPr="001413ED">
        <w:t xml:space="preserve">. </w:t>
      </w:r>
      <w:r>
        <w:t>255</w:t>
      </w:r>
      <w:r>
        <w:rPr>
          <w:rFonts w:cs="Arial"/>
        </w:rPr>
        <w:t>–</w:t>
      </w:r>
      <w:r>
        <w:t>6; CitiPower</w:t>
      </w:r>
      <w:r w:rsidRPr="00E04B8A">
        <w:t xml:space="preserve">, </w:t>
      </w:r>
      <w:r w:rsidRPr="005C2943">
        <w:rPr>
          <w:rStyle w:val="AERtextitalic"/>
        </w:rPr>
        <w:t>Regulatory Proposal</w:t>
      </w:r>
      <w:r w:rsidRPr="00E04B8A">
        <w:t xml:space="preserve">, </w:t>
      </w:r>
      <w:r>
        <w:t xml:space="preserve">April 2015, </w:t>
      </w:r>
      <w:r w:rsidRPr="00E04B8A">
        <w:t xml:space="preserve">p. </w:t>
      </w:r>
      <w:r>
        <w:t>240</w:t>
      </w:r>
      <w:r w:rsidRPr="00E04B8A">
        <w:t>.</w:t>
      </w:r>
    </w:p>
  </w:footnote>
  <w:footnote w:id="581">
    <w:p w:rsidR="006345FD" w:rsidRDefault="006345FD" w:rsidP="00961F79">
      <w:pPr>
        <w:pStyle w:val="FootnoteText"/>
      </w:pPr>
      <w:r>
        <w:rPr>
          <w:rStyle w:val="FootnoteReference"/>
        </w:rPr>
        <w:footnoteRef/>
      </w:r>
      <w:r>
        <w:t xml:space="preserve"> </w:t>
      </w:r>
      <w:r>
        <w:tab/>
        <w:t xml:space="preserve">Further, </w:t>
      </w:r>
      <w:r w:rsidRPr="007614B1">
        <w:t>RBA forecasts have been marginally more accurate than private sector forecasts</w:t>
      </w:r>
      <w:r>
        <w:t xml:space="preserve">. Tullip, P., Wallace, S., 'Estimates of uncertainty around the RBA’s forecasts’, </w:t>
      </w:r>
      <w:r w:rsidRPr="00EC657C">
        <w:rPr>
          <w:i/>
        </w:rPr>
        <w:t>RBA Research Discussion Paper – November 2012</w:t>
      </w:r>
      <w:r>
        <w:t xml:space="preserve">, RDP2012-07, p. 30. </w:t>
      </w:r>
    </w:p>
  </w:footnote>
  <w:footnote w:id="582">
    <w:p w:rsidR="006345FD" w:rsidRDefault="006345FD" w:rsidP="00961F79">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583">
    <w:p w:rsidR="006345FD" w:rsidRDefault="006345FD" w:rsidP="00961F79">
      <w:pPr>
        <w:pStyle w:val="FootnoteText"/>
      </w:pPr>
      <w:r>
        <w:rPr>
          <w:rStyle w:val="FootnoteReference"/>
        </w:rPr>
        <w:footnoteRef/>
      </w:r>
      <w:r>
        <w:t xml:space="preserve"> </w:t>
      </w:r>
      <w:r>
        <w:tab/>
      </w:r>
      <w:r w:rsidRPr="001413ED">
        <w:t xml:space="preserve">AER, </w:t>
      </w:r>
      <w:r w:rsidRPr="00B26B3C">
        <w:rPr>
          <w:rStyle w:val="AERtextitalic"/>
        </w:rPr>
        <w:t xml:space="preserve">Preliminary decision </w:t>
      </w:r>
      <w:r>
        <w:rPr>
          <w:rStyle w:val="AERtextitalic"/>
        </w:rPr>
        <w:t>CitiPower</w:t>
      </w:r>
      <w:r w:rsidRPr="00B26B3C">
        <w:rPr>
          <w:rStyle w:val="AERtextitalic"/>
        </w:rPr>
        <w:t xml:space="preserve"> determination, Attachment 3 Rate of return</w:t>
      </w:r>
      <w:r w:rsidRPr="001413ED">
        <w:t xml:space="preserve">, </w:t>
      </w:r>
      <w:r>
        <w:t>October 2015, p. 255</w:t>
      </w:r>
      <w:r w:rsidRPr="001413ED">
        <w:t>.</w:t>
      </w:r>
    </w:p>
  </w:footnote>
  <w:footnote w:id="584">
    <w:p w:rsidR="006345FD" w:rsidRDefault="006345FD" w:rsidP="00961F79">
      <w:pPr>
        <w:pStyle w:val="FootnoteText"/>
      </w:pPr>
      <w:r>
        <w:rPr>
          <w:rStyle w:val="FootnoteReference"/>
        </w:rPr>
        <w:footnoteRef/>
      </w:r>
      <w:r>
        <w:t xml:space="preserve"> </w:t>
      </w:r>
      <w:r>
        <w:tab/>
        <w:t xml:space="preserve">This is consistent with the forecasts CitiPower submitted we use in its late submission on 9 May 2016 (although we adopted these independently of its late submission). We note that CitiPower submitted this update would result in an estimate of 2.35%. However, we have applied an estimate of 2.32% (which is a geometric average rather than an arithmetic average). See GM Regulation </w:t>
      </w:r>
      <w:r>
        <w:rPr>
          <w:rFonts w:cs="Arial"/>
        </w:rPr>
        <w:t>—</w:t>
      </w:r>
      <w:r>
        <w:t xml:space="preserve">CitiPower and Powercor Australia, </w:t>
      </w:r>
      <w:r w:rsidRPr="00173FD8">
        <w:rPr>
          <w:rStyle w:val="AERtextitalic"/>
        </w:rPr>
        <w:t>Email to GM —AER: Inflation forecast for the PTRM</w:t>
      </w:r>
      <w:r>
        <w:t>, 9 May 2016 (LATE SUBMISSION).</w:t>
      </w:r>
    </w:p>
  </w:footnote>
  <w:footnote w:id="585">
    <w:p w:rsidR="006345FD" w:rsidRDefault="006345FD" w:rsidP="00961F79">
      <w:pPr>
        <w:pStyle w:val="FootnoteText"/>
      </w:pPr>
      <w:r>
        <w:rPr>
          <w:rStyle w:val="FootnoteReference"/>
        </w:rPr>
        <w:footnoteRef/>
      </w:r>
      <w:r>
        <w:t xml:space="preserve"> </w:t>
      </w:r>
      <w:r>
        <w:tab/>
        <w:t>CitiPower</w:t>
      </w:r>
      <w:r w:rsidRPr="00E04B8A">
        <w:t xml:space="preserve">, </w:t>
      </w:r>
      <w:r w:rsidRPr="005C2943">
        <w:rPr>
          <w:rStyle w:val="AERtextitalic"/>
        </w:rPr>
        <w:t>Regulatory Proposal</w:t>
      </w:r>
      <w:r w:rsidRPr="00E04B8A">
        <w:t xml:space="preserve">, </w:t>
      </w:r>
      <w:r>
        <w:t xml:space="preserve">April 2015, </w:t>
      </w:r>
      <w:r w:rsidRPr="00E04B8A">
        <w:t xml:space="preserve">p. </w:t>
      </w:r>
      <w:r>
        <w:t>240.</w:t>
      </w:r>
    </w:p>
  </w:footnote>
  <w:footnote w:id="586">
    <w:p w:rsidR="006345FD" w:rsidRDefault="006345FD" w:rsidP="00961F79">
      <w:pPr>
        <w:pStyle w:val="FootnoteText"/>
      </w:pPr>
      <w:r>
        <w:rPr>
          <w:rStyle w:val="FootnoteReference"/>
        </w:rPr>
        <w:footnoteRef/>
      </w:r>
      <w:r>
        <w:t xml:space="preserve"> </w:t>
      </w:r>
      <w:r>
        <w:tab/>
        <w:t xml:space="preserve">CitiPower, </w:t>
      </w:r>
      <w:r w:rsidRPr="000B2E88">
        <w:rPr>
          <w:rStyle w:val="AERtextitalic"/>
        </w:rPr>
        <w:t>Revised regulatory proposal</w:t>
      </w:r>
      <w:r>
        <w:t>, January 2016, p. 383.</w:t>
      </w:r>
    </w:p>
  </w:footnote>
  <w:footnote w:id="587">
    <w:p w:rsidR="006345FD" w:rsidRDefault="006345FD" w:rsidP="00961F79">
      <w:pPr>
        <w:pStyle w:val="FootnoteText"/>
      </w:pPr>
      <w:r>
        <w:rPr>
          <w:rStyle w:val="FootnoteReference"/>
        </w:rPr>
        <w:footnoteRef/>
      </w:r>
      <w:r>
        <w:t xml:space="preserve"> </w:t>
      </w:r>
      <w:r>
        <w:tab/>
        <w:t xml:space="preserve">CitiPower, </w:t>
      </w:r>
      <w:r w:rsidRPr="000B2E88">
        <w:rPr>
          <w:rStyle w:val="AERtextitalic"/>
        </w:rPr>
        <w:t>Revised regulatory proposal</w:t>
      </w:r>
      <w:r>
        <w:t>, January 2016, pp. 376</w:t>
      </w:r>
      <w:r>
        <w:rPr>
          <w:rFonts w:cs="Arial"/>
        </w:rPr>
        <w:t>–</w:t>
      </w:r>
      <w:r>
        <w:t>383.</w:t>
      </w:r>
    </w:p>
  </w:footnote>
  <w:footnote w:id="588">
    <w:p w:rsidR="006345FD" w:rsidRDefault="006345FD" w:rsidP="00961F79">
      <w:pPr>
        <w:pStyle w:val="FootnoteText"/>
      </w:pPr>
      <w:r>
        <w:rPr>
          <w:rStyle w:val="FootnoteReference"/>
        </w:rPr>
        <w:footnoteRef/>
      </w:r>
      <w:r>
        <w:t xml:space="preserve"> </w:t>
      </w:r>
      <w:r>
        <w:tab/>
      </w:r>
      <w:r w:rsidRPr="00623CE5">
        <w:t xml:space="preserve">CEG, </w:t>
      </w:r>
      <w:r w:rsidRPr="000119CA">
        <w:rPr>
          <w:rStyle w:val="AERtextitalic"/>
        </w:rPr>
        <w:t>Measuring expected inflation for the PTRM</w:t>
      </w:r>
      <w:r>
        <w:t>, June 2015</w:t>
      </w:r>
      <w:r w:rsidRPr="00623CE5">
        <w:t>.</w:t>
      </w:r>
    </w:p>
  </w:footnote>
  <w:footnote w:id="589">
    <w:p w:rsidR="006345FD" w:rsidRDefault="006345FD" w:rsidP="00961F79">
      <w:pPr>
        <w:pStyle w:val="FootnoteText"/>
      </w:pPr>
      <w:r>
        <w:rPr>
          <w:rStyle w:val="FootnoteReference"/>
        </w:rPr>
        <w:footnoteRef/>
      </w:r>
      <w:r>
        <w:t xml:space="preserve"> </w:t>
      </w:r>
      <w:r>
        <w:tab/>
        <w:t>We consider we would need to adjust for biases if we estimated breakeven expected inflation using either interest swaps or indexed CGSs. However, some evidence indicates that inflation swaps might produce better estimates than indexed CGSs. For instance, i</w:t>
      </w:r>
      <w:r w:rsidRPr="00513EB9">
        <w:t xml:space="preserve">n February 2015, the RBA noted </w:t>
      </w:r>
      <w:r>
        <w:t xml:space="preserve">that </w:t>
      </w:r>
      <w:r w:rsidRPr="00513EB9">
        <w:t xml:space="preserve">fluctuations in market liquidity </w:t>
      </w:r>
      <w:r>
        <w:t>affect the inflation swap market</w:t>
      </w:r>
      <w:r w:rsidRPr="00513EB9">
        <w:t xml:space="preserve"> less </w:t>
      </w:r>
      <w:r>
        <w:t>than</w:t>
      </w:r>
      <w:r w:rsidRPr="00513EB9">
        <w:t xml:space="preserve"> </w:t>
      </w:r>
      <w:r>
        <w:t>the indexed CGS market</w:t>
      </w:r>
      <w:r w:rsidRPr="00513EB9">
        <w:t xml:space="preserve">. </w:t>
      </w:r>
      <w:r>
        <w:t>See RBA</w:t>
      </w:r>
      <w:r w:rsidRPr="00565371">
        <w:t xml:space="preserve">, </w:t>
      </w:r>
      <w:r w:rsidRPr="00CD79C5">
        <w:rPr>
          <w:rStyle w:val="AERtextitalic"/>
        </w:rPr>
        <w:t>Statement on Monetary Policy</w:t>
      </w:r>
      <w:r w:rsidRPr="00565371">
        <w:t>, February</w:t>
      </w:r>
      <w:r>
        <w:t xml:space="preserve"> 2015</w:t>
      </w:r>
      <w:r w:rsidRPr="00565371">
        <w:t>, p. 50</w:t>
      </w:r>
      <w:r>
        <w:t>. T</w:t>
      </w:r>
      <w:r w:rsidRPr="00513EB9">
        <w:t xml:space="preserve">he RBA </w:t>
      </w:r>
      <w:r>
        <w:t xml:space="preserve">previously found </w:t>
      </w:r>
      <w:r w:rsidRPr="00513EB9">
        <w:t>inflation swaps tend to be a more useful source of information on expected inflation in practice since (as of March 2012) there were few indexed CGS on issue and that the indexed CGS</w:t>
      </w:r>
      <w:r>
        <w:t xml:space="preserve">s were </w:t>
      </w:r>
      <w:r w:rsidRPr="00513EB9">
        <w:t>somewhat less liquid than nominal CGS</w:t>
      </w:r>
      <w:r>
        <w:t>s</w:t>
      </w:r>
      <w:r w:rsidRPr="00513EB9">
        <w:t xml:space="preserve">.  While the supply of indexed CGS has increased since the RBA’s finding, the liquidity of indexed CGS relative to that of nominal CGS appears not to have improved considerably.  </w:t>
      </w:r>
      <w:r>
        <w:t xml:space="preserve">See; </w:t>
      </w:r>
      <w:r w:rsidRPr="00565371">
        <w:t>Finlay</w:t>
      </w:r>
      <w:r>
        <w:t xml:space="preserve">, R., </w:t>
      </w:r>
      <w:r w:rsidRPr="00565371">
        <w:t>Olivan</w:t>
      </w:r>
      <w:r>
        <w:t>, D.</w:t>
      </w:r>
      <w:r w:rsidRPr="00565371">
        <w:t xml:space="preserve">, ‘Extracting Information from Financial Market Instruments’, </w:t>
      </w:r>
      <w:r w:rsidRPr="007D3879">
        <w:rPr>
          <w:rStyle w:val="AERtextitalic"/>
        </w:rPr>
        <w:t>RBA Bulletin</w:t>
      </w:r>
      <w:r w:rsidRPr="00565371">
        <w:t>, March Quarter</w:t>
      </w:r>
      <w:r>
        <w:t xml:space="preserve"> 2012</w:t>
      </w:r>
      <w:r w:rsidRPr="00565371">
        <w:t>, pp. 45-46.</w:t>
      </w:r>
    </w:p>
  </w:footnote>
  <w:footnote w:id="590">
    <w:p w:rsidR="006345FD" w:rsidRDefault="006345FD" w:rsidP="00961F79">
      <w:pPr>
        <w:pStyle w:val="FootnoteText"/>
      </w:pPr>
      <w:r>
        <w:rPr>
          <w:rStyle w:val="FootnoteReference"/>
        </w:rPr>
        <w:footnoteRef/>
      </w:r>
      <w:r>
        <w:t xml:space="preserve"> </w:t>
      </w:r>
      <w:r>
        <w:tab/>
        <w:t>As required by of cll. 6.16 and 6A.20 of the NER.</w:t>
      </w:r>
    </w:p>
  </w:footnote>
  <w:footnote w:id="591">
    <w:p w:rsidR="006345FD" w:rsidRDefault="006345FD" w:rsidP="00961F79">
      <w:pPr>
        <w:pStyle w:val="FootnoteText"/>
      </w:pPr>
      <w:r>
        <w:rPr>
          <w:rStyle w:val="FootnoteReference"/>
        </w:rPr>
        <w:footnoteRef/>
      </w:r>
      <w:r>
        <w:t xml:space="preserve"> </w:t>
      </w:r>
      <w:r>
        <w:tab/>
        <w:t xml:space="preserve">CitiPower, </w:t>
      </w:r>
      <w:r w:rsidRPr="000B2E88">
        <w:rPr>
          <w:rStyle w:val="AERtextitalic"/>
        </w:rPr>
        <w:t>Revised regulatory proposal</w:t>
      </w:r>
      <w:r>
        <w:t>, January 2016, pp. 376</w:t>
      </w:r>
      <w:r>
        <w:rPr>
          <w:rFonts w:cs="Arial"/>
        </w:rPr>
        <w:t>–</w:t>
      </w:r>
      <w:r>
        <w:t>383.</w:t>
      </w:r>
    </w:p>
  </w:footnote>
  <w:footnote w:id="592">
    <w:p w:rsidR="006345FD" w:rsidRDefault="006345FD" w:rsidP="00961F79">
      <w:pPr>
        <w:pStyle w:val="FootnoteText"/>
      </w:pPr>
      <w:r>
        <w:rPr>
          <w:rStyle w:val="FootnoteReference"/>
        </w:rPr>
        <w:footnoteRef/>
      </w:r>
      <w:r>
        <w:t xml:space="preserve"> </w:t>
      </w:r>
      <w:r>
        <w:tab/>
      </w:r>
      <w:r w:rsidRPr="00623CE5">
        <w:t xml:space="preserve">CEG, </w:t>
      </w:r>
      <w:r w:rsidRPr="000119CA">
        <w:rPr>
          <w:rStyle w:val="AERtextitalic"/>
        </w:rPr>
        <w:t>Measuring expected inflation for the PTRM</w:t>
      </w:r>
      <w:r>
        <w:t>, June 2015.</w:t>
      </w:r>
    </w:p>
  </w:footnote>
  <w:footnote w:id="593">
    <w:p w:rsidR="006345FD" w:rsidRDefault="006345FD" w:rsidP="00961F79">
      <w:pPr>
        <w:pStyle w:val="FootnoteText"/>
      </w:pPr>
      <w:r>
        <w:rPr>
          <w:rStyle w:val="FootnoteReference"/>
        </w:rPr>
        <w:footnoteRef/>
      </w:r>
      <w:r>
        <w:t xml:space="preserve"> </w:t>
      </w:r>
      <w:r>
        <w:tab/>
      </w:r>
      <w:r w:rsidRPr="00623CE5">
        <w:t xml:space="preserve">CEG, </w:t>
      </w:r>
      <w:r w:rsidRPr="000119CA">
        <w:rPr>
          <w:rStyle w:val="AERtextitalic"/>
        </w:rPr>
        <w:t>Measuring expected inflation for the PTRM</w:t>
      </w:r>
      <w:r>
        <w:t>, June 2015, pp. 1</w:t>
      </w:r>
      <w:r>
        <w:rPr>
          <w:rFonts w:cs="Arial"/>
        </w:rPr>
        <w:t>–</w:t>
      </w:r>
      <w:r>
        <w:t>2.</w:t>
      </w:r>
    </w:p>
  </w:footnote>
  <w:footnote w:id="594">
    <w:p w:rsidR="006345FD" w:rsidRDefault="006345FD" w:rsidP="00961F79">
      <w:pPr>
        <w:pStyle w:val="FootnoteText"/>
      </w:pPr>
      <w:r>
        <w:rPr>
          <w:rStyle w:val="FootnoteReference"/>
        </w:rPr>
        <w:footnoteRef/>
      </w:r>
      <w:r>
        <w:t xml:space="preserve"> </w:t>
      </w:r>
      <w:r>
        <w:tab/>
        <w:t xml:space="preserve">CitiPower proposes the AER adopt a 10 year term in </w:t>
      </w:r>
      <w:r w:rsidRPr="006B14AF">
        <w:rPr>
          <w:rStyle w:val="AERtextitalic"/>
        </w:rPr>
        <w:t>Re</w:t>
      </w:r>
      <w:r>
        <w:rPr>
          <w:rStyle w:val="AERtextitalic"/>
        </w:rPr>
        <w:t>vised regulatory proposal</w:t>
      </w:r>
      <w:r>
        <w:t>, January 2016, p. 262.</w:t>
      </w:r>
    </w:p>
  </w:footnote>
  <w:footnote w:id="595">
    <w:p w:rsidR="006345FD" w:rsidRDefault="006345FD" w:rsidP="00961F79">
      <w:pPr>
        <w:pStyle w:val="FootnoteText"/>
      </w:pPr>
      <w:r>
        <w:rPr>
          <w:rStyle w:val="FootnoteReference"/>
        </w:rPr>
        <w:footnoteRef/>
      </w:r>
      <w:r>
        <w:t xml:space="preserve"> </w:t>
      </w:r>
      <w:r>
        <w:tab/>
        <w:t xml:space="preserve">CEG, </w:t>
      </w:r>
      <w:r w:rsidRPr="00E61DFD">
        <w:rPr>
          <w:rStyle w:val="AERtextitalic"/>
        </w:rPr>
        <w:t>A methodology for estimating expected inflation: A report for ElectraNet</w:t>
      </w:r>
      <w:r w:rsidRPr="00822045">
        <w:t>, 17 January 2008</w:t>
      </w:r>
      <w:r>
        <w:t>, p. 3.</w:t>
      </w:r>
    </w:p>
  </w:footnote>
  <w:footnote w:id="596">
    <w:p w:rsidR="006345FD" w:rsidRDefault="006345FD" w:rsidP="00961F79">
      <w:pPr>
        <w:pStyle w:val="FootnoteText"/>
      </w:pPr>
      <w:r>
        <w:rPr>
          <w:rStyle w:val="FootnoteReference"/>
        </w:rPr>
        <w:footnoteRef/>
      </w:r>
      <w:r>
        <w:t xml:space="preserve"> </w:t>
      </w:r>
      <w:r>
        <w:tab/>
        <w:t xml:space="preserve">NERA, </w:t>
      </w:r>
      <w:r w:rsidRPr="00E61DFD">
        <w:rPr>
          <w:rStyle w:val="AERtextitalic"/>
        </w:rPr>
        <w:t>AER SP AusNet draft determination: Inflation expectations - TransGrid</w:t>
      </w:r>
      <w:r w:rsidRPr="00822045">
        <w:t>, November 2007</w:t>
      </w:r>
      <w:r>
        <w:t>,</w:t>
      </w:r>
      <w:r w:rsidRPr="00822045">
        <w:t xml:space="preserve"> pp. 4–5.</w:t>
      </w:r>
    </w:p>
  </w:footnote>
  <w:footnote w:id="597">
    <w:p w:rsidR="006345FD" w:rsidRDefault="006345FD" w:rsidP="00961F79">
      <w:pPr>
        <w:pStyle w:val="FootnoteText"/>
      </w:pPr>
      <w:r>
        <w:rPr>
          <w:rStyle w:val="FootnoteReference"/>
        </w:rPr>
        <w:footnoteRef/>
      </w:r>
      <w:r>
        <w:t xml:space="preserve"> </w:t>
      </w:r>
      <w:r>
        <w:tab/>
        <w:t xml:space="preserve">CEG, </w:t>
      </w:r>
      <w:r w:rsidRPr="005E1601">
        <w:rPr>
          <w:rStyle w:val="AERtextitalic"/>
        </w:rPr>
        <w:t>Measuring expected inflation for the PTRM</w:t>
      </w:r>
      <w:r>
        <w:t>, June 2015, p. 7.</w:t>
      </w:r>
    </w:p>
  </w:footnote>
  <w:footnote w:id="598">
    <w:p w:rsidR="006345FD" w:rsidRDefault="006345FD" w:rsidP="00961F79">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599">
    <w:p w:rsidR="006345FD" w:rsidRDefault="006345FD" w:rsidP="00961F79">
      <w:pPr>
        <w:pStyle w:val="FootnoteText"/>
      </w:pPr>
      <w:r>
        <w:rPr>
          <w:rStyle w:val="FootnoteReference"/>
        </w:rPr>
        <w:footnoteRef/>
      </w:r>
      <w:r>
        <w:t xml:space="preserve"> </w:t>
      </w:r>
      <w:r>
        <w:tab/>
        <w:t xml:space="preserve">CEG, </w:t>
      </w:r>
      <w:r w:rsidRPr="005E1601">
        <w:rPr>
          <w:rStyle w:val="AERtextitalic"/>
        </w:rPr>
        <w:t>Expected inflation estimation methodology: A report for Country Energy</w:t>
      </w:r>
      <w:r>
        <w:t>, April 2008, pp. 4.</w:t>
      </w:r>
    </w:p>
  </w:footnote>
  <w:footnote w:id="600">
    <w:p w:rsidR="006345FD" w:rsidRDefault="006345FD" w:rsidP="00961F79">
      <w:pPr>
        <w:pStyle w:val="FootnoteText"/>
      </w:pPr>
      <w:r>
        <w:rPr>
          <w:rStyle w:val="FootnoteReference"/>
        </w:rPr>
        <w:footnoteRef/>
      </w:r>
      <w:r>
        <w:t xml:space="preserve"> </w:t>
      </w:r>
      <w:r>
        <w:tab/>
        <w:t xml:space="preserve">Tullip, P., Wallace, S., 'Estimates of uncertainty around the RBA’s forecasts’, </w:t>
      </w:r>
      <w:r w:rsidRPr="00EC657C">
        <w:rPr>
          <w:i/>
        </w:rPr>
        <w:t>RBA Research Discussion Paper – November 2012</w:t>
      </w:r>
      <w:r>
        <w:t xml:space="preserve">, RDP2012-07, p. 30. </w:t>
      </w:r>
    </w:p>
  </w:footnote>
  <w:footnote w:id="601">
    <w:p w:rsidR="006345FD" w:rsidRDefault="006345FD" w:rsidP="00961F79">
      <w:pPr>
        <w:pStyle w:val="FootnoteText"/>
      </w:pPr>
      <w:r>
        <w:rPr>
          <w:rStyle w:val="FootnoteReference"/>
        </w:rPr>
        <w:footnoteRef/>
      </w:r>
      <w:r>
        <w:t xml:space="preserve"> </w:t>
      </w:r>
      <w:r>
        <w:tab/>
      </w:r>
      <w:r w:rsidRPr="00F93084">
        <w:t xml:space="preserve">AER, </w:t>
      </w:r>
      <w:r w:rsidRPr="00F93084">
        <w:rPr>
          <w:rStyle w:val="AERtextitalic"/>
        </w:rPr>
        <w:t>Final decision: SP AusNet transmission determination 2008–9 to 2013–14</w:t>
      </w:r>
      <w:r>
        <w:t>, January 2008, pp. 103</w:t>
      </w:r>
      <w:r w:rsidRPr="00DD1454">
        <w:t>–</w:t>
      </w:r>
      <w:r>
        <w:t xml:space="preserve">4; </w:t>
      </w:r>
      <w:r w:rsidRPr="00F93084">
        <w:t xml:space="preserve">RBA, </w:t>
      </w:r>
      <w:r>
        <w:rPr>
          <w:rStyle w:val="AERtextitalic"/>
        </w:rPr>
        <w:t>L</w:t>
      </w:r>
      <w:r w:rsidRPr="00DD1454">
        <w:rPr>
          <w:rStyle w:val="AERtextitalic"/>
        </w:rPr>
        <w:t>etter to ACCC</w:t>
      </w:r>
      <w:r>
        <w:t xml:space="preserve">, 9 August 2007, p. 3; </w:t>
      </w:r>
      <w:r w:rsidRPr="00F93084">
        <w:t xml:space="preserve">Australian Treasury, </w:t>
      </w:r>
      <w:r w:rsidRPr="00DD1454">
        <w:rPr>
          <w:rStyle w:val="AERtextitalic"/>
        </w:rPr>
        <w:t>The Treasury bond yield as a proxy for the CAPM risk-free rate, Letter to ACCC</w:t>
      </w:r>
      <w:r w:rsidRPr="00F93084">
        <w:t>, 7 August 2007</w:t>
      </w:r>
      <w:r>
        <w:t xml:space="preserve">, </w:t>
      </w:r>
      <w:r w:rsidRPr="00F93084">
        <w:t>p.</w:t>
      </w:r>
      <w:r>
        <w:t xml:space="preserve"> </w:t>
      </w:r>
      <w:r w:rsidRPr="00F93084">
        <w:t>5.</w:t>
      </w:r>
    </w:p>
  </w:footnote>
  <w:footnote w:id="602">
    <w:p w:rsidR="006345FD" w:rsidRDefault="006345FD" w:rsidP="00961F79">
      <w:pPr>
        <w:pStyle w:val="FootnoteText"/>
      </w:pPr>
      <w:r>
        <w:rPr>
          <w:rStyle w:val="FootnoteReference"/>
        </w:rPr>
        <w:footnoteRef/>
      </w:r>
      <w:r>
        <w:t xml:space="preserve"> </w:t>
      </w:r>
      <w:r>
        <w:tab/>
        <w:t xml:space="preserve">For example, see Barne, M.L.; Bodie, Z.; Triest, R.K.; Wang, J.C., 'A TIPS scorecard: are they accomplishing their objectives?', </w:t>
      </w:r>
      <w:r w:rsidRPr="002803B6">
        <w:rPr>
          <w:rStyle w:val="AERtextitalic"/>
        </w:rPr>
        <w:t>Financial Analysts Journal</w:t>
      </w:r>
      <w:r>
        <w:t xml:space="preserve">, Vol. 66, No. 5, 2015, p. 70; D'Amico, S., Kim, D.H., Wei, M., 'Tips from TIPS: the informational content of Treasury inflation-protected security prices', </w:t>
      </w:r>
      <w:r w:rsidRPr="001711CB">
        <w:rPr>
          <w:rStyle w:val="AERtextitalic"/>
        </w:rPr>
        <w:t>Federal Reserve Board</w:t>
      </w:r>
      <w:r>
        <w:t>, Washington D.C., 2010</w:t>
      </w:r>
      <w:r>
        <w:rPr>
          <w:rFonts w:cs="Arial"/>
        </w:rPr>
        <w:t>–</w:t>
      </w:r>
      <w:r>
        <w:t>19 (Version December 2009), p. 2.</w:t>
      </w:r>
    </w:p>
  </w:footnote>
  <w:footnote w:id="603">
    <w:p w:rsidR="006345FD" w:rsidRDefault="006345FD" w:rsidP="00961F79">
      <w:pPr>
        <w:pStyle w:val="FootnoteText"/>
      </w:pPr>
      <w:r>
        <w:rPr>
          <w:rStyle w:val="FootnoteReference"/>
        </w:rPr>
        <w:footnoteRef/>
      </w:r>
      <w:r>
        <w:t xml:space="preserve"> </w:t>
      </w:r>
      <w:r>
        <w:tab/>
        <w:t xml:space="preserve">Scholtes, C., </w:t>
      </w:r>
      <w:r w:rsidRPr="00B0559D">
        <w:t xml:space="preserve">‘On market-based measures of inflation expectations’, </w:t>
      </w:r>
      <w:r w:rsidRPr="00B0559D">
        <w:rPr>
          <w:rStyle w:val="AERtextitalic"/>
        </w:rPr>
        <w:t>Bank of England Quarterly Bulletin</w:t>
      </w:r>
      <w:r>
        <w:t xml:space="preserve">, </w:t>
      </w:r>
      <w:r w:rsidRPr="00B0559D">
        <w:t>Spring</w:t>
      </w:r>
      <w:r>
        <w:t xml:space="preserve"> 2002</w:t>
      </w:r>
      <w:r w:rsidRPr="00B0559D">
        <w:t>, p. 71.</w:t>
      </w:r>
    </w:p>
  </w:footnote>
  <w:footnote w:id="604">
    <w:p w:rsidR="006345FD" w:rsidRDefault="006345FD" w:rsidP="00961F79">
      <w:pPr>
        <w:pStyle w:val="FootnoteText"/>
      </w:pPr>
      <w:r>
        <w:rPr>
          <w:rStyle w:val="FootnoteReference"/>
        </w:rPr>
        <w:footnoteRef/>
      </w:r>
      <w:r>
        <w:t xml:space="preserve"> </w:t>
      </w:r>
      <w:r>
        <w:tab/>
      </w:r>
      <w:r w:rsidRPr="00C048AF">
        <w:t xml:space="preserve">Examining the US bond market over 2000 to 2008, Grishchenko and Huang (2012) </w:t>
      </w:r>
      <w:r>
        <w:t xml:space="preserve">found the inflation risk premium to range </w:t>
      </w:r>
      <w:r w:rsidRPr="00C048AF">
        <w:t>from -0.16 to 0.10. They attribute</w:t>
      </w:r>
      <w:r>
        <w:t>d</w:t>
      </w:r>
      <w:r w:rsidRPr="00C048AF">
        <w:t xml:space="preserve"> the negative inflation risk premium embedded in nominal bonds to the deflation scare of 2002-2003 and the illiquidity of indexed bonds. Grishchenko</w:t>
      </w:r>
      <w:r>
        <w:t xml:space="preserve">, O., Huang,  J.Z. </w:t>
      </w:r>
      <w:r w:rsidRPr="00C048AF">
        <w:t>(2012), ‘Inflation Risk Premium: Evidence from the TIPS market’, Finance and Economics Discussion Series Divisions of Research and Statistics and Monetary Affairs, Federal Reserve Board, Washington, D.C. 2012-06, pp. 1-46. Campbell and Shiller also f</w:t>
      </w:r>
      <w:r>
        <w:t>ound</w:t>
      </w:r>
      <w:r w:rsidRPr="00C048AF">
        <w:t xml:space="preserve"> that with inflation positively correlated with stock prices during the US economic downturn (2009), the inflation risk premium in nominal Treasury bonds is likely negative. </w:t>
      </w:r>
      <w:r>
        <w:t xml:space="preserve">See </w:t>
      </w:r>
      <w:r w:rsidRPr="00C048AF">
        <w:t>Campbell,</w:t>
      </w:r>
      <w:r>
        <w:t xml:space="preserve"> J., </w:t>
      </w:r>
      <w:r w:rsidRPr="00C048AF">
        <w:t>Shiller</w:t>
      </w:r>
      <w:r>
        <w:t xml:space="preserve">, R., Viceira, L. </w:t>
      </w:r>
      <w:r w:rsidRPr="00C048AF">
        <w:t xml:space="preserve">(2009), ‘Understanding Inflation-Indexed Bond Markets’, </w:t>
      </w:r>
      <w:r w:rsidRPr="008B1038">
        <w:rPr>
          <w:rStyle w:val="AERtextitalic"/>
        </w:rPr>
        <w:t>Brookings Papers on Economic Activity</w:t>
      </w:r>
      <w:r w:rsidRPr="00C048AF">
        <w:t>, Spring 2009, p. 115.</w:t>
      </w:r>
    </w:p>
  </w:footnote>
  <w:footnote w:id="605">
    <w:p w:rsidR="006345FD" w:rsidRDefault="006345FD" w:rsidP="00961F79">
      <w:pPr>
        <w:pStyle w:val="FootnoteText"/>
      </w:pPr>
      <w:r>
        <w:rPr>
          <w:rStyle w:val="FootnoteReference"/>
        </w:rPr>
        <w:footnoteRef/>
      </w:r>
      <w:r>
        <w:t xml:space="preserve"> </w:t>
      </w:r>
      <w:r>
        <w:tab/>
      </w:r>
      <w:r w:rsidRPr="00973235">
        <w:t>Shen</w:t>
      </w:r>
      <w:r>
        <w:t>, P.,</w:t>
      </w:r>
      <w:r w:rsidRPr="00973235">
        <w:t xml:space="preserve"> </w:t>
      </w:r>
      <w:r>
        <w:t>Corning, J.</w:t>
      </w:r>
      <w:r w:rsidRPr="00973235">
        <w:t>, ‘Can TIPS Help Identify Lon</w:t>
      </w:r>
      <w:r>
        <w:t xml:space="preserve">g-Term Inflation Expectations?’, </w:t>
      </w:r>
      <w:r w:rsidRPr="00973235">
        <w:rPr>
          <w:rStyle w:val="AERtextitalic"/>
        </w:rPr>
        <w:t>Federal Reserve Bank of Kansas City, Economic Review</w:t>
      </w:r>
      <w:r w:rsidRPr="00973235">
        <w:t>, Fourth Quarter</w:t>
      </w:r>
      <w:r>
        <w:t xml:space="preserve"> 2001, pp. 61¬</w:t>
      </w:r>
      <w:r w:rsidRPr="00973235">
        <w:t>87.</w:t>
      </w:r>
    </w:p>
  </w:footnote>
  <w:footnote w:id="606">
    <w:p w:rsidR="006345FD" w:rsidRDefault="006345FD" w:rsidP="00961F79">
      <w:pPr>
        <w:pStyle w:val="FootnoteText"/>
      </w:pPr>
      <w:r>
        <w:rPr>
          <w:rStyle w:val="FootnoteReference"/>
        </w:rPr>
        <w:footnoteRef/>
      </w:r>
      <w:r>
        <w:t xml:space="preserve"> </w:t>
      </w:r>
      <w:r>
        <w:tab/>
      </w:r>
      <w:r w:rsidRPr="002A517F">
        <w:t>The RBA observed that because indexed CGS are indexed with a lag (of 4.5 to 5.5 months)</w:t>
      </w:r>
      <w:r>
        <w:t>,</w:t>
      </w:r>
      <w:r w:rsidRPr="002A517F">
        <w:t xml:space="preserve"> indexed CGS yields also reflect historical inflation not just future expected inflation. </w:t>
      </w:r>
      <w:r>
        <w:t xml:space="preserve">The RBA noted because of indexation lag, the high realised inflation rate during 2008 was reflected in the narrow breakeven inflation rate of 90 basis points during that year (based on a 2 year breakeven inflation rate), although other potential causes of the narrow breakeven rate were also identified, such as a possible increase in indexed bond liquidity premia. </w:t>
      </w:r>
      <w:r w:rsidRPr="002A517F">
        <w:t>The RBA had undertaken modelling to remove the index lag distortion from indexed bond yields in their estimation of expected inflation from the implied breakeven inflation rate.</w:t>
      </w:r>
      <w:r>
        <w:t xml:space="preserve"> </w:t>
      </w:r>
      <w:r w:rsidRPr="00973235">
        <w:t>Finlay</w:t>
      </w:r>
      <w:r>
        <w:t>, R,</w:t>
      </w:r>
      <w:r w:rsidRPr="00973235">
        <w:t xml:space="preserve"> Wende</w:t>
      </w:r>
      <w:r>
        <w:t>, S.</w:t>
      </w:r>
      <w:r w:rsidRPr="00973235">
        <w:t xml:space="preserve">, ‘Estimating Inflation Expectations with a Limited Number of Inflation-indexed Bonds’, </w:t>
      </w:r>
      <w:r w:rsidRPr="00973235">
        <w:rPr>
          <w:rStyle w:val="AERtextitalic"/>
        </w:rPr>
        <w:t>Resear</w:t>
      </w:r>
      <w:r>
        <w:rPr>
          <w:rStyle w:val="AERtextitalic"/>
        </w:rPr>
        <w:t xml:space="preserve">ch Discussion Paper: </w:t>
      </w:r>
      <w:r w:rsidRPr="00973235">
        <w:rPr>
          <w:rStyle w:val="AERtextitalic"/>
        </w:rPr>
        <w:t>Reserve Bank of Australia</w:t>
      </w:r>
      <w:r w:rsidRPr="00973235">
        <w:t>, RDP 2011-01, March</w:t>
      </w:r>
      <w:r>
        <w:t xml:space="preserve"> 2011</w:t>
      </w:r>
      <w:r w:rsidRPr="00973235">
        <w:t>, p</w:t>
      </w:r>
      <w:r>
        <w:t>p</w:t>
      </w:r>
      <w:r w:rsidRPr="00973235">
        <w:t>.</w:t>
      </w:r>
      <w:r>
        <w:t xml:space="preserve"> 17</w:t>
      </w:r>
      <w:r>
        <w:rPr>
          <w:rFonts w:cs="Arial"/>
        </w:rPr>
        <w:t>–</w:t>
      </w:r>
      <w:r>
        <w:t>18,</w:t>
      </w:r>
      <w:r w:rsidRPr="00973235">
        <w:t xml:space="preserve"> 20.</w:t>
      </w:r>
    </w:p>
  </w:footnote>
  <w:footnote w:id="607">
    <w:p w:rsidR="006345FD" w:rsidRDefault="006345FD" w:rsidP="00961F79">
      <w:pPr>
        <w:pStyle w:val="FootnoteText"/>
      </w:pPr>
      <w:r>
        <w:rPr>
          <w:rStyle w:val="FootnoteReference"/>
        </w:rPr>
        <w:footnoteRef/>
      </w:r>
      <w:r>
        <w:t xml:space="preserve"> </w:t>
      </w:r>
      <w:r>
        <w:tab/>
        <w:t xml:space="preserve">Grishchenko and Huang found </w:t>
      </w:r>
      <w:r w:rsidRPr="00973235">
        <w:t xml:space="preserve">the indexation lag of 3 months for 10 year indexed US treasuries added over 4 basis points to real yields. </w:t>
      </w:r>
      <w:r w:rsidRPr="00B0559D">
        <w:t>Grishchenko</w:t>
      </w:r>
      <w:r>
        <w:t>, O., Huang, J.Z.</w:t>
      </w:r>
      <w:r w:rsidRPr="00B0559D">
        <w:t>, ‘Inflation Risk Premium: Evidence from the TIPS market’, F</w:t>
      </w:r>
      <w:r w:rsidRPr="00716CBC">
        <w:rPr>
          <w:rStyle w:val="AERtextitalic"/>
        </w:rPr>
        <w:t>inance and Economics Discussion Series Divisions of Research and Statistics and Monetary Affairs</w:t>
      </w:r>
      <w:r>
        <w:t xml:space="preserve">, Federal Reserve Board: </w:t>
      </w:r>
      <w:r w:rsidRPr="00B0559D">
        <w:t>Was</w:t>
      </w:r>
      <w:r>
        <w:t>hington D.C., 2012, pp. 1</w:t>
      </w:r>
      <w:r w:rsidRPr="00973235">
        <w:t>–</w:t>
      </w:r>
      <w:r>
        <w:t>46</w:t>
      </w:r>
      <w:r w:rsidRPr="00B0559D">
        <w:t>.</w:t>
      </w:r>
    </w:p>
  </w:footnote>
  <w:footnote w:id="608">
    <w:p w:rsidR="006345FD" w:rsidRDefault="006345FD" w:rsidP="00961F79">
      <w:pPr>
        <w:pStyle w:val="FootnoteText"/>
      </w:pPr>
      <w:r>
        <w:rPr>
          <w:rStyle w:val="FootnoteReference"/>
        </w:rPr>
        <w:footnoteRef/>
      </w:r>
      <w:r>
        <w:t xml:space="preserve"> </w:t>
      </w:r>
      <w:r>
        <w:tab/>
      </w:r>
      <w:r w:rsidRPr="00623CE5">
        <w:t xml:space="preserve">CEG, </w:t>
      </w:r>
      <w:r w:rsidRPr="000119CA">
        <w:rPr>
          <w:rStyle w:val="AERtextitalic"/>
        </w:rPr>
        <w:t>Measuring expected inflation for the PTRM</w:t>
      </w:r>
      <w:r>
        <w:t xml:space="preserve">, June 2015. Also see CEG, </w:t>
      </w:r>
      <w:r w:rsidRPr="00C57E79">
        <w:rPr>
          <w:rStyle w:val="AERtextitalic"/>
        </w:rPr>
        <w:t>Measuring expected inflation for the PTRM</w:t>
      </w:r>
      <w:r>
        <w:t>, January 2016.</w:t>
      </w:r>
    </w:p>
  </w:footnote>
  <w:footnote w:id="609">
    <w:p w:rsidR="006345FD" w:rsidRDefault="006345FD" w:rsidP="00961F79">
      <w:pPr>
        <w:pStyle w:val="FootnoteText"/>
      </w:pPr>
      <w:r>
        <w:rPr>
          <w:rStyle w:val="FootnoteReference"/>
        </w:rPr>
        <w:footnoteRef/>
      </w:r>
      <w:r>
        <w:t xml:space="preserve"> </w:t>
      </w:r>
      <w:r>
        <w:tab/>
      </w:r>
      <w:r w:rsidRPr="00E6433E">
        <w:t xml:space="preserve">CEG, </w:t>
      </w:r>
      <w:r w:rsidRPr="00E6433E">
        <w:rPr>
          <w:rStyle w:val="AERtextitalic"/>
        </w:rPr>
        <w:t>Expected inflation estimation methodology: A report for Country Energy</w:t>
      </w:r>
      <w:r w:rsidRPr="00E6433E">
        <w:t>, April 2008</w:t>
      </w:r>
      <w:r>
        <w:t xml:space="preserve">; </w:t>
      </w:r>
      <w:r w:rsidRPr="00E6433E">
        <w:t xml:space="preserve">Commonwealth Treasury, </w:t>
      </w:r>
      <w:r w:rsidRPr="00E6433E">
        <w:rPr>
          <w:rStyle w:val="AERtextitalic"/>
        </w:rPr>
        <w:t>Letter to Joe Dimasi, ACCC, ‘The Treasury Bond Yield As a Proxy For the CAPM Risk-Free Rate’</w:t>
      </w:r>
      <w:r w:rsidRPr="00E6433E">
        <w:t>, 7 August 2007</w:t>
      </w:r>
      <w:r>
        <w:t xml:space="preserve">; </w:t>
      </w:r>
      <w:r w:rsidRPr="00E6433E">
        <w:t xml:space="preserve">NERA, </w:t>
      </w:r>
      <w:r w:rsidRPr="00E6433E">
        <w:rPr>
          <w:rStyle w:val="AERtextitalic"/>
        </w:rPr>
        <w:t>Bias in the indexed CGS yields as a proxy for the CAPM risk free rate: A report for the ENA</w:t>
      </w:r>
      <w:r>
        <w:t xml:space="preserve">, March 2007; </w:t>
      </w:r>
      <w:r w:rsidRPr="00E6433E">
        <w:t xml:space="preserve">RBA, </w:t>
      </w:r>
      <w:r w:rsidRPr="00E6433E">
        <w:rPr>
          <w:rStyle w:val="AERtextitalic"/>
        </w:rPr>
        <w:t xml:space="preserve">Letter to Joe Dimasi, ACCC, Comments on a report prepared by NERA concerning the Commonwealth Government bond </w:t>
      </w:r>
      <w:r>
        <w:rPr>
          <w:rStyle w:val="AERtextitalic"/>
        </w:rPr>
        <w:t>market</w:t>
      </w:r>
      <w:r w:rsidRPr="00E6433E">
        <w:t>, 9 August 2007</w:t>
      </w:r>
      <w:r>
        <w:t>.</w:t>
      </w:r>
    </w:p>
  </w:footnote>
  <w:footnote w:id="610">
    <w:p w:rsidR="006345FD" w:rsidRDefault="006345FD" w:rsidP="00961F79">
      <w:pPr>
        <w:pStyle w:val="FootnoteText"/>
      </w:pPr>
      <w:r>
        <w:rPr>
          <w:rStyle w:val="FootnoteReference"/>
        </w:rPr>
        <w:footnoteRef/>
      </w:r>
      <w:r>
        <w:t xml:space="preserve"> </w:t>
      </w:r>
      <w:r>
        <w:tab/>
        <w:t xml:space="preserve">CEG, </w:t>
      </w:r>
      <w:r w:rsidRPr="000119CA">
        <w:rPr>
          <w:rStyle w:val="AERtextitalic"/>
        </w:rPr>
        <w:t>Measuring expected inflation for the PTRM</w:t>
      </w:r>
      <w:r>
        <w:t>, June 2015, pp. 6</w:t>
      </w:r>
      <w:r>
        <w:rPr>
          <w:rFonts w:cs="Arial"/>
        </w:rPr>
        <w:t>–</w:t>
      </w:r>
      <w:r>
        <w:t>7.</w:t>
      </w:r>
    </w:p>
  </w:footnote>
  <w:footnote w:id="611">
    <w:p w:rsidR="006345FD" w:rsidRDefault="006345FD" w:rsidP="00961F79">
      <w:pPr>
        <w:pStyle w:val="FootnoteText"/>
      </w:pPr>
      <w:r>
        <w:rPr>
          <w:rStyle w:val="FootnoteReference"/>
        </w:rPr>
        <w:footnoteRef/>
      </w:r>
      <w:r>
        <w:t xml:space="preserve"> </w:t>
      </w:r>
      <w:r>
        <w:tab/>
        <w:t>Australian Office of Financial Management, 'Treasury Indexed Bonds', 19 February 2016, accessed 25 February 2016, &lt;</w:t>
      </w:r>
      <w:r w:rsidRPr="008E62C4">
        <w:t>http://aofm.gov.au/ags/treasury-indexed-bonds/#Treasury_Indexed_Bonds_on_issue</w:t>
      </w:r>
      <w:r>
        <w:t>&gt;.</w:t>
      </w:r>
    </w:p>
  </w:footnote>
  <w:footnote w:id="612">
    <w:p w:rsidR="006345FD" w:rsidRDefault="006345FD" w:rsidP="00961F79">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7.</w:t>
      </w:r>
    </w:p>
  </w:footnote>
  <w:footnote w:id="613">
    <w:p w:rsidR="006345FD" w:rsidRDefault="006345FD" w:rsidP="00961F79">
      <w:pPr>
        <w:pStyle w:val="FootnoteText"/>
      </w:pPr>
      <w:r>
        <w:rPr>
          <w:rStyle w:val="FootnoteReference"/>
        </w:rPr>
        <w:footnoteRef/>
      </w:r>
      <w:r>
        <w:t xml:space="preserve"> </w:t>
      </w:r>
      <w:r>
        <w:tab/>
        <w:t>In their estimate of t</w:t>
      </w:r>
      <w:r w:rsidRPr="006D254B">
        <w:t xml:space="preserve">he liquidity premia in the breakeven </w:t>
      </w:r>
      <w:r>
        <w:t xml:space="preserve">inflation </w:t>
      </w:r>
      <w:r w:rsidRPr="006D254B">
        <w:t>rate</w:t>
      </w:r>
      <w:r>
        <w:t>, Gurkaynak et al (2010) employed</w:t>
      </w:r>
      <w:r w:rsidRPr="006D254B">
        <w:t xml:space="preserve"> trading volume of indexed Treasuries expressed share of total indexed and nominal Treasuries to measure of the relative liquidity of indexed US Treasuries. </w:t>
      </w:r>
      <w:r>
        <w:t xml:space="preserve">See </w:t>
      </w:r>
      <w:r w:rsidRPr="006D254B">
        <w:t xml:space="preserve"> Gurkaynak, </w:t>
      </w:r>
      <w:r>
        <w:t xml:space="preserve">R., Sack, B., Wright, J. </w:t>
      </w:r>
      <w:r w:rsidRPr="006D254B">
        <w:t xml:space="preserve">(2010), ‘The TIPS Yield Curve and Inflation Compensation’, </w:t>
      </w:r>
      <w:r w:rsidRPr="006D254B">
        <w:rPr>
          <w:rStyle w:val="AERtextitalic"/>
        </w:rPr>
        <w:t>American Economic Journal: Macroeconomics</w:t>
      </w:r>
      <w:r w:rsidRPr="006D254B">
        <w:t>, 2(1), pp. 70-92</w:t>
      </w:r>
    </w:p>
  </w:footnote>
  <w:footnote w:id="614">
    <w:p w:rsidR="006345FD" w:rsidRDefault="006345FD" w:rsidP="00961F79">
      <w:pPr>
        <w:pStyle w:val="FootnoteText"/>
      </w:pPr>
      <w:r>
        <w:rPr>
          <w:rStyle w:val="FootnoteReference"/>
        </w:rPr>
        <w:footnoteRef/>
      </w:r>
      <w:r>
        <w:t xml:space="preserve"> </w:t>
      </w:r>
      <w:r>
        <w:tab/>
        <w:t>The a</w:t>
      </w:r>
      <w:r w:rsidRPr="006D254B">
        <w:t>nnual trading volume of indexed CGS as a share of total CGS more than doubled in 2007</w:t>
      </w:r>
      <w:r>
        <w:t xml:space="preserve">-08, but </w:t>
      </w:r>
      <w:r w:rsidRPr="006D254B">
        <w:t>returned to its 2007-08 share in 2011-12 as new tranches of nominal CGS were issued. Currently, the share is only modestly above 2007-08 levels.</w:t>
      </w:r>
      <w:r>
        <w:t xml:space="preserve"> See data reported in AFMA, </w:t>
      </w:r>
      <w:r w:rsidRPr="007D3879">
        <w:rPr>
          <w:rStyle w:val="AERtextitalic"/>
        </w:rPr>
        <w:t>2015 Australian financial markets report</w:t>
      </w:r>
      <w:r>
        <w:t>, pp. 20</w:t>
      </w:r>
      <w:r>
        <w:rPr>
          <w:rFonts w:cs="Arial"/>
        </w:rPr>
        <w:t>–</w:t>
      </w:r>
      <w:r>
        <w:t xml:space="preserve">21; AFMA, 2012 </w:t>
      </w:r>
      <w:r w:rsidRPr="007D3879">
        <w:rPr>
          <w:rStyle w:val="AERtextitalic"/>
        </w:rPr>
        <w:t>Australian financial markets report</w:t>
      </w:r>
      <w:r>
        <w:t>, pp. 18</w:t>
      </w:r>
      <w:r w:rsidRPr="00941B3E">
        <w:t>–</w:t>
      </w:r>
      <w:r>
        <w:t>20.</w:t>
      </w:r>
    </w:p>
  </w:footnote>
  <w:footnote w:id="615">
    <w:p w:rsidR="006345FD" w:rsidRDefault="006345FD" w:rsidP="00961F79">
      <w:pPr>
        <w:pStyle w:val="FootnoteText"/>
      </w:pPr>
      <w:r>
        <w:rPr>
          <w:rStyle w:val="FootnoteReference"/>
        </w:rPr>
        <w:footnoteRef/>
      </w:r>
      <w:r>
        <w:t xml:space="preserve"> </w:t>
      </w:r>
      <w:r>
        <w:tab/>
        <w:t xml:space="preserve">For instance, see </w:t>
      </w:r>
      <w:r w:rsidRPr="006D254B">
        <w:t xml:space="preserve">Gurkaynak, </w:t>
      </w:r>
      <w:r>
        <w:t xml:space="preserve">R., Sack, B., Wright, J. </w:t>
      </w:r>
      <w:r w:rsidRPr="006D254B">
        <w:t xml:space="preserve">(2010), ‘The TIPS Yield Curve and Inflation Compensation’, </w:t>
      </w:r>
      <w:r w:rsidRPr="006D254B">
        <w:rPr>
          <w:rStyle w:val="AERtextitalic"/>
        </w:rPr>
        <w:t>American Economic Journal: Macroeconomics</w:t>
      </w:r>
      <w:r>
        <w:t xml:space="preserve">, 2(1), pp. 87-89; </w:t>
      </w:r>
      <w:r w:rsidRPr="00F65925">
        <w:t>Shen</w:t>
      </w:r>
      <w:r>
        <w:t>, P.,</w:t>
      </w:r>
      <w:r w:rsidRPr="00F65925">
        <w:t xml:space="preserve"> Corning </w:t>
      </w:r>
      <w:r>
        <w:t xml:space="preserve">, J. </w:t>
      </w:r>
      <w:r w:rsidRPr="00F65925">
        <w:t xml:space="preserve">(2001), ‘Can TIPS Help Identify Long-Term Inflation Expectations?’ Federal Reserve Bank of Kansas City, </w:t>
      </w:r>
      <w:r w:rsidRPr="00F65925">
        <w:rPr>
          <w:rStyle w:val="AERtextitalic"/>
        </w:rPr>
        <w:t>Economic Review</w:t>
      </w:r>
      <w:r w:rsidRPr="00F65925">
        <w:t>, Fourth Quarter, p. 76.</w:t>
      </w:r>
    </w:p>
  </w:footnote>
  <w:footnote w:id="616">
    <w:p w:rsidR="006345FD" w:rsidRDefault="006345FD" w:rsidP="00961F79">
      <w:pPr>
        <w:pStyle w:val="FootnoteText"/>
      </w:pPr>
      <w:r>
        <w:rPr>
          <w:rStyle w:val="FootnoteReference"/>
        </w:rPr>
        <w:footnoteRef/>
      </w:r>
      <w:r>
        <w:t xml:space="preserve"> </w:t>
      </w:r>
      <w:r>
        <w:tab/>
        <w:t xml:space="preserve">CEG, </w:t>
      </w:r>
      <w:r w:rsidRPr="00C57E79">
        <w:rPr>
          <w:rStyle w:val="AERtextitalic"/>
        </w:rPr>
        <w:t>Measuring expected inflation for the PTRM</w:t>
      </w:r>
      <w:r>
        <w:t xml:space="preserve">, January 2016, p. 13; CEG, </w:t>
      </w:r>
      <w:r w:rsidRPr="001711CB">
        <w:rPr>
          <w:rStyle w:val="AERtextitalic"/>
        </w:rPr>
        <w:t>Measuring expected inflation for the PTRM</w:t>
      </w:r>
      <w:r>
        <w:t>, June 2015, pp. 16</w:t>
      </w:r>
      <w:r w:rsidRPr="00BB27E9">
        <w:t>–</w:t>
      </w:r>
      <w:r>
        <w:t xml:space="preserve">17.  CEG references </w:t>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w:t>
      </w:r>
      <w:r w:rsidRPr="00DA325E">
        <w:t xml:space="preserve"> </w:t>
      </w:r>
      <w:r>
        <w:t>This states: 'w</w:t>
      </w:r>
      <w:r w:rsidRPr="00DA325E">
        <w:t>hile inflation swap rates generally move</w:t>
      </w:r>
      <w:r>
        <w:t xml:space="preserve"> </w:t>
      </w:r>
      <w:r w:rsidRPr="00DA325E">
        <w:t>closely in line with bond market break-evens, they have typically been around 20 basis</w:t>
      </w:r>
      <w:r>
        <w:t xml:space="preserve"> </w:t>
      </w:r>
      <w:r w:rsidRPr="00DA325E">
        <w:t>points higher at the 10-year tenor</w:t>
      </w:r>
      <w:r>
        <w:t>', p. 14.  However, it also discusses how the breakeven approach has competing biases that vary, particularly over longer time periods (pp. 10</w:t>
      </w:r>
      <w:r w:rsidRPr="00BB27E9">
        <w:t>–</w:t>
      </w:r>
      <w:r>
        <w:t>11).</w:t>
      </w:r>
    </w:p>
  </w:footnote>
  <w:footnote w:id="617">
    <w:p w:rsidR="006345FD" w:rsidRDefault="006345FD" w:rsidP="00961F79">
      <w:pPr>
        <w:pStyle w:val="FootnoteText"/>
      </w:pPr>
      <w:r>
        <w:rPr>
          <w:rStyle w:val="FootnoteReference"/>
        </w:rPr>
        <w:footnoteRef/>
      </w:r>
      <w:r>
        <w:t xml:space="preserve"> </w:t>
      </w:r>
      <w:r>
        <w:tab/>
      </w:r>
      <w:r w:rsidRPr="00DA325E">
        <w:t>Devlin</w:t>
      </w:r>
      <w:r>
        <w:t xml:space="preserve">, W., </w:t>
      </w:r>
      <w:r w:rsidRPr="00DA325E">
        <w:t>Patwardha,</w:t>
      </w:r>
      <w:r>
        <w:t xml:space="preserve"> D.,</w:t>
      </w:r>
      <w:r w:rsidRPr="00DA325E">
        <w:t xml:space="preserve"> </w:t>
      </w:r>
      <w:r>
        <w:t>'</w:t>
      </w:r>
      <w:r w:rsidRPr="00DA325E">
        <w:t>Measuring market inflation expectation</w:t>
      </w:r>
      <w:r>
        <w:t xml:space="preserve">', </w:t>
      </w:r>
      <w:r w:rsidRPr="001711CB">
        <w:rPr>
          <w:rStyle w:val="AERtextitalic"/>
        </w:rPr>
        <w:t>Economic Roundup</w:t>
      </w:r>
      <w:r>
        <w:t>, No. 2, 2012, p. 11; RBA</w:t>
      </w:r>
      <w:r w:rsidRPr="00717335">
        <w:t xml:space="preserve">, </w:t>
      </w:r>
      <w:r w:rsidRPr="00124922">
        <w:rPr>
          <w:rStyle w:val="AERtextitalic"/>
        </w:rPr>
        <w:t>Statement on Monetary Policy</w:t>
      </w:r>
      <w:r w:rsidRPr="00717335">
        <w:t>, February</w:t>
      </w:r>
      <w:r>
        <w:t xml:space="preserve"> 2015</w:t>
      </w:r>
      <w:r w:rsidRPr="00717335">
        <w:t>, p. 50; Haubrich</w:t>
      </w:r>
      <w:r>
        <w:t>,</w:t>
      </w:r>
      <w:r w:rsidRPr="00124922">
        <w:t xml:space="preserve"> </w:t>
      </w:r>
      <w:r w:rsidRPr="00717335">
        <w:t>J</w:t>
      </w:r>
      <w:r>
        <w:t>.</w:t>
      </w:r>
      <w:r w:rsidRPr="00717335">
        <w:t>, Pennachi</w:t>
      </w:r>
      <w:r>
        <w:t>,</w:t>
      </w:r>
      <w:r w:rsidRPr="00717335">
        <w:t xml:space="preserve"> G</w:t>
      </w:r>
      <w:r>
        <w:t xml:space="preserve">., </w:t>
      </w:r>
      <w:r w:rsidRPr="00717335">
        <w:t xml:space="preserve">Ritchken (2012), ‘Inflation Expectations, Real Rates, and Risk Premia: Evidence from Inflation Swaps’, </w:t>
      </w:r>
      <w:r w:rsidRPr="00124922">
        <w:rPr>
          <w:rStyle w:val="AERtextitalic"/>
        </w:rPr>
        <w:t>The Review of Financial Studies</w:t>
      </w:r>
      <w:r w:rsidRPr="00717335">
        <w:t>, 25(2), pp. 1590; Fleckenstein</w:t>
      </w:r>
      <w:r>
        <w:t>, M.</w:t>
      </w:r>
      <w:r w:rsidRPr="00717335">
        <w:t>, Longstaff</w:t>
      </w:r>
      <w:r>
        <w:t xml:space="preserve">, F., </w:t>
      </w:r>
      <w:r w:rsidRPr="00717335">
        <w:t>Lustig</w:t>
      </w:r>
      <w:r>
        <w:t>, H.</w:t>
      </w:r>
      <w:r w:rsidRPr="00717335">
        <w:t xml:space="preserve"> (2014), ‘The TIPS-Treasury Bonds Puzzle’, </w:t>
      </w:r>
      <w:r w:rsidRPr="00124922">
        <w:rPr>
          <w:rStyle w:val="AERtextitalic"/>
        </w:rPr>
        <w:t>The Journal of Finance</w:t>
      </w:r>
      <w:r w:rsidRPr="00717335">
        <w:t>, 69(5), October, pp. 2165-2167.</w:t>
      </w:r>
      <w:r>
        <w:t xml:space="preserve"> </w:t>
      </w:r>
      <w:r w:rsidRPr="00717335">
        <w:t xml:space="preserve">This was </w:t>
      </w:r>
      <w:r>
        <w:t xml:space="preserve">also </w:t>
      </w:r>
      <w:r w:rsidRPr="00717335">
        <w:t xml:space="preserve">observed by Campbell et al. (2009) during the height of the financial crisis. Campbell, </w:t>
      </w:r>
      <w:r>
        <w:t xml:space="preserve">J., </w:t>
      </w:r>
      <w:r w:rsidRPr="00717335">
        <w:t xml:space="preserve">Shiller </w:t>
      </w:r>
      <w:r>
        <w:t xml:space="preserve">, R., </w:t>
      </w:r>
      <w:r w:rsidRPr="00717335">
        <w:t>Viceira</w:t>
      </w:r>
      <w:r>
        <w:t xml:space="preserve">, L. </w:t>
      </w:r>
      <w:r w:rsidRPr="00717335">
        <w:t xml:space="preserve">(2009), ‘Understanding Inflation-Indexed Bond Markets’, </w:t>
      </w:r>
      <w:r w:rsidRPr="00124922">
        <w:rPr>
          <w:rStyle w:val="AERtextitalic"/>
        </w:rPr>
        <w:t>Brookings Papers on Economic Activity</w:t>
      </w:r>
      <w:r w:rsidRPr="00717335">
        <w:t>, Spring 2009, p. 109.</w:t>
      </w:r>
    </w:p>
  </w:footnote>
  <w:footnote w:id="618">
    <w:p w:rsidR="006345FD" w:rsidRDefault="006345FD" w:rsidP="00DB0499">
      <w:pPr>
        <w:pStyle w:val="FootnoteText"/>
      </w:pPr>
      <w:r>
        <w:rPr>
          <w:rStyle w:val="FootnoteReference"/>
        </w:rPr>
        <w:footnoteRef/>
      </w:r>
      <w:r>
        <w:t xml:space="preserve"> </w:t>
      </w:r>
      <w:r>
        <w:tab/>
      </w:r>
      <w:r w:rsidRPr="00A55151">
        <w:t xml:space="preserve">Citipower, Revised Regulatory Proposal 2016–2020, January 2016, pp. 296–297; Powercor, Revised Regulatory Proposal 2016–2020, January 2016, pp. 291–292, JEN, Revised regulatory proposal - attachment 6.1, January 2016, pp.45, 49–50 ; NERA, </w:t>
      </w:r>
      <w:r w:rsidRPr="00A55151">
        <w:rPr>
          <w:rStyle w:val="AERtextitalic"/>
        </w:rPr>
        <w:t>The cost of equity: response to the AER's final decisions for the NSW and ACT Electricity Distributors, and for Jemena Gas Networks</w:t>
      </w:r>
      <w:r w:rsidRPr="00A55151">
        <w:t xml:space="preserve">, June 2015; Frontier Economics, </w:t>
      </w:r>
      <w:r w:rsidRPr="00A55151">
        <w:rPr>
          <w:rStyle w:val="AERtextitalic"/>
        </w:rPr>
        <w:t>Key issues in estimating the return on equity for the benchmark efficient entity</w:t>
      </w:r>
      <w:r w:rsidRPr="00A55151">
        <w:t>, June 2015, p. 7 &amp; 25</w:t>
      </w:r>
      <w:r>
        <w:t>.</w:t>
      </w:r>
    </w:p>
  </w:footnote>
  <w:footnote w:id="619">
    <w:p w:rsidR="006345FD" w:rsidRDefault="006345FD" w:rsidP="00DB0499">
      <w:pPr>
        <w:pStyle w:val="FootnoteText"/>
      </w:pPr>
      <w:r>
        <w:rPr>
          <w:rStyle w:val="FootnoteReference"/>
        </w:rPr>
        <w:footnoteRef/>
      </w:r>
      <w:r>
        <w:t xml:space="preserve"> </w:t>
      </w:r>
      <w:r>
        <w:tab/>
        <w:t>AER, Rate of Return Guideline: Explanatory Statement, December 2013, p. 62.</w:t>
      </w:r>
    </w:p>
  </w:footnote>
  <w:footnote w:id="620">
    <w:p w:rsidR="006345FD" w:rsidRDefault="006345FD" w:rsidP="00DB0499">
      <w:pPr>
        <w:pStyle w:val="FootnoteText"/>
      </w:pPr>
      <w:r>
        <w:rPr>
          <w:rStyle w:val="FootnoteReference"/>
        </w:rPr>
        <w:footnoteRef/>
      </w:r>
      <w:r>
        <w:t xml:space="preserve"> </w:t>
      </w:r>
      <w:r>
        <w:tab/>
        <w:t>[2016] ACT 1 at 180-222</w:t>
      </w:r>
    </w:p>
  </w:footnote>
  <w:footnote w:id="621">
    <w:p w:rsidR="006345FD" w:rsidRDefault="006345FD" w:rsidP="00DB0499">
      <w:pPr>
        <w:pStyle w:val="FootnoteText"/>
      </w:pPr>
      <w:r>
        <w:rPr>
          <w:rStyle w:val="FootnoteReference"/>
        </w:rPr>
        <w:footnoteRef/>
      </w:r>
      <w:r>
        <w:t xml:space="preserve"> </w:t>
      </w:r>
      <w:r>
        <w:tab/>
        <w:t>[2016] ACT 1 at pp.200-201</w:t>
      </w:r>
    </w:p>
  </w:footnote>
  <w:footnote w:id="622">
    <w:p w:rsidR="006345FD" w:rsidRDefault="006345FD" w:rsidP="00DB0499">
      <w:pPr>
        <w:pStyle w:val="FootnoteText"/>
      </w:pPr>
      <w:r>
        <w:rPr>
          <w:rStyle w:val="FootnoteReference"/>
        </w:rPr>
        <w:footnoteRef/>
      </w:r>
      <w:r>
        <w:t xml:space="preserve"> </w:t>
      </w:r>
      <w:r>
        <w:tab/>
        <w:t>[2016] ACT 1 at 219-221</w:t>
      </w:r>
    </w:p>
  </w:footnote>
  <w:footnote w:id="623">
    <w:p w:rsidR="006345FD" w:rsidRDefault="006345FD" w:rsidP="001B6CF5">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w:t>
      </w:r>
      <w:r>
        <w:rPr>
          <w:rStyle w:val="AERtextitalic"/>
        </w:rPr>
        <w:t>rn on equity-detailed proposal</w:t>
      </w:r>
      <w:r w:rsidRPr="002220FC">
        <w:t xml:space="preserve">,  June 2015, p. </w:t>
      </w:r>
      <w:r>
        <w:t>45–50</w:t>
      </w:r>
      <w:r w:rsidRPr="002220FC">
        <w:t xml:space="preserve">; </w:t>
      </w:r>
      <w:r>
        <w:t>APTNT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Jemena Electricity Networks (Vic) Ltd, </w:t>
      </w:r>
      <w:r w:rsidRPr="002220FC">
        <w:rPr>
          <w:rStyle w:val="AERtextitalic"/>
        </w:rPr>
        <w:t>2016-20 Electricity Distribution Price Review Regulatory Proposal, Attachment 9-2, Rate of return proposal,</w:t>
      </w:r>
      <w:r w:rsidRPr="002220FC">
        <w:t xml:space="preserve"> April 2015, p</w:t>
      </w:r>
      <w:r>
        <w:t xml:space="preserve">p. 81–85; </w:t>
      </w:r>
      <w:r w:rsidRPr="007520DA">
        <w:t xml:space="preserve">CitiPower, </w:t>
      </w:r>
      <w:r w:rsidRPr="007520DA">
        <w:rPr>
          <w:rStyle w:val="Emphasis"/>
        </w:rPr>
        <w:t>Revised regulatory proposal 2016–2020</w:t>
      </w:r>
      <w:r w:rsidRPr="007520DA">
        <w:t xml:space="preserve">, January 2016, pp. 267, 281–326; Powercor, </w:t>
      </w:r>
      <w:r w:rsidRPr="007520DA">
        <w:rPr>
          <w:rStyle w:val="Emphasis"/>
        </w:rPr>
        <w:t>Revised regulatory proposal 2016–2020,</w:t>
      </w:r>
      <w:r w:rsidRPr="007520DA">
        <w:t xml:space="preserve"> January 2016, pp. 261, 275–320;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104–105; United Energy, </w:t>
      </w:r>
      <w:r w:rsidRPr="007520DA">
        <w:rPr>
          <w:rStyle w:val="Emphasis"/>
        </w:rPr>
        <w:t>Response to AER preliminary determination–Re: rate of return and gamma</w:t>
      </w:r>
      <w:r w:rsidRPr="007520DA">
        <w:t xml:space="preserve">, 6 January 2016, pp.37–40, 52–78;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75–77.</w:t>
      </w:r>
    </w:p>
  </w:footnote>
  <w:footnote w:id="624">
    <w:p w:rsidR="006345FD" w:rsidRDefault="006345FD" w:rsidP="001B6CF5">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625">
    <w:p w:rsidR="006345FD" w:rsidRDefault="006345FD" w:rsidP="00BA2E8E">
      <w:pPr>
        <w:pStyle w:val="FootnoteText"/>
      </w:pPr>
      <w:r>
        <w:rPr>
          <w:rStyle w:val="FootnoteReference"/>
        </w:rPr>
        <w:footnoteRef/>
      </w:r>
      <w:r>
        <w:t xml:space="preserve"> </w:t>
      </w:r>
      <w:r>
        <w:tab/>
        <w:t>See the '</w:t>
      </w:r>
      <w:r w:rsidRPr="00BA2E8E">
        <w:fldChar w:fldCharType="begin"/>
      </w:r>
      <w:r w:rsidRPr="00BA2E8E">
        <w:instrText xml:space="preserve"> REF _Ref446347167 \h </w:instrText>
      </w:r>
      <w:r>
        <w:instrText xml:space="preserve"> \* MERGEFORMAT </w:instrText>
      </w:r>
      <w:r w:rsidRPr="00BA2E8E">
        <w:fldChar w:fldCharType="separate"/>
      </w:r>
      <w:r w:rsidRPr="00BA2E8E">
        <w:rPr>
          <w:rStyle w:val="AERtextorange"/>
          <w:color w:val="auto"/>
        </w:rPr>
        <w:t>The overall return on equity</w:t>
      </w:r>
      <w:r w:rsidRPr="00BA2E8E">
        <w:fldChar w:fldCharType="end"/>
      </w:r>
      <w:r>
        <w:t xml:space="preserve">' subsection in section </w:t>
      </w:r>
      <w:r>
        <w:fldChar w:fldCharType="begin"/>
      </w:r>
      <w:r>
        <w:instrText xml:space="preserve"> REF _Ref430958591 \r \h </w:instrText>
      </w:r>
      <w:r>
        <w:fldChar w:fldCharType="separate"/>
      </w:r>
      <w:r>
        <w:t>3.4.1</w:t>
      </w:r>
      <w:r>
        <w:fldChar w:fldCharType="end"/>
      </w:r>
      <w:r>
        <w:t>.</w:t>
      </w:r>
    </w:p>
  </w:footnote>
  <w:footnote w:id="626">
    <w:p w:rsidR="006345FD" w:rsidRDefault="006345FD" w:rsidP="001B6CF5">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627">
    <w:p w:rsidR="006345FD" w:rsidRDefault="006345FD" w:rsidP="001B6CF5">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628">
    <w:p w:rsidR="006345FD" w:rsidRDefault="006345FD" w:rsidP="001B6CF5">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629">
    <w:p w:rsidR="006345FD" w:rsidRDefault="006345FD" w:rsidP="001B6CF5">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630">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31">
    <w:p w:rsidR="006345FD" w:rsidRDefault="006345FD" w:rsidP="001B6CF5">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632">
    <w:p w:rsidR="006345FD" w:rsidRDefault="006345FD" w:rsidP="001B6CF5">
      <w:pPr>
        <w:pStyle w:val="FootnoteText"/>
      </w:pPr>
      <w:r>
        <w:rPr>
          <w:rStyle w:val="FootnoteReference"/>
        </w:rPr>
        <w:footnoteRef/>
      </w:r>
      <w:r>
        <w:t xml:space="preserve"> </w:t>
      </w:r>
      <w:r>
        <w:tab/>
        <w:t xml:space="preserve">Partington &amp; Satchell, </w:t>
      </w:r>
      <w:r>
        <w:rPr>
          <w:rStyle w:val="AERtextitalic"/>
        </w:rPr>
        <w:t xml:space="preserve">Report to the AER: Analysis of criticism of 2015 determinations, </w:t>
      </w:r>
      <w:r>
        <w:t>October 2015, p. 17–21.</w:t>
      </w:r>
    </w:p>
  </w:footnote>
  <w:footnote w:id="633">
    <w:p w:rsidR="006345FD" w:rsidRDefault="006345FD" w:rsidP="001B6CF5">
      <w:pPr>
        <w:pStyle w:val="FootnoteText"/>
      </w:pPr>
      <w:r>
        <w:rPr>
          <w:rStyle w:val="FootnoteReference"/>
        </w:rPr>
        <w:footnoteRef/>
      </w:r>
      <w:r>
        <w:t xml:space="preserve"> </w:t>
      </w:r>
      <w:r>
        <w:tab/>
        <w:t xml:space="preserve">We acknowledge the study by </w:t>
      </w:r>
      <w:r w:rsidRPr="002101A8">
        <w:t xml:space="preserve">Stephan Schaeffler and Christoph Weber </w:t>
      </w:r>
      <w:r>
        <w:t xml:space="preserve">that </w:t>
      </w:r>
      <w:r w:rsidRPr="002101A8">
        <w:t>examined the</w:t>
      </w:r>
      <w:r>
        <w:t xml:space="preserve"> use of other models in</w:t>
      </w:r>
      <w:r w:rsidRPr="002101A8">
        <w:t xml:space="preserve"> regulatory practices in 21 countries</w:t>
      </w:r>
      <w:r>
        <w:t xml:space="preserve"> [</w:t>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r>
        <w:t>]. The same study also concluded</w:t>
      </w:r>
      <w:r w:rsidRPr="001562D4">
        <w:t xml:space="preserve"> that the</w:t>
      </w:r>
      <w:r>
        <w:t>,</w:t>
      </w:r>
      <w:r w:rsidRPr="001562D4">
        <w:t xml:space="preserve"> ‘standard model for determining capital costs’ for energy businesses is the </w:t>
      </w:r>
      <w:r>
        <w:t>SL</w:t>
      </w:r>
      <w:r w:rsidRPr="001562D4">
        <w:t>CAPM</w:t>
      </w:r>
      <w:r>
        <w:t xml:space="preserve">. </w:t>
      </w:r>
      <w:r w:rsidRPr="00145F2E">
        <w:t>We also note the prevalence of the S</w:t>
      </w:r>
      <w:r>
        <w:t xml:space="preserve">harpe-Lintner </w:t>
      </w:r>
      <w:r w:rsidRPr="00145F2E">
        <w:t xml:space="preserve">CAPM in recent valuation reports. In all the reports we examined, only one did not use the </w:t>
      </w:r>
      <w:r>
        <w:t>model</w:t>
      </w:r>
      <w:r w:rsidRPr="00145F2E">
        <w:t xml:space="preserve">. All other reports used the </w:t>
      </w:r>
      <w:r>
        <w:t>model</w:t>
      </w:r>
      <w:r w:rsidRPr="00145F2E">
        <w:t xml:space="preserve"> as the initial or primary estimation method. Only five of the reports examined utilised an alternative estimation model (the dividend growth model), and four of these five reports used the alternative model as a cross-check on </w:t>
      </w:r>
      <w:r>
        <w:t xml:space="preserve">the primary estimate from the Sharpe-Lintner </w:t>
      </w:r>
      <w:r w:rsidRPr="00145F2E">
        <w:t>CAPM. Ten reports noted the theory size premiums associated with the Fama-French three-factor model, but none took the further step to estimate the Fama-French model. No reports discussed the Black CAPM. We consider that the current evidence from independent valuation repor</w:t>
      </w:r>
      <w:r>
        <w:t xml:space="preserve">ts supports our view that the Sharpe-Lintner </w:t>
      </w:r>
      <w:r w:rsidRPr="00145F2E">
        <w:t>CAPM is the clearly superior model to use as the foundation model.</w:t>
      </w:r>
    </w:p>
  </w:footnote>
  <w:footnote w:id="634">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35">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636">
    <w:p w:rsidR="006345FD" w:rsidRDefault="006345FD" w:rsidP="001B6CF5">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p.38.</w:t>
      </w:r>
    </w:p>
  </w:footnote>
  <w:footnote w:id="637">
    <w:p w:rsidR="006345FD" w:rsidRDefault="006345FD" w:rsidP="007A3345">
      <w:pPr>
        <w:pStyle w:val="FootnoteText"/>
      </w:pPr>
      <w:r>
        <w:rPr>
          <w:rStyle w:val="FootnoteReference"/>
        </w:rPr>
        <w:footnoteRef/>
      </w:r>
      <w:r>
        <w:t xml:space="preserve"> </w:t>
      </w:r>
      <w:r>
        <w:tab/>
        <w:t xml:space="preserve"> </w:t>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1; </w:t>
      </w:r>
      <w:r>
        <w:t>APTNT</w:t>
      </w:r>
      <w:r w:rsidRPr="000A4185">
        <w:t xml:space="preserve">, </w:t>
      </w:r>
      <w:r w:rsidRPr="000A4185">
        <w:rPr>
          <w:rStyle w:val="AERtextitalic"/>
        </w:rPr>
        <w:t>Amadeus Gas Pipeline: Access Arrangement Revision Proposal</w:t>
      </w:r>
      <w:r w:rsidRPr="000A4185">
        <w:t xml:space="preserve">, August 2015, p. 137; AGN, </w:t>
      </w:r>
      <w:r w:rsidRPr="000A4185">
        <w:rPr>
          <w:rStyle w:val="AERtextitalic"/>
        </w:rPr>
        <w:t>2016/17 to 2020/21 Access Arrangement Information, Attachment 10.1: Rate of Return</w:t>
      </w:r>
      <w:r w:rsidRPr="000A4185">
        <w:t xml:space="preserve">, July 2015, p. 8; AusNet Services, </w:t>
      </w:r>
      <w:r w:rsidRPr="000A4185">
        <w:rPr>
          <w:rStyle w:val="AERtextitalic"/>
        </w:rPr>
        <w:t>Regulatory proposal 2016-20</w:t>
      </w:r>
      <w:r w:rsidRPr="000A4185">
        <w:t xml:space="preserve">, 30 April 2015, p. 331; United Energy, </w:t>
      </w:r>
      <w:r w:rsidRPr="000A4185">
        <w:rPr>
          <w:rStyle w:val="AERtextitalic"/>
        </w:rPr>
        <w:t>2016 to 2020 Regulatory Proposal,</w:t>
      </w:r>
      <w:r w:rsidRPr="000A4185">
        <w:t xml:space="preserve"> April 2015, p. 121; CitiPower, </w:t>
      </w:r>
      <w:r w:rsidRPr="000A4185">
        <w:rPr>
          <w:rStyle w:val="AERtextitalic"/>
        </w:rPr>
        <w:t>Regulatory proposal 2016-2020</w:t>
      </w:r>
      <w:r w:rsidRPr="000A4185">
        <w:t>, April 2015, p. 223; Powercor,</w:t>
      </w:r>
      <w:r>
        <w:t xml:space="preserve"> </w:t>
      </w:r>
      <w:r w:rsidRPr="00391C78">
        <w:rPr>
          <w:rStyle w:val="AERtextitalic"/>
        </w:rPr>
        <w:t>Regulatory proposal 2016-2020</w:t>
      </w:r>
      <w:r w:rsidRPr="004B6B80">
        <w:t>, April 2015</w:t>
      </w:r>
      <w:r>
        <w:t xml:space="preserve">, p. 231; </w:t>
      </w:r>
      <w:r w:rsidRPr="000A4185">
        <w:t xml:space="preserve">Jemena Electricity Networks (Vic) Ltd, </w:t>
      </w:r>
      <w:r w:rsidRPr="000A4185">
        <w:rPr>
          <w:rStyle w:val="AERtextitalic"/>
        </w:rPr>
        <w:t>2016-20 Electricity Distribution Price Review Regulatory Proposal, Attachment 9-2, Rate of return proposal,</w:t>
      </w:r>
      <w:r w:rsidRPr="000A4185">
        <w:t xml:space="preserve"> April 2015, p. 84.</w:t>
      </w:r>
    </w:p>
    <w:p w:rsidR="006345FD" w:rsidRDefault="006345FD" w:rsidP="001B6CF5">
      <w:pPr>
        <w:pStyle w:val="FootnoteText"/>
      </w:pPr>
      <w:r>
        <w:tab/>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37–38, 40–78;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42–83;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65–73;</w:t>
      </w:r>
    </w:p>
  </w:footnote>
  <w:footnote w:id="638">
    <w:p w:rsidR="006345FD" w:rsidRPr="007520DA" w:rsidRDefault="006345FD" w:rsidP="001B6CF5">
      <w:pPr>
        <w:pStyle w:val="FootnoteText"/>
      </w:pPr>
      <w:r>
        <w:rPr>
          <w:rStyle w:val="FootnoteReference"/>
        </w:rPr>
        <w:footnoteRef/>
      </w:r>
      <w:r>
        <w:t xml:space="preserve"> </w:t>
      </w:r>
      <w:r>
        <w:tab/>
      </w:r>
      <w:r w:rsidRPr="007520DA">
        <w:t xml:space="preserve">AGN, AusNet Services, CitiPower/Powercor, and United Energy each put forward a submission titled, </w:t>
      </w:r>
      <w:r w:rsidRPr="007520DA">
        <w:rPr>
          <w:rStyle w:val="AERtextitalic"/>
        </w:rPr>
        <w:t>Submission in relation to the first round of regulatory determination under the new rules</w:t>
      </w:r>
      <w:r w:rsidRPr="007520DA">
        <w:t xml:space="preserve"> in 13 February 2015; Several service providers also submitted NERA, </w:t>
      </w:r>
      <w:r w:rsidRPr="007520DA">
        <w:rPr>
          <w:rStyle w:val="AERtextitalic"/>
        </w:rPr>
        <w:t>Empirical performance of Sharpe–Lintner and Black CAPMs</w:t>
      </w:r>
      <w:r w:rsidRPr="007520DA">
        <w:t>, February 2015;</w:t>
      </w:r>
    </w:p>
    <w:p w:rsidR="006345FD" w:rsidRDefault="006345FD" w:rsidP="007A3345">
      <w:pPr>
        <w:pStyle w:val="FootnoteText"/>
      </w:pPr>
      <w:r w:rsidRPr="007520DA">
        <w:tab/>
        <w:t xml:space="preserve">Additionally, CitiPower/Powercor, Jemena Electricity Networks, United Energy, each put forward a submission titled </w:t>
      </w:r>
      <w:r w:rsidRPr="007520DA">
        <w:rPr>
          <w:rStyle w:val="AERtextitalic"/>
        </w:rPr>
        <w:t>Submission in relation to the current regulatory determination processes for SAPN, Energex, Ergon Energy, AGN in July 2015.</w:t>
      </w:r>
    </w:p>
  </w:footnote>
  <w:footnote w:id="639">
    <w:p w:rsidR="006345FD" w:rsidRDefault="006345FD" w:rsidP="001B6CF5">
      <w:pPr>
        <w:pStyle w:val="FootnoteText"/>
      </w:pPr>
      <w:r>
        <w:rPr>
          <w:rStyle w:val="FootnoteReference"/>
        </w:rPr>
        <w:footnoteRef/>
      </w:r>
      <w:r>
        <w:t xml:space="preserve"> </w:t>
      </w:r>
      <w:r>
        <w:tab/>
        <w:t>ActewAGL, Jemena Electricity Networks, AusNet Services, CitiPower/Powercor, APTNT, Australian Gas Networks (AGN) and United Energy.</w:t>
      </w:r>
    </w:p>
  </w:footnote>
  <w:footnote w:id="640">
    <w:p w:rsidR="006345FD" w:rsidRDefault="006345FD" w:rsidP="001B6CF5">
      <w:pPr>
        <w:pStyle w:val="FootnoteText"/>
      </w:pPr>
      <w:r>
        <w:rPr>
          <w:rStyle w:val="FootnoteReference"/>
        </w:rPr>
        <w:footnoteRef/>
      </w:r>
      <w:r>
        <w:t xml:space="preserve"> </w:t>
      </w:r>
      <w:r>
        <w:tab/>
        <w:t xml:space="preserve">Jemena Electricity Networks, AusNet Services, CitiPower/Powercor, APTNT, ActewAGL, Australian Gas Networks (AGN) and United Energy; </w:t>
      </w:r>
      <w:r w:rsidRPr="007520DA">
        <w:t xml:space="preserve">CitiPower, </w:t>
      </w:r>
      <w:r w:rsidRPr="007520DA">
        <w:rPr>
          <w:rStyle w:val="Emphasis"/>
        </w:rPr>
        <w:t>Revised regulatory proposal 2016–2020</w:t>
      </w:r>
      <w:r w:rsidRPr="007520DA">
        <w:t xml:space="preserve">, January 2016, pp. 267, 286–326; Powercor, </w:t>
      </w:r>
      <w:r w:rsidRPr="007520DA">
        <w:rPr>
          <w:rStyle w:val="Emphasis"/>
        </w:rPr>
        <w:t>Revised regulatory proposal 2016–2020,</w:t>
      </w:r>
      <w:r w:rsidRPr="007520DA">
        <w:t xml:space="preserve"> January 2016, pp. 261, 280–320; ActewAGL, </w:t>
      </w:r>
      <w:r w:rsidRPr="007520DA">
        <w:rPr>
          <w:rStyle w:val="Emphasis"/>
        </w:rPr>
        <w:t>Revised 2016–21 access ar</w:t>
      </w:r>
      <w:r>
        <w:rPr>
          <w:rStyle w:val="Emphasis"/>
        </w:rPr>
        <w:t>r</w:t>
      </w:r>
      <w:r w:rsidRPr="007520DA">
        <w:rPr>
          <w:rStyle w:val="Emphasis"/>
        </w:rPr>
        <w:t>angement proposal Response to the AER's draft decision, Appendix 5.01 Detailed response to rate of return, gamma and inflation</w:t>
      </w:r>
      <w:r w:rsidRPr="007520DA">
        <w:t xml:space="preserve">, January 2016, pp. 53–54, 56–105; United Energy, </w:t>
      </w:r>
      <w:r w:rsidRPr="007520DA">
        <w:rPr>
          <w:rStyle w:val="Emphasis"/>
        </w:rPr>
        <w:t>Response to AER preliminary determination–Re: rate of return and gamma</w:t>
      </w:r>
      <w:r w:rsidRPr="007520DA">
        <w:t xml:space="preserve">, 6 January 2016, pp. 37–78; AGN, </w:t>
      </w:r>
      <w:r w:rsidRPr="007520DA">
        <w:rPr>
          <w:rStyle w:val="Emphasis"/>
        </w:rPr>
        <w:t>2016–17 to 2020/21 Access Arrangement information response to draft decision: Attachment 10.26 Response to draft decision: rate of return</w:t>
      </w:r>
      <w:r w:rsidRPr="007520DA">
        <w:t xml:space="preserve">, January 2016, pp. 44–82 ; JEN (Vic), </w:t>
      </w:r>
      <w:r w:rsidRPr="007520DA">
        <w:rPr>
          <w:rStyle w:val="Emphasis"/>
        </w:rPr>
        <w:t>2016–20 Electricity distribution price review regulatory proposal revocation and substitution submission: Attachment 6–1 Rate of return, gamma, forecast inflation, and debt and equity raising costs,</w:t>
      </w:r>
      <w:r w:rsidRPr="007520DA">
        <w:t xml:space="preserve"> 6 January 2016, pp. 42–75; AusNet Services, </w:t>
      </w:r>
      <w:r w:rsidRPr="007520DA">
        <w:rPr>
          <w:rStyle w:val="Emphasis"/>
        </w:rPr>
        <w:t>Electricity distribution price review 2016–20 Revised regulatory proposal: Chapter 7 Rate of return &amp; gamma</w:t>
      </w:r>
      <w:r w:rsidRPr="007520DA">
        <w:t xml:space="preserve">, 6 January 2016, pp. 38–77; APTNT, </w:t>
      </w:r>
      <w:r w:rsidRPr="007520DA">
        <w:rPr>
          <w:rStyle w:val="Emphasis"/>
        </w:rPr>
        <w:t>Amadeus Gas Pipeline Access arrangement revised proposal: response to Draft Decision,</w:t>
      </w:r>
      <w:r w:rsidRPr="007520DA">
        <w:t xml:space="preserve"> January 2016, pp. 68–77.</w:t>
      </w:r>
    </w:p>
  </w:footnote>
  <w:footnote w:id="641">
    <w:p w:rsidR="006345FD" w:rsidRDefault="006345FD" w:rsidP="001B6CF5">
      <w:pPr>
        <w:pStyle w:val="FootnoteText"/>
      </w:pPr>
      <w:r>
        <w:rPr>
          <w:rStyle w:val="FootnoteReference"/>
        </w:rPr>
        <w:footnoteRef/>
      </w:r>
      <w:r>
        <w:t xml:space="preserve"> </w:t>
      </w:r>
      <w:r>
        <w:tab/>
      </w:r>
      <w:r w:rsidRPr="000A4185">
        <w:t xml:space="preserve">ActewAGL, </w:t>
      </w:r>
      <w:r w:rsidRPr="000A4185">
        <w:rPr>
          <w:rStyle w:val="AERtextitalic"/>
        </w:rPr>
        <w:t>Access Arrangement Information for the 2016-21 ACT, Queanbeyan and Palerang Access Arrangement, Appendix 8.02: Return on equity-detailed proposal, Submission to the Australian Energy Regulator</w:t>
      </w:r>
      <w:r w:rsidRPr="000A4185">
        <w:t xml:space="preserve">,  June 2015, p. </w:t>
      </w:r>
      <w:r>
        <w:t>2</w:t>
      </w:r>
      <w:r w:rsidRPr="000A4185">
        <w:t xml:space="preserve">; AusNet Services, </w:t>
      </w:r>
      <w:r w:rsidRPr="000A4185">
        <w:rPr>
          <w:rStyle w:val="AERtextitalic"/>
        </w:rPr>
        <w:t>Regulatory proposal 2016-20</w:t>
      </w:r>
      <w:r w:rsidRPr="000A4185">
        <w:t>, 30 April 2015, p. 3</w:t>
      </w:r>
      <w:r>
        <w:t>11</w:t>
      </w:r>
      <w:r w:rsidRPr="000A4185">
        <w:t xml:space="preserve">; United Energy, </w:t>
      </w:r>
      <w:r w:rsidRPr="000A4185">
        <w:rPr>
          <w:rStyle w:val="AERtextitalic"/>
        </w:rPr>
        <w:t>2016 to 2020 Regulatory Proposal,</w:t>
      </w:r>
      <w:r w:rsidRPr="000A4185">
        <w:t xml:space="preserve"> April 2015, p. 1</w:t>
      </w:r>
      <w:r>
        <w:t>13</w:t>
      </w:r>
      <w:r w:rsidRPr="000A4185">
        <w:t xml:space="preserve">; CitiPower, </w:t>
      </w:r>
      <w:r w:rsidRPr="000A4185">
        <w:rPr>
          <w:rStyle w:val="AERtextitalic"/>
        </w:rPr>
        <w:t>Regulatory proposal 2016-2020</w:t>
      </w:r>
      <w:r w:rsidRPr="000A4185">
        <w:t>, April 2015, p. 2</w:t>
      </w:r>
      <w:r>
        <w:t>10</w:t>
      </w:r>
      <w:r w:rsidRPr="000A4185">
        <w:t>;</w:t>
      </w:r>
      <w:r>
        <w:t xml:space="preserve"> </w:t>
      </w:r>
      <w:r w:rsidRPr="000A4185">
        <w:t>Powercor,</w:t>
      </w:r>
      <w:r>
        <w:t xml:space="preserve"> </w:t>
      </w:r>
      <w:r w:rsidRPr="00391C78">
        <w:rPr>
          <w:rStyle w:val="AERtextitalic"/>
        </w:rPr>
        <w:t>Regulatory proposal 2016-2020</w:t>
      </w:r>
      <w:r w:rsidRPr="004B6B80">
        <w:t>, April 2015</w:t>
      </w:r>
      <w:r>
        <w:t xml:space="preserve">, p. 218; </w:t>
      </w:r>
      <w:r w:rsidRPr="000A4185">
        <w:t xml:space="preserve">Jemena Electricity Networks (Vic) Ltd, </w:t>
      </w:r>
      <w:r w:rsidRPr="000A4185">
        <w:rPr>
          <w:rStyle w:val="AERtextitalic"/>
        </w:rPr>
        <w:t>2016-20 Electricity Distribution Price Review Regulatory Proposal, Attachment 9-2, Rate of return proposal,</w:t>
      </w:r>
      <w:r>
        <w:t xml:space="preserve"> April 2015, p. 4;;</w:t>
      </w:r>
      <w:r w:rsidRPr="0083726D">
        <w:t xml:space="preserve"> CitiPower</w:t>
      </w:r>
      <w:r w:rsidRPr="0083726D">
        <w:rPr>
          <w:rStyle w:val="Emphasis"/>
        </w:rPr>
        <w:t>, Revised regulatory proposal 2016–2020</w:t>
      </w:r>
      <w:r w:rsidRPr="0083726D">
        <w:t xml:space="preserve">, January 2016, pp. 286–292; Powercor, </w:t>
      </w:r>
      <w:r w:rsidRPr="0083726D">
        <w:rPr>
          <w:rStyle w:val="Emphasis"/>
        </w:rPr>
        <w:t>Revised regulatory proposal 2016–2020,</w:t>
      </w:r>
      <w:r w:rsidRPr="0083726D">
        <w:t xml:space="preserve"> January 2016, pp. 280–286; ActewAGL, </w:t>
      </w:r>
      <w:r w:rsidRPr="0083726D">
        <w:rPr>
          <w:rStyle w:val="Emphasis"/>
        </w:rPr>
        <w:t>Revised 2016–21 access ar</w:t>
      </w:r>
      <w:r>
        <w:rPr>
          <w:rStyle w:val="Emphasis"/>
        </w:rPr>
        <w:t>r</w:t>
      </w:r>
      <w:r w:rsidRPr="0083726D">
        <w:rPr>
          <w:rStyle w:val="Emphasis"/>
        </w:rPr>
        <w:t>angement proposal Response to the AER's draft decision, Appendix 5.01 Detailed response to rate of return, gamma and inflation</w:t>
      </w:r>
      <w:r w:rsidRPr="0083726D">
        <w:t xml:space="preserve">, January 2016, pp. 57–64; United Energy, </w:t>
      </w:r>
      <w:r w:rsidRPr="0083726D">
        <w:rPr>
          <w:rStyle w:val="Emphasis"/>
        </w:rPr>
        <w:t>Response to AER preliminary determination–Re: rate of return and gamma</w:t>
      </w:r>
      <w:r w:rsidRPr="0083726D">
        <w:t xml:space="preserve">, 6 January 2016, pp. 45–46, 69–70; AGN, </w:t>
      </w:r>
      <w:r w:rsidRPr="0083726D">
        <w:rPr>
          <w:rStyle w:val="Emphasis"/>
        </w:rPr>
        <w:t>2016–17 to 2020/21 Access Arrangement information response to draft decision: Attachment 10.26 Response to draft decision: rate of return</w:t>
      </w:r>
      <w:r w:rsidRPr="0083726D">
        <w:t xml:space="preserve">, January 2016, pp. 50–52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49–51; AusNet Services, </w:t>
      </w:r>
      <w:r w:rsidRPr="0083726D">
        <w:rPr>
          <w:rStyle w:val="Emphasis"/>
        </w:rPr>
        <w:t>Electricity distribution price review 2016–20 Revised regulatory proposal: Chapter 7 Rate of return &amp; gamma</w:t>
      </w:r>
      <w:r w:rsidRPr="0083726D">
        <w:t xml:space="preserve">, 6 January 2016, pp. 44–47; APTNT, </w:t>
      </w:r>
      <w:r w:rsidRPr="0083726D">
        <w:rPr>
          <w:rStyle w:val="Emphasis"/>
        </w:rPr>
        <w:t>Amadeus Gas Pipeline Access arrangement revised proposal: response to Draft Decision,</w:t>
      </w:r>
      <w:r w:rsidRPr="0083726D">
        <w:t xml:space="preserve"> January 2016, pp. 68–73, 74–75; APTNT, </w:t>
      </w:r>
      <w:r w:rsidRPr="0083726D">
        <w:rPr>
          <w:rStyle w:val="Emphasis"/>
        </w:rPr>
        <w:t>Amadeus Gas Pipeline access arrangement revision proposal</w:t>
      </w:r>
      <w:r w:rsidRPr="0083726D">
        <w:t>, August 2015, p. 130.</w:t>
      </w:r>
    </w:p>
  </w:footnote>
  <w:footnote w:id="642">
    <w:p w:rsidR="006345FD" w:rsidRDefault="006345FD" w:rsidP="001B6CF5">
      <w:pPr>
        <w:pStyle w:val="FootnoteText"/>
      </w:pPr>
      <w:r>
        <w:rPr>
          <w:rStyle w:val="FootnoteReference"/>
        </w:rPr>
        <w:footnoteRef/>
      </w:r>
      <w:r>
        <w:t xml:space="preserve"> </w:t>
      </w:r>
      <w:r>
        <w:tab/>
        <w:t xml:space="preserve">For instance, several service providers submitted the consultant report, NERA, </w:t>
      </w:r>
      <w:r w:rsidRPr="003034B8">
        <w:rPr>
          <w:rStyle w:val="AERtextitalic"/>
        </w:rPr>
        <w:t>Empirical performance of Sharpe–Lintner and Black CAPMs</w:t>
      </w:r>
      <w:r>
        <w:t>, February 2015;.</w:t>
      </w:r>
    </w:p>
  </w:footnote>
  <w:footnote w:id="643">
    <w:p w:rsidR="006345FD" w:rsidRDefault="006345FD" w:rsidP="001B6CF5">
      <w:pPr>
        <w:pStyle w:val="FootnoteText"/>
      </w:pPr>
      <w:r>
        <w:rPr>
          <w:rStyle w:val="FootnoteReference"/>
        </w:rPr>
        <w:footnoteRef/>
      </w:r>
      <w:r>
        <w:t xml:space="preserve"> </w:t>
      </w:r>
      <w:r>
        <w:tab/>
        <w:t xml:space="preserve">Frontier Economics, </w:t>
      </w:r>
      <w:r w:rsidRPr="00E10673">
        <w:rPr>
          <w:rStyle w:val="AERtextitalic"/>
        </w:rPr>
        <w:t>Key issues in estimating the return on equity for the benchmark efficient entity</w:t>
      </w:r>
      <w:r>
        <w:t xml:space="preserve">, June 2015, pp. 7–10; NERA, </w:t>
      </w:r>
      <w:r w:rsidRPr="00E10673">
        <w:rPr>
          <w:rStyle w:val="AERtextitalic"/>
        </w:rPr>
        <w:t>The Cost of Equity: Response to the AER's Final Decisions for the NSW and ACT Electricity Distributors, and for Jemena Gas Networks</w:t>
      </w:r>
      <w:r>
        <w:t>, June 2015, p. ii.</w:t>
      </w:r>
    </w:p>
  </w:footnote>
  <w:footnote w:id="644">
    <w:p w:rsidR="006345FD" w:rsidRDefault="006345FD" w:rsidP="001B6CF5">
      <w:pPr>
        <w:pStyle w:val="FootnoteText"/>
      </w:pPr>
      <w:r>
        <w:rPr>
          <w:rStyle w:val="FootnoteReference"/>
        </w:rPr>
        <w:footnoteRef/>
      </w:r>
      <w:r>
        <w:t xml:space="preserve"> </w:t>
      </w:r>
      <w:r>
        <w:tab/>
        <w:t xml:space="preserve">For instance, the majority of service providers submitted that the return on equity estimated using the FFM, Black CAPM and DGM was higher than under the SLCAPM. For recent reports, see Frontier, </w:t>
      </w:r>
      <w:r w:rsidRPr="00892F96">
        <w:rPr>
          <w:rStyle w:val="AERtextitalic"/>
        </w:rPr>
        <w:t>An updated estimate of the required return on equity</w:t>
      </w:r>
      <w:r>
        <w:t>, June 2015.</w:t>
      </w:r>
    </w:p>
  </w:footnote>
  <w:footnote w:id="645">
    <w:p w:rsidR="006345FD" w:rsidRDefault="006345FD" w:rsidP="001B6CF5">
      <w:pPr>
        <w:pStyle w:val="FootnoteText"/>
      </w:pPr>
      <w:r>
        <w:rPr>
          <w:rStyle w:val="FootnoteReference"/>
        </w:rPr>
        <w:footnoteRef/>
      </w:r>
      <w:r>
        <w:t xml:space="preserve"> </w:t>
      </w:r>
      <w:r>
        <w:tab/>
        <w:t>NER clauses 6A.6.2 (g) and 6.5.2(g)</w:t>
      </w:r>
      <w:r w:rsidRPr="00C61D42">
        <w:t xml:space="preserve"> and NGR rule 87 (</w:t>
      </w:r>
      <w:r>
        <w:t>7).</w:t>
      </w:r>
      <w:r w:rsidRPr="00C61D42">
        <w:t xml:space="preserve"> </w:t>
      </w:r>
      <w:r w:rsidRPr="00146C6E">
        <w:t xml:space="preserve"> </w:t>
      </w:r>
      <w:r>
        <w:t xml:space="preserve"> </w:t>
      </w:r>
    </w:p>
  </w:footnote>
  <w:footnote w:id="646">
    <w:p w:rsidR="006345FD" w:rsidRDefault="006345FD" w:rsidP="001B6CF5">
      <w:pPr>
        <w:pStyle w:val="FootnoteText"/>
      </w:pPr>
      <w:r>
        <w:rPr>
          <w:rStyle w:val="FootnoteReference"/>
        </w:rPr>
        <w:footnoteRef/>
      </w:r>
      <w:r>
        <w:t xml:space="preserve"> </w:t>
      </w:r>
      <w:r>
        <w:tab/>
        <w:t>CitiP</w:t>
      </w:r>
      <w:r w:rsidRPr="0083726D">
        <w:t xml:space="preserve">ower, </w:t>
      </w:r>
      <w:r w:rsidRPr="0083726D">
        <w:rPr>
          <w:rStyle w:val="Emphasis"/>
        </w:rPr>
        <w:t>Revised Regulatory proposal 2016–2020</w:t>
      </w:r>
      <w:r w:rsidRPr="0083726D">
        <w:t xml:space="preserve">, January 2016, p. 286–289; Powercor, </w:t>
      </w:r>
      <w:r w:rsidRPr="0083726D">
        <w:rPr>
          <w:rStyle w:val="AERtextitalic"/>
        </w:rPr>
        <w:t>Revised regulatory proposal 2016–2020</w:t>
      </w:r>
      <w:r w:rsidRPr="0083726D">
        <w:t xml:space="preserve">, January  2016, p. 280–283; ActewAGL, </w:t>
      </w:r>
      <w:r w:rsidRPr="0083726D">
        <w:rPr>
          <w:rStyle w:val="Emphasis"/>
        </w:rPr>
        <w:t>Revised 2016–21 access arrangement proposal Response to the AER's draft decision, Appendix 5.01 Detailed response to rate of return, gamma and inflation</w:t>
      </w:r>
      <w:r w:rsidRPr="0083726D">
        <w:t xml:space="preserve">, January 2016, pp. 57–60; United Energy, </w:t>
      </w:r>
      <w:r w:rsidRPr="0083726D">
        <w:rPr>
          <w:rStyle w:val="Emphasis"/>
        </w:rPr>
        <w:t>Response to AER preliminary determination–Re: rate of return and gamma</w:t>
      </w:r>
      <w:r w:rsidRPr="0083726D">
        <w:t xml:space="preserve">, 6 January 2016, pp. 41–43; AGN, </w:t>
      </w:r>
      <w:r w:rsidRPr="0083726D">
        <w:rPr>
          <w:rStyle w:val="Emphasis"/>
        </w:rPr>
        <w:t>2016–17 to 2020/21 Access Arrangement information response to draft decision: Attachment 10.26 Response to draft decision: rate of return</w:t>
      </w:r>
      <w:r w:rsidRPr="0083726D">
        <w:t xml:space="preserve">, January 2016, pp. 47–49 ; JEN (Vic), </w:t>
      </w:r>
      <w:r w:rsidRPr="0083726D">
        <w:rPr>
          <w:rStyle w:val="Emphasis"/>
        </w:rPr>
        <w:t>2016–20 Electricity distribution price review regulatory proposal revocation and substitution submission: Attachment 6–1 Rate of return, gamma, forecast inflation, and debt and equity raising costs,</w:t>
      </w:r>
      <w:r w:rsidRPr="0083726D">
        <w:t xml:space="preserve"> 6 January 2016, pp 46–48</w:t>
      </w:r>
      <w:r>
        <w:t xml:space="preserve">; </w:t>
      </w:r>
      <w:r w:rsidRPr="0083726D">
        <w:t xml:space="preserve">APTNT, </w:t>
      </w:r>
      <w:r w:rsidRPr="0083726D">
        <w:rPr>
          <w:rStyle w:val="Emphasis"/>
        </w:rPr>
        <w:t>Amadeus Gas Pipeline Access arrangement revised proposal: response to Draft Decision,</w:t>
      </w:r>
      <w:r w:rsidRPr="0083726D">
        <w:t xml:space="preserve"> January 2016, pp. 68–77</w:t>
      </w:r>
      <w:r>
        <w:t>.</w:t>
      </w:r>
    </w:p>
  </w:footnote>
  <w:footnote w:id="647">
    <w:p w:rsidR="006345FD" w:rsidRDefault="006345FD" w:rsidP="001B6CF5">
      <w:pPr>
        <w:pStyle w:val="FootnoteText"/>
      </w:pPr>
      <w:r>
        <w:rPr>
          <w:rStyle w:val="FootnoteReference"/>
        </w:rPr>
        <w:footnoteRef/>
      </w:r>
      <w:r>
        <w:t xml:space="preserve"> </w:t>
      </w:r>
      <w:r>
        <w:tab/>
      </w:r>
      <w:r w:rsidRPr="0083726D">
        <w:t xml:space="preserve">For example, see: Australian Competition Tribunal, </w:t>
      </w:r>
      <w:r w:rsidRPr="00582F11">
        <w:rPr>
          <w:rStyle w:val="AERtextitalic"/>
        </w:rPr>
        <w:t>Applications by Public Interest Advocacy Centre Ltd and Ausgrid [2016] ACompT 1</w:t>
      </w:r>
      <w:r w:rsidRPr="0083726D">
        <w:t xml:space="preserve">, 26 February 2016, paragraphs 713–717, 735, 757; APTNT, </w:t>
      </w:r>
      <w:r w:rsidRPr="0083726D">
        <w:rPr>
          <w:rStyle w:val="Emphasis"/>
        </w:rPr>
        <w:t>Amadeus Gas Pipeline Access arrangement revised proposal: response to Draft Decision,</w:t>
      </w:r>
      <w:r w:rsidRPr="0083726D">
        <w:t xml:space="preserve"> January 2016, pp. 68–73.</w:t>
      </w:r>
    </w:p>
  </w:footnote>
  <w:footnote w:id="648">
    <w:p w:rsidR="006345FD" w:rsidRDefault="006345FD" w:rsidP="001B6CF5">
      <w:pPr>
        <w:pStyle w:val="FootnoteText"/>
      </w:pPr>
      <w:r>
        <w:rPr>
          <w:rStyle w:val="FootnoteReference"/>
        </w:rPr>
        <w:footnoteRef/>
      </w:r>
      <w:r>
        <w:t xml:space="preserve"> </w:t>
      </w:r>
      <w:r>
        <w:tab/>
        <w:t xml:space="preserve">For example, </w:t>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xml:space="preserve">, p.11; </w:t>
      </w:r>
      <w:r w:rsidRPr="005E1AE9">
        <w:t>Consumer Utilities Advocacy Centre, Re: Victorian electricity distribution pricing review (EDPR), 2016 to 2020, 13 July 2015, p. 2; Victorian Energy Consumer and User Alliance, Submission to the AER, Victorian Distribution Networks’ 2016-20 Revenue Proposals, July 2015, p. 3</w:t>
      </w:r>
      <w:r>
        <w:t xml:space="preserve">; </w:t>
      </w:r>
      <w:r w:rsidRPr="00925CE8">
        <w:t xml:space="preserve">Business SA, </w:t>
      </w:r>
      <w:r w:rsidRPr="00D9362F">
        <w:rPr>
          <w:rStyle w:val="AERtextitalic"/>
        </w:rPr>
        <w:t>Submission to AER on their preliminary decision, 3 July 2015</w:t>
      </w:r>
      <w:r>
        <w:t xml:space="preserve">, p.2; </w:t>
      </w:r>
      <w:r w:rsidRPr="00F34075">
        <w:t>Alternative Technology Association, ActewAGL Access Arrangement Proposal, 10 August 2015, p. 10;</w:t>
      </w:r>
      <w:r>
        <w:t xml:space="preserve"> </w:t>
      </w:r>
      <w:r w:rsidRPr="00E56FB5">
        <w:t xml:space="preserve">Energy Retailers Association of Australia, </w:t>
      </w:r>
      <w:r w:rsidRPr="00B67295">
        <w:rPr>
          <w:rStyle w:val="AERtextitalic"/>
        </w:rPr>
        <w:t>Preliminary Decisions for Ergon Energy and Energex determinations 2015-16 to 2019-20</w:t>
      </w:r>
      <w:r w:rsidRPr="00E56FB5">
        <w:t>, 3 July 2015</w:t>
      </w:r>
      <w:r>
        <w:t xml:space="preserve">, p.1; </w:t>
      </w:r>
      <w:r w:rsidRPr="00FC19F4">
        <w:t xml:space="preserve">Energy Consumers Coalition of South Australia, </w:t>
      </w:r>
      <w:r w:rsidRPr="00D9362F">
        <w:rPr>
          <w:rStyle w:val="AERtextitalic"/>
        </w:rPr>
        <w:t>AER SA Electricity Distribution Revenue Reset, The AER preliminary decision - A response</w:t>
      </w:r>
      <w:r w:rsidRPr="00FC19F4">
        <w:t>, 3 July 2015</w:t>
      </w:r>
      <w:r>
        <w:t xml:space="preserve">, p.38; </w:t>
      </w:r>
      <w:r w:rsidRPr="0083726D">
        <w:t xml:space="preserve">Origin Energy, </w:t>
      </w:r>
      <w:r w:rsidRPr="0083726D">
        <w:rPr>
          <w:rStyle w:val="AERtextitalic"/>
        </w:rPr>
        <w:t>Submission on ActewAGL’s revised access arrangement for 2016–21</w:t>
      </w:r>
      <w:r w:rsidRPr="0083726D">
        <w:t xml:space="preserve">, 4 February 2016, p. 3; Origin Energy, </w:t>
      </w:r>
      <w:r w:rsidRPr="0083726D">
        <w:rPr>
          <w:rStyle w:val="AERtextitalic"/>
        </w:rPr>
        <w:t>Submission on AGN’s revised access arrangement for 2016–21</w:t>
      </w:r>
      <w:r w:rsidRPr="0083726D">
        <w:t xml:space="preserve">, February 2016; Origin Energy, </w:t>
      </w:r>
      <w:r w:rsidRPr="0083726D">
        <w:rPr>
          <w:rStyle w:val="AERtextitalic"/>
        </w:rPr>
        <w:t>Submission on the AER’s preliminary decisions on the Victorian distribution network service providers for 2016–20</w:t>
      </w:r>
      <w:r w:rsidRPr="0083726D">
        <w:t xml:space="preserve">, 6 January 2016, p. 3; Origin Energy, </w:t>
      </w:r>
      <w:r w:rsidRPr="0083726D">
        <w:rPr>
          <w:rStyle w:val="AERtextitalic"/>
        </w:rPr>
        <w:t>Submission on the Victorian networks’ revised proposals (for 2016–21</w:t>
      </w:r>
      <w:r w:rsidRPr="0083726D">
        <w:t xml:space="preserve">), 4 February 2016; AGL, </w:t>
      </w:r>
      <w:r w:rsidRPr="0083726D">
        <w:rPr>
          <w:rStyle w:val="AERtextitalic"/>
        </w:rPr>
        <w:t>Submission on the AER’s draft decision on AGN’s 2016–21 access arrangement</w:t>
      </w:r>
      <w:r w:rsidRPr="0083726D">
        <w:t>, 4 February 2016, p. 2; Victorian Government, S</w:t>
      </w:r>
      <w:r w:rsidRPr="0083726D">
        <w:rPr>
          <w:rStyle w:val="AERtextitalic"/>
        </w:rPr>
        <w:t>ubmission on the Victorian electricity distribution network service providers’ revised regulatory proposals for 2016–20</w:t>
      </w:r>
      <w:r w:rsidRPr="0083726D">
        <w:t xml:space="preserve">, 12 February 2016, p. 1–2; CCP (panel 5), </w:t>
      </w:r>
      <w:r w:rsidRPr="0083726D">
        <w:rPr>
          <w:rStyle w:val="AERtextitalic"/>
        </w:rPr>
        <w:t>Transmission for the generations: Response to proposal by AusNet Services transmission group pty ltd and AER issues paper for AusNet Services transmission revenue review 2017–22</w:t>
      </w:r>
      <w:r w:rsidRPr="0083726D">
        <w:t xml:space="preserve">, February 2016, p. 41; CCP (panel 3), </w:t>
      </w:r>
      <w:r w:rsidRPr="0083726D">
        <w:rPr>
          <w:rStyle w:val="AERtextitalic"/>
        </w:rPr>
        <w:t>Submission to the Australian Energy Regulator (AER): An overview Response to AER Preliminary Decisions and revised proposals from Victorian electricity distribution network service providers for a revenue reset for the 2016–2020 regulatory period</w:t>
      </w:r>
      <w:r w:rsidRPr="0083726D">
        <w:t>, 25 February 2016, p. 30; EUCV</w:t>
      </w:r>
      <w:r w:rsidRPr="0083726D">
        <w:rPr>
          <w:rStyle w:val="AERtextitalic"/>
        </w:rPr>
        <w:t>, A response to AusNet revenue reset proposal for the 2017–2022 period</w:t>
      </w:r>
      <w:r w:rsidRPr="0083726D">
        <w:t xml:space="preserve">, 9 February 2016, p. 40; CCP ( panel 8), </w:t>
      </w:r>
      <w:r w:rsidRPr="0083726D">
        <w:rPr>
          <w:rStyle w:val="AERtextitalic"/>
        </w:rPr>
        <w:t>Advice to AER from Consumer Challenge Panel sub-panel 8 regarding the AER Daft Decision and Australian Gas Networks' (SA) revised access arrangement 2016–2021 proposal</w:t>
      </w:r>
      <w:r w:rsidRPr="0083726D">
        <w:t>, 32 March 2016, p. 2.</w:t>
      </w:r>
    </w:p>
  </w:footnote>
  <w:footnote w:id="649">
    <w:p w:rsidR="006345FD" w:rsidRDefault="006345FD" w:rsidP="001B6CF5">
      <w:pPr>
        <w:pStyle w:val="FootnoteText"/>
      </w:pPr>
      <w:r>
        <w:rPr>
          <w:rStyle w:val="FootnoteReference"/>
        </w:rPr>
        <w:footnoteRef/>
      </w:r>
      <w:r>
        <w:t xml:space="preserve"> </w:t>
      </w:r>
      <w:r>
        <w:tab/>
        <w:t xml:space="preserve">For example, Alliance of Electricity Consumers, </w:t>
      </w:r>
      <w:r w:rsidRPr="00B67295">
        <w:rPr>
          <w:rStyle w:val="AERtextitalic"/>
        </w:rPr>
        <w:t>Submission to the AER's Preliminary Decision Queensland</w:t>
      </w:r>
      <w:r>
        <w:t xml:space="preserve">, 3 July 2015; </w:t>
      </w:r>
      <w:r w:rsidRPr="00271B32">
        <w:t xml:space="preserve">Alliance of Energy Consumers, </w:t>
      </w:r>
      <w:r w:rsidRPr="00B67295">
        <w:rPr>
          <w:rStyle w:val="AERtextitalic"/>
        </w:rPr>
        <w:t>Submission to Energex and Ergon Energy’s Revised Regulatory Proposals (Qld)</w:t>
      </w:r>
      <w:r w:rsidRPr="00271B32">
        <w:t>, 24 July 2015</w:t>
      </w:r>
      <w:r>
        <w:t xml:space="preserve">, p.9; </w:t>
      </w:r>
      <w:r w:rsidRPr="00B67295">
        <w:t xml:space="preserve">QCOSS, </w:t>
      </w:r>
      <w:r w:rsidRPr="00B67295">
        <w:rPr>
          <w:rStyle w:val="AERtextitalic"/>
        </w:rPr>
        <w:t>Response to Australian Energy Regulator Preliminary Decision for Queensland distributors 2015-2020</w:t>
      </w:r>
      <w:r w:rsidRPr="00B67295">
        <w:t>, 3 July 2015</w:t>
      </w:r>
      <w:r>
        <w:t xml:space="preserve">, p.20; </w:t>
      </w:r>
      <w:r w:rsidRPr="00262A71">
        <w:t>Total Environment Centre, S</w:t>
      </w:r>
      <w:r w:rsidRPr="00B67295">
        <w:rPr>
          <w:rStyle w:val="AERtextitalic"/>
        </w:rPr>
        <w:t>ubmission to the AER on the Preliminary Decisions on the QLD distributors’ Regulatory Proposals 2015</w:t>
      </w:r>
      <w:r w:rsidRPr="00EE7FE1">
        <w:rPr>
          <w:rStyle w:val="AERtextitalic"/>
          <w:rFonts w:ascii="Cambria Math" w:hAnsi="Cambria Math" w:cs="Cambria Math"/>
        </w:rPr>
        <w:t>‐</w:t>
      </w:r>
      <w:r w:rsidRPr="00B67295">
        <w:rPr>
          <w:rStyle w:val="AERtextitalic"/>
        </w:rPr>
        <w:t>20,</w:t>
      </w:r>
      <w:r w:rsidRPr="00262A71">
        <w:t xml:space="preserve"> 3 July 2015</w:t>
      </w:r>
      <w:r>
        <w:t xml:space="preserve">, p.8; </w:t>
      </w:r>
      <w:r w:rsidRPr="003B2CD0">
        <w:t xml:space="preserve">Cotton Australia, </w:t>
      </w:r>
      <w:r w:rsidRPr="00D9362F">
        <w:rPr>
          <w:rStyle w:val="AERtextitalic"/>
        </w:rPr>
        <w:t>AER Determination Ergon Energy</w:t>
      </w:r>
      <w:r w:rsidRPr="003B2CD0">
        <w:t>, 3 July 2015</w:t>
      </w:r>
      <w:r>
        <w:t xml:space="preserve">, p.2; </w:t>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xml:space="preserve">, p.11; </w:t>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xml:space="preserve">, p.11; </w:t>
      </w:r>
      <w:r w:rsidRPr="00E21D28">
        <w:t xml:space="preserve">QCOSS, </w:t>
      </w:r>
      <w:r w:rsidRPr="00AF0D78">
        <w:rPr>
          <w:rStyle w:val="AERtextitalic"/>
        </w:rPr>
        <w:t>Response to Australian Energy Regulator Preliminary Decision for Queensland distributors 2015-2020</w:t>
      </w:r>
      <w:r w:rsidRPr="00E21D28">
        <w:t>, 3 July 2015</w:t>
      </w:r>
      <w:r>
        <w:t xml:space="preserve">, p.21; </w:t>
      </w:r>
      <w:r w:rsidRPr="00B67A28">
        <w:t xml:space="preserve">Energy Users Association of Australia, </w:t>
      </w:r>
      <w:r w:rsidRPr="00AF0D78">
        <w:rPr>
          <w:rStyle w:val="AERtextitalic"/>
        </w:rPr>
        <w:t>Submission to AER draft determination and Energex’s revised revenue proposal 2015 to 2020</w:t>
      </w:r>
      <w:r w:rsidRPr="00B67A28">
        <w:t>, 24 July 2015</w:t>
      </w:r>
      <w:r>
        <w:t xml:space="preserve">, p.11; </w:t>
      </w:r>
      <w:r w:rsidRPr="00527772">
        <w:t xml:space="preserve">Canegrowers, </w:t>
      </w:r>
      <w:r w:rsidRPr="00AF0D78">
        <w:rPr>
          <w:rStyle w:val="AERtextitalic"/>
        </w:rPr>
        <w:t>AER Draft Determination: Ergon Energy and Energex - Network Distribution Resets 2015-2020, 3 July 2015</w:t>
      </w:r>
      <w:r>
        <w:t xml:space="preserve">, p.2; </w:t>
      </w:r>
      <w:r w:rsidRPr="00092C84">
        <w:t xml:space="preserve">ECCSA, </w:t>
      </w:r>
      <w:r w:rsidRPr="00092C84">
        <w:rPr>
          <w:rStyle w:val="Emphasis"/>
        </w:rPr>
        <w:t xml:space="preserve">A response to the AER draft decision on AGN’s AA2016 revenue reset, </w:t>
      </w:r>
      <w:r w:rsidRPr="00092C84">
        <w:t xml:space="preserve">February 2016, p. 32–37; VECUA, </w:t>
      </w:r>
      <w:r w:rsidRPr="00092C84">
        <w:rPr>
          <w:rStyle w:val="Emphasis"/>
        </w:rPr>
        <w:t>Submission on the AER: AER preliminary 2016–20 revenue determinations for the Victorian DNSPs</w:t>
      </w:r>
      <w:r w:rsidRPr="00092C84">
        <w:t xml:space="preserve">, 6 January 2016, p. 2; CCP (panel 5), </w:t>
      </w:r>
      <w:r w:rsidRPr="00092C84">
        <w:rPr>
          <w:rStyle w:val="Emphasis"/>
        </w:rPr>
        <w:t>Transmission for the generations: Response to proposal by AusNet Services transmission group pty ltd and AER issues paper for AusNet Services transmission revenue review 2017–22</w:t>
      </w:r>
      <w:r w:rsidRPr="00092C84">
        <w:t xml:space="preserve">, February 2016, p. 41; CCP (panel 3), </w:t>
      </w:r>
      <w:r w:rsidRPr="00092C84">
        <w:rPr>
          <w:rStyle w:val="Emphasis"/>
        </w:rPr>
        <w:t>Submission to the Australian Energy Regulator (AER): An overview Response to AER Preliminary Decisions and revised proposals from Victorian electricity distribution network service providers for a revenue reset for the 2016–2020 regulatory period</w:t>
      </w:r>
      <w:r w:rsidRPr="00092C84">
        <w:t>, 25 February 2016, pp. 10, 30–31, 33</w:t>
      </w:r>
      <w:r>
        <w:t>.</w:t>
      </w:r>
    </w:p>
  </w:footnote>
  <w:footnote w:id="650">
    <w:p w:rsidR="006345FD" w:rsidRDefault="006345FD" w:rsidP="001B6CF5">
      <w:pPr>
        <w:pStyle w:val="FootnoteText"/>
      </w:pPr>
      <w:r>
        <w:rPr>
          <w:rStyle w:val="FootnoteReference"/>
        </w:rPr>
        <w:footnoteRef/>
      </w:r>
      <w:r>
        <w:t xml:space="preserve"> </w:t>
      </w:r>
      <w:r>
        <w:tab/>
      </w:r>
      <w:r>
        <w:rPr>
          <w:rFonts w:asciiTheme="minorHAnsi" w:hAnsiTheme="minorHAnsi" w:cstheme="minorHAnsi"/>
        </w:rPr>
        <w:t xml:space="preserve">AGL, </w:t>
      </w:r>
      <w:r w:rsidRPr="001F0A21">
        <w:rPr>
          <w:rFonts w:asciiTheme="minorHAnsi" w:hAnsiTheme="minorHAnsi" w:cstheme="minorHAnsi"/>
          <w:i/>
        </w:rPr>
        <w:t>Re: Australian Gas Networks (South Australia): Access Arrangement Proposal 2016-21</w:t>
      </w:r>
      <w:r>
        <w:rPr>
          <w:rFonts w:asciiTheme="minorHAnsi" w:hAnsiTheme="minorHAnsi" w:cstheme="minorHAnsi"/>
        </w:rPr>
        <w:t>, 10 August 2015, p. 2.</w:t>
      </w:r>
    </w:p>
  </w:footnote>
  <w:footnote w:id="651">
    <w:p w:rsidR="006345FD" w:rsidRDefault="006345FD" w:rsidP="001B6CF5">
      <w:pPr>
        <w:pStyle w:val="FootnoteText"/>
      </w:pPr>
      <w:r>
        <w:rPr>
          <w:rStyle w:val="FootnoteReference"/>
        </w:rPr>
        <w:footnoteRef/>
      </w:r>
      <w:r>
        <w:t xml:space="preserve"> </w:t>
      </w:r>
      <w:r>
        <w:tab/>
      </w:r>
      <w:r w:rsidRPr="007D16FD">
        <w:t>Alternative Technology Association</w:t>
      </w:r>
      <w:r>
        <w:t>,</w:t>
      </w:r>
      <w:r w:rsidRPr="007D16FD">
        <w:t xml:space="preserve"> </w:t>
      </w:r>
      <w:r w:rsidRPr="007D16FD">
        <w:rPr>
          <w:rStyle w:val="AERtextitalic"/>
        </w:rPr>
        <w:t>Submission on Australian Gas Networks (SA) Access Arrangement Proposal</w:t>
      </w:r>
      <w:r>
        <w:t>,</w:t>
      </w:r>
      <w:r w:rsidRPr="007D16FD">
        <w:t xml:space="preserve"> 10 August 2015</w:t>
      </w:r>
      <w:r>
        <w:t>, p.10.</w:t>
      </w:r>
    </w:p>
  </w:footnote>
  <w:footnote w:id="652">
    <w:p w:rsidR="006345FD" w:rsidRDefault="006345FD" w:rsidP="001B6CF5">
      <w:pPr>
        <w:pStyle w:val="FootnoteText"/>
      </w:pPr>
      <w:r>
        <w:rPr>
          <w:rStyle w:val="FootnoteReference"/>
        </w:rPr>
        <w:footnoteRef/>
      </w:r>
      <w:r>
        <w:t xml:space="preserve"> </w:t>
      </w:r>
      <w:r>
        <w:tab/>
      </w:r>
      <w:r w:rsidRPr="00925CE8">
        <w:t xml:space="preserve">Business SA, </w:t>
      </w:r>
      <w:r w:rsidRPr="00D9362F">
        <w:rPr>
          <w:rStyle w:val="AERtextitalic"/>
        </w:rPr>
        <w:t>Submission to AER on their preliminary decision, 3 July 2015</w:t>
      </w:r>
      <w:r>
        <w:t>, p.2.</w:t>
      </w:r>
    </w:p>
  </w:footnote>
  <w:footnote w:id="653">
    <w:p w:rsidR="006345FD" w:rsidRDefault="006345FD" w:rsidP="001B6CF5">
      <w:pPr>
        <w:pStyle w:val="FootnoteText"/>
      </w:pPr>
      <w:r>
        <w:rPr>
          <w:rStyle w:val="FootnoteReference"/>
        </w:rPr>
        <w:footnoteRef/>
      </w:r>
      <w:r>
        <w:t xml:space="preserve"> </w:t>
      </w:r>
      <w:r>
        <w:tab/>
      </w:r>
      <w:r w:rsidRPr="00D031A7">
        <w:t xml:space="preserve">Consumer Utilities Advocacy Centre, </w:t>
      </w:r>
      <w:r w:rsidRPr="00B862ED">
        <w:rPr>
          <w:rStyle w:val="AERtextitalic"/>
        </w:rPr>
        <w:t>RE Victorian electricity distribution pricing review (EDPR), 2016 to 2020</w:t>
      </w:r>
      <w:r w:rsidRPr="00D031A7">
        <w:t>, 13 July 2015</w:t>
      </w:r>
      <w:r>
        <w:t>, p.2.</w:t>
      </w:r>
    </w:p>
  </w:footnote>
  <w:footnote w:id="654">
    <w:p w:rsidR="006345FD" w:rsidRDefault="006345FD" w:rsidP="001B6CF5">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w:t>
      </w:r>
    </w:p>
  </w:footnote>
  <w:footnote w:id="655">
    <w:p w:rsidR="006345FD" w:rsidRDefault="006345FD" w:rsidP="001B6CF5">
      <w:pPr>
        <w:pStyle w:val="FootnoteText"/>
      </w:pPr>
      <w:r>
        <w:rPr>
          <w:rStyle w:val="FootnoteReference"/>
        </w:rPr>
        <w:footnoteRef/>
      </w:r>
      <w:r>
        <w:t xml:space="preserve"> </w:t>
      </w:r>
      <w:r>
        <w:tab/>
      </w:r>
      <w:r w:rsidRPr="00E87254">
        <w:t xml:space="preserve">Energy Consumers Coalition of South Australia, </w:t>
      </w:r>
      <w:r w:rsidRPr="003A6DD5">
        <w:rPr>
          <w:rStyle w:val="AERtextitalic"/>
        </w:rPr>
        <w:t>Submission on SA Power Networks' revised proposal, 24 July 2015</w:t>
      </w:r>
      <w:r>
        <w:t>, p.6.</w:t>
      </w:r>
    </w:p>
  </w:footnote>
  <w:footnote w:id="656">
    <w:p w:rsidR="006345FD" w:rsidRDefault="006345FD" w:rsidP="001B6CF5">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p.66.</w:t>
      </w:r>
    </w:p>
  </w:footnote>
  <w:footnote w:id="657">
    <w:p w:rsidR="006345FD" w:rsidRDefault="006345FD" w:rsidP="001B6CF5">
      <w:pPr>
        <w:pStyle w:val="FootnoteText"/>
      </w:pPr>
      <w:r>
        <w:rPr>
          <w:rStyle w:val="FootnoteReference"/>
        </w:rPr>
        <w:footnoteRef/>
      </w:r>
      <w:r>
        <w:t xml:space="preserve"> </w:t>
      </w:r>
      <w:r>
        <w:tab/>
      </w:r>
      <w:r w:rsidRPr="00217EDF">
        <w:t xml:space="preserve">Energy Retailers Association of Australia, </w:t>
      </w:r>
      <w:r w:rsidRPr="00D9362F">
        <w:rPr>
          <w:rStyle w:val="AERtextitalic"/>
        </w:rPr>
        <w:t>Preliminary Decision SA Power Networks determination 2015-16 to 2019-20</w:t>
      </w:r>
      <w:r w:rsidRPr="00217EDF">
        <w:t>, 3 July 2015</w:t>
      </w:r>
      <w:r>
        <w:t>.</w:t>
      </w:r>
    </w:p>
  </w:footnote>
  <w:footnote w:id="658">
    <w:p w:rsidR="006345FD" w:rsidRDefault="006345FD" w:rsidP="001B6CF5">
      <w:pPr>
        <w:pStyle w:val="FootnoteText"/>
      </w:pPr>
      <w:r>
        <w:rPr>
          <w:rStyle w:val="FootnoteReference"/>
        </w:rPr>
        <w:footnoteRef/>
      </w:r>
      <w:r>
        <w:t xml:space="preserve"> </w:t>
      </w:r>
      <w:r>
        <w:tab/>
      </w:r>
      <w:r w:rsidRPr="00B67A28">
        <w:t xml:space="preserve">Energy Users Association of Australia, </w:t>
      </w:r>
      <w:r w:rsidRPr="00D9362F">
        <w:rPr>
          <w:rStyle w:val="AERtextitalic"/>
        </w:rPr>
        <w:t>Submission to AER draft determination and Energex’s revised revenue proposal 2015 to 2020</w:t>
      </w:r>
      <w:r w:rsidRPr="00B67A28">
        <w:t>, 24 July 2015</w:t>
      </w:r>
      <w:r>
        <w:t>, p.11.</w:t>
      </w:r>
    </w:p>
  </w:footnote>
  <w:footnote w:id="659">
    <w:p w:rsidR="006345FD" w:rsidRDefault="006345FD" w:rsidP="001B6CF5">
      <w:pPr>
        <w:pStyle w:val="FootnoteText"/>
      </w:pPr>
      <w:r>
        <w:rPr>
          <w:rStyle w:val="FootnoteReference"/>
        </w:rPr>
        <w:footnoteRef/>
      </w:r>
      <w:r>
        <w:t xml:space="preserve"> </w:t>
      </w:r>
      <w:r>
        <w:tab/>
      </w:r>
      <w:r w:rsidRPr="00336C97">
        <w:t xml:space="preserve">Origin Energy, </w:t>
      </w:r>
      <w:r w:rsidRPr="00B67295">
        <w:rPr>
          <w:rStyle w:val="AERtextitalic"/>
        </w:rPr>
        <w:t>Re Submission to Victorian Electricity Distributors Regulatory Proposals</w:t>
      </w:r>
      <w:r w:rsidRPr="00336C97">
        <w:t>, 13 July 2015</w:t>
      </w:r>
      <w:r>
        <w:t>, p.10.</w:t>
      </w:r>
    </w:p>
  </w:footnote>
  <w:footnote w:id="660">
    <w:p w:rsidR="006345FD" w:rsidRDefault="006345FD" w:rsidP="001B6CF5">
      <w:pPr>
        <w:pStyle w:val="FootnoteText"/>
      </w:pPr>
      <w:r>
        <w:rPr>
          <w:rStyle w:val="FootnoteReference"/>
        </w:rPr>
        <w:footnoteRef/>
      </w:r>
      <w:r>
        <w:t xml:space="preserve"> </w:t>
      </w:r>
      <w:r>
        <w:tab/>
        <w:t>O</w:t>
      </w:r>
      <w:r w:rsidRPr="00176A54">
        <w:t>r</w:t>
      </w:r>
      <w:r>
        <w:t>i</w:t>
      </w:r>
      <w:r w:rsidRPr="00176A54">
        <w:t xml:space="preserve">gin Energy, </w:t>
      </w:r>
      <w:r w:rsidRPr="00841CC4">
        <w:rPr>
          <w:rStyle w:val="AERtextitalic"/>
        </w:rPr>
        <w:t>Submission to AER preliminary decision SA Power Networks</w:t>
      </w:r>
      <w:r w:rsidRPr="00176A54">
        <w:t>, 3 July 2015</w:t>
      </w:r>
      <w:r>
        <w:t>.</w:t>
      </w:r>
    </w:p>
  </w:footnote>
  <w:footnote w:id="661">
    <w:p w:rsidR="006345FD" w:rsidRDefault="006345FD" w:rsidP="001B6CF5">
      <w:pPr>
        <w:pStyle w:val="FootnoteText"/>
      </w:pPr>
      <w:r>
        <w:rPr>
          <w:rStyle w:val="FootnoteReference"/>
        </w:rPr>
        <w:footnoteRef/>
      </w:r>
      <w:r>
        <w:t xml:space="preserve"> </w:t>
      </w:r>
      <w:r>
        <w:tab/>
      </w:r>
      <w:r w:rsidRPr="006072B5">
        <w:t>Origin</w:t>
      </w:r>
      <w:r>
        <w:t xml:space="preserve"> Energy,</w:t>
      </w:r>
      <w:r w:rsidRPr="006072B5">
        <w:t xml:space="preserve"> </w:t>
      </w:r>
      <w:r w:rsidRPr="006072B5">
        <w:rPr>
          <w:rStyle w:val="AERtextitalic"/>
        </w:rPr>
        <w:t xml:space="preserve">Submission on </w:t>
      </w:r>
      <w:r>
        <w:rPr>
          <w:rStyle w:val="AERtextitalic"/>
        </w:rPr>
        <w:t xml:space="preserve">Australian Gas Networks </w:t>
      </w:r>
      <w:r w:rsidRPr="006072B5">
        <w:rPr>
          <w:rStyle w:val="AERtextitalic"/>
        </w:rPr>
        <w:t xml:space="preserve"> Distribution 2016-21 Access Arrangement Proposal for ACT</w:t>
      </w:r>
      <w:r>
        <w:t xml:space="preserve">, </w:t>
      </w:r>
      <w:r w:rsidRPr="006072B5">
        <w:t>10 August 2015</w:t>
      </w:r>
      <w:r>
        <w:t>, p.5.</w:t>
      </w:r>
    </w:p>
  </w:footnote>
  <w:footnote w:id="662">
    <w:p w:rsidR="006345FD" w:rsidRDefault="006345FD" w:rsidP="001B6CF5">
      <w:pPr>
        <w:pStyle w:val="FootnoteText"/>
      </w:pPr>
      <w:r>
        <w:rPr>
          <w:rStyle w:val="FootnoteReference"/>
        </w:rPr>
        <w:footnoteRef/>
      </w:r>
      <w:r>
        <w:t xml:space="preserve"> </w:t>
      </w:r>
      <w:r>
        <w:tab/>
      </w:r>
      <w:r w:rsidRPr="00B67295">
        <w:t xml:space="preserve">QCOSS, </w:t>
      </w:r>
      <w:r w:rsidRPr="00B67295">
        <w:rPr>
          <w:rStyle w:val="AERtextitalic"/>
        </w:rPr>
        <w:t>Response to Australian Energy Regulator Preliminary Decision for Queensland distributors 2015-2020</w:t>
      </w:r>
      <w:r w:rsidRPr="00B67295">
        <w:t>, 3 July 2015</w:t>
      </w:r>
      <w:r>
        <w:t>, p.20.</w:t>
      </w:r>
    </w:p>
  </w:footnote>
  <w:footnote w:id="663">
    <w:p w:rsidR="006345FD" w:rsidRDefault="006345FD" w:rsidP="001B6CF5">
      <w:pPr>
        <w:pStyle w:val="FootnoteText"/>
      </w:pPr>
      <w:r>
        <w:rPr>
          <w:rStyle w:val="FootnoteReference"/>
        </w:rPr>
        <w:footnoteRef/>
      </w:r>
      <w:r>
        <w:t xml:space="preserve"> </w:t>
      </w:r>
      <w:r>
        <w:tab/>
      </w:r>
      <w:r w:rsidRPr="00E21D28">
        <w:t xml:space="preserve">QCOSS, </w:t>
      </w:r>
      <w:r w:rsidRPr="00AF0D78">
        <w:rPr>
          <w:rStyle w:val="AERtextitalic"/>
        </w:rPr>
        <w:t>Response to Australian Energy Regulator Preliminary Decision for Queensland distributors 2015-2020</w:t>
      </w:r>
      <w:r w:rsidRPr="00E21D28">
        <w:t>, 3 July 2015</w:t>
      </w:r>
      <w:r>
        <w:t>, p.21.</w:t>
      </w:r>
    </w:p>
  </w:footnote>
  <w:footnote w:id="664">
    <w:p w:rsidR="006345FD" w:rsidRDefault="006345FD" w:rsidP="001B6CF5">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p.3.</w:t>
      </w:r>
    </w:p>
  </w:footnote>
  <w:footnote w:id="665">
    <w:p w:rsidR="006345FD" w:rsidRDefault="006345FD" w:rsidP="001B6CF5">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666">
    <w:p w:rsidR="006345FD" w:rsidRDefault="006345FD" w:rsidP="001B6CF5">
      <w:pPr>
        <w:pStyle w:val="FootnoteText"/>
      </w:pPr>
      <w:r>
        <w:rPr>
          <w:rStyle w:val="FootnoteReference"/>
        </w:rPr>
        <w:footnoteRef/>
      </w:r>
      <w:r>
        <w:t xml:space="preserve"> </w:t>
      </w:r>
      <w:r>
        <w:tab/>
        <w:t xml:space="preserve">Henry 0.T., </w:t>
      </w:r>
      <w:r w:rsidRPr="00841CC4">
        <w:rPr>
          <w:rStyle w:val="AERtextitalic"/>
        </w:rPr>
        <w:t>Estimating Beta: An Update</w:t>
      </w:r>
      <w:r>
        <w:t>, April 2014.</w:t>
      </w:r>
    </w:p>
  </w:footnote>
  <w:footnote w:id="667">
    <w:p w:rsidR="006345FD" w:rsidRDefault="006345FD" w:rsidP="001B6CF5">
      <w:pPr>
        <w:pStyle w:val="FootnoteText"/>
      </w:pPr>
      <w:r>
        <w:rPr>
          <w:rStyle w:val="FootnoteReference"/>
        </w:rPr>
        <w:footnoteRef/>
      </w:r>
      <w:r>
        <w:t xml:space="preserve"> </w:t>
      </w:r>
      <w:r>
        <w:tab/>
      </w:r>
      <w:r w:rsidRPr="000168DD">
        <w:t xml:space="preserve">Victorian Energy Consumer and User Alliance, </w:t>
      </w:r>
      <w:r w:rsidRPr="00841CC4">
        <w:rPr>
          <w:rStyle w:val="AERtextitalic"/>
        </w:rPr>
        <w:t>Submission to the AER Victorian Distribution Networks’ 2016-20 Revenue Proposals</w:t>
      </w:r>
      <w:r w:rsidRPr="000168DD">
        <w:t>, 13 July 2015</w:t>
      </w:r>
      <w:r>
        <w:t>, p.11.</w:t>
      </w:r>
    </w:p>
  </w:footnote>
  <w:footnote w:id="668">
    <w:p w:rsidR="006345FD" w:rsidRDefault="006345FD" w:rsidP="001B6CF5">
      <w:pPr>
        <w:pStyle w:val="FootnoteText"/>
      </w:pPr>
      <w:r>
        <w:rPr>
          <w:rStyle w:val="FootnoteReference"/>
        </w:rPr>
        <w:footnoteRef/>
      </w:r>
      <w:r>
        <w:t xml:space="preserve"> </w:t>
      </w:r>
      <w:r>
        <w:tab/>
      </w:r>
      <w:r w:rsidRPr="006B6C65">
        <w:t xml:space="preserve">Victorian Energy Consumer and User Alliance, </w:t>
      </w:r>
      <w:r w:rsidRPr="00AF0D78">
        <w:rPr>
          <w:rStyle w:val="AERtextitalic"/>
        </w:rPr>
        <w:t>Submission to the AER Victorian Distribution Networks’ 2016-20 Revenue Proposals</w:t>
      </w:r>
      <w:r w:rsidRPr="006B6C65">
        <w:t>, 13 July 2015</w:t>
      </w:r>
      <w:r>
        <w:t>, p.11.</w:t>
      </w:r>
    </w:p>
  </w:footnote>
  <w:footnote w:id="669">
    <w:p w:rsidR="006345FD" w:rsidRDefault="006345FD" w:rsidP="001B6CF5">
      <w:pPr>
        <w:pStyle w:val="FootnoteText"/>
      </w:pPr>
      <w:r>
        <w:rPr>
          <w:rStyle w:val="FootnoteReference"/>
        </w:rPr>
        <w:footnoteRef/>
      </w:r>
      <w:r>
        <w:t xml:space="preserve"> </w:t>
      </w:r>
      <w:r>
        <w:tab/>
      </w:r>
      <w:r w:rsidRPr="00EA4900">
        <w:t xml:space="preserve">CitiPower, </w:t>
      </w:r>
      <w:r w:rsidRPr="00EA4900">
        <w:rPr>
          <w:rStyle w:val="Emphasis"/>
        </w:rPr>
        <w:t>Revised regulatory proposal 2016–2020</w:t>
      </w:r>
      <w:r w:rsidRPr="00EA4900">
        <w:t xml:space="preserve">, January 2016, pp. 281–289; Powercor, </w:t>
      </w:r>
      <w:r w:rsidRPr="00EA4900">
        <w:rPr>
          <w:rStyle w:val="Emphasis"/>
        </w:rPr>
        <w:t>Revised regulatory proposal 2016–2020</w:t>
      </w:r>
      <w:r w:rsidRPr="00EA4900">
        <w:t xml:space="preserve">, January 2016, pp. 275–283; ActewAGL, </w:t>
      </w:r>
      <w:r w:rsidRPr="00EA4900">
        <w:rPr>
          <w:rStyle w:val="Emphasis"/>
        </w:rPr>
        <w:t>Revised 2016–21 access a</w:t>
      </w:r>
      <w:r>
        <w:rPr>
          <w:rStyle w:val="Emphasis"/>
        </w:rPr>
        <w:t>rr</w:t>
      </w:r>
      <w:r w:rsidRPr="00EA4900">
        <w:rPr>
          <w:rStyle w:val="Emphasis"/>
        </w:rPr>
        <w:t>angement proposal Response to the AER's draft decision, Appendix 5.01 Detailed response to rate of return, gamma and inflation</w:t>
      </w:r>
      <w:r w:rsidRPr="00EA4900">
        <w:t xml:space="preserve">, January 2016, pp. 57–72; United Energy, </w:t>
      </w:r>
      <w:r w:rsidRPr="00EA4900">
        <w:rPr>
          <w:rStyle w:val="Emphasis"/>
        </w:rPr>
        <w:t>Response to AER preliminary determination–Re: rate of return and gamma</w:t>
      </w:r>
      <w:r w:rsidRPr="00EA4900">
        <w:t xml:space="preserve">, 6 January 2016, pp.41–45; AGN, </w:t>
      </w:r>
      <w:r w:rsidRPr="00EA4900">
        <w:rPr>
          <w:rStyle w:val="Emphasis"/>
        </w:rPr>
        <w:t>2016–17 to 2020/21 Access Arrangement information response to draft decision: Attachment 10.26 Response to draft decision: rate of return</w:t>
      </w:r>
      <w:r w:rsidRPr="00EA4900">
        <w:t xml:space="preserve">, January 2016, pp. 46–49 ; JEN (Vic), </w:t>
      </w:r>
      <w:r w:rsidRPr="00EA4900">
        <w:rPr>
          <w:rStyle w:val="Emphasis"/>
        </w:rPr>
        <w:t>2016–20 Electricity distribution price review regulatory proposal revocation and substitution submission: Attachment 6–1 Rate of return, gamma, forecast inflation, and debt and equity raising costs,</w:t>
      </w:r>
      <w:r w:rsidRPr="00EA4900">
        <w:t xml:space="preserve"> 6 January 2016, pp. 46–49; AusNet Services, </w:t>
      </w:r>
      <w:r w:rsidRPr="00EA4900">
        <w:rPr>
          <w:rStyle w:val="Emphasis"/>
        </w:rPr>
        <w:t>Electricity distribution price review 2016–20 Revised regulatory proposal: Chapter 7 Rate of return &amp; gamma</w:t>
      </w:r>
      <w:r w:rsidRPr="00EA4900">
        <w:t xml:space="preserve">, 6 January 2016, pp. 41–49; APTNT, </w:t>
      </w:r>
      <w:r w:rsidRPr="00EA4900">
        <w:rPr>
          <w:rStyle w:val="Emphasis"/>
        </w:rPr>
        <w:t>Amadeus Gas Pipeline Access arrangement revised proposal: response to Draft Decision,</w:t>
      </w:r>
      <w:r w:rsidRPr="00EA4900">
        <w:t xml:space="preserve"> January 2016, pp. 68–73; APTNT, </w:t>
      </w:r>
      <w:r w:rsidRPr="00EA4900">
        <w:rPr>
          <w:rStyle w:val="Emphasis"/>
        </w:rPr>
        <w:t>Amadeus Gas Pipeline access arrangement revision proposal</w:t>
      </w:r>
      <w:r w:rsidRPr="00EA4900">
        <w:t>, August 2015, p. 110–130.</w:t>
      </w:r>
    </w:p>
  </w:footnote>
  <w:footnote w:id="670">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671">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672">
    <w:p w:rsidR="006345FD" w:rsidRPr="00892F96" w:rsidRDefault="006345FD" w:rsidP="001B6CF5">
      <w:pPr>
        <w:pStyle w:val="FootnoteText"/>
        <w:rPr>
          <w:rStyle w:val="AERtextitalic"/>
          <w:i w:val="0"/>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73">
    <w:p w:rsidR="006345FD" w:rsidRDefault="006345FD" w:rsidP="001B6CF5">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23–24.</w:t>
      </w:r>
    </w:p>
  </w:footnote>
  <w:footnote w:id="674">
    <w:p w:rsidR="006345FD" w:rsidRPr="00892F96" w:rsidRDefault="006345FD" w:rsidP="001B6CF5">
      <w:pPr>
        <w:pStyle w:val="FootnoteText"/>
        <w:rPr>
          <w:i/>
        </w:rPr>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20.</w:t>
      </w:r>
    </w:p>
  </w:footnote>
  <w:footnote w:id="675">
    <w:p w:rsidR="006345FD" w:rsidRDefault="006345FD" w:rsidP="001B6CF5">
      <w:pPr>
        <w:pStyle w:val="FootnoteText"/>
      </w:pPr>
      <w:r>
        <w:rPr>
          <w:rStyle w:val="FootnoteReference"/>
        </w:rPr>
        <w:footnoteRef/>
      </w:r>
      <w:r>
        <w:t xml:space="preserve"> </w:t>
      </w:r>
      <w:r>
        <w:tab/>
      </w:r>
      <w:r w:rsidRPr="00C67AC4">
        <w:t xml:space="preserve">NERA, </w:t>
      </w:r>
      <w:r w:rsidRPr="00C67AC4">
        <w:rPr>
          <w:rStyle w:val="AERtextitalic"/>
        </w:rPr>
        <w:t>The Cost of Equity: Response to the AER's</w:t>
      </w:r>
      <w:r>
        <w:rPr>
          <w:rStyle w:val="AERtextitalic"/>
        </w:rPr>
        <w:t xml:space="preserve"> </w:t>
      </w:r>
      <w:r w:rsidRPr="00C67AC4">
        <w:rPr>
          <w:rStyle w:val="AERtextitalic"/>
        </w:rPr>
        <w:t>final decisions for the NSW and ACT Electricity Distributors, and for Jemena Gas Networks</w:t>
      </w:r>
      <w:r w:rsidRPr="00C67AC4">
        <w:t>, June 2015, p. 33 &amp; 37</w:t>
      </w:r>
    </w:p>
  </w:footnote>
  <w:footnote w:id="676">
    <w:p w:rsidR="006345FD" w:rsidRDefault="006345FD" w:rsidP="001B6CF5">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24.</w:t>
      </w:r>
    </w:p>
  </w:footnote>
  <w:footnote w:id="677">
    <w:p w:rsidR="006345FD" w:rsidRDefault="006345FD" w:rsidP="001B6CF5">
      <w:pPr>
        <w:pStyle w:val="FootnoteText"/>
      </w:pPr>
      <w:r>
        <w:rPr>
          <w:rStyle w:val="FootnoteReference"/>
        </w:rPr>
        <w:footnoteRef/>
      </w:r>
      <w:r>
        <w:t xml:space="preserve"> </w:t>
      </w:r>
      <w:r>
        <w:tab/>
        <w:t>Generalised least squares,</w:t>
      </w:r>
    </w:p>
  </w:footnote>
  <w:footnote w:id="678">
    <w:p w:rsidR="006345FD" w:rsidRDefault="006345FD" w:rsidP="001B6CF5">
      <w:pPr>
        <w:pStyle w:val="FootnoteText"/>
      </w:pPr>
      <w:r>
        <w:rPr>
          <w:rStyle w:val="FootnoteReference"/>
        </w:rPr>
        <w:footnoteRef/>
      </w:r>
      <w:r>
        <w:t xml:space="preserve"> </w:t>
      </w:r>
      <w:r>
        <w:tab/>
        <w:t xml:space="preserve">Partington and Satchell, </w:t>
      </w:r>
      <w:r w:rsidRPr="007045D6">
        <w:rPr>
          <w:rStyle w:val="AERtextitalic"/>
        </w:rPr>
        <w:t xml:space="preserve">Report to the AER: </w:t>
      </w:r>
      <w:r>
        <w:rPr>
          <w:rStyle w:val="AERtextitalic"/>
        </w:rPr>
        <w:t xml:space="preserve">Analysis of criticism of 2015 determinations, </w:t>
      </w:r>
      <w:r>
        <w:t>October 2015, p. 21.</w:t>
      </w:r>
    </w:p>
  </w:footnote>
  <w:footnote w:id="679">
    <w:p w:rsidR="006345FD" w:rsidRDefault="006345FD" w:rsidP="001B6CF5">
      <w:pPr>
        <w:pStyle w:val="FootnoteText"/>
      </w:pPr>
      <w:r>
        <w:rPr>
          <w:rStyle w:val="FootnoteReference"/>
        </w:rPr>
        <w:footnoteRef/>
      </w:r>
      <w:r>
        <w:t xml:space="preserve"> </w:t>
      </w:r>
      <w:r>
        <w:tab/>
        <w:t xml:space="preserve">HoustonKemp, </w:t>
      </w:r>
      <w:r w:rsidRPr="00EA4900">
        <w:rPr>
          <w:rStyle w:val="Emphasis"/>
        </w:rPr>
        <w:t>The cost of equity: response to the AER's draft decisions for the Victorian electricity distributors, ActewAGL Distribution and Australian Gas Networks</w:t>
      </w:r>
      <w:r w:rsidRPr="00EA4900">
        <w:t>, January 2016</w:t>
      </w:r>
      <w:r>
        <w:t>, p. 27.</w:t>
      </w:r>
    </w:p>
  </w:footnote>
  <w:footnote w:id="680">
    <w:p w:rsidR="006345FD" w:rsidRDefault="006345FD" w:rsidP="001B6CF5">
      <w:pPr>
        <w:pStyle w:val="FootnoteText"/>
      </w:pPr>
      <w:r>
        <w:rPr>
          <w:rStyle w:val="FootnoteReference"/>
        </w:rPr>
        <w:footnoteRef/>
      </w:r>
      <w:r>
        <w:t xml:space="preserve"> </w:t>
      </w:r>
      <w:r>
        <w:tab/>
        <w:t>Partington and Satchell, draft report, April 2015, pp. 46–47.</w:t>
      </w:r>
    </w:p>
  </w:footnote>
  <w:footnote w:id="681">
    <w:p w:rsidR="006345FD" w:rsidRDefault="006345FD" w:rsidP="001B6CF5">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682">
    <w:p w:rsidR="006345FD" w:rsidRDefault="006345FD" w:rsidP="001B6CF5">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683">
    <w:p w:rsidR="006345FD" w:rsidRDefault="006345FD" w:rsidP="001B6CF5">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684">
    <w:p w:rsidR="006345FD" w:rsidRDefault="006345FD" w:rsidP="001B6CF5">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w:t>
      </w:r>
      <w:r>
        <w:tab/>
        <w:t xml:space="preserve">SFG, </w:t>
      </w:r>
      <w:r w:rsidRPr="00C9290A">
        <w:rPr>
          <w:rStyle w:val="AERtextitalic"/>
        </w:rPr>
        <w:t>Cost of Equity in the Black Capital Asset Pricing Model</w:t>
      </w:r>
      <w:r>
        <w:t>, 22 May 2014, p. 3.</w:t>
      </w:r>
    </w:p>
  </w:footnote>
  <w:footnote w:id="685">
    <w:p w:rsidR="006345FD" w:rsidRDefault="006345FD" w:rsidP="001B6CF5">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686">
    <w:p w:rsidR="006345FD" w:rsidRDefault="006345FD" w:rsidP="001B6CF5">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687">
    <w:p w:rsidR="006345FD" w:rsidRDefault="006345FD" w:rsidP="001B6CF5">
      <w:pPr>
        <w:pStyle w:val="FootnoteText"/>
      </w:pPr>
      <w:r>
        <w:rPr>
          <w:rStyle w:val="FootnoteReference"/>
        </w:rPr>
        <w:footnoteRef/>
      </w:r>
      <w:r>
        <w:t xml:space="preserve"> </w:t>
      </w:r>
      <w:r>
        <w:tab/>
        <w:t xml:space="preserve">Partington and Satchell, </w:t>
      </w:r>
      <w:r w:rsidRPr="00892F96">
        <w:rPr>
          <w:rStyle w:val="AERtextitalic"/>
        </w:rPr>
        <w:t>Report to the AER: Return of equity and comment on submissions in relation to JGN</w:t>
      </w:r>
      <w:r>
        <w:t xml:space="preserve">, May 2015, p. 16; Handley, </w:t>
      </w:r>
      <w:r w:rsidRPr="00892F96">
        <w:rPr>
          <w:rStyle w:val="AERtextitalic"/>
        </w:rPr>
        <w:t>Advice on the rate of return for the 2015 AER energy network determination for Jemena Gas Networks</w:t>
      </w:r>
      <w:r>
        <w:t>, 20 May 2015, p. 5.</w:t>
      </w:r>
    </w:p>
  </w:footnote>
  <w:footnote w:id="688">
    <w:p w:rsidR="006345FD" w:rsidRDefault="006345FD" w:rsidP="001B6CF5">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21.</w:t>
      </w:r>
    </w:p>
  </w:footnote>
  <w:footnote w:id="689">
    <w:p w:rsidR="006345FD" w:rsidRDefault="006345FD" w:rsidP="001B6CF5">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14.</w:t>
      </w:r>
    </w:p>
  </w:footnote>
  <w:footnote w:id="690">
    <w:p w:rsidR="006345FD" w:rsidRDefault="006345FD" w:rsidP="001B6CF5">
      <w:pPr>
        <w:pStyle w:val="FootnoteText"/>
      </w:pPr>
      <w:r>
        <w:rPr>
          <w:rStyle w:val="FootnoteReference"/>
        </w:rPr>
        <w:footnoteRef/>
      </w:r>
      <w:r>
        <w:t xml:space="preserve"> </w:t>
      </w:r>
      <w:r>
        <w:tab/>
        <w:t xml:space="preserve">HoustonKemp, </w:t>
      </w:r>
      <w:r w:rsidRPr="003C0BC3">
        <w:rPr>
          <w:rStyle w:val="Emphasis"/>
        </w:rPr>
        <w:t>The cost of equity: response to the AER's draft decisions for the Victorian electricity distributors, ActewAGL Distribution and Australian Gas Networks</w:t>
      </w:r>
      <w:r w:rsidRPr="003C0BC3">
        <w:t>, January 2016</w:t>
      </w:r>
      <w:r>
        <w:t>, p. 27.</w:t>
      </w:r>
    </w:p>
  </w:footnote>
  <w:footnote w:id="691">
    <w:p w:rsidR="006345FD" w:rsidRDefault="006345FD" w:rsidP="001B6CF5">
      <w:pPr>
        <w:pStyle w:val="FootnoteText"/>
      </w:pPr>
      <w:r>
        <w:rPr>
          <w:rStyle w:val="FootnoteReference"/>
        </w:rPr>
        <w:footnoteRef/>
      </w:r>
      <w:r>
        <w:t xml:space="preserve"> </w:t>
      </w:r>
      <w:r>
        <w:tab/>
        <w:t>Partington and Satchell, draft report, April 2015, p. 50.</w:t>
      </w:r>
    </w:p>
  </w:footnote>
  <w:footnote w:id="692">
    <w:p w:rsidR="006345FD" w:rsidRDefault="006345FD" w:rsidP="001B6CF5">
      <w:pPr>
        <w:pStyle w:val="FootnoteText"/>
      </w:pPr>
      <w:r>
        <w:rPr>
          <w:rStyle w:val="FootnoteReference"/>
        </w:rPr>
        <w:footnoteRef/>
      </w:r>
      <w:r>
        <w:t xml:space="preserve"> </w:t>
      </w:r>
      <w:r>
        <w:tab/>
        <w:t>Partington and Satchell, draft report, April 2015, p. 50.</w:t>
      </w:r>
    </w:p>
  </w:footnote>
  <w:footnote w:id="693">
    <w:p w:rsidR="006345FD" w:rsidRDefault="006345FD" w:rsidP="001B6CF5">
      <w:pPr>
        <w:pStyle w:val="FootnoteText"/>
      </w:pPr>
      <w:r>
        <w:rPr>
          <w:rStyle w:val="FootnoteReference"/>
        </w:rPr>
        <w:footnoteRef/>
      </w:r>
      <w:r>
        <w:t xml:space="preserve"> </w:t>
      </w:r>
      <w:r>
        <w:tab/>
        <w:t xml:space="preserve">Partington, </w:t>
      </w:r>
      <w:r>
        <w:rPr>
          <w:rStyle w:val="AERtextitalic"/>
        </w:rPr>
        <w:t>Report to the AER: Return on equity (updated), April 2015</w:t>
      </w:r>
      <w:r>
        <w:t>, pp. 33–34.</w:t>
      </w:r>
    </w:p>
  </w:footnote>
  <w:footnote w:id="694">
    <w:p w:rsidR="006345FD" w:rsidRDefault="006345FD" w:rsidP="001B6CF5">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22.</w:t>
      </w:r>
    </w:p>
  </w:footnote>
  <w:footnote w:id="695">
    <w:p w:rsidR="006345FD" w:rsidRDefault="006345FD" w:rsidP="001B6CF5">
      <w:pPr>
        <w:pStyle w:val="FootnoteText"/>
      </w:pPr>
      <w:r>
        <w:rPr>
          <w:rStyle w:val="FootnoteReference"/>
        </w:rPr>
        <w:footnoteRef/>
      </w:r>
      <w:r>
        <w:t xml:space="preserve"> </w:t>
      </w:r>
      <w:r>
        <w:tab/>
        <w:t>Partington and Satchell, draft report, April 2015, p. 45.</w:t>
      </w:r>
    </w:p>
  </w:footnote>
  <w:footnote w:id="696">
    <w:p w:rsidR="006345FD" w:rsidRDefault="006345FD" w:rsidP="001B6CF5">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697">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698">
    <w:p w:rsidR="006345FD" w:rsidRDefault="006345FD" w:rsidP="001B6CF5">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t>, June 2013,</w:t>
      </w:r>
      <w:r w:rsidRPr="00F73F72">
        <w:t xml:space="preserve"> p. 25</w:t>
      </w:r>
      <w:r>
        <w:t>.</w:t>
      </w:r>
    </w:p>
  </w:footnote>
  <w:footnote w:id="699">
    <w:p w:rsidR="006345FD" w:rsidRDefault="006345FD" w:rsidP="001B6CF5">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700">
    <w:p w:rsidR="006345FD" w:rsidRDefault="006345FD" w:rsidP="001B6CF5">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01">
    <w:p w:rsidR="006345FD" w:rsidRDefault="006345FD" w:rsidP="001B6CF5">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02">
    <w:p w:rsidR="006345FD" w:rsidRDefault="006345FD" w:rsidP="001B6CF5">
      <w:pPr>
        <w:pStyle w:val="FootnoteText"/>
      </w:pPr>
      <w:r>
        <w:rPr>
          <w:rStyle w:val="FootnoteReference"/>
        </w:rPr>
        <w:footnoteRef/>
      </w:r>
      <w:r>
        <w:t xml:space="preserve"> </w:t>
      </w:r>
      <w:r>
        <w:tab/>
        <w:t>For more detail, see the 'use in practice' subsection in section A.3.3 of Attachment 3 to our preliminary decision for CitiPower, which remains relevant here. No new material was submitted on this issue following our preliminary decision.</w:t>
      </w:r>
    </w:p>
  </w:footnote>
  <w:footnote w:id="703">
    <w:p w:rsidR="006345FD" w:rsidRDefault="006345FD" w:rsidP="001B6CF5">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704">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705">
    <w:p w:rsidR="006345FD" w:rsidRDefault="006345FD" w:rsidP="001B6CF5">
      <w:pPr>
        <w:pStyle w:val="FootnoteText"/>
      </w:pPr>
      <w:r>
        <w:rPr>
          <w:rStyle w:val="FootnoteReference"/>
        </w:rPr>
        <w:footnoteRef/>
      </w:r>
      <w:r>
        <w:t xml:space="preserve"> </w:t>
      </w:r>
      <w:r>
        <w:tab/>
        <w:t>As the zero beta portfolio can take many years of data to estimate, while the current government bond rate is readily available. See:</w:t>
      </w:r>
      <w:r w:rsidRPr="008E0D8F">
        <w:t xml:space="preserve"> Partington &amp; Satchell, </w:t>
      </w:r>
      <w:r w:rsidRPr="008E0D8F">
        <w:rPr>
          <w:rStyle w:val="AERtextitalic"/>
        </w:rPr>
        <w:t xml:space="preserve">Report to the AER: Analysis of criticism of 2015 determinations, </w:t>
      </w:r>
      <w:r w:rsidRPr="008E0D8F">
        <w:t>October 2015</w:t>
      </w:r>
      <w:r>
        <w:t>, p. 20.</w:t>
      </w:r>
    </w:p>
  </w:footnote>
  <w:footnote w:id="706">
    <w:p w:rsidR="006345FD" w:rsidRDefault="006345FD" w:rsidP="001B6CF5">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707">
    <w:p w:rsidR="006345FD" w:rsidRDefault="006345FD" w:rsidP="001B6CF5">
      <w:pPr>
        <w:pStyle w:val="FootnoteText"/>
      </w:pPr>
      <w:r>
        <w:rPr>
          <w:rStyle w:val="FootnoteReference"/>
        </w:rPr>
        <w:footnoteRef/>
      </w:r>
      <w:r>
        <w:tab/>
      </w:r>
      <w:r w:rsidRPr="003061B8">
        <w:t xml:space="preserve">CitiPower, </w:t>
      </w:r>
      <w:r w:rsidRPr="003061B8">
        <w:rPr>
          <w:rStyle w:val="AERtextitalic"/>
        </w:rPr>
        <w:t>Regulatory proposal 2016-2020</w:t>
      </w:r>
      <w:r>
        <w:t>, April 2015, p. 205–212; C</w:t>
      </w:r>
      <w:r w:rsidRPr="003061B8">
        <w:t xml:space="preserve">itiPower, </w:t>
      </w:r>
      <w:r>
        <w:t>Revised r</w:t>
      </w:r>
      <w:r w:rsidRPr="003061B8">
        <w:rPr>
          <w:rStyle w:val="AERtextitalic"/>
        </w:rPr>
        <w:t>egulatory proposal 2016-2020</w:t>
      </w:r>
      <w:r>
        <w:t>, January 2016, p. 325–326;</w:t>
      </w:r>
      <w:r w:rsidRPr="00BC555B">
        <w:t xml:space="preserve"> Powercor, </w:t>
      </w:r>
      <w:r w:rsidRPr="00BC555B">
        <w:rPr>
          <w:rStyle w:val="Emphasis"/>
        </w:rPr>
        <w:t>Revised regulatory proposal 2016–2020</w:t>
      </w:r>
      <w:r w:rsidRPr="00BC555B">
        <w:t xml:space="preserve">, January 2016, pp. 319–320; ActewAGL, </w:t>
      </w:r>
      <w:r w:rsidRPr="00BC555B">
        <w:rPr>
          <w:rStyle w:val="Emphasis"/>
        </w:rPr>
        <w:t>Revised 2016–21 access arrangement proposal Response to the AER's draft decision, Appendix 5.01 Detailed response to rate of return, gamma and inflation</w:t>
      </w:r>
      <w:r w:rsidRPr="00BC555B">
        <w:t xml:space="preserve">, January 2016, pp. 104–105; United Energy, </w:t>
      </w:r>
      <w:r w:rsidRPr="00BC555B">
        <w:rPr>
          <w:rStyle w:val="Emphasis"/>
        </w:rPr>
        <w:t>Response to AER preliminary determination–Re: rate of return and gamma</w:t>
      </w:r>
      <w:r w:rsidRPr="00BC555B">
        <w:t xml:space="preserve">, 6 January 2016, pp. 37–38; AGN, </w:t>
      </w:r>
      <w:r w:rsidRPr="00BC555B">
        <w:rPr>
          <w:rStyle w:val="Emphasis"/>
        </w:rPr>
        <w:t>2016–17 to 2020/21 Access Arrangement information response to draft decision: Attachment 10.26 Response to draft decision: rate of return</w:t>
      </w:r>
      <w:r w:rsidRPr="00BC555B">
        <w:t xml:space="preserve">, January 2016, pp.  44–45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42–46, 83–84, 120–121;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73, 75–77.</w:t>
      </w:r>
    </w:p>
  </w:footnote>
  <w:footnote w:id="708">
    <w:p w:rsidR="006345FD" w:rsidRDefault="006345FD" w:rsidP="001B6CF5">
      <w:pPr>
        <w:pStyle w:val="FootnoteText"/>
      </w:pPr>
      <w:r>
        <w:rPr>
          <w:rStyle w:val="FootnoteReference"/>
        </w:rPr>
        <w:footnoteRef/>
      </w:r>
      <w:r>
        <w:t xml:space="preserve"> </w:t>
      </w:r>
      <w:r>
        <w:tab/>
      </w:r>
      <w:r w:rsidRPr="003061B8">
        <w:t xml:space="preserve">CitiPower, </w:t>
      </w:r>
      <w:r>
        <w:t>Revised r</w:t>
      </w:r>
      <w:r w:rsidRPr="003061B8">
        <w:rPr>
          <w:rStyle w:val="AERtextitalic"/>
        </w:rPr>
        <w:t>egulatory proposal 2016-2020</w:t>
      </w:r>
      <w:r>
        <w:t>, January 2016, p. 286–289;</w:t>
      </w:r>
      <w:r w:rsidRPr="00BC555B">
        <w:t xml:space="preserve"> Powercor, </w:t>
      </w:r>
      <w:r w:rsidRPr="00BC555B">
        <w:rPr>
          <w:rStyle w:val="Emphasis"/>
        </w:rPr>
        <w:t>Revised regulatory proposal 2016–2020</w:t>
      </w:r>
      <w:r w:rsidRPr="00BC555B">
        <w:t xml:space="preserve">, January 2016, pp. 280–282;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57–64;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46–48; AusNet Services, </w:t>
      </w:r>
      <w:r w:rsidRPr="00BC555B">
        <w:rPr>
          <w:rStyle w:val="Emphasis"/>
        </w:rPr>
        <w:t>Electricity distribution price review 2016–20 Revised regulatory proposal: Chapter 7 Rate of return &amp; gamma</w:t>
      </w:r>
      <w:r w:rsidRPr="00BC555B">
        <w:t xml:space="preserve">, 6 January 2016, pp. 41–43; APTNT, </w:t>
      </w:r>
      <w:r w:rsidRPr="00BC555B">
        <w:rPr>
          <w:rStyle w:val="Emphasis"/>
        </w:rPr>
        <w:t>Amadeus Gas Pipeline access arrangement revision proposal</w:t>
      </w:r>
      <w:r w:rsidRPr="00BC555B">
        <w:t>, August 2015, pp. 115–120</w:t>
      </w:r>
    </w:p>
  </w:footnote>
  <w:footnote w:id="709">
    <w:p w:rsidR="006345FD" w:rsidRDefault="006345FD" w:rsidP="001B6CF5">
      <w:pPr>
        <w:pStyle w:val="FootnoteText"/>
      </w:pPr>
      <w:r>
        <w:rPr>
          <w:rStyle w:val="FootnoteReference"/>
        </w:rPr>
        <w:footnoteRef/>
      </w:r>
      <w:r>
        <w:t xml:space="preserve"> </w:t>
      </w:r>
      <w:r>
        <w:tab/>
      </w:r>
      <w:r w:rsidRPr="003061B8">
        <w:t xml:space="preserve">CitiPower, </w:t>
      </w:r>
      <w:r w:rsidRPr="009554E5">
        <w:rPr>
          <w:rStyle w:val="Emphasis"/>
        </w:rPr>
        <w:t>Revised</w:t>
      </w:r>
      <w:r>
        <w:t xml:space="preserve"> r</w:t>
      </w:r>
      <w:r w:rsidRPr="003061B8">
        <w:rPr>
          <w:rStyle w:val="AERtextitalic"/>
        </w:rPr>
        <w:t>egulatory proposal 2016-2020</w:t>
      </w:r>
      <w:r>
        <w:t xml:space="preserve">, January 2016, p. 293–294; </w:t>
      </w:r>
      <w:r w:rsidRPr="00BC555B">
        <w:t xml:space="preserve">; Powercor, </w:t>
      </w:r>
      <w:r w:rsidRPr="00BC555B">
        <w:rPr>
          <w:rStyle w:val="Emphasis"/>
        </w:rPr>
        <w:t>Revised regulatory proposal 2016–2020</w:t>
      </w:r>
      <w:r w:rsidRPr="00BC555B">
        <w:t xml:space="preserve">, January 2016, pp. 287–288; ActewAGL, </w:t>
      </w:r>
      <w:r w:rsidRPr="00BC555B">
        <w:rPr>
          <w:rStyle w:val="Emphasis"/>
        </w:rPr>
        <w:t>Revised 2016–21 access arrangement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45–49; AGN, </w:t>
      </w:r>
      <w:r w:rsidRPr="00BC555B">
        <w:rPr>
          <w:rStyle w:val="Emphasis"/>
        </w:rPr>
        <w:t>2016–17 to 2020/21 Access Arrangement information response to draft decision: Attachment 10.26 Response to draft decision: rate of return</w:t>
      </w:r>
      <w:r w:rsidRPr="00BC555B">
        <w:t xml:space="preserve">, January 2016, pp. 54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pp.70 ; APTNT, </w:t>
      </w:r>
      <w:r w:rsidRPr="00BC555B">
        <w:rPr>
          <w:rStyle w:val="Emphasis"/>
        </w:rPr>
        <w:t>Amadeus Gas Pipeline access arrangement revision proposal</w:t>
      </w:r>
      <w:r w:rsidRPr="00BC555B">
        <w:t>, August 2015, pp. 115–120</w:t>
      </w:r>
      <w:r>
        <w:t>.</w:t>
      </w:r>
    </w:p>
  </w:footnote>
  <w:footnote w:id="710">
    <w:p w:rsidR="006345FD" w:rsidRDefault="006345FD" w:rsidP="001B6CF5">
      <w:pPr>
        <w:pStyle w:val="FootnoteText"/>
      </w:pPr>
      <w:r>
        <w:rPr>
          <w:rStyle w:val="FootnoteReference"/>
        </w:rPr>
        <w:footnoteRef/>
      </w:r>
      <w:r>
        <w:t xml:space="preserve"> </w:t>
      </w:r>
      <w:r>
        <w:tab/>
      </w:r>
      <w:r w:rsidRPr="003061B8">
        <w:t xml:space="preserve">CitiPower, </w:t>
      </w:r>
      <w:r w:rsidRPr="009554E5">
        <w:rPr>
          <w:rStyle w:val="Emphasis"/>
        </w:rPr>
        <w:t>Revised r</w:t>
      </w:r>
      <w:r w:rsidRPr="003061B8">
        <w:rPr>
          <w:rStyle w:val="AERtextitalic"/>
        </w:rPr>
        <w:t>egulatory proposal 2016-2020</w:t>
      </w:r>
      <w:r>
        <w:t>, January 2016, p. 285</w:t>
      </w:r>
      <w:r w:rsidRPr="00BC555B">
        <w:t xml:space="preserve">; Powercor, </w:t>
      </w:r>
      <w:r w:rsidRPr="00BC555B">
        <w:rPr>
          <w:rStyle w:val="Emphasis"/>
        </w:rPr>
        <w:t>Revised regulatory proposal 2016–2020</w:t>
      </w:r>
      <w:r w:rsidRPr="00BC555B">
        <w:t xml:space="preserve">, January 2016, p. 279;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54–56; United Energy, </w:t>
      </w:r>
      <w:r w:rsidRPr="00BC555B">
        <w:rPr>
          <w:rStyle w:val="Emphasis"/>
        </w:rPr>
        <w:t>Response to AER preliminary determination–Re: rate of return and gamma</w:t>
      </w:r>
      <w:r w:rsidRPr="00BC555B">
        <w:t xml:space="preserve">, 6 January 2016, pp. 37–40; AGN, </w:t>
      </w:r>
      <w:r w:rsidRPr="00BC555B">
        <w:rPr>
          <w:rStyle w:val="Emphasis"/>
        </w:rPr>
        <w:t>2016–17 to 2020/21 Access Arrangement information response to draft decision: Attachment 10.26 Response to draft decision: rate of return</w:t>
      </w:r>
      <w:r w:rsidRPr="00BC555B">
        <w:t xml:space="preserve">, January 2016, pp. 45–46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43–45; AusNet Services, </w:t>
      </w:r>
      <w:r w:rsidRPr="00BC555B">
        <w:rPr>
          <w:rStyle w:val="Emphasis"/>
        </w:rPr>
        <w:t>Electricity distribution price review 2016–20 Re</w:t>
      </w:r>
      <w:r>
        <w:rPr>
          <w:rStyle w:val="Emphasis"/>
        </w:rPr>
        <w:t>vised regulatory proposal: Chap</w:t>
      </w:r>
      <w:r w:rsidRPr="00BC555B">
        <w:rPr>
          <w:rStyle w:val="Emphasis"/>
        </w:rPr>
        <w:t>ter 7 Rate of return &amp; gamma</w:t>
      </w:r>
      <w:r w:rsidRPr="00BC555B">
        <w:t xml:space="preserve">, 6 January 2016, pp. 39–40; APTNT, </w:t>
      </w:r>
      <w:r w:rsidRPr="00BC555B">
        <w:rPr>
          <w:rStyle w:val="Emphasis"/>
        </w:rPr>
        <w:t>Amadeus Gas Pipeline Access arrangement revised proposal: response to Draft Decision,</w:t>
      </w:r>
      <w:r w:rsidRPr="00BC555B">
        <w:t xml:space="preserve"> January 2016, pp. 73–77</w:t>
      </w:r>
      <w:r>
        <w:t>.</w:t>
      </w:r>
    </w:p>
  </w:footnote>
  <w:footnote w:id="711">
    <w:p w:rsidR="006345FD" w:rsidRDefault="006345FD" w:rsidP="001B6CF5">
      <w:pPr>
        <w:pStyle w:val="FootnoteText"/>
      </w:pPr>
      <w:r>
        <w:rPr>
          <w:rStyle w:val="FootnoteReference"/>
        </w:rPr>
        <w:footnoteRef/>
      </w:r>
      <w:r>
        <w:t xml:space="preserve"> </w:t>
      </w:r>
      <w:r>
        <w:tab/>
      </w:r>
      <w:r w:rsidRPr="003061B8">
        <w:t xml:space="preserve">CitiPower, </w:t>
      </w:r>
      <w:r w:rsidRPr="009554E5">
        <w:rPr>
          <w:rStyle w:val="Emphasis"/>
        </w:rPr>
        <w:t>Revised regulatory</w:t>
      </w:r>
      <w:r w:rsidRPr="003061B8">
        <w:rPr>
          <w:rStyle w:val="AERtextitalic"/>
        </w:rPr>
        <w:t xml:space="preserve"> proposal 2016-2020</w:t>
      </w:r>
      <w:r>
        <w:t xml:space="preserve">, January 2016, p. 296; </w:t>
      </w:r>
      <w:r w:rsidRPr="00BC555B">
        <w:t xml:space="preserve">Powercor, </w:t>
      </w:r>
      <w:r w:rsidRPr="00BC555B">
        <w:rPr>
          <w:rStyle w:val="Emphasis"/>
        </w:rPr>
        <w:t>Revised regulatory proposal 2016–2020</w:t>
      </w:r>
      <w:r w:rsidRPr="00BC555B">
        <w:t xml:space="preserve">, January 2016, p. 290;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69–70; United Energy, </w:t>
      </w:r>
      <w:r w:rsidRPr="00BC555B">
        <w:rPr>
          <w:rStyle w:val="Emphasis"/>
        </w:rPr>
        <w:t>Response to AER preliminary determination–Re: rate of return and gamma</w:t>
      </w:r>
      <w:r w:rsidRPr="00BC555B">
        <w:t xml:space="preserve">, 6 January 2016, pp.50–51; AGN, </w:t>
      </w:r>
      <w:r w:rsidRPr="00BC555B">
        <w:rPr>
          <w:rStyle w:val="Emphasis"/>
        </w:rPr>
        <w:t>2016–17 to 2020/21 Access Arrangement information response to draft decision: Attachment 10.26 Response to draft decision: rate of return</w:t>
      </w:r>
      <w:r w:rsidRPr="00BC555B">
        <w:t xml:space="preserve">, January 2016, p. 56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54–56; AusNet Services, </w:t>
      </w:r>
      <w:r w:rsidRPr="00BC555B">
        <w:rPr>
          <w:rStyle w:val="Emphasis"/>
        </w:rPr>
        <w:t>Electricity distribution price review 2016–20 Revised regulatory proposal: Chapter 7 Rate of return &amp; gamma</w:t>
      </w:r>
      <w:r w:rsidRPr="00BC555B">
        <w:t>, 6 January 2016, p. 50.</w:t>
      </w:r>
    </w:p>
  </w:footnote>
  <w:footnote w:id="712">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pp. 44–45.</w:t>
      </w:r>
    </w:p>
  </w:footnote>
  <w:footnote w:id="713">
    <w:p w:rsidR="006345FD" w:rsidRDefault="006345FD" w:rsidP="001B6CF5">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25–26.</w:t>
      </w:r>
    </w:p>
  </w:footnote>
  <w:footnote w:id="714">
    <w:p w:rsidR="006345FD" w:rsidRDefault="006345FD" w:rsidP="001B6CF5">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pp. 19 &amp; 26.</w:t>
      </w:r>
    </w:p>
  </w:footnote>
  <w:footnote w:id="715">
    <w:p w:rsidR="006345FD" w:rsidRDefault="006345FD" w:rsidP="001B6CF5">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18.</w:t>
      </w:r>
    </w:p>
  </w:footnote>
  <w:footnote w:id="716">
    <w:p w:rsidR="006345FD" w:rsidRDefault="006345FD" w:rsidP="001B6CF5">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17">
    <w:p w:rsidR="006345FD" w:rsidRDefault="006345FD" w:rsidP="001B6CF5">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718">
    <w:p w:rsidR="006345FD" w:rsidRDefault="006345FD" w:rsidP="001B6CF5">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719">
    <w:p w:rsidR="006345FD" w:rsidRDefault="006345FD" w:rsidP="001B6CF5">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 xml:space="preserve">8; SFG, </w:t>
      </w:r>
      <w:r w:rsidRPr="009B298A">
        <w:rPr>
          <w:rStyle w:val="AERtextitalic"/>
        </w:rPr>
        <w:t>The foundation model approach of the Australian Energy Regulator to estimating the cost of equity</w:t>
      </w:r>
      <w:r>
        <w:t>, March 2015, p. 24.</w:t>
      </w:r>
    </w:p>
  </w:footnote>
  <w:footnote w:id="720">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721">
    <w:p w:rsidR="006345FD" w:rsidRDefault="006345FD" w:rsidP="001B6CF5">
      <w:pPr>
        <w:pStyle w:val="FootnoteText"/>
      </w:pPr>
      <w:r>
        <w:rPr>
          <w:rStyle w:val="FootnoteReference"/>
        </w:rPr>
        <w:footnoteRef/>
      </w:r>
      <w:r>
        <w:t xml:space="preserve"> </w:t>
      </w:r>
      <w:r>
        <w:tab/>
      </w:r>
      <w:r w:rsidRPr="008E0D8F">
        <w:t xml:space="preserve">Partington &amp; Satchell, </w:t>
      </w:r>
      <w:r w:rsidRPr="008E0D8F">
        <w:rPr>
          <w:rStyle w:val="AERtextitalic"/>
        </w:rPr>
        <w:t xml:space="preserve">Report to the AER: Analysis of criticism of 2015 determinations, </w:t>
      </w:r>
      <w:r w:rsidRPr="008E0D8F">
        <w:t>October 2015</w:t>
      </w:r>
      <w:r>
        <w:t>, p. 26.</w:t>
      </w:r>
    </w:p>
  </w:footnote>
  <w:footnote w:id="722">
    <w:p w:rsidR="006345FD" w:rsidRDefault="006345FD" w:rsidP="001B6CF5">
      <w:pPr>
        <w:pStyle w:val="FootnoteText"/>
      </w:pPr>
      <w:r>
        <w:rPr>
          <w:rStyle w:val="FootnoteReference"/>
        </w:rPr>
        <w:footnoteRef/>
      </w:r>
      <w:r>
        <w:t xml:space="preserve"> </w:t>
      </w:r>
      <w:r>
        <w:tab/>
        <w:t xml:space="preserve">NERA, </w:t>
      </w:r>
      <w:r w:rsidRPr="005406B9">
        <w:rPr>
          <w:rStyle w:val="AERtextitalic"/>
        </w:rPr>
        <w:t xml:space="preserve">The Black CAPM: A report for </w:t>
      </w:r>
      <w:r>
        <w:rPr>
          <w:rStyle w:val="AERtextitalic"/>
        </w:rPr>
        <w:t>APA Group</w:t>
      </w:r>
      <w:r w:rsidRPr="005406B9">
        <w:rPr>
          <w:rStyle w:val="AERtextitalic"/>
        </w:rPr>
        <w:t>, Envestra, Multinet and SP AusNet</w:t>
      </w:r>
      <w:r>
        <w:t>, March 2012. For a response to this submission, see McKenzie and Partington</w:t>
      </w:r>
      <w:r w:rsidRPr="005406B9">
        <w:rPr>
          <w:rStyle w:val="AERtextitalic"/>
        </w:rPr>
        <w:t>, Review of NERA report on the Black CAPM</w:t>
      </w:r>
      <w:r>
        <w:t>, 24 August 2012.</w:t>
      </w:r>
    </w:p>
  </w:footnote>
  <w:footnote w:id="723">
    <w:p w:rsidR="006345FD" w:rsidRDefault="006345FD" w:rsidP="001B6CF5">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24">
    <w:p w:rsidR="006345FD" w:rsidRDefault="006345FD" w:rsidP="001B6CF5">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725">
    <w:p w:rsidR="006345FD" w:rsidRDefault="006345FD" w:rsidP="001B6CF5">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726">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24;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44.</w:t>
      </w:r>
    </w:p>
  </w:footnote>
  <w:footnote w:id="727">
    <w:p w:rsidR="006345FD" w:rsidRDefault="006345FD" w:rsidP="001B6CF5">
      <w:pPr>
        <w:pStyle w:val="FootnoteText"/>
      </w:pPr>
      <w:r>
        <w:rPr>
          <w:rStyle w:val="FootnoteReference"/>
        </w:rPr>
        <w:footnoteRef/>
      </w:r>
      <w:r>
        <w:t xml:space="preserve"> </w:t>
      </w:r>
      <w:r>
        <w:tab/>
        <w:t xml:space="preserve">SFG, </w:t>
      </w:r>
      <w:r w:rsidRPr="00950BE3">
        <w:rPr>
          <w:rStyle w:val="AERtextitalic"/>
        </w:rPr>
        <w:t>Beta and the Black CAPM</w:t>
      </w:r>
      <w:r>
        <w:t>, February 2015, pp. 19</w:t>
      </w:r>
      <w:r w:rsidRPr="005A1480">
        <w:t>–</w:t>
      </w:r>
      <w:r>
        <w:t>20.</w:t>
      </w:r>
    </w:p>
  </w:footnote>
  <w:footnote w:id="728">
    <w:p w:rsidR="006345FD" w:rsidRDefault="006345FD" w:rsidP="001B6CF5">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729">
    <w:p w:rsidR="006345FD" w:rsidRDefault="006345FD" w:rsidP="001B6CF5">
      <w:pPr>
        <w:pStyle w:val="FootnoteText"/>
      </w:pPr>
      <w:r>
        <w:rPr>
          <w:rStyle w:val="FootnoteReference"/>
        </w:rPr>
        <w:footnoteRef/>
      </w:r>
      <w:r>
        <w:t xml:space="preserve"> </w:t>
      </w:r>
      <w:r>
        <w:tab/>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320; AER, </w:t>
      </w:r>
      <w:r w:rsidRPr="00BC555B">
        <w:rPr>
          <w:rStyle w:val="Emphasis"/>
        </w:rPr>
        <w:t>Preliminary decision United Energy determination 2016 to 2020: Attachment 3 – Rate of return</w:t>
      </w:r>
      <w:r w:rsidRPr="00BC555B">
        <w:t xml:space="preserve">, October 2015, pp. 308–318; AER, </w:t>
      </w:r>
      <w:r w:rsidRPr="00BC555B">
        <w:rPr>
          <w:rStyle w:val="AERtextitalic"/>
        </w:rPr>
        <w:t>Explanatory statement rate of return guideline (appendices)</w:t>
      </w:r>
      <w:r w:rsidRPr="00BC555B">
        <w:t xml:space="preserve">, 17 December 2013, pp. 16–18; AER, </w:t>
      </w:r>
      <w:r w:rsidRPr="00BC555B">
        <w:rPr>
          <w:rStyle w:val="Emphasis"/>
        </w:rPr>
        <w:t>Draft decision Australian Gas Networks access arrangement 2016 to 2021–Attachment 3: rate of return</w:t>
      </w:r>
      <w:r w:rsidRPr="00BC555B">
        <w:t xml:space="preserve">, November 2015, pp. 313–322; AER, </w:t>
      </w:r>
      <w:r w:rsidRPr="00BC555B">
        <w:rPr>
          <w:rStyle w:val="Emphasis"/>
        </w:rPr>
        <w:t>Preliminary decision Jemena distribution determination 2016 to 2020: Attachment 3–Rate of return</w:t>
      </w:r>
      <w:r w:rsidRPr="00BC555B">
        <w:t>, October 2015, pp. 307–317; AER</w:t>
      </w:r>
      <w:r w:rsidRPr="00BC555B">
        <w:rPr>
          <w:rStyle w:val="Emphasis"/>
        </w:rPr>
        <w:t>, Preliminary decision AusNet Services determination 2016 to 2020: Attachment 3–Rate of return</w:t>
      </w:r>
      <w:r w:rsidRPr="00BC555B">
        <w:t xml:space="preserve">, October 2015, pp. 306–316; AER, </w:t>
      </w:r>
      <w:r w:rsidRPr="00BC555B">
        <w:rPr>
          <w:rStyle w:val="Emphasis"/>
        </w:rPr>
        <w:t>Draft decision Amadeus Gas Pipeline access arrangement 2016 to 2021: Attachment 3¬–Rate of return</w:t>
      </w:r>
      <w:r w:rsidRPr="00BC555B">
        <w:t>, November 2015, pp. 74–78.</w:t>
      </w:r>
    </w:p>
  </w:footnote>
  <w:footnote w:id="730">
    <w:p w:rsidR="006345FD" w:rsidRDefault="006345FD" w:rsidP="00875B40">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293; Powercor, </w:t>
      </w:r>
      <w:r w:rsidRPr="00BC555B">
        <w:rPr>
          <w:rStyle w:val="Emphasis"/>
        </w:rPr>
        <w:t>Revised regulatory proposal 2016–2020</w:t>
      </w:r>
      <w:r w:rsidRPr="00BC555B">
        <w:t xml:space="preserve">, January 2016, p. 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 44–46, 51–52; AGN, </w:t>
      </w:r>
      <w:r w:rsidRPr="00BC555B">
        <w:rPr>
          <w:rStyle w:val="Emphasis"/>
        </w:rPr>
        <w:t>2016–17 to 2020/21 Access Arrangement information response to draft decision: Attachment 10.26 Response to draft decision: rate of return</w:t>
      </w:r>
      <w:r w:rsidRPr="00BC555B">
        <w:t xml:space="preserve">, January 2016, pp. 54–58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48–49; APTNT, </w:t>
      </w:r>
      <w:r w:rsidRPr="00BC555B">
        <w:rPr>
          <w:rStyle w:val="Emphasis"/>
        </w:rPr>
        <w:t>Amadeus Gas Pipeline Access arrangement revised proposal: response to Draft Decision,</w:t>
      </w:r>
      <w:r w:rsidRPr="00BC555B">
        <w:t xml:space="preserve"> January 2016, p. 70.</w:t>
      </w:r>
    </w:p>
  </w:footnote>
  <w:footnote w:id="731">
    <w:p w:rsidR="006345FD" w:rsidRDefault="006345FD" w:rsidP="001B6CF5">
      <w:pPr>
        <w:pStyle w:val="FootnoteText"/>
      </w:pPr>
      <w:r>
        <w:rPr>
          <w:rStyle w:val="FootnoteReference"/>
        </w:rPr>
        <w:footnoteRef/>
      </w:r>
      <w:r>
        <w:t xml:space="preserve"> </w:t>
      </w:r>
      <w:r>
        <w:tab/>
      </w:r>
      <w:r w:rsidRPr="00BC555B">
        <w:t xml:space="preserve">CitiPower, </w:t>
      </w:r>
      <w:r w:rsidRPr="00BC555B">
        <w:rPr>
          <w:rStyle w:val="Emphasis"/>
        </w:rPr>
        <w:t>Revised Regulatory Proposal 2016–2020</w:t>
      </w:r>
      <w:r w:rsidRPr="00BC555B">
        <w:t xml:space="preserve">, January 2016, p. 290–293; Powercor, </w:t>
      </w:r>
      <w:r w:rsidRPr="00BC555B">
        <w:rPr>
          <w:rStyle w:val="Emphasis"/>
        </w:rPr>
        <w:t>Revised regulatory proposal 2016–2020</w:t>
      </w:r>
      <w:r w:rsidRPr="00BC555B">
        <w:t xml:space="preserve">, January 2016, p. 285–287; ActewAGL, </w:t>
      </w:r>
      <w:r w:rsidRPr="00BC555B">
        <w:rPr>
          <w:rStyle w:val="Emphasis"/>
        </w:rPr>
        <w:t>Revised 2016–21 access ar</w:t>
      </w:r>
      <w:r>
        <w:rPr>
          <w:rStyle w:val="Emphasis"/>
        </w:rPr>
        <w:t>r</w:t>
      </w:r>
      <w:r w:rsidRPr="00BC555B">
        <w:rPr>
          <w:rStyle w:val="Emphasis"/>
        </w:rPr>
        <w:t>angement proposal Response to the AER's draft decision, Appendix 5.01 Detailed response to rate of return, gamma and inflation</w:t>
      </w:r>
      <w:r w:rsidRPr="00BC555B">
        <w:t xml:space="preserve">, January 2016, pp. 66–67; United Energy, </w:t>
      </w:r>
      <w:r w:rsidRPr="00BC555B">
        <w:rPr>
          <w:rStyle w:val="Emphasis"/>
        </w:rPr>
        <w:t>Response to AER preliminary determination–Re: rate of return and gamma</w:t>
      </w:r>
      <w:r w:rsidRPr="00BC555B">
        <w:t xml:space="preserve">, 6 January 2016, pp.45–46, 48–49; AGN, </w:t>
      </w:r>
      <w:r w:rsidRPr="00BC555B">
        <w:rPr>
          <w:rStyle w:val="Emphasis"/>
        </w:rPr>
        <w:t>2016–17 to 2020/21 Access Arrangement information response to draft decision: Attachment 10.26 Response to draft decision: rate of return</w:t>
      </w:r>
      <w:r w:rsidRPr="00BC555B">
        <w:t xml:space="preserve">, January 2016, pp. 44, 47–52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53–54; AusNet Services, </w:t>
      </w:r>
      <w:r w:rsidRPr="00BC555B">
        <w:rPr>
          <w:rStyle w:val="Emphasis"/>
        </w:rPr>
        <w:t>Electricity distribution price review 2016–20 Revised regulatory proposal: Chapter 7 Rate of return &amp; gamma</w:t>
      </w:r>
      <w:r w:rsidRPr="00BC555B">
        <w:t xml:space="preserve">, 6 January 2016, pp. 38–39; APTNT, </w:t>
      </w:r>
      <w:r w:rsidRPr="00BC555B">
        <w:rPr>
          <w:rStyle w:val="Emphasis"/>
        </w:rPr>
        <w:t>Amadeus Gas Pipeline Access arrangement revised proposal: response to Draft Decision,</w:t>
      </w:r>
      <w:r w:rsidRPr="00BC555B">
        <w:t xml:space="preserve"> January 2016, pp. 69–73</w:t>
      </w:r>
      <w:r>
        <w:t>.</w:t>
      </w:r>
    </w:p>
  </w:footnote>
  <w:footnote w:id="732">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33">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39–45.</w:t>
      </w:r>
    </w:p>
  </w:footnote>
  <w:footnote w:id="734">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44–45.</w:t>
      </w:r>
    </w:p>
  </w:footnote>
  <w:footnote w:id="735">
    <w:p w:rsidR="006345FD" w:rsidRDefault="006345FD" w:rsidP="001B6CF5">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viii, 25–28.</w:t>
      </w:r>
    </w:p>
  </w:footnote>
  <w:footnote w:id="736">
    <w:p w:rsidR="006345FD" w:rsidRDefault="006345FD" w:rsidP="001B6CF5">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26.</w:t>
      </w:r>
    </w:p>
  </w:footnote>
  <w:footnote w:id="737">
    <w:p w:rsidR="006345FD" w:rsidRDefault="006345FD" w:rsidP="001B6CF5">
      <w:pPr>
        <w:pStyle w:val="FootnoteText"/>
      </w:pPr>
      <w:r>
        <w:rPr>
          <w:rStyle w:val="FootnoteReference"/>
        </w:rPr>
        <w:footnoteRef/>
      </w:r>
      <w:r>
        <w:t xml:space="preserve"> </w:t>
      </w:r>
      <w:r>
        <w:tab/>
        <w:t>HoustonKemp</w:t>
      </w:r>
      <w:r w:rsidRPr="001B55CE">
        <w:t xml:space="preserve"> use</w:t>
      </w:r>
      <w:r>
        <w:t>d</w:t>
      </w:r>
      <w:r w:rsidRPr="001B55CE">
        <w:t xml:space="preserve"> the largest 100 stocks from 1963 to 1973 and the largest 500 stocks from 1974 to 2014 </w:t>
      </w:r>
    </w:p>
  </w:footnote>
  <w:footnote w:id="738">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42–43.</w:t>
      </w:r>
    </w:p>
  </w:footnote>
  <w:footnote w:id="739">
    <w:p w:rsidR="006345FD" w:rsidRDefault="006345FD" w:rsidP="001B6CF5">
      <w:pPr>
        <w:pStyle w:val="FootnoteText"/>
      </w:pPr>
      <w:r>
        <w:rPr>
          <w:rStyle w:val="FootnoteReference"/>
        </w:rPr>
        <w:footnoteRef/>
      </w:r>
      <w:r>
        <w:t xml:space="preserve"> </w:t>
      </w:r>
      <w:r>
        <w:tab/>
        <w:t xml:space="preserve">Houston Kemp, </w:t>
      </w:r>
      <w:r w:rsidRPr="00BC555B">
        <w:rPr>
          <w:rStyle w:val="Emphasis"/>
        </w:rPr>
        <w:t>The cost of equity: response to the AER's draft decisions for the Victorian electricity distributors, ActewAGL Distribution and Australian Gas Networks,</w:t>
      </w:r>
      <w:r>
        <w:rPr>
          <w:rStyle w:val="Emphasis"/>
        </w:rPr>
        <w:t xml:space="preserve"> </w:t>
      </w:r>
      <w:r w:rsidRPr="00BC555B">
        <w:t xml:space="preserve">January 2016, </w:t>
      </w:r>
      <w:r>
        <w:t>p. 28.</w:t>
      </w:r>
    </w:p>
  </w:footnote>
  <w:footnote w:id="740">
    <w:p w:rsidR="006345FD" w:rsidRDefault="006345FD" w:rsidP="001B6CF5">
      <w:pPr>
        <w:pStyle w:val="FootnoteText"/>
      </w:pPr>
      <w:r>
        <w:rPr>
          <w:rStyle w:val="FootnoteReference"/>
        </w:rPr>
        <w:footnoteRef/>
      </w:r>
      <w:r>
        <w:t xml:space="preserve"> </w:t>
      </w:r>
      <w:r>
        <w:tab/>
        <w:t xml:space="preserve">McKenzie and Partington, </w:t>
      </w:r>
      <w:r w:rsidRPr="009554E5">
        <w:rPr>
          <w:rStyle w:val="Emphasis"/>
        </w:rPr>
        <w:t>Report to the AER part A: Return on equity</w:t>
      </w:r>
      <w:r>
        <w:t xml:space="preserve">, October 2014, p. 24; Partington, </w:t>
      </w:r>
      <w:r w:rsidRPr="009554E5">
        <w:rPr>
          <w:rStyle w:val="Emphasis"/>
        </w:rPr>
        <w:t>Report to the AER: Return on equity (updated), April 2015</w:t>
      </w:r>
      <w:r>
        <w:t xml:space="preserve">, p. 44; October 2015, p. 19; </w:t>
      </w:r>
      <w:r w:rsidRPr="00387DCE">
        <w:t xml:space="preserve">Partington and Satchell, </w:t>
      </w:r>
      <w:r>
        <w:rPr>
          <w:rStyle w:val="Emphasis"/>
        </w:rPr>
        <w:t>Report to the AER: Cost of equity issues–2016 electricity and gas determinations</w:t>
      </w:r>
      <w:r w:rsidRPr="009554E5">
        <w:rPr>
          <w:rStyle w:val="Emphasis"/>
        </w:rPr>
        <w:t>,</w:t>
      </w:r>
      <w:r w:rsidRPr="00387DCE">
        <w:t xml:space="preserve"> April 201</w:t>
      </w:r>
      <w:r>
        <w:t>6</w:t>
      </w:r>
      <w:r w:rsidRPr="00387DCE">
        <w:t>,</w:t>
      </w:r>
      <w:r>
        <w:t xml:space="preserve"> pp. 39–46. </w:t>
      </w:r>
    </w:p>
  </w:footnote>
  <w:footnote w:id="741">
    <w:p w:rsidR="006345FD" w:rsidRDefault="006345FD" w:rsidP="001B6CF5">
      <w:pPr>
        <w:pStyle w:val="FootnoteText"/>
      </w:pPr>
      <w:r>
        <w:rPr>
          <w:rStyle w:val="FootnoteReference"/>
        </w:rPr>
        <w:footnoteRef/>
      </w:r>
      <w:r>
        <w:t xml:space="preserve"> </w:t>
      </w:r>
      <w:r>
        <w:tab/>
        <w:t xml:space="preserve">AER, SAPN final decision: Attachment 3–Rate of return, October 2015, p. 76–79; </w:t>
      </w:r>
      <w:r w:rsidRPr="00BC555B">
        <w:t xml:space="preserve">AER, </w:t>
      </w:r>
      <w:r w:rsidRPr="00BC555B">
        <w:rPr>
          <w:rStyle w:val="Emphasis"/>
        </w:rPr>
        <w:t>Preliminary decision: CitiPower determination 2016–2020: Attachment 3–Rate of return</w:t>
      </w:r>
      <w:r w:rsidRPr="00BC555B">
        <w:t xml:space="preserve">, October 2015, pp. 306–316; AER, </w:t>
      </w:r>
      <w:r w:rsidRPr="00BC555B">
        <w:rPr>
          <w:rStyle w:val="AERtextitalic"/>
        </w:rPr>
        <w:t>Powercor Preliminary Decision - Attachment 3: Rate of Return</w:t>
      </w:r>
      <w:r w:rsidRPr="00BC555B">
        <w:t xml:space="preserve">, October 2015, pp. 306–316; AER, </w:t>
      </w:r>
      <w:r w:rsidRPr="00BC555B">
        <w:rPr>
          <w:rStyle w:val="Emphasis"/>
        </w:rPr>
        <w:t>Draft decision ActewAGL distribution determination 2016 to 2021: Attachment 3 – Rate of return</w:t>
      </w:r>
      <w:r w:rsidRPr="00BC555B">
        <w:t xml:space="preserve">, November 2015, p. 316–325 ; AER, </w:t>
      </w:r>
      <w:r w:rsidRPr="00BC555B">
        <w:rPr>
          <w:rStyle w:val="Emphasis"/>
        </w:rPr>
        <w:t>Preliminary decision United Energy determination 2016 to 2020: Attachment 3 – Rate of return</w:t>
      </w:r>
      <w:r w:rsidRPr="00BC555B">
        <w:t xml:space="preserve">, October 2015, pp. 308–318 ; AER, </w:t>
      </w:r>
      <w:r w:rsidRPr="00BC555B">
        <w:rPr>
          <w:rStyle w:val="Emphasis"/>
        </w:rPr>
        <w:t>Draft decision Australian Gas Networks access arrangement 2016 to 2021–Attachment 3: rate of return</w:t>
      </w:r>
      <w:r w:rsidRPr="00BC555B">
        <w:t xml:space="preserve">, November 2015, , pp. 313–322; AER, </w:t>
      </w:r>
      <w:r w:rsidRPr="00BC555B">
        <w:rPr>
          <w:rStyle w:val="Emphasis"/>
        </w:rPr>
        <w:t>Preliminary decision Jemena distribution determination 2016 to 2020: Attachment 3–Rate of return</w:t>
      </w:r>
      <w:r w:rsidRPr="00BC555B">
        <w:t xml:space="preserve">, October 2015, pp. 311–313; AER, </w:t>
      </w:r>
      <w:r w:rsidRPr="00BC555B">
        <w:rPr>
          <w:rStyle w:val="AERtextitalic"/>
        </w:rPr>
        <w:t>Explanatory statement rate of return guideline (appendices)</w:t>
      </w:r>
      <w:r w:rsidRPr="00BC555B">
        <w:t>, 17 December 2013, pp. 16–18; AER</w:t>
      </w:r>
      <w:r w:rsidRPr="00BC555B">
        <w:rPr>
          <w:rStyle w:val="Emphasis"/>
        </w:rPr>
        <w:t>, Preliminary decision AusNet Services determination 2016 to 2020: Attachment 3–Rate of return</w:t>
      </w:r>
      <w:r w:rsidRPr="00BC555B">
        <w:t xml:space="preserve">, October 2015, pp. 75–78, 306–316; AER, </w:t>
      </w:r>
      <w:r w:rsidRPr="00BC555B">
        <w:rPr>
          <w:rStyle w:val="Emphasis"/>
        </w:rPr>
        <w:t>Draft decision Amadeus Gas Pipeline access arrangement 2016 to 2021: Attachment 3¬–Rate of return</w:t>
      </w:r>
      <w:r w:rsidRPr="00BC555B">
        <w:t>, November 2015, pp. 74–77, 310–319.</w:t>
      </w:r>
      <w:r>
        <w:t>.</w:t>
      </w:r>
    </w:p>
  </w:footnote>
  <w:footnote w:id="742">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34-37 &amp; 44–45.</w:t>
      </w:r>
    </w:p>
  </w:footnote>
  <w:footnote w:id="743">
    <w:p w:rsidR="006345FD" w:rsidRDefault="006345FD" w:rsidP="001B6CF5">
      <w:pPr>
        <w:pStyle w:val="FootnoteText"/>
      </w:pPr>
      <w:r>
        <w:rPr>
          <w:rStyle w:val="FootnoteReference"/>
        </w:rPr>
        <w:footnoteRef/>
      </w:r>
      <w:r>
        <w:t xml:space="preserve"> </w:t>
      </w:r>
      <w:r>
        <w:tab/>
        <w:t xml:space="preserve">HoustonKemp, </w:t>
      </w:r>
      <w:r w:rsidRPr="00BC555B">
        <w:rPr>
          <w:rStyle w:val="Emphasis"/>
        </w:rPr>
        <w:t>The cost of equity: response to the AER's draft decisions for the Victorian electricity distributors, ActewAGL Distribution and Australian Gas Networks,</w:t>
      </w:r>
      <w:r w:rsidRPr="00BC555B">
        <w:t xml:space="preserve"> January 2016</w:t>
      </w:r>
      <w:r>
        <w:t>, p. 18.</w:t>
      </w:r>
    </w:p>
  </w:footnote>
  <w:footnote w:id="744">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38–39.</w:t>
      </w:r>
    </w:p>
  </w:footnote>
  <w:footnote w:id="745">
    <w:p w:rsidR="006345FD" w:rsidRDefault="006345FD" w:rsidP="001B6CF5">
      <w:pPr>
        <w:pStyle w:val="FootnoteText"/>
      </w:pPr>
      <w:r>
        <w:rPr>
          <w:rStyle w:val="FootnoteReference"/>
        </w:rPr>
        <w:footnoteRef/>
      </w:r>
      <w:r>
        <w:t xml:space="preserve"> </w:t>
      </w:r>
      <w:r>
        <w:tab/>
        <w:t xml:space="preserve">CitiPower, </w:t>
      </w:r>
      <w:r w:rsidRPr="001A0C41">
        <w:rPr>
          <w:rStyle w:val="AERtextitalic"/>
        </w:rPr>
        <w:t>Revised regulatory proposal 2016–2020</w:t>
      </w:r>
      <w:r>
        <w:t>, January  2016, pp. 286–298</w:t>
      </w:r>
      <w:r w:rsidRPr="00BC555B">
        <w:t xml:space="preserve">; Powercor, </w:t>
      </w:r>
      <w:r w:rsidRPr="00BC555B">
        <w:rPr>
          <w:rStyle w:val="AERtextitalic"/>
        </w:rPr>
        <w:t>Revised regulatory proposal 2016–2020</w:t>
      </w:r>
      <w:r w:rsidRPr="00BC555B">
        <w:t xml:space="preserve">, January  2016, pp. 280–292; ActewAGL, </w:t>
      </w:r>
      <w:r w:rsidRPr="00BC555B">
        <w:rPr>
          <w:rStyle w:val="Emphasis"/>
        </w:rPr>
        <w:t>Revised 2016–21 access arrangement proposal Response to the AER's draft decision, Appendix 5.01 Detailed response to rate of return, gamma and inflation</w:t>
      </w:r>
      <w:r w:rsidRPr="00BC555B">
        <w:t xml:space="preserve">, January 2016, pp. 57–72; United Energy, </w:t>
      </w:r>
      <w:r w:rsidRPr="00BC555B">
        <w:rPr>
          <w:rStyle w:val="Emphasis"/>
        </w:rPr>
        <w:t>Response to AER preliminary determination–Re: rate of return and gamma</w:t>
      </w:r>
      <w:r w:rsidRPr="00BC555B">
        <w:t xml:space="preserve">, 6 January 2016, pp. 41–46; AGN, </w:t>
      </w:r>
      <w:r w:rsidRPr="00BC555B">
        <w:rPr>
          <w:rStyle w:val="Emphasis"/>
        </w:rPr>
        <w:t>2016–17 to 2020/21 Access Arrangement information response to draft decision: Attachment 10.26 Response to draft decision: rate of return</w:t>
      </w:r>
      <w:r w:rsidRPr="00BC555B">
        <w:t xml:space="preserve">, January 2016, pp. 47–58; ; JEN (Vic), </w:t>
      </w:r>
      <w:r w:rsidRPr="00BC555B">
        <w:rPr>
          <w:rStyle w:val="Emphasis"/>
        </w:rPr>
        <w:t>2016–20 Electricity distribution price review regulatory proposal revocation and substitution submission: Attachment 6–1 Rate of return, gamma, forecast inflation, and debt and equity raising costs,</w:t>
      </w:r>
      <w:r w:rsidRPr="00BC555B">
        <w:t xml:space="preserve"> 6 January 2016, pp. 45–54; AusNet Services, </w:t>
      </w:r>
      <w:r w:rsidRPr="00BC555B">
        <w:rPr>
          <w:rStyle w:val="Emphasis"/>
        </w:rPr>
        <w:t>Electricity distribution price review 2016–20 Revised regulatory proposal: Chapter 7 Rate of return &amp; gamma</w:t>
      </w:r>
      <w:r w:rsidRPr="00BC555B">
        <w:t xml:space="preserve">, 6 January 2016, pp 39–52; APTNT, </w:t>
      </w:r>
      <w:r w:rsidRPr="00BC555B">
        <w:rPr>
          <w:rStyle w:val="Emphasis"/>
        </w:rPr>
        <w:t>Amadeus Gas Pipeline Access arrangement revised proposal: response to Draft Decision,</w:t>
      </w:r>
      <w:r w:rsidRPr="00BC555B">
        <w:t xml:space="preserve"> January 2016, p. 70; APTNT, </w:t>
      </w:r>
      <w:r w:rsidRPr="00BC555B">
        <w:rPr>
          <w:rStyle w:val="Emphasis"/>
        </w:rPr>
        <w:t>Amadeus Gas Pipeline access arrangement revision proposal</w:t>
      </w:r>
      <w:r w:rsidRPr="00BC555B">
        <w:t>, August 2015, pp. 115–120, 129–130.</w:t>
      </w:r>
    </w:p>
  </w:footnote>
  <w:footnote w:id="746">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747">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748">
    <w:p w:rsidR="006345FD" w:rsidRDefault="006345FD" w:rsidP="001B6CF5">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749">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34-37.</w:t>
      </w:r>
    </w:p>
  </w:footnote>
  <w:footnote w:id="750">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751">
    <w:p w:rsidR="006345FD" w:rsidRDefault="006345FD" w:rsidP="001B6CF5">
      <w:pPr>
        <w:pStyle w:val="FootnoteText"/>
      </w:pPr>
      <w:r>
        <w:rPr>
          <w:rStyle w:val="FootnoteReference"/>
        </w:rPr>
        <w:footnoteRef/>
      </w:r>
      <w:r>
        <w:t xml:space="preserve"> </w:t>
      </w:r>
      <w:r>
        <w:tab/>
        <w:t xml:space="preserve">Partington, </w:t>
      </w:r>
      <w:r>
        <w:rPr>
          <w:rStyle w:val="AERtextitalic"/>
        </w:rPr>
        <w:t>Report to the AER: Return on equity (updated), April 2015</w:t>
      </w:r>
      <w:r>
        <w:t>, p. 16.</w:t>
      </w:r>
    </w:p>
  </w:footnote>
  <w:footnote w:id="752">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53">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51.</w:t>
      </w:r>
    </w:p>
  </w:footnote>
  <w:footnote w:id="754">
    <w:p w:rsidR="006345FD" w:rsidRDefault="006345FD" w:rsidP="001B6CF5">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755">
    <w:p w:rsidR="006345FD" w:rsidRDefault="006345FD" w:rsidP="001B6CF5">
      <w:pPr>
        <w:pStyle w:val="FootnoteText"/>
      </w:pPr>
      <w:r>
        <w:rPr>
          <w:rStyle w:val="FootnoteReference"/>
        </w:rPr>
        <w:footnoteRef/>
      </w:r>
      <w:r>
        <w:t xml:space="preserve"> </w:t>
      </w:r>
      <w:r>
        <w:tab/>
        <w:t xml:space="preserve">For more detail, see section </w:t>
      </w:r>
      <w:r>
        <w:fldChar w:fldCharType="begin"/>
      </w:r>
      <w:r>
        <w:instrText xml:space="preserve"> REF _Ref451678590 \r \h </w:instrText>
      </w:r>
      <w:r>
        <w:fldChar w:fldCharType="separate"/>
      </w:r>
      <w:r>
        <w:t>G</w:t>
      </w:r>
      <w:r>
        <w:fldChar w:fldCharType="end"/>
      </w:r>
      <w:r>
        <w:t>.</w:t>
      </w:r>
    </w:p>
  </w:footnote>
  <w:footnote w:id="756">
    <w:p w:rsidR="006345FD" w:rsidRDefault="006345FD" w:rsidP="001B6CF5">
      <w:pPr>
        <w:pStyle w:val="FootnoteText"/>
      </w:pPr>
      <w:r>
        <w:rPr>
          <w:rStyle w:val="FootnoteReference"/>
        </w:rPr>
        <w:footnoteRef/>
      </w:r>
      <w:r>
        <w:t xml:space="preserve"> </w:t>
      </w:r>
      <w:r>
        <w:tab/>
        <w:t xml:space="preserve">John </w:t>
      </w:r>
      <w:r w:rsidRPr="00A54ED7">
        <w:t xml:space="preserve">Handley, </w:t>
      </w:r>
      <w:r w:rsidRPr="009554E5">
        <w:rPr>
          <w:rStyle w:val="Emphasis"/>
        </w:rPr>
        <w:t>Advice of the return on equity</w:t>
      </w:r>
      <w:r w:rsidRPr="00A54ED7">
        <w:t>, October 2014, p. 5</w:t>
      </w:r>
    </w:p>
  </w:footnote>
  <w:footnote w:id="757">
    <w:p w:rsidR="006345FD" w:rsidRDefault="006345FD" w:rsidP="001B6CF5">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758">
    <w:p w:rsidR="006345FD" w:rsidRDefault="006345FD" w:rsidP="001B6CF5">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759">
    <w:p w:rsidR="006345FD" w:rsidRDefault="006345FD" w:rsidP="001B6CF5">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24; Partington, </w:t>
      </w:r>
      <w:r>
        <w:rPr>
          <w:rStyle w:val="AERtextitalic"/>
        </w:rPr>
        <w:t>Report to the AER: Return on equity (updated), April 2015</w:t>
      </w:r>
      <w:r>
        <w:t>, p. 44.</w:t>
      </w:r>
    </w:p>
  </w:footnote>
  <w:footnote w:id="760">
    <w:p w:rsidR="006345FD" w:rsidRDefault="006345FD" w:rsidP="001B6CF5">
      <w:pPr>
        <w:pStyle w:val="FootnoteText"/>
      </w:pPr>
      <w:r>
        <w:rPr>
          <w:rStyle w:val="FootnoteReference"/>
        </w:rPr>
        <w:footnoteRef/>
      </w:r>
      <w:r>
        <w:t xml:space="preserve"> </w:t>
      </w:r>
      <w:r>
        <w:tab/>
      </w:r>
      <w:r w:rsidRPr="00D65707">
        <w:t xml:space="preserve">CitiPower, </w:t>
      </w:r>
      <w:r w:rsidRPr="00D65707">
        <w:rPr>
          <w:rStyle w:val="Emphasis"/>
        </w:rPr>
        <w:t>Revised regulatory proposal 2016–2020</w:t>
      </w:r>
      <w:r w:rsidRPr="00D65707">
        <w:t xml:space="preserve">, January 2016, pp. 290–292; Powercor, </w:t>
      </w:r>
      <w:r w:rsidRPr="00D65707">
        <w:rPr>
          <w:rStyle w:val="Emphasis"/>
        </w:rPr>
        <w:t>Revised regulatory proposal 2016–2020</w:t>
      </w:r>
      <w:r w:rsidRPr="00D65707">
        <w:t xml:space="preserve">, January 2016, pp. 284–286;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41–46, 51–52; AGN, </w:t>
      </w:r>
      <w:r w:rsidRPr="00D65707">
        <w:rPr>
          <w:rStyle w:val="Emphasis"/>
        </w:rPr>
        <w:t>2016–17 to 2020/21 Access Arrangement information response to draft decision: Attachment 10.26 Response to draft decision: rate of return</w:t>
      </w:r>
      <w:r w:rsidRPr="00D65707">
        <w:t xml:space="preserve">, January 2016, pp.51–52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 pp. 50–51; AusNet Services, </w:t>
      </w:r>
      <w:r w:rsidRPr="00D65707">
        <w:rPr>
          <w:rStyle w:val="Emphasis"/>
        </w:rPr>
        <w:t>Electricity distribution price review 2016–20 Revised regulatory proposal: Chapter 7 Rate of return &amp; gamma</w:t>
      </w:r>
      <w:r w:rsidRPr="00D65707">
        <w:t>, 6 January 2016, pp. 45–47.</w:t>
      </w:r>
    </w:p>
  </w:footnote>
  <w:footnote w:id="761">
    <w:p w:rsidR="006345FD" w:rsidRDefault="006345FD" w:rsidP="001B6CF5">
      <w:pPr>
        <w:pStyle w:val="FootnoteText"/>
      </w:pPr>
      <w:r>
        <w:rPr>
          <w:rStyle w:val="FootnoteReference"/>
        </w:rPr>
        <w:footnoteRef/>
      </w:r>
      <w:r>
        <w:t xml:space="preserve"> </w:t>
      </w:r>
      <w:r>
        <w:tab/>
      </w:r>
      <w:r w:rsidRPr="00D65707">
        <w:t>Citi</w:t>
      </w:r>
      <w:r>
        <w:t>P</w:t>
      </w:r>
      <w:r w:rsidRPr="00D65707">
        <w:t xml:space="preserve">ower, </w:t>
      </w:r>
      <w:r w:rsidRPr="00D65707">
        <w:rPr>
          <w:rStyle w:val="Emphasis"/>
        </w:rPr>
        <w:t>Revised regulatory proposal 2016–2020</w:t>
      </w:r>
      <w:r w:rsidRPr="00D65707">
        <w:t xml:space="preserve">, January 2016, p. 290; Powercor, </w:t>
      </w:r>
      <w:r w:rsidRPr="00D65707">
        <w:rPr>
          <w:rStyle w:val="AERtextitalic"/>
        </w:rPr>
        <w:t>Revised regulatory proposal 2016–2020</w:t>
      </w:r>
      <w:r w:rsidRPr="00D65707">
        <w:t xml:space="preserve">, January  2016, p. 284; ActewAGL, </w:t>
      </w:r>
      <w:r w:rsidRPr="00D65707">
        <w:rPr>
          <w:rStyle w:val="Emphasis"/>
        </w:rPr>
        <w:t>Revised 2016–21 access arrangement proposal Response to the AER's draft decision, Appendix 5.01 Detailed response to rate of return, gamma and inflation</w:t>
      </w:r>
      <w:r w:rsidRPr="00D65707">
        <w:t xml:space="preserve">, January 2016, pp. 62–64; United Energy, </w:t>
      </w:r>
      <w:r w:rsidRPr="00D65707">
        <w:rPr>
          <w:rStyle w:val="Emphasis"/>
        </w:rPr>
        <w:t>Response to AER preliminary determination–Re: rate of return and gamma</w:t>
      </w:r>
      <w:r w:rsidRPr="00D65707">
        <w:t xml:space="preserve">, 6 January 2016, pp. 45–46; AGN, </w:t>
      </w:r>
      <w:r w:rsidRPr="00D65707">
        <w:rPr>
          <w:rStyle w:val="Emphasis"/>
        </w:rPr>
        <w:t>2016–17 to 2020/21 Access Arrangement information response to draft decision: Attachment 10.26 Response to draft decision: rate of return</w:t>
      </w:r>
      <w:r w:rsidRPr="00D65707">
        <w:t xml:space="preserve">, January 2016, pp. 51 ; JEN (Vic), </w:t>
      </w:r>
      <w:r w:rsidRPr="00D65707">
        <w:rPr>
          <w:rStyle w:val="Emphasis"/>
        </w:rPr>
        <w:t>2016–20 Electricity distribution price review regulatory proposal revocation and substitution submission: Attachment 6–1 Rate of return, gamma, forecast inflation, and debt and equity raising costs,</w:t>
      </w:r>
      <w:r w:rsidRPr="00D65707">
        <w:t xml:space="preserve"> 6 January 2016,pp. 50–51; AusNet Services, </w:t>
      </w:r>
      <w:r w:rsidRPr="00D65707">
        <w:rPr>
          <w:rStyle w:val="Emphasis"/>
        </w:rPr>
        <w:t>Electricity distribution price review 2016–20 Revised regulatory proposal: Chapter 7 Rate of return &amp; gamma</w:t>
      </w:r>
      <w:r w:rsidRPr="00D65707">
        <w:t xml:space="preserve">, 6 January 2016, pp. 45–47; APTNT, </w:t>
      </w:r>
      <w:r w:rsidRPr="00D65707">
        <w:rPr>
          <w:rStyle w:val="Emphasis"/>
        </w:rPr>
        <w:t>Amadeus Gas Pipeline Access arrangement revised proposal: response to Draft Decision,</w:t>
      </w:r>
      <w:r w:rsidRPr="00D65707">
        <w:t xml:space="preserve"> January 2016, pp. 74–75</w:t>
      </w:r>
      <w:r>
        <w:t>.</w:t>
      </w:r>
    </w:p>
  </w:footnote>
  <w:footnote w:id="762">
    <w:p w:rsidR="006345FD" w:rsidRDefault="006345FD" w:rsidP="001B6CF5">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February 2015</w:t>
      </w:r>
      <w:r>
        <w:t xml:space="preserve">, p. 19; </w:t>
      </w:r>
      <w:r w:rsidRPr="00CF7B94">
        <w:t xml:space="preserve">Frontier Economics, </w:t>
      </w:r>
      <w:r w:rsidRPr="00CF7B94">
        <w:rPr>
          <w:rStyle w:val="AERtextitalic"/>
        </w:rPr>
        <w:t>Key issues in estimating the return on equity for the benchmark efficient entity</w:t>
      </w:r>
      <w:r>
        <w:t xml:space="preserve">, June 2015, p. 7; HoustonKemp, </w:t>
      </w:r>
      <w:r w:rsidRPr="009554E5">
        <w:rPr>
          <w:rStyle w:val="Emphasis"/>
        </w:rPr>
        <w:t>The cost of equity: response to the AER's draft decisions for the Victorian electricity distributors, ActewAGL Distribution and Australian Gas Networks</w:t>
      </w:r>
      <w:r>
        <w:t>, January 2016, p. 10.</w:t>
      </w:r>
    </w:p>
  </w:footnote>
  <w:footnote w:id="763">
    <w:p w:rsidR="006345FD" w:rsidRDefault="006345FD" w:rsidP="001B6CF5">
      <w:pPr>
        <w:pStyle w:val="FootnoteText"/>
      </w:pPr>
      <w:r>
        <w:rPr>
          <w:rStyle w:val="FootnoteReference"/>
        </w:rPr>
        <w:footnoteRef/>
      </w:r>
      <w:r>
        <w:t xml:space="preserve"> </w:t>
      </w:r>
      <w:r>
        <w:tab/>
        <w:t xml:space="preserve">HoustonKemp, </w:t>
      </w:r>
      <w:r w:rsidRPr="009554E5">
        <w:rPr>
          <w:rStyle w:val="Emphasis"/>
        </w:rPr>
        <w:t xml:space="preserve">The cost of equity: response to the AER's draft decisions for the Victorian electricity distributors, ActewAGL Distribution and Australian Gas Networks, </w:t>
      </w:r>
      <w:r>
        <w:t>January 2016, p. 9.</w:t>
      </w:r>
    </w:p>
  </w:footnote>
  <w:footnote w:id="764">
    <w:p w:rsidR="006345FD" w:rsidRDefault="006345FD" w:rsidP="001B6CF5">
      <w:pPr>
        <w:pStyle w:val="FootnoteText"/>
      </w:pPr>
      <w:r>
        <w:rPr>
          <w:rStyle w:val="FootnoteReference"/>
        </w:rPr>
        <w:footnoteRef/>
      </w:r>
      <w:r>
        <w:t xml:space="preserve"> </w:t>
      </w:r>
      <w:r>
        <w:tab/>
        <w:t xml:space="preserve">AER, SAPN final decision: Attachment 3–Rate of return, October 2015, p. 94–96. </w:t>
      </w:r>
      <w:r w:rsidRPr="00D65707">
        <w:t xml:space="preserve">; AER, </w:t>
      </w:r>
      <w:r w:rsidRPr="00D65707">
        <w:rPr>
          <w:rStyle w:val="AERtextitalic"/>
        </w:rPr>
        <w:t>CitiPower Preliminary Decision - Attachment 3: Rate of Return</w:t>
      </w:r>
      <w:r w:rsidRPr="00D65707">
        <w:t xml:space="preserve">, October 2015, pp91–93, 127–133; AER, </w:t>
      </w:r>
      <w:r w:rsidRPr="00D65707">
        <w:rPr>
          <w:rStyle w:val="AERtextitalic"/>
        </w:rPr>
        <w:t>Powercor Preliminary Decision - Attachment 3: Rate of Return</w:t>
      </w:r>
      <w:r w:rsidRPr="00D65707">
        <w:t xml:space="preserve">, October 2015, pp. 92–94, 127–133; AER, </w:t>
      </w:r>
      <w:r w:rsidRPr="00D65707">
        <w:rPr>
          <w:rStyle w:val="Emphasis"/>
        </w:rPr>
        <w:t>Draft decision ActewAGL distribution determination 2016 to 2021: Attachment 3 – Rate of return</w:t>
      </w:r>
      <w:r w:rsidRPr="00D65707">
        <w:t xml:space="preserve">, November 2015, pp. 94–97, 130–136; AER, </w:t>
      </w:r>
      <w:r w:rsidRPr="00D65707">
        <w:rPr>
          <w:rStyle w:val="Emphasis"/>
        </w:rPr>
        <w:t>Preliminary decision United Energy determination 2016 to 2020: Attachment 3 – Rate of return</w:t>
      </w:r>
      <w:r w:rsidRPr="00D65707">
        <w:t xml:space="preserve">, October 2015, pp. 92–94; AER, </w:t>
      </w:r>
      <w:r w:rsidRPr="00D65707">
        <w:rPr>
          <w:rStyle w:val="Emphasis"/>
        </w:rPr>
        <w:t>Draft decision Australian Gas Networks access arrangement 2016 to 2021–Attachment 3: rate of return</w:t>
      </w:r>
      <w:r w:rsidRPr="00D65707">
        <w:t xml:space="preserve">, November 2015, pp. 93–95; AER, </w:t>
      </w:r>
      <w:r w:rsidRPr="00D65707">
        <w:rPr>
          <w:rStyle w:val="Emphasis"/>
        </w:rPr>
        <w:t>Preliminary decision Jemena distribution determination 2016 to 2020: Attachment 3–Rate of return</w:t>
      </w:r>
      <w:r w:rsidRPr="00D65707">
        <w:t>, October 2015, pp. 92–94; AER</w:t>
      </w:r>
      <w:r w:rsidRPr="00D65707">
        <w:rPr>
          <w:rStyle w:val="Emphasis"/>
        </w:rPr>
        <w:t>, Preliminary decision AusNet Services determination 2016 to 2020: Attachment 3–Rate of return</w:t>
      </w:r>
      <w:r w:rsidRPr="00D65707">
        <w:t xml:space="preserve">, October 2015, pp. 92–94; AER, </w:t>
      </w:r>
      <w:r w:rsidRPr="00D65707">
        <w:rPr>
          <w:rStyle w:val="Emphasis"/>
        </w:rPr>
        <w:t>Draft decision Amadeus Gas Pipeline access arrangement 2016 to 2021: Attachment 3¬–Rate of return</w:t>
      </w:r>
      <w:r w:rsidRPr="00D65707">
        <w:t>, November 2015, pp. 93–95.</w:t>
      </w:r>
    </w:p>
  </w:footnote>
  <w:footnote w:id="765">
    <w:p w:rsidR="006345FD" w:rsidRDefault="006345FD" w:rsidP="001B6CF5">
      <w:pPr>
        <w:pStyle w:val="FootnoteText"/>
      </w:pPr>
      <w:r>
        <w:rPr>
          <w:rStyle w:val="FootnoteReference"/>
        </w:rPr>
        <w:footnoteRef/>
      </w:r>
      <w:r>
        <w:t xml:space="preserve"> </w:t>
      </w:r>
      <w:r>
        <w:tab/>
        <w:t xml:space="preserve">Frontier, </w:t>
      </w:r>
      <w:r w:rsidRPr="00E83706">
        <w:rPr>
          <w:rStyle w:val="AERtextitalic"/>
        </w:rPr>
        <w:t>Key issues in estimating the return on equity for the benchmark efficient</w:t>
      </w:r>
      <w:r>
        <w:rPr>
          <w:rStyle w:val="AERtextitalic"/>
        </w:rPr>
        <w:t xml:space="preserve"> </w:t>
      </w:r>
      <w:r w:rsidRPr="00E83706">
        <w:rPr>
          <w:rStyle w:val="AERtextitalic"/>
        </w:rPr>
        <w:t>entity</w:t>
      </w:r>
      <w:r>
        <w:t xml:space="preserve">, June 2015, pp. 48–50, 61; Frontier, </w:t>
      </w:r>
      <w:r w:rsidRPr="00E85264">
        <w:rPr>
          <w:rStyle w:val="AERtextitalic"/>
        </w:rPr>
        <w:t>The required return on equity under a foundation model approach</w:t>
      </w:r>
      <w:r w:rsidRPr="00E85264">
        <w:t>, January 2016</w:t>
      </w:r>
      <w:r>
        <w:t>, pp. 40–41.</w:t>
      </w:r>
    </w:p>
  </w:footnote>
  <w:footnote w:id="766">
    <w:p w:rsidR="006345FD" w:rsidRDefault="006345FD" w:rsidP="001B6CF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xml:space="preserve">, August 2015, pp. 64–67, </w:t>
      </w:r>
      <w:r w:rsidRPr="00265193">
        <w:t xml:space="preserve">CCP2 (Bruce Mountain), </w:t>
      </w:r>
      <w:r w:rsidRPr="00EC2AA5">
        <w:rPr>
          <w:rStyle w:val="AERtextitalic"/>
        </w:rPr>
        <w:t>Submission on the AER’s preliminary decisions for the Qld/SA distribution network service providers (2015-20)</w:t>
      </w:r>
      <w:r w:rsidRPr="00265193">
        <w:t>, 29 July 2015</w:t>
      </w:r>
      <w:r>
        <w:t>, p. 10. QCOSS similarly</w:t>
      </w:r>
      <w:r w:rsidRPr="0095774A">
        <w:t xml:space="preserve"> disagreed with our use of the theory underlying the Black CAPM to inform the equity beta point estimate</w:t>
      </w:r>
      <w:r>
        <w:t xml:space="preserve"> (see </w:t>
      </w:r>
      <w:r w:rsidRPr="00E21D28">
        <w:t xml:space="preserve">QCOSS, </w:t>
      </w:r>
      <w:r w:rsidRPr="00AF0D78">
        <w:rPr>
          <w:rStyle w:val="AERtextitalic"/>
        </w:rPr>
        <w:t>Response to Australian Energy Regulator Preliminary Decision for Queensland distributors 2015-2020</w:t>
      </w:r>
      <w:r w:rsidRPr="00E21D28">
        <w:t>, 3 July 2015</w:t>
      </w:r>
      <w:r>
        <w:t>, pp. 22–24).</w:t>
      </w:r>
    </w:p>
  </w:footnote>
  <w:footnote w:id="767">
    <w:p w:rsidR="006345FD" w:rsidRDefault="006345FD" w:rsidP="001B6CF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 67.</w:t>
      </w:r>
    </w:p>
  </w:footnote>
  <w:footnote w:id="768">
    <w:p w:rsidR="006345FD" w:rsidRDefault="006345FD" w:rsidP="001B6CF5">
      <w:pPr>
        <w:pStyle w:val="FootnoteText"/>
      </w:pPr>
      <w:r>
        <w:rPr>
          <w:rStyle w:val="FootnoteReference"/>
        </w:rPr>
        <w:footnoteRef/>
      </w:r>
      <w:r>
        <w:t xml:space="preserve"> </w:t>
      </w:r>
      <w:r>
        <w:tab/>
        <w:t xml:space="preserve">In the Guideline we clearly explained why we use the theory underlying the Black CAPM to inform the equity beta point estimate. See AER, </w:t>
      </w:r>
      <w:r w:rsidRPr="000C60D2">
        <w:rPr>
          <w:rStyle w:val="AERtextitalic"/>
        </w:rPr>
        <w:t>Explanatory statement to the rate of return guideline (appendices)</w:t>
      </w:r>
      <w:r>
        <w:t xml:space="preserve">, December 2013, pp. 71–72. </w:t>
      </w:r>
    </w:p>
  </w:footnote>
  <w:footnote w:id="769">
    <w:p w:rsidR="006345FD" w:rsidRDefault="006345FD" w:rsidP="001B6CF5">
      <w:pPr>
        <w:pStyle w:val="FootnoteText"/>
      </w:pPr>
      <w:r>
        <w:rPr>
          <w:rStyle w:val="FootnoteReference"/>
        </w:rPr>
        <w:footnoteRef/>
      </w:r>
      <w:r>
        <w:t xml:space="preserve"> </w:t>
      </w:r>
      <w:r>
        <w:tab/>
        <w:t xml:space="preserve">We received submissions from nine consumer groups that provided clear submissions on the approach for estimating the rate of return. No submission opposed the application of our Guideline for estimating the return on equity.  </w:t>
      </w:r>
    </w:p>
  </w:footnote>
  <w:footnote w:id="770">
    <w:p w:rsidR="006345FD" w:rsidRDefault="006345FD" w:rsidP="001B6CF5">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771">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772">
    <w:p w:rsidR="006345FD" w:rsidRDefault="006345FD" w:rsidP="001B6CF5">
      <w:pPr>
        <w:pStyle w:val="FootnoteText"/>
      </w:pPr>
      <w:r>
        <w:rPr>
          <w:rStyle w:val="FootnoteReference"/>
        </w:rPr>
        <w:footnoteRef/>
      </w:r>
      <w:r>
        <w:t xml:space="preserve"> </w:t>
      </w:r>
      <w:r>
        <w:tab/>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xml:space="preserve">, January 2016; HoustonKemp, </w:t>
      </w:r>
      <w:r w:rsidRPr="00177FBB">
        <w:rPr>
          <w:rStyle w:val="AERtextitalic"/>
        </w:rPr>
        <w:t>The Cost of Equity: Response to the AER’s draft decisions for the Victorian Electricity Distributors, ActewAGL Distributors and Australian Gas Networks</w:t>
      </w:r>
      <w:r w:rsidRPr="00177FBB">
        <w:t xml:space="preserve">, January 2016; Frontier Economics, </w:t>
      </w:r>
      <w:r w:rsidRPr="00177FBB">
        <w:rPr>
          <w:rStyle w:val="AERtextitalic"/>
        </w:rPr>
        <w:t>The relationship between government bond yields and the market risk premium</w:t>
      </w:r>
      <w:r w:rsidRPr="00177FBB">
        <w:t>, January 2016.</w:t>
      </w:r>
    </w:p>
  </w:footnote>
  <w:footnote w:id="773">
    <w:p w:rsidR="006345FD" w:rsidRDefault="006345FD" w:rsidP="001B6CF5">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774">
    <w:p w:rsidR="006345FD" w:rsidRDefault="006345FD" w:rsidP="001B6CF5">
      <w:pPr>
        <w:pStyle w:val="FootnoteText"/>
      </w:pPr>
      <w:r>
        <w:rPr>
          <w:rStyle w:val="FootnoteReference"/>
        </w:rPr>
        <w:footnoteRef/>
      </w:r>
      <w:r>
        <w:t xml:space="preserve"> </w:t>
      </w:r>
      <w:r>
        <w:tab/>
        <w:t>For more discussion of the theoretical foundations of the Fama-French model, see the 'theoretical foundations' subsection in section A.3.2 of Attachment 3 to our preliminary decision for CitiPower, which remains relevant here.</w:t>
      </w:r>
    </w:p>
  </w:footnote>
  <w:footnote w:id="775">
    <w:p w:rsidR="006345FD" w:rsidRDefault="006345FD" w:rsidP="001B6CF5">
      <w:pPr>
        <w:pStyle w:val="FootnoteText"/>
      </w:pPr>
      <w:r>
        <w:rPr>
          <w:rStyle w:val="FootnoteReference"/>
        </w:rPr>
        <w:footnoteRef/>
      </w:r>
      <w:r>
        <w:t xml:space="preserve"> </w:t>
      </w:r>
      <w:r>
        <w:tab/>
        <w:t>For more detail, see the 'use in practice' subsection in section A.3.2 of Attachment 3 to our preliminary decision for CitiPower, which remains relevant here. No new material was submitted on this issue following our preliminary decision.</w:t>
      </w:r>
    </w:p>
  </w:footnote>
  <w:footnote w:id="776">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r w:rsidRPr="00640FAA">
        <w:t xml:space="preserve"> </w:t>
      </w:r>
      <w:r>
        <w:t xml:space="preserve">Partington, </w:t>
      </w:r>
      <w:r>
        <w:rPr>
          <w:rStyle w:val="AERtextitalic"/>
        </w:rPr>
        <w:t>Report to the AER: Return on equity (updated), April 2015</w:t>
      </w:r>
      <w:r>
        <w:t xml:space="preserve">, p. 11; Partington &amp; Satchell, </w:t>
      </w:r>
      <w:r w:rsidRPr="00134BB5">
        <w:rPr>
          <w:rStyle w:val="AERtextitalic"/>
        </w:rPr>
        <w:t>Report to the AER: return on equity and comment on submissions in relation to JGN</w:t>
      </w:r>
      <w:r>
        <w:t>, May 2015, p. 6.</w:t>
      </w:r>
    </w:p>
  </w:footnote>
  <w:footnote w:id="777">
    <w:p w:rsidR="006345FD" w:rsidRDefault="006345FD" w:rsidP="001B6CF5">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sidRPr="003034B8">
        <w:rPr>
          <w:rStyle w:val="AERtextitalic"/>
        </w:rPr>
        <w:t>Further advice on the return on equity</w:t>
      </w:r>
      <w:r>
        <w:t>, March 2015, pp. 3</w:t>
      </w:r>
      <w:r>
        <w:rPr>
          <w:rFonts w:cs="Arial"/>
        </w:rPr>
        <w:t>–</w:t>
      </w:r>
      <w:r>
        <w:t>4;</w:t>
      </w:r>
      <w:r w:rsidRPr="00B130FA">
        <w:t xml:space="preserve"> </w:t>
      </w:r>
      <w:r>
        <w:t xml:space="preserve">Handley, </w:t>
      </w:r>
      <w:r w:rsidRPr="003A0654">
        <w:rPr>
          <w:rStyle w:val="AERtextitalic"/>
        </w:rPr>
        <w:t>Advice on the rate of return for the 2015 AER energy network determination for Jemena Gas Networks</w:t>
      </w:r>
      <w:r>
        <w:t>, 20 May 2015, pp. 24, 28.</w:t>
      </w:r>
    </w:p>
  </w:footnote>
  <w:footnote w:id="778">
    <w:p w:rsidR="006345FD" w:rsidRDefault="006345FD" w:rsidP="001B6CF5">
      <w:pPr>
        <w:pStyle w:val="FootnoteText"/>
      </w:pPr>
      <w:r>
        <w:rPr>
          <w:rStyle w:val="FootnoteReference"/>
        </w:rPr>
        <w:footnoteRef/>
      </w:r>
      <w:r>
        <w:t xml:space="preserve"> </w:t>
      </w:r>
      <w:r>
        <w:tab/>
        <w:t xml:space="preserve">ECCSA, </w:t>
      </w:r>
      <w:r w:rsidRPr="00A064A9">
        <w:rPr>
          <w:rStyle w:val="AERtextitalic"/>
        </w:rPr>
        <w:t>Submission on Australian Gas Networks' Access Arrangement Proposal 2016-2021</w:t>
      </w:r>
      <w:r>
        <w:t>,</w:t>
      </w:r>
      <w:r w:rsidRPr="000A3A91">
        <w:t xml:space="preserve"> 16 August 2015</w:t>
      </w:r>
      <w:r>
        <w:t>, p.58.</w:t>
      </w:r>
    </w:p>
  </w:footnote>
  <w:footnote w:id="779">
    <w:p w:rsidR="006345FD" w:rsidRDefault="006345FD" w:rsidP="001B6CF5">
      <w:pPr>
        <w:pStyle w:val="FootnoteText"/>
      </w:pPr>
      <w:r>
        <w:rPr>
          <w:rStyle w:val="FootnoteReference"/>
        </w:rPr>
        <w:footnoteRef/>
      </w:r>
      <w:r>
        <w:t xml:space="preserve"> </w:t>
      </w:r>
      <w:r>
        <w:tab/>
      </w:r>
      <w:r w:rsidRPr="007E694F">
        <w:t>Mr Bruce Mountain</w:t>
      </w:r>
      <w:r>
        <w:t>,</w:t>
      </w:r>
      <w:r w:rsidRPr="007E694F">
        <w:t xml:space="preserve"> </w:t>
      </w:r>
      <w:r w:rsidRPr="00977EFC">
        <w:rPr>
          <w:rStyle w:val="AERtextitalic"/>
        </w:rPr>
        <w:t>CCP2, Advice on AER preliminary decisions and revised proposals from Energex, Ergon Energy and SA Power Networks</w:t>
      </w:r>
      <w:r w:rsidRPr="007E694F">
        <w:t>, July 2015</w:t>
      </w:r>
      <w:r>
        <w:t>, p.113</w:t>
      </w:r>
    </w:p>
  </w:footnote>
  <w:footnote w:id="780">
    <w:p w:rsidR="006345FD" w:rsidRDefault="006345FD" w:rsidP="001B6CF5">
      <w:pPr>
        <w:pStyle w:val="FootnoteText"/>
      </w:pPr>
      <w:r>
        <w:rPr>
          <w:rStyle w:val="FootnoteReference"/>
        </w:rPr>
        <w:footnoteRef/>
      </w:r>
      <w:r>
        <w:t xml:space="preserve"> </w:t>
      </w:r>
      <w:r>
        <w:tab/>
      </w:r>
      <w:r w:rsidRPr="00E837C8">
        <w:t xml:space="preserve">Victorian Energy Consumer and User Alliance, </w:t>
      </w:r>
      <w:r w:rsidRPr="00B67295">
        <w:rPr>
          <w:rStyle w:val="AERtextitalic"/>
        </w:rPr>
        <w:t>Submission to the AER Victorian Distribution Networks’ 2016-20 Revenue Proposals</w:t>
      </w:r>
      <w:r w:rsidRPr="00E837C8">
        <w:t>, 13 July 2015</w:t>
      </w:r>
      <w:r>
        <w:t>, p.10.</w:t>
      </w:r>
    </w:p>
  </w:footnote>
  <w:footnote w:id="781">
    <w:p w:rsidR="006345FD" w:rsidRDefault="006345FD" w:rsidP="001B6CF5">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289, 292, 294-295; Powercor, </w:t>
      </w:r>
      <w:r w:rsidRPr="00C45E85">
        <w:rPr>
          <w:rStyle w:val="Emphasis"/>
        </w:rPr>
        <w:t>Revised regulatory proposal 2016–2020,</w:t>
      </w:r>
      <w:r w:rsidRPr="00C45E85">
        <w:t xml:space="preserve"> January 2016, pp. 283, 286, 288–289;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57–72; United Energy, </w:t>
      </w:r>
      <w:r w:rsidRPr="00C45E85">
        <w:rPr>
          <w:rStyle w:val="Emphasis"/>
        </w:rPr>
        <w:t>Response to AER preliminary determination–Re: rate of return and gamma</w:t>
      </w:r>
      <w:r w:rsidRPr="00C45E85">
        <w:t xml:space="preserve">, 6 January 2016, pp. 41–52; AGN, </w:t>
      </w:r>
      <w:r w:rsidRPr="00C45E85">
        <w:rPr>
          <w:rStyle w:val="Emphasis"/>
        </w:rPr>
        <w:t>2016–17 to 2020/21 Access Arrangement information response to draft decision: Attachment 10.26 Response to draft decision: rate of return</w:t>
      </w:r>
      <w:r w:rsidRPr="00C45E85">
        <w:t xml:space="preserve">, January 2016, pp. 45–58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46–57; AusNet Services, </w:t>
      </w:r>
      <w:r w:rsidRPr="00C45E85">
        <w:rPr>
          <w:rStyle w:val="Emphasis"/>
        </w:rPr>
        <w:t>Electricity distribution price review 2016–20 Revised regulatory proposal: Chapter 7 Rate of return &amp; gamma</w:t>
      </w:r>
      <w:r w:rsidRPr="00C45E85">
        <w:t>, 6 January 2016, pp.41–50; APTNT</w:t>
      </w:r>
      <w:r w:rsidRPr="00C45E85">
        <w:rPr>
          <w:rStyle w:val="Emphasis"/>
        </w:rPr>
        <w:t>, Amadeus Gas Pipeline Access arrangement revised proposal: response to Draft Decision</w:t>
      </w:r>
      <w:r w:rsidRPr="00C45E85">
        <w:t xml:space="preserve">, January 2016, pp. 68–72; APTNT, </w:t>
      </w:r>
      <w:r w:rsidRPr="00C45E85">
        <w:rPr>
          <w:rStyle w:val="Emphasis"/>
        </w:rPr>
        <w:t>Amadeus Gas Pipeline access arrangement revision proposal</w:t>
      </w:r>
      <w:r w:rsidRPr="00C45E85">
        <w:t>, August 2015, pp. 126–128.</w:t>
      </w:r>
    </w:p>
  </w:footnote>
  <w:footnote w:id="782">
    <w:p w:rsidR="006345FD" w:rsidRDefault="006345FD" w:rsidP="001B6CF5">
      <w:pPr>
        <w:pStyle w:val="FootnoteText"/>
      </w:pPr>
      <w:r>
        <w:rPr>
          <w:rStyle w:val="FootnoteReference"/>
        </w:rPr>
        <w:footnoteRef/>
      </w:r>
      <w:r w:rsidR="00BA7C23">
        <w:t xml:space="preserve"> </w:t>
      </w:r>
      <w:r w:rsidR="00BA7C23">
        <w:tab/>
      </w:r>
      <w:r>
        <w:t xml:space="preserve">Frontier Economics, </w:t>
      </w:r>
      <w:r w:rsidRPr="00E10673">
        <w:rPr>
          <w:rStyle w:val="AERtextitalic"/>
        </w:rPr>
        <w:t>Key issues in estimating the return on eq</w:t>
      </w:r>
      <w:r>
        <w:rPr>
          <w:rStyle w:val="AERtextitalic"/>
        </w:rPr>
        <w:t>u</w:t>
      </w:r>
      <w:r w:rsidRPr="00E10673">
        <w:rPr>
          <w:rStyle w:val="AERtextitalic"/>
        </w:rPr>
        <w:t>ity for the benchmark efficient entity</w:t>
      </w:r>
      <w:r>
        <w:t xml:space="preserve">, June 2015, pp. 18–19; NERA, </w:t>
      </w:r>
      <w:r w:rsidRPr="00E10673">
        <w:rPr>
          <w:rStyle w:val="AERtextitalic"/>
        </w:rPr>
        <w:t>The Cost of Equity: Response to the AER's</w:t>
      </w:r>
      <w:r>
        <w:rPr>
          <w:rStyle w:val="AERtextitalic"/>
        </w:rPr>
        <w:t xml:space="preserve"> </w:t>
      </w:r>
      <w:r w:rsidRPr="00E10673">
        <w:rPr>
          <w:rStyle w:val="AERtextitalic"/>
        </w:rPr>
        <w:t>final decisions for the NSW and ACT Electricity Distributors, and for Jemena Gas Networks</w:t>
      </w:r>
      <w:r>
        <w:t xml:space="preserve">, June 2015, pp. 34 &amp; 37;  </w:t>
      </w:r>
      <w:r w:rsidRPr="00177FBB">
        <w:t xml:space="preserve">Frontier Economics, The </w:t>
      </w:r>
      <w:r w:rsidRPr="00177FBB">
        <w:rPr>
          <w:rStyle w:val="AERtextitalic"/>
        </w:rPr>
        <w:t>required return on equity under a foundation model approach – Report prepared for Jemena Electricity Networks, ACTEWAGL Distribution, AusNet Services, Australian Gas Networks, Citipower, Powercor and United Energy</w:t>
      </w:r>
      <w:r w:rsidRPr="00177FBB">
        <w:t>, January 2016</w:t>
      </w:r>
      <w:r>
        <w:t>,p. 58-65</w:t>
      </w:r>
    </w:p>
  </w:footnote>
  <w:footnote w:id="783">
    <w:p w:rsidR="006345FD" w:rsidRDefault="006345FD" w:rsidP="001B6CF5">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January 2016, p. 5.</w:t>
      </w:r>
    </w:p>
  </w:footnote>
  <w:footnote w:id="784">
    <w:p w:rsidR="006345FD" w:rsidRDefault="006345FD" w:rsidP="001B6CF5">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27.</w:t>
      </w:r>
    </w:p>
  </w:footnote>
  <w:footnote w:id="785">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33–34.</w:t>
      </w:r>
    </w:p>
  </w:footnote>
  <w:footnote w:id="786">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87">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47.</w:t>
      </w:r>
    </w:p>
  </w:footnote>
  <w:footnote w:id="788">
    <w:p w:rsidR="006345FD" w:rsidRDefault="006345FD" w:rsidP="001B6CF5">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 xml:space="preserve">17;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89">
    <w:p w:rsidR="006345FD" w:rsidRDefault="006345FD" w:rsidP="001B6CF5">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16;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36.</w:t>
      </w:r>
    </w:p>
  </w:footnote>
  <w:footnote w:id="790">
    <w:p w:rsidR="006345FD" w:rsidRDefault="006345FD" w:rsidP="001B6CF5">
      <w:pPr>
        <w:pStyle w:val="FootnoteText"/>
      </w:pPr>
      <w:r>
        <w:rPr>
          <w:rStyle w:val="FootnoteReference"/>
        </w:rPr>
        <w:footnoteRef/>
      </w:r>
      <w:r>
        <w:t xml:space="preserve"> </w:t>
      </w:r>
      <w:r>
        <w:tab/>
      </w:r>
      <w:r w:rsidRPr="001F59D7">
        <w:t xml:space="preserve">Partington and Satchell, </w:t>
      </w:r>
      <w:r w:rsidRPr="001F59D7">
        <w:rPr>
          <w:rStyle w:val="Emphasis"/>
        </w:rPr>
        <w:t>Report to the AER: Cost of equity issues–2016 electricity and gas determinations</w:t>
      </w:r>
      <w:r w:rsidRPr="001F59D7">
        <w:t>, April 2016, p</w:t>
      </w:r>
      <w:r>
        <w:t>p. 32–34.</w:t>
      </w:r>
    </w:p>
  </w:footnote>
  <w:footnote w:id="791">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34.</w:t>
      </w:r>
    </w:p>
  </w:footnote>
  <w:footnote w:id="792">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9.</w:t>
      </w:r>
    </w:p>
  </w:footnote>
  <w:footnote w:id="793">
    <w:p w:rsidR="006345FD" w:rsidRDefault="006345FD" w:rsidP="001B6CF5">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794">
    <w:p w:rsidR="006345FD" w:rsidRDefault="006345FD" w:rsidP="001B6CF5">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795">
    <w:p w:rsidR="006345FD" w:rsidRDefault="006345FD" w:rsidP="001B6CF5">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796">
    <w:p w:rsidR="006345FD" w:rsidRDefault="006345FD" w:rsidP="001B6CF5">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797">
    <w:p w:rsidR="006345FD" w:rsidRDefault="006345FD" w:rsidP="001B6CF5">
      <w:pPr>
        <w:pStyle w:val="FootnoteText"/>
      </w:pPr>
      <w:r>
        <w:rPr>
          <w:rStyle w:val="FootnoteReference"/>
        </w:rPr>
        <w:footnoteRef/>
      </w:r>
      <w:r>
        <w:t xml:space="preserve"> </w:t>
      </w:r>
      <w:r>
        <w:tab/>
      </w:r>
      <w:r w:rsidRPr="00636ECB">
        <w:t xml:space="preserve">AER, </w:t>
      </w:r>
      <w:r w:rsidRPr="00636ECB">
        <w:rPr>
          <w:rStyle w:val="AERtextitalic"/>
        </w:rPr>
        <w:t>Explanatory statement: Rate of return guideline</w:t>
      </w:r>
      <w:r w:rsidRPr="00636ECB">
        <w:t>, 17 December 2013, pp. 90–91</w:t>
      </w:r>
      <w:r>
        <w:t xml:space="preserve">; </w:t>
      </w:r>
      <w:r w:rsidRPr="009E3B2A">
        <w:t xml:space="preserve">Partington, </w:t>
      </w:r>
      <w:r w:rsidRPr="009E3B2A">
        <w:rPr>
          <w:rStyle w:val="AERtextitalic"/>
        </w:rPr>
        <w:t>Report to the AER: Return on equity (updated), April 2015</w:t>
      </w:r>
      <w:r w:rsidRPr="009E3B2A">
        <w:t xml:space="preserve">, p. 14; Partington &amp; Satchell, </w:t>
      </w:r>
      <w:r w:rsidRPr="009E3B2A">
        <w:rPr>
          <w:rStyle w:val="AERtextitalic"/>
        </w:rPr>
        <w:t>Report to the AER: return on equity and comment on submissions in relation to JGN</w:t>
      </w:r>
      <w:r w:rsidRPr="009E3B2A">
        <w:t>, May 2015, p. 6</w:t>
      </w:r>
      <w:r>
        <w:t xml:space="preserve">; </w:t>
      </w:r>
      <w:r w:rsidRPr="00636ECB">
        <w:t xml:space="preserve">Academic literature and reports submitted by service providers recognise that the available evidence for estimating the expected return on equity is imprecise and subject to varied interpretations. See for example R. Mehra and E. C. Prescott, The equity premium, A puzzle, </w:t>
      </w:r>
      <w:r w:rsidRPr="00636ECB">
        <w:rPr>
          <w:rStyle w:val="AERtextitalic"/>
        </w:rPr>
        <w:t>Journal of Monetary Economics</w:t>
      </w:r>
      <w:r w:rsidRPr="00636ECB">
        <w:t xml:space="preserve">, 15, 1985, pp. 145–161; A. Damodaran, </w:t>
      </w:r>
      <w:r w:rsidRPr="00636ECB">
        <w:rPr>
          <w:rStyle w:val="AERtextitalic"/>
        </w:rPr>
        <w:t>Equity Risk Premiums (ERP), Determinants, Estimation and Implications</w:t>
      </w:r>
      <w:r w:rsidRPr="00636ECB">
        <w:t xml:space="preserve">, September 2008, p. 1; J. S. Doran, E. I. Ronn and R. S. Goldberg, </w:t>
      </w:r>
      <w:r w:rsidRPr="00636ECB">
        <w:rPr>
          <w:rStyle w:val="AERtextitalic"/>
        </w:rPr>
        <w:t>A simple model for time–varying expected returns on the S&amp;P 500 Index</w:t>
      </w:r>
      <w:r w:rsidRPr="00636ECB">
        <w:t xml:space="preserve">, August 2005, pp. 2–3. For an example report from regulated entities, see: Officer and Bishop, </w:t>
      </w:r>
      <w:r w:rsidRPr="00636ECB">
        <w:rPr>
          <w:rStyle w:val="AERtextitalic"/>
        </w:rPr>
        <w:t>Market risk premium, a review paper</w:t>
      </w:r>
      <w:r w:rsidRPr="00636ECB">
        <w:t>, August 2008, pp. 3–4.</w:t>
      </w:r>
      <w:r w:rsidRPr="00636ECB" w:rsidDel="009E3B2A">
        <w:t xml:space="preserve"> </w:t>
      </w:r>
    </w:p>
  </w:footnote>
  <w:footnote w:id="798">
    <w:p w:rsidR="006345FD" w:rsidRDefault="006345FD" w:rsidP="001B6CF5">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799">
    <w:p w:rsidR="006345FD" w:rsidRDefault="006345FD" w:rsidP="001B6CF5">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 </w:t>
      </w:r>
      <w:r w:rsidRPr="00FF78F8">
        <w:t xml:space="preserve">Frontier Economics, </w:t>
      </w:r>
      <w:r w:rsidRPr="00FF78F8">
        <w:rPr>
          <w:rStyle w:val="AERtextitalic"/>
        </w:rPr>
        <w:t>Key issues in est</w:t>
      </w:r>
      <w:r>
        <w:rPr>
          <w:rStyle w:val="AERtextitalic"/>
        </w:rPr>
        <w:t>i</w:t>
      </w:r>
      <w:r w:rsidRPr="00FF78F8">
        <w:rPr>
          <w:rStyle w:val="AERtextitalic"/>
        </w:rPr>
        <w:t>mating the return on e</w:t>
      </w:r>
      <w:r>
        <w:rPr>
          <w:rStyle w:val="AERtextitalic"/>
        </w:rPr>
        <w:t>q</w:t>
      </w:r>
      <w:r w:rsidRPr="00FF78F8">
        <w:rPr>
          <w:rStyle w:val="AERtextitalic"/>
        </w:rPr>
        <w:t>uity for the benchmark efficient entity</w:t>
      </w:r>
      <w:r w:rsidRPr="00FF78F8">
        <w:t xml:space="preserve">, June 2015, p. </w:t>
      </w:r>
      <w:r>
        <w:t>7.</w:t>
      </w:r>
    </w:p>
  </w:footnote>
  <w:footnote w:id="800">
    <w:p w:rsidR="006345FD" w:rsidRDefault="006345FD" w:rsidP="001B6CF5">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01">
    <w:p w:rsidR="006345FD" w:rsidRDefault="006345FD" w:rsidP="001B6CF5">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xml:space="preserve">, p. 25. Partington reviewed submissions made after this report and concluded that they do not change his conclusions (see: Partington &amp; Satchell, </w:t>
      </w:r>
      <w:r w:rsidRPr="00134BB5">
        <w:rPr>
          <w:rStyle w:val="AERtextitalic"/>
        </w:rPr>
        <w:t>Report to the AER: return on equity and comment on submissions in relation to JGN</w:t>
      </w:r>
      <w:r>
        <w:t>, May 2015, p. 6).</w:t>
      </w:r>
    </w:p>
  </w:footnote>
  <w:footnote w:id="802">
    <w:p w:rsidR="006345FD" w:rsidRDefault="006345FD" w:rsidP="001B6CF5">
      <w:pPr>
        <w:pStyle w:val="FootnoteText"/>
      </w:pPr>
      <w:r>
        <w:rPr>
          <w:rStyle w:val="FootnoteReference"/>
        </w:rPr>
        <w:footnoteRef/>
      </w:r>
      <w:r>
        <w:t xml:space="preserve"> </w:t>
      </w:r>
      <w:r>
        <w:tab/>
      </w:r>
      <w:r w:rsidRPr="00924458">
        <w:t xml:space="preserve">NERA, </w:t>
      </w:r>
      <w:r w:rsidRPr="00924458">
        <w:rPr>
          <w:rStyle w:val="AERtextitalic"/>
        </w:rPr>
        <w:t>The Fama-French Three-Factor Model: A Report for the ENA</w:t>
      </w:r>
      <w:r w:rsidRPr="00924458">
        <w:t xml:space="preserve">, October, 2013, p. 24; NERA, </w:t>
      </w:r>
      <w:r w:rsidRPr="00924458">
        <w:rPr>
          <w:rStyle w:val="AERtextitalic"/>
        </w:rPr>
        <w:t>Return on Capital of a Regulated Electricity Network: A report for Ashurst</w:t>
      </w:r>
      <w:r w:rsidRPr="00924458">
        <w:t>, May 2014, pp. 99–103</w:t>
      </w:r>
      <w:r>
        <w:t>.</w:t>
      </w:r>
    </w:p>
  </w:footnote>
  <w:footnote w:id="803">
    <w:p w:rsidR="006345FD" w:rsidRDefault="006345FD" w:rsidP="001B6CF5">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04">
    <w:p w:rsidR="006345FD" w:rsidRDefault="006345FD" w:rsidP="001B6CF5">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05">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06">
    <w:p w:rsidR="006345FD" w:rsidRDefault="006345FD" w:rsidP="001B6CF5">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07">
    <w:p w:rsidR="006345FD" w:rsidRDefault="006345FD" w:rsidP="001B6CF5">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xml:space="preserve">, October 2014, p. 18; 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38.</w:t>
      </w:r>
    </w:p>
  </w:footnote>
  <w:footnote w:id="808">
    <w:p w:rsidR="006345FD" w:rsidRDefault="006345FD" w:rsidP="001B6CF5">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09">
    <w:p w:rsidR="006345FD" w:rsidRDefault="006345FD" w:rsidP="001B6CF5">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10">
    <w:p w:rsidR="006345FD" w:rsidRDefault="006345FD" w:rsidP="001B6CF5">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sceptical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11">
    <w:p w:rsidR="006345FD" w:rsidRDefault="006345FD" w:rsidP="001B6CF5">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294; ; Powercor, </w:t>
      </w:r>
      <w:r w:rsidRPr="00C45E85">
        <w:rPr>
          <w:rStyle w:val="Emphasis"/>
        </w:rPr>
        <w:t>Revised regulatory proposal 2016–2020,</w:t>
      </w:r>
      <w:r w:rsidRPr="00C45E85">
        <w:t xml:space="preserve"> January 2016, p. 288; ActewAGL, </w:t>
      </w:r>
      <w:r w:rsidRPr="00C45E85">
        <w:rPr>
          <w:rStyle w:val="Emphasis"/>
        </w:rPr>
        <w:t>Revised 2016–21 access a</w:t>
      </w:r>
      <w:r>
        <w:rPr>
          <w:rStyle w:val="Emphasis"/>
        </w:rPr>
        <w:t>r</w:t>
      </w:r>
      <w:r w:rsidRPr="00C45E85">
        <w:rPr>
          <w:rStyle w:val="Emphasis"/>
        </w:rPr>
        <w:t>rangement proposal Response to the AER's draft decision, Appendix 5.01 Detailed response to rate of return, gamma and inflation</w:t>
      </w:r>
      <w:r w:rsidRPr="00C45E85">
        <w:t xml:space="preserve">, January 2016, pp. 69; United Energy, </w:t>
      </w:r>
      <w:r w:rsidRPr="00C45E85">
        <w:rPr>
          <w:rStyle w:val="Emphasis"/>
        </w:rPr>
        <w:t>Response to AER preliminary determination–Re: rate of return and gamma</w:t>
      </w:r>
      <w:r w:rsidRPr="00C45E85">
        <w:t xml:space="preserve">, 6 January 2016, pp. 50; AGN, </w:t>
      </w:r>
      <w:r w:rsidRPr="00C45E85">
        <w:rPr>
          <w:rStyle w:val="Emphasis"/>
        </w:rPr>
        <w:t>2016–17 to 2020/21 Access Arrangement information response to draft decision: Attachment 10.26 Response to draft decision: rate of return</w:t>
      </w:r>
      <w:r w:rsidRPr="00C45E85">
        <w:t xml:space="preserve">, January 2016, pp. 55–56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55; AusNet Services, </w:t>
      </w:r>
      <w:r w:rsidRPr="00C45E85">
        <w:rPr>
          <w:rStyle w:val="Emphasis"/>
        </w:rPr>
        <w:t>Electricity distribution price review 2016–20 Revised regulatory proposal: Chapter 7 Rate of return &amp; gamma</w:t>
      </w:r>
      <w:r w:rsidRPr="00C45E85">
        <w:t xml:space="preserve">, 6 January 2016, pp, 49–50; APTNT, </w:t>
      </w:r>
      <w:r w:rsidRPr="00C45E85">
        <w:rPr>
          <w:rStyle w:val="Emphasis"/>
        </w:rPr>
        <w:t>Amadeus Gas Pipeline access arrangement revision proposal</w:t>
      </w:r>
      <w:r w:rsidRPr="00C45E85">
        <w:t>, August 2015, pp. 126–128.</w:t>
      </w:r>
    </w:p>
  </w:footnote>
  <w:footnote w:id="812">
    <w:p w:rsidR="006345FD" w:rsidRDefault="006345FD" w:rsidP="001B6CF5">
      <w:pPr>
        <w:pStyle w:val="FootnoteText"/>
      </w:pPr>
      <w:r>
        <w:rPr>
          <w:rStyle w:val="FootnoteReference"/>
        </w:rPr>
        <w:footnoteRef/>
      </w:r>
      <w:r>
        <w:t xml:space="preserve"> </w:t>
      </w:r>
      <w:r>
        <w:tab/>
        <w:t xml:space="preserve">HoustonKemp, </w:t>
      </w:r>
      <w:r w:rsidRPr="009554E5">
        <w:rPr>
          <w:rStyle w:val="Emphasis"/>
        </w:rPr>
        <w:t>The cost of equity: response to the AER's draft decisions for the Victorian electricity distributors, ActewAGL Distribution and Australian Gas Networks,</w:t>
      </w:r>
      <w:r>
        <w:t xml:space="preserve"> January 2016, p. 5.</w:t>
      </w:r>
    </w:p>
  </w:footnote>
  <w:footnote w:id="813">
    <w:p w:rsidR="006345FD" w:rsidRDefault="006345FD" w:rsidP="001B6CF5">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 286, 292; Powercor, </w:t>
      </w:r>
      <w:r w:rsidRPr="00C45E85">
        <w:rPr>
          <w:rStyle w:val="Emphasis"/>
        </w:rPr>
        <w:t>Revised regulatory proposal 2016–2020,</w:t>
      </w:r>
      <w:r w:rsidRPr="00C45E85">
        <w:t xml:space="preserve"> January 2016, pp. 280, 286; ActewAGL, </w:t>
      </w:r>
      <w:r w:rsidRPr="00C45E85">
        <w:rPr>
          <w:rStyle w:val="Emphasis"/>
        </w:rPr>
        <w:t>Revised 2016–21 access ar</w:t>
      </w:r>
      <w:r>
        <w:rPr>
          <w:rStyle w:val="Emphasis"/>
        </w:rPr>
        <w:t>r</w:t>
      </w:r>
      <w:r w:rsidRPr="00C45E85">
        <w:rPr>
          <w:rStyle w:val="Emphasis"/>
        </w:rPr>
        <w:t>angement proposal Response to the AER's draft decision, Appendix 5.01 Detailed response to rate of return, gamma and inflation</w:t>
      </w:r>
      <w:r w:rsidRPr="00C45E85">
        <w:t xml:space="preserve">, January 2016, pp.57–60, 66–67; United Energy, </w:t>
      </w:r>
      <w:r w:rsidRPr="00C45E85">
        <w:rPr>
          <w:rStyle w:val="Emphasis"/>
        </w:rPr>
        <w:t>Response to AER preliminary determination–Re: rate of return and gamma</w:t>
      </w:r>
      <w:r w:rsidRPr="00C45E85">
        <w:t xml:space="preserve">, 6 January 2016, pp. 41–45, 50; AGN, </w:t>
      </w:r>
      <w:r w:rsidRPr="00C45E85">
        <w:rPr>
          <w:rStyle w:val="Emphasis"/>
        </w:rPr>
        <w:t>2016–17 to 2020/21 Access Arrangement information response to draft decision: Attachment 10.26 Response to draft decision: rate of return</w:t>
      </w:r>
      <w:r w:rsidRPr="00C45E85">
        <w:t xml:space="preserve">, January 2016, pp. 46–50, 54–55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46–51, 54–55; AusNet Services, </w:t>
      </w:r>
      <w:r w:rsidRPr="00C45E85">
        <w:rPr>
          <w:rStyle w:val="Emphasis"/>
        </w:rPr>
        <w:t>Electricity distribution price review 2016–20 Revised regulatory proposal: Chapter 7 Rate of return &amp; gamma</w:t>
      </w:r>
      <w:r w:rsidRPr="00C45E85">
        <w:t xml:space="preserve">, 6 January 2016, pp. 41–50; APTNT, </w:t>
      </w:r>
      <w:r w:rsidRPr="00C45E85">
        <w:rPr>
          <w:rStyle w:val="Emphasis"/>
        </w:rPr>
        <w:t>Amadeus Gas Pipeline Access arrangement revised proposal: response to Draft Decision,</w:t>
      </w:r>
      <w:r w:rsidRPr="00C45E85">
        <w:t xml:space="preserve"> January 2016, pp. 68–73.</w:t>
      </w:r>
    </w:p>
  </w:footnote>
  <w:footnote w:id="814">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40.</w:t>
      </w:r>
    </w:p>
  </w:footnote>
  <w:footnote w:id="815">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38. Partington and Satchell noted  that , f</w:t>
      </w:r>
      <w:r w:rsidRPr="00615EDE">
        <w:t>or example, adding a momentum factor to the Fama and French three factor (FF3) model improves the power of the model to forecast returns, but the regulated businesses while arguing for the FF3 model do not suggest that momentum determines the cost of capital for long term projects. Since momentum is short lived it is not appropriate as a determinant of equilibrium expected returns in the long term.</w:t>
      </w:r>
    </w:p>
  </w:footnote>
  <w:footnote w:id="816">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46-48.</w:t>
      </w:r>
    </w:p>
  </w:footnote>
  <w:footnote w:id="817">
    <w:p w:rsidR="006345FD" w:rsidRDefault="006345FD" w:rsidP="001B6CF5">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818">
    <w:p w:rsidR="006345FD" w:rsidRDefault="006345FD" w:rsidP="001B6CF5">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819">
    <w:p w:rsidR="006345FD" w:rsidRDefault="006345FD" w:rsidP="001B6CF5">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820">
    <w:p w:rsidR="006345FD" w:rsidRDefault="006345FD" w:rsidP="001B6CF5">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821">
    <w:p w:rsidR="006345FD" w:rsidRDefault="006345FD" w:rsidP="001B6CF5">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822">
    <w:p w:rsidR="006345FD" w:rsidRDefault="006345FD" w:rsidP="001B6CF5">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823">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824">
    <w:p w:rsidR="006345FD" w:rsidRDefault="006345FD" w:rsidP="001B6CF5">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825">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826">
    <w:p w:rsidR="006345FD" w:rsidRDefault="006345FD" w:rsidP="001B6CF5">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827">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828">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26–40; Partington, </w:t>
      </w:r>
      <w:r>
        <w:rPr>
          <w:rStyle w:val="AERtextitalic"/>
        </w:rPr>
        <w:t>Report to the AER: Return on equity (updated), April 2015</w:t>
      </w:r>
      <w:r>
        <w:t xml:space="preserve">, p. 12; Partington &amp; Satchell, </w:t>
      </w:r>
      <w:r w:rsidRPr="00134BB5">
        <w:rPr>
          <w:rStyle w:val="AERtextitalic"/>
        </w:rPr>
        <w:t>Report to the AER: return on equity and comment on submissions in relation to JGN</w:t>
      </w:r>
      <w:r>
        <w:t xml:space="preserve">, May 2015, p. 6; </w:t>
      </w:r>
      <w:r w:rsidRPr="008E0D8F">
        <w:t xml:space="preserve">Partington &amp; Satchell, </w:t>
      </w:r>
      <w:r w:rsidRPr="008E0D8F">
        <w:rPr>
          <w:rStyle w:val="AERtextitalic"/>
        </w:rPr>
        <w:t xml:space="preserve">Report to the AER: Analysis of criticism of 2015 determinations, </w:t>
      </w:r>
      <w:r w:rsidRPr="008E0D8F">
        <w:t>October 2015</w:t>
      </w:r>
      <w:r>
        <w:t xml:space="preserve">, p. 15.  </w:t>
      </w:r>
    </w:p>
  </w:footnote>
  <w:footnote w:id="829">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pp. 39–40; Partington, </w:t>
      </w:r>
      <w:r>
        <w:rPr>
          <w:rStyle w:val="AERtextitalic"/>
        </w:rPr>
        <w:t>Report to the AER: Return on equity (updated), April 2015</w:t>
      </w:r>
      <w:r>
        <w:t>, pp. 58–59.</w:t>
      </w:r>
    </w:p>
  </w:footnote>
  <w:footnote w:id="830">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 xml:space="preserve">36; Partington, </w:t>
      </w:r>
      <w:r>
        <w:rPr>
          <w:rStyle w:val="AERtextitalic"/>
        </w:rPr>
        <w:t>Report to the AER: Return on equity (updated), April 2015</w:t>
      </w:r>
      <w:r>
        <w:t>, pp. 46–56.</w:t>
      </w:r>
    </w:p>
  </w:footnote>
  <w:footnote w:id="831">
    <w:p w:rsidR="006345FD" w:rsidRDefault="006345FD" w:rsidP="001B6CF5">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832">
    <w:p w:rsidR="006345FD" w:rsidRDefault="006345FD" w:rsidP="001B6CF5">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833">
    <w:p w:rsidR="006345FD" w:rsidRDefault="006345FD" w:rsidP="001B6CF5">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834">
    <w:p w:rsidR="006345FD" w:rsidRDefault="006345FD" w:rsidP="001B6CF5">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35">
    <w:p w:rsidR="006345FD" w:rsidRDefault="006345FD" w:rsidP="001B6CF5">
      <w:pPr>
        <w:pStyle w:val="FootnoteText"/>
      </w:pPr>
      <w:r>
        <w:rPr>
          <w:rStyle w:val="FootnoteReference"/>
        </w:rPr>
        <w:footnoteRef/>
      </w:r>
      <w:r>
        <w:t xml:space="preserve"> </w:t>
      </w:r>
      <w:r>
        <w:tab/>
      </w:r>
      <w:r w:rsidRPr="00CF7B94">
        <w:t xml:space="preserve">Malko Energy Consulting, </w:t>
      </w:r>
      <w:r w:rsidRPr="00CF7B94">
        <w:rPr>
          <w:rStyle w:val="AERtextitalic"/>
        </w:rPr>
        <w:t>Statement of Dr J. Robert M</w:t>
      </w:r>
      <w:r>
        <w:rPr>
          <w:rStyle w:val="AERtextitalic"/>
        </w:rPr>
        <w:t>a</w:t>
      </w:r>
      <w:r w:rsidRPr="00CF7B94">
        <w:rPr>
          <w:rStyle w:val="AERtextitalic"/>
        </w:rPr>
        <w:t>lko</w:t>
      </w:r>
      <w:r w:rsidRPr="00CF7B94">
        <w:t>, June 2015</w:t>
      </w:r>
      <w:r>
        <w:t>, pp. 4–5.</w:t>
      </w:r>
    </w:p>
  </w:footnote>
  <w:footnote w:id="836">
    <w:p w:rsidR="006345FD" w:rsidRDefault="006345FD" w:rsidP="001B6CF5">
      <w:pPr>
        <w:pStyle w:val="FootnoteText"/>
      </w:pPr>
      <w:r>
        <w:rPr>
          <w:rStyle w:val="FootnoteReference"/>
        </w:rPr>
        <w:footnoteRef/>
      </w:r>
      <w:r>
        <w:t xml:space="preserve"> </w:t>
      </w:r>
      <w:r>
        <w:tab/>
      </w:r>
      <w:r w:rsidRPr="00C45E85">
        <w:t xml:space="preserve">CitiPower, </w:t>
      </w:r>
      <w:r w:rsidRPr="00C45E85">
        <w:rPr>
          <w:rStyle w:val="Emphasis"/>
        </w:rPr>
        <w:t>Revised regulatory proposal 2016–2020</w:t>
      </w:r>
      <w:r w:rsidRPr="00C45E85">
        <w:t xml:space="preserve">, January 2016, pp. 286–298; Powercor, </w:t>
      </w:r>
      <w:r w:rsidRPr="00C45E85">
        <w:rPr>
          <w:rStyle w:val="Emphasis"/>
        </w:rPr>
        <w:t>Revised regulatory proposal 2016–2020</w:t>
      </w:r>
      <w:r w:rsidRPr="00C45E85">
        <w:t xml:space="preserve">, January 2016, pp. 280–292; ActewAGL, </w:t>
      </w:r>
      <w:r w:rsidRPr="00C45E85">
        <w:rPr>
          <w:rStyle w:val="Emphasis"/>
        </w:rPr>
        <w:t>Revised 2016–21 access arrangement proposal Response to the AER's draft decision, Appendix 5.01 Detailed response to rate of return, gamma and inflation</w:t>
      </w:r>
      <w:r w:rsidRPr="00C45E85">
        <w:t xml:space="preserve">, January 2016, pp. 64–72; United Energy, </w:t>
      </w:r>
      <w:r w:rsidRPr="00C45E85">
        <w:rPr>
          <w:rStyle w:val="Emphasis"/>
        </w:rPr>
        <w:t>Response to AER preliminary determination–Re: rate of return and gamma</w:t>
      </w:r>
      <w:r w:rsidRPr="00C45E85">
        <w:t xml:space="preserve">, 6 January 2016, pp. 47–52; AGN, </w:t>
      </w:r>
      <w:r w:rsidRPr="00C45E85">
        <w:rPr>
          <w:rStyle w:val="Emphasis"/>
        </w:rPr>
        <w:t>2016–17 to 2020/21 Access Arrangement information response to draft decision: Attachment 10.26 Response to draft decision: rate of return</w:t>
      </w:r>
      <w:r w:rsidRPr="00C45E85">
        <w:t xml:space="preserve">, January 2016, pp. 52–58 ; JEN (Vic), </w:t>
      </w:r>
      <w:r w:rsidRPr="00C45E85">
        <w:rPr>
          <w:rStyle w:val="Emphasis"/>
        </w:rPr>
        <w:t>2016–20 Electricity distribution price review regulatory proposal revocation and substitution submission: Attachment 6–1 Rate of return, gamma, forecast inflation, and debt and equity raising costs,</w:t>
      </w:r>
      <w:r w:rsidRPr="00C45E85">
        <w:t xml:space="preserve"> 6 January 2016, pp. 52–58; AusNet Services, </w:t>
      </w:r>
      <w:r w:rsidRPr="00C45E85">
        <w:rPr>
          <w:rStyle w:val="Emphasis"/>
        </w:rPr>
        <w:t>Electricity distribution price review 2016–20 Revised regulatory proposal: Chapter 7 Rate of return &amp; gamma</w:t>
      </w:r>
      <w:r w:rsidRPr="00C45E85">
        <w:t xml:space="preserve">, 6 January 2016, pp. 39–40, 46–52; APTNT, </w:t>
      </w:r>
      <w:r w:rsidRPr="00C45E85">
        <w:rPr>
          <w:rStyle w:val="Emphasis"/>
        </w:rPr>
        <w:t>Amadeus Gas Pipeline access arrangement revision proposal</w:t>
      </w:r>
      <w:r w:rsidRPr="00C45E85">
        <w:t>, August 2015, pp. 120–123.</w:t>
      </w:r>
      <w:r>
        <w:t xml:space="preserve">; </w:t>
      </w:r>
      <w:r w:rsidRPr="00177FBB">
        <w:t xml:space="preserve">Frontier Economics, The </w:t>
      </w:r>
      <w:r w:rsidRPr="00177FBB">
        <w:rPr>
          <w:rStyle w:val="AERtextitalic"/>
        </w:rPr>
        <w:t>required return on equity under a foundation model approach – Report prepared for Jemena Electricity Networks, ACTEWAGL Distribution, AusNet Services</w:t>
      </w:r>
      <w:r>
        <w:rPr>
          <w:rStyle w:val="AERtextitalic"/>
        </w:rPr>
        <w:t>, Australian Gas Networks, CitiP</w:t>
      </w:r>
      <w:r w:rsidRPr="00177FBB">
        <w:rPr>
          <w:rStyle w:val="AERtextitalic"/>
        </w:rPr>
        <w:t>ower, Powercor and United Energy</w:t>
      </w:r>
      <w:r w:rsidRPr="00177FBB">
        <w:t>, January 2016</w:t>
      </w:r>
      <w:r>
        <w:t xml:space="preserve">, pp. 17-20 &amp; 28–31. Service providers instead submitted that our foundation model approach prevents us from having any real regard to the dividend growth model and to conclude erroneously that the Sharpe-Linter CAPM is the superior return on equity model and produces unbiased estimates. We respond to this submission in section </w:t>
      </w:r>
      <w:r>
        <w:fldChar w:fldCharType="begin"/>
      </w:r>
      <w:r>
        <w:instrText xml:space="preserve"> REF _Ref448871343 \r \h </w:instrText>
      </w:r>
      <w:r>
        <w:fldChar w:fldCharType="separate"/>
      </w:r>
      <w:r>
        <w:t>A</w:t>
      </w:r>
      <w:r>
        <w:fldChar w:fldCharType="end"/>
      </w:r>
      <w:r>
        <w:t xml:space="preserve">. Service providers also submitted that SFG's construction of the dividend growth model is robust, we assess SFG's model in section </w:t>
      </w:r>
      <w:r>
        <w:fldChar w:fldCharType="begin"/>
      </w:r>
      <w:r>
        <w:instrText xml:space="preserve"> REF _Ref449021062 \r \h </w:instrText>
      </w:r>
      <w:r>
        <w:fldChar w:fldCharType="separate"/>
      </w:r>
      <w:r>
        <w:t>B.4.1</w:t>
      </w:r>
      <w:r>
        <w:fldChar w:fldCharType="end"/>
      </w:r>
      <w:r>
        <w:t>.</w:t>
      </w:r>
    </w:p>
  </w:footnote>
  <w:footnote w:id="837">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pp. 27–28.</w:t>
      </w:r>
    </w:p>
  </w:footnote>
  <w:footnote w:id="838">
    <w:p w:rsidR="006345FD" w:rsidRDefault="006345FD" w:rsidP="001B6CF5">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839">
    <w:p w:rsidR="006345FD" w:rsidRDefault="006345FD" w:rsidP="001B6CF5">
      <w:pPr>
        <w:pStyle w:val="FootnoteText"/>
      </w:pPr>
      <w:r>
        <w:rPr>
          <w:rStyle w:val="FootnoteReference"/>
        </w:rPr>
        <w:footnoteRef/>
      </w:r>
      <w:r>
        <w:t xml:space="preserve"> </w:t>
      </w:r>
      <w:r>
        <w:tab/>
      </w:r>
      <w:r w:rsidRPr="002220FC">
        <w:t xml:space="preserve">ActewAGL, </w:t>
      </w:r>
      <w:r w:rsidRPr="002220FC">
        <w:rPr>
          <w:rStyle w:val="AERtextitalic"/>
        </w:rPr>
        <w:t>Access Arrangement Information for the 2016-21 ACT, Queanbeyan and Palerang Access Arrangement, Appendix 8.02: Return on equity-detailed proposal, Submission to the Australian Energy Regulator</w:t>
      </w:r>
      <w:r w:rsidRPr="002220FC">
        <w:t xml:space="preserve">,  June 2015, p. </w:t>
      </w:r>
      <w:r>
        <w:t>45–50</w:t>
      </w:r>
      <w:r w:rsidRPr="002220FC">
        <w:t>; AP</w:t>
      </w:r>
      <w:r>
        <w:t>TNT</w:t>
      </w:r>
      <w:r w:rsidRPr="002220FC">
        <w:t xml:space="preserve">, </w:t>
      </w:r>
      <w:r w:rsidRPr="002220FC">
        <w:rPr>
          <w:rStyle w:val="AERtextitalic"/>
        </w:rPr>
        <w:t>Amadeus Gas Pipeline: Access Arrangement Revision Proposal</w:t>
      </w:r>
      <w:r w:rsidRPr="002220FC">
        <w:t xml:space="preserve">, August 2015, p. </w:t>
      </w:r>
      <w:r>
        <w:t>136–138</w:t>
      </w:r>
      <w:r w:rsidRPr="002220FC">
        <w:t xml:space="preserve">; AGN, </w:t>
      </w:r>
      <w:r w:rsidRPr="002220FC">
        <w:rPr>
          <w:rStyle w:val="AERtextitalic"/>
        </w:rPr>
        <w:t>2016/17 to 2020/21 Access Arrangement Information, Attachment 10.1: Rate of Return</w:t>
      </w:r>
      <w:r w:rsidRPr="002220FC">
        <w:t xml:space="preserve">, July 2015, p. </w:t>
      </w:r>
      <w:r>
        <w:t>43–44</w:t>
      </w:r>
      <w:r w:rsidRPr="002220FC">
        <w:t xml:space="preserve">; AusNet Services, </w:t>
      </w:r>
      <w:r w:rsidRPr="002220FC">
        <w:rPr>
          <w:rStyle w:val="AERtextitalic"/>
        </w:rPr>
        <w:t>Regulatory proposal 2016-20</w:t>
      </w:r>
      <w:r w:rsidRPr="002220FC">
        <w:t xml:space="preserve">, 30 April 2015, p. </w:t>
      </w:r>
      <w:r>
        <w:t>331–333</w:t>
      </w:r>
      <w:r w:rsidRPr="002220FC">
        <w:t xml:space="preserve">; United Energy, </w:t>
      </w:r>
      <w:r w:rsidRPr="002220FC">
        <w:rPr>
          <w:rStyle w:val="AERtextitalic"/>
        </w:rPr>
        <w:t>2016 to 2020 Regulatory Proposal,</w:t>
      </w:r>
      <w:r w:rsidRPr="002220FC">
        <w:t xml:space="preserve"> April 2015, p</w:t>
      </w:r>
      <w:r>
        <w:t>p</w:t>
      </w:r>
      <w:r w:rsidRPr="002220FC">
        <w:t>. 1</w:t>
      </w:r>
      <w:r>
        <w:t>17–1</w:t>
      </w:r>
      <w:r w:rsidRPr="002220FC">
        <w:t>2</w:t>
      </w:r>
      <w:r>
        <w:t>0</w:t>
      </w:r>
      <w:r w:rsidRPr="002220FC">
        <w:t xml:space="preserve">; CitiPower, </w:t>
      </w:r>
      <w:r w:rsidRPr="002220FC">
        <w:rPr>
          <w:rStyle w:val="AERtextitalic"/>
        </w:rPr>
        <w:t>Regulatory proposal 2016-2020</w:t>
      </w:r>
      <w:r w:rsidRPr="002220FC">
        <w:t xml:space="preserve">, April 2015, p. </w:t>
      </w:r>
      <w:r>
        <w:t>221–224</w:t>
      </w:r>
      <w:r w:rsidRPr="002220FC">
        <w:t>; Powercor,</w:t>
      </w:r>
      <w:r>
        <w:t xml:space="preserve"> </w:t>
      </w:r>
      <w:r w:rsidRPr="00391C78">
        <w:rPr>
          <w:rStyle w:val="AERtextitalic"/>
        </w:rPr>
        <w:t>Regulatory proposal 2016-2020</w:t>
      </w:r>
      <w:r w:rsidRPr="004B6B80">
        <w:t>, April 2015</w:t>
      </w:r>
      <w:r>
        <w:t xml:space="preserve">, p. 229–232; </w:t>
      </w:r>
      <w:r w:rsidRPr="002220FC">
        <w:t xml:space="preserve">Energex, </w:t>
      </w:r>
      <w:r w:rsidRPr="002220FC">
        <w:rPr>
          <w:rStyle w:val="AERtextitalic"/>
        </w:rPr>
        <w:t>2015-20 revised regulatory proposal</w:t>
      </w:r>
      <w:r w:rsidRPr="002220FC">
        <w:t xml:space="preserve">, July 2015, p. </w:t>
      </w:r>
      <w:r>
        <w:t>96–97 &amp; 101–103</w:t>
      </w:r>
      <w:r w:rsidRPr="002220FC">
        <w:t xml:space="preserve">; </w:t>
      </w:r>
      <w:r w:rsidRPr="001F096D">
        <w:t xml:space="preserve">Ergon Energy, </w:t>
      </w:r>
      <w:r w:rsidRPr="00391C78">
        <w:rPr>
          <w:rStyle w:val="AERtextitalic"/>
        </w:rPr>
        <w:t>Regulatory Proposal 2015-20 (revised),</w:t>
      </w:r>
      <w:r w:rsidRPr="001F096D">
        <w:t xml:space="preserve"> </w:t>
      </w:r>
      <w:r w:rsidRPr="00391C78">
        <w:rPr>
          <w:rStyle w:val="AERtextitalic"/>
        </w:rPr>
        <w:t>Appendix C: Rate of Return</w:t>
      </w:r>
      <w:r w:rsidRPr="001F096D">
        <w:t>, July 2015</w:t>
      </w:r>
      <w:r>
        <w:t xml:space="preserve">, p. 146–147; </w:t>
      </w:r>
      <w:r w:rsidRPr="002220FC">
        <w:t xml:space="preserve">SAPN, </w:t>
      </w:r>
      <w:r w:rsidRPr="002220FC">
        <w:rPr>
          <w:rStyle w:val="AERtextitalic"/>
        </w:rPr>
        <w:t>Revised Regulatory Proposal 2015-20</w:t>
      </w:r>
      <w:r w:rsidRPr="002220FC">
        <w:t>, July 2015, p. 3</w:t>
      </w:r>
      <w:r>
        <w:t>68</w:t>
      </w:r>
      <w:r w:rsidRPr="002220FC">
        <w:t xml:space="preserve">; Jemena Electricity Networks (Vic) Ltd, </w:t>
      </w:r>
      <w:r w:rsidRPr="002220FC">
        <w:rPr>
          <w:rStyle w:val="AERtextitalic"/>
        </w:rPr>
        <w:t>2016-20 Electricity Distribution Price Review Regulatory Proposal, Attachment 9-2, Rate of return proposal,</w:t>
      </w:r>
      <w:r w:rsidRPr="002220FC">
        <w:t xml:space="preserve"> April 2015, p</w:t>
      </w:r>
      <w:r>
        <w:t>. 81–85</w:t>
      </w:r>
      <w:r w:rsidRPr="002220FC">
        <w:t>.</w:t>
      </w:r>
    </w:p>
  </w:footnote>
  <w:footnote w:id="840">
    <w:p w:rsidR="006345FD" w:rsidRDefault="006345FD" w:rsidP="001B6CF5">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841">
    <w:p w:rsidR="006345FD" w:rsidRDefault="006345FD" w:rsidP="001B6CF5">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842">
    <w:p w:rsidR="006345FD" w:rsidRDefault="006345FD" w:rsidP="001B6CF5">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843">
    <w:p w:rsidR="006345FD" w:rsidRDefault="006345FD" w:rsidP="001B6CF5">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40–41.</w:t>
      </w:r>
    </w:p>
  </w:footnote>
  <w:footnote w:id="844">
    <w:p w:rsidR="006345FD" w:rsidRDefault="006345FD" w:rsidP="001B6CF5">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 xml:space="preserve">36; Partington, </w:t>
      </w:r>
      <w:r>
        <w:rPr>
          <w:rStyle w:val="AERtextitalic"/>
        </w:rPr>
        <w:t>Report to the AER: Return on equity (updated), April 2015</w:t>
      </w:r>
      <w:r>
        <w:t>, pp. 53–56.</w:t>
      </w:r>
    </w:p>
  </w:footnote>
  <w:footnote w:id="845">
    <w:p w:rsidR="006345FD" w:rsidRDefault="006345FD" w:rsidP="001B6CF5">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846">
    <w:p w:rsidR="006345FD" w:rsidRDefault="006345FD" w:rsidP="001B6CF5">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847">
    <w:p w:rsidR="006345FD" w:rsidRDefault="006345FD" w:rsidP="001B6CF5">
      <w:pPr>
        <w:pStyle w:val="FootnoteText"/>
      </w:pPr>
      <w:r>
        <w:rPr>
          <w:rStyle w:val="FootnoteReference"/>
        </w:rPr>
        <w:footnoteRef/>
      </w:r>
      <w:r>
        <w:t xml:space="preserve"> </w:t>
      </w:r>
      <w:r>
        <w:tab/>
        <w:t>We were unable were unable to replicate SFG's market risk premium, network risk premium and risk premium ratio series in Table 3 of its report because there appears to be an error in the risk free rate series presented by SFG. In Table 3 of SFG's report, the risk free rate series is identical to the market risk premium series. See: SFG,</w:t>
      </w:r>
      <w:r w:rsidRPr="00194089">
        <w:t xml:space="preserve"> </w:t>
      </w:r>
      <w:r w:rsidRPr="00194089">
        <w:rPr>
          <w:rStyle w:val="AERtextitalic"/>
        </w:rPr>
        <w:t>Share prices, the dividend discount model and the cost of equity for the market and a benchmark energy network</w:t>
      </w:r>
      <w:r w:rsidRPr="00194089">
        <w:t>, 13 February 2015</w:t>
      </w:r>
      <w:r>
        <w:t xml:space="preserve">, pp. 40–41 (table 3). We also note that this figure does not contain any more recent data as SFG has not updated its dividend growth model since its February 2015 report. </w:t>
      </w:r>
    </w:p>
  </w:footnote>
  <w:footnote w:id="848">
    <w:p w:rsidR="006345FD" w:rsidRDefault="006345FD" w:rsidP="001B6CF5">
      <w:pPr>
        <w:pStyle w:val="FootnoteText"/>
      </w:pPr>
      <w:r>
        <w:rPr>
          <w:rStyle w:val="FootnoteReference"/>
        </w:rPr>
        <w:footnoteRef/>
      </w:r>
      <w:r>
        <w:t xml:space="preserve"> </w:t>
      </w:r>
      <w:r>
        <w:tab/>
        <w:t xml:space="preserve">For example, see: Ausgrid, </w:t>
      </w:r>
      <w:r w:rsidRPr="005E5DB3">
        <w:rPr>
          <w:rStyle w:val="AERtextitalic"/>
        </w:rPr>
        <w:t>Regulatory proposal 1 July 2014 to 30 June 2019</w:t>
      </w:r>
      <w:r>
        <w:t>, 30 May 2014, p. 79.</w:t>
      </w:r>
    </w:p>
  </w:footnote>
  <w:footnote w:id="849">
    <w:p w:rsidR="006345FD" w:rsidRDefault="006345FD" w:rsidP="001B6CF5">
      <w:pPr>
        <w:pStyle w:val="FootnoteText"/>
      </w:pPr>
      <w:r>
        <w:rPr>
          <w:rStyle w:val="FootnoteReference"/>
        </w:rPr>
        <w:footnoteRef/>
      </w:r>
      <w:r>
        <w:t xml:space="preserve"> </w:t>
      </w:r>
      <w:r>
        <w:tab/>
      </w:r>
      <w:r w:rsidRPr="00C91846">
        <w:t xml:space="preserve">APTNT, </w:t>
      </w:r>
      <w:r w:rsidRPr="00C91846">
        <w:rPr>
          <w:rStyle w:val="AERtextitalic"/>
        </w:rPr>
        <w:t>Amadeus Gas Pipeline</w:t>
      </w:r>
      <w:r w:rsidRPr="00C91846">
        <w:t xml:space="preserve"> </w:t>
      </w:r>
      <w:r w:rsidRPr="00C91846">
        <w:rPr>
          <w:rStyle w:val="AERtextitalic"/>
        </w:rPr>
        <w:t>Access Arrangement Information Effective 1 July 2016 - 30 June 2021</w:t>
      </w:r>
      <w:r w:rsidRPr="00C91846">
        <w:t>, August 2015, p.</w:t>
      </w:r>
      <w:r>
        <w:t xml:space="preserve"> </w:t>
      </w:r>
      <w:r w:rsidRPr="00C91846">
        <w:t>21</w:t>
      </w:r>
      <w:r>
        <w:t xml:space="preserve">. However, </w:t>
      </w:r>
      <w:r w:rsidRPr="00273F0E">
        <w:t>APTNT proposed a DGM-based MRP in its January 2016 revised proposal</w:t>
      </w:r>
      <w:r>
        <w:t xml:space="preserve"> and argued that August 2015 proposal was not a Wright CAPM</w:t>
      </w:r>
      <w:r w:rsidRPr="00273F0E">
        <w:t xml:space="preserve">: APTNT, </w:t>
      </w:r>
      <w:r w:rsidRPr="00273F0E">
        <w:rPr>
          <w:rStyle w:val="Emphasis"/>
        </w:rPr>
        <w:t>Amadeus Gas Pipeline Access arrangement revised proposal: response to Draft Decision,</w:t>
      </w:r>
      <w:r w:rsidRPr="00273F0E">
        <w:t xml:space="preserve"> January 2016, pp. 75–77.</w:t>
      </w:r>
    </w:p>
  </w:footnote>
  <w:footnote w:id="850">
    <w:p w:rsidR="006345FD" w:rsidRDefault="006345FD" w:rsidP="001B6CF5">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January 2016, pp. 309–310; AER, </w:t>
      </w:r>
      <w:r w:rsidRPr="00273F0E">
        <w:rPr>
          <w:rStyle w:val="AERtextitalic"/>
        </w:rPr>
        <w:t>Preliminary decision: CitiPower determination 2016 to 2020: Attachment 3 – Rate of return</w:t>
      </w:r>
      <w:r w:rsidRPr="00273F0E">
        <w:t xml:space="preserve">, October 2015, p. 507–510; Powercor, </w:t>
      </w:r>
      <w:r w:rsidRPr="00273F0E">
        <w:rPr>
          <w:rStyle w:val="Emphasis"/>
        </w:rPr>
        <w:t>Revised regulatory proposal 2016–2020</w:t>
      </w:r>
      <w:r w:rsidRPr="00273F0E">
        <w:t xml:space="preserve">, January 2016, pp. 303–304; AER, </w:t>
      </w:r>
      <w:r w:rsidRPr="00273F0E">
        <w:rPr>
          <w:rStyle w:val="AERtextitalic"/>
        </w:rPr>
        <w:t>Powercor Preliminary Decision - Attachment 3: Rate of Return</w:t>
      </w:r>
      <w:r w:rsidRPr="00273F0E">
        <w:t xml:space="preserve">, October 2015, p. 507–508;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AER, </w:t>
      </w:r>
      <w:r w:rsidRPr="00273F0E">
        <w:rPr>
          <w:rStyle w:val="Emphasis"/>
        </w:rPr>
        <w:t>Draft decision ActewAGL distribution determination 2016 to 2021: Attachment 3 – Rate of return</w:t>
      </w:r>
      <w:r w:rsidRPr="00273F0E">
        <w:t xml:space="preserve">, November 2015, pp. 520–522; United Energy, </w:t>
      </w:r>
      <w:r w:rsidRPr="00273F0E">
        <w:rPr>
          <w:rStyle w:val="Emphasis"/>
        </w:rPr>
        <w:t>Response to AER preliminary determination–Re: rate of return and gamma</w:t>
      </w:r>
      <w:r w:rsidRPr="00273F0E">
        <w:t xml:space="preserve">, 6 January 2016, p. 61; AER, </w:t>
      </w:r>
      <w:r w:rsidRPr="00273F0E">
        <w:rPr>
          <w:rStyle w:val="Emphasis"/>
        </w:rPr>
        <w:t>Preliminary decision United Energy determination 2016 to 2020: Attachment 3 – Rate of return</w:t>
      </w:r>
      <w:r w:rsidRPr="00273F0E">
        <w:t xml:space="preserve">, October 2015, p. 510–512; AGN, </w:t>
      </w:r>
      <w:r w:rsidRPr="00273F0E">
        <w:rPr>
          <w:rStyle w:val="Emphasis"/>
        </w:rPr>
        <w:t>2016–17 to 2020/21 Access Arrangement information response to draft decision: Attachment 10.26 Response to draft decision: rate of return</w:t>
      </w:r>
      <w:r w:rsidRPr="00273F0E">
        <w:t xml:space="preserve">, January 2016, p. 66; AER, </w:t>
      </w:r>
      <w:r w:rsidRPr="00273F0E">
        <w:rPr>
          <w:rStyle w:val="Emphasis"/>
        </w:rPr>
        <w:t>Draft decision Australian Gas Networks access arrangement 2016 to 2021–Attachment 3: rate of return</w:t>
      </w:r>
      <w:r w:rsidRPr="00273F0E">
        <w:t>, November 2015, pp.  516–518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xml:space="preserve">. 519–522; See also: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xml:space="preserve">, May 2014, p. 81; Frontier, </w:t>
      </w:r>
      <w:r w:rsidRPr="00704FE3">
        <w:rPr>
          <w:rStyle w:val="AERtextitalic"/>
        </w:rPr>
        <w:t>Key issues in estimating the return on equity for the benchmark efficient entity</w:t>
      </w:r>
      <w:r>
        <w:t>, June 2015, pp. 10, 28–32, 54–55;</w:t>
      </w:r>
      <w:r w:rsidRPr="00897699">
        <w:t xml:space="preserve"> </w:t>
      </w:r>
      <w:r>
        <w:t xml:space="preserve">Frontier Economics, </w:t>
      </w:r>
      <w:r w:rsidRPr="00B40B94">
        <w:rPr>
          <w:rStyle w:val="AERtextitalic"/>
        </w:rPr>
        <w:t>The required return on equity under a foundation model approach</w:t>
      </w:r>
      <w:r>
        <w:t>, January 2016, p. 34.</w:t>
      </w:r>
    </w:p>
  </w:footnote>
  <w:footnote w:id="851">
    <w:p w:rsidR="006345FD" w:rsidRDefault="006345FD" w:rsidP="001B6CF5">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852">
    <w:p w:rsidR="006345FD" w:rsidRDefault="006345FD" w:rsidP="001B6CF5">
      <w:pPr>
        <w:pStyle w:val="FootnoteText"/>
      </w:pPr>
      <w:r>
        <w:rPr>
          <w:rStyle w:val="FootnoteReference"/>
        </w:rPr>
        <w:footnoteRef/>
      </w:r>
      <w:r>
        <w:t xml:space="preserve"> </w:t>
      </w:r>
      <w:r>
        <w:tab/>
        <w:t xml:space="preserve">McKenzie and Partington advised 'the current market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853">
    <w:p w:rsidR="006345FD" w:rsidRDefault="006345FD" w:rsidP="001B6CF5">
      <w:pPr>
        <w:pStyle w:val="FootnoteText"/>
      </w:pPr>
      <w:r>
        <w:rPr>
          <w:rStyle w:val="FootnoteReference"/>
        </w:rPr>
        <w:footnoteRef/>
      </w:r>
      <w:r>
        <w:t xml:space="preserve"> </w:t>
      </w:r>
      <w:r>
        <w:tab/>
        <w:t xml:space="preserve">Frontier Economics, </w:t>
      </w:r>
      <w:r w:rsidRPr="005666A5">
        <w:rPr>
          <w:rStyle w:val="AERtextitalic"/>
        </w:rPr>
        <w:t>The relationship between government bond yields and the market risk premium</w:t>
      </w:r>
      <w:r>
        <w:t>, January 2016, pp. 13-14.</w:t>
      </w:r>
    </w:p>
  </w:footnote>
  <w:footnote w:id="854">
    <w:p w:rsidR="006345FD" w:rsidRDefault="006345FD" w:rsidP="001B6CF5">
      <w:pPr>
        <w:pStyle w:val="FootnoteText"/>
      </w:pPr>
      <w:r>
        <w:rPr>
          <w:rStyle w:val="FootnoteReference"/>
        </w:rPr>
        <w:footnoteRef/>
      </w:r>
      <w:r>
        <w:t xml:space="preserve"> </w:t>
      </w:r>
      <w:r>
        <w:tab/>
        <w:t>Lally found t</w:t>
      </w:r>
      <w:r w:rsidRPr="00970B88">
        <w:t>he standard deviation of</w:t>
      </w:r>
      <w:r>
        <w:t xml:space="preserve"> average real market returns is 1.5 per cent. The standard deviation for the average real government bond yield is 1.4 per cent. For the estimate MRP time series, it is 0.9 per cent.  These standard deviations imply </w:t>
      </w:r>
      <w:r w:rsidRPr="00970B88">
        <w:t xml:space="preserve">the average real market return is </w:t>
      </w:r>
      <w:r>
        <w:t xml:space="preserve">considerably more volatile than that for the </w:t>
      </w:r>
      <w:r w:rsidRPr="00970B88">
        <w:t>estimated MRP</w:t>
      </w:r>
      <w:r>
        <w:t xml:space="preserve">. </w:t>
      </w:r>
      <w:r w:rsidRPr="006E7953">
        <w:t xml:space="preserve">Lally, </w:t>
      </w:r>
      <w:r w:rsidRPr="00E34B12">
        <w:rPr>
          <w:rStyle w:val="AERtextitalic"/>
        </w:rPr>
        <w:t>Review of the AER’s methodology</w:t>
      </w:r>
      <w:r w:rsidRPr="006E7953">
        <w:t xml:space="preserve">, </w:t>
      </w:r>
      <w:r>
        <w:t>March</w:t>
      </w:r>
      <w:r w:rsidRPr="006E7953">
        <w:t xml:space="preserve"> 2013</w:t>
      </w:r>
      <w:r>
        <w:t>, pp.12-16.</w:t>
      </w:r>
    </w:p>
  </w:footnote>
  <w:footnote w:id="855">
    <w:p w:rsidR="006345FD" w:rsidRDefault="006345FD" w:rsidP="001B6CF5">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856">
    <w:p w:rsidR="006345FD" w:rsidRDefault="006345FD" w:rsidP="001B6CF5">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857">
    <w:p w:rsidR="006345FD" w:rsidRDefault="006345FD" w:rsidP="001B6CF5">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858">
    <w:p w:rsidR="006345FD" w:rsidRDefault="006345FD" w:rsidP="001B6CF5">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859">
    <w:p w:rsidR="006345FD" w:rsidRDefault="006345FD" w:rsidP="001B6CF5">
      <w:pPr>
        <w:pStyle w:val="FootnoteText"/>
      </w:pPr>
      <w:r>
        <w:rPr>
          <w:rStyle w:val="FootnoteReference"/>
        </w:rPr>
        <w:footnoteRef/>
      </w:r>
      <w:r>
        <w:t xml:space="preserve"> </w:t>
      </w:r>
      <w:r>
        <w:tab/>
        <w:t>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Pr="00261D90">
        <w:t xml:space="preserve"> </w:t>
      </w:r>
      <w:r>
        <w:t xml:space="preserve">and in our subsequent decisions. AER, </w:t>
      </w:r>
      <w:r w:rsidRPr="00ED444F">
        <w:rPr>
          <w:rStyle w:val="AERtextitalic"/>
        </w:rPr>
        <w:t>Explanatory statement to the rate of return guideline (appendices)</w:t>
      </w:r>
      <w:r>
        <w:t>, 17 December 2013, pp. 24</w:t>
      </w:r>
      <w:r>
        <w:rPr>
          <w:rFonts w:cs="Gautami"/>
        </w:rPr>
        <w:t>–</w:t>
      </w:r>
      <w:r>
        <w:t xml:space="preserve">28; AER, </w:t>
      </w:r>
      <w:r>
        <w:rPr>
          <w:rStyle w:val="AERtextitalic"/>
        </w:rPr>
        <w:t>Final</w:t>
      </w:r>
      <w:r w:rsidRPr="00137967">
        <w:rPr>
          <w:rStyle w:val="AERtextitalic"/>
        </w:rPr>
        <w:t xml:space="preserve"> decision </w:t>
      </w:r>
      <w:r>
        <w:rPr>
          <w:rStyle w:val="AERtextitalic"/>
        </w:rPr>
        <w:t>JGN Access arrangement 2015</w:t>
      </w:r>
      <w:r w:rsidRPr="002D2B43">
        <w:rPr>
          <w:rStyle w:val="AERtextitalic"/>
        </w:rPr>
        <w:t>–</w:t>
      </w:r>
      <w:r>
        <w:rPr>
          <w:rStyle w:val="AERtextitalic"/>
        </w:rPr>
        <w:t>20, Attachment 3</w:t>
      </w:r>
      <w:r>
        <w:t>, June 2015, pp. 83</w:t>
      </w:r>
      <w:r w:rsidRPr="001D46C6">
        <w:t>–</w:t>
      </w:r>
      <w:r>
        <w:t>88, 284–289.</w:t>
      </w:r>
    </w:p>
  </w:footnote>
  <w:footnote w:id="860">
    <w:p w:rsidR="006345FD" w:rsidRDefault="006345FD" w:rsidP="001B6CF5">
      <w:pPr>
        <w:pStyle w:val="FootnoteText"/>
      </w:pPr>
      <w:r>
        <w:rPr>
          <w:rStyle w:val="FootnoteReference"/>
        </w:rPr>
        <w:footnoteRef/>
      </w:r>
      <w:r>
        <w:t xml:space="preserve"> </w:t>
      </w:r>
      <w:r>
        <w:tab/>
        <w:t xml:space="preserve">CitiPower, </w:t>
      </w:r>
      <w:r w:rsidRPr="00B40B94">
        <w:rPr>
          <w:rStyle w:val="AERtextitalic"/>
        </w:rPr>
        <w:t>Revised regulatory proposal 2016–2020</w:t>
      </w:r>
      <w:r>
        <w:t xml:space="preserve">, January 2016, pp. 307, 309–310; </w:t>
      </w:r>
      <w:r w:rsidRPr="00273F0E">
        <w:t xml:space="preserve">Powercor, </w:t>
      </w:r>
      <w:r w:rsidRPr="00273F0E">
        <w:rPr>
          <w:rStyle w:val="Emphasis"/>
        </w:rPr>
        <w:t>Revised regulatory proposal 2016–2020</w:t>
      </w:r>
      <w:r w:rsidRPr="00273F0E">
        <w:t xml:space="preserve">, January 2016, pp. 301, 303–304; ActewAGL, </w:t>
      </w:r>
      <w:r w:rsidRPr="00273F0E">
        <w:rPr>
          <w:rStyle w:val="Emphasis"/>
        </w:rPr>
        <w:t>Revised 2016–21 access arrangement proposal Response to the AER's draft decision, Appendix 5.01 Detailed response to rate of return, gamma and inflation</w:t>
      </w:r>
      <w:r w:rsidRPr="00273F0E">
        <w:t xml:space="preserve">, January 2016, pp. 82–83; United Energy, </w:t>
      </w:r>
      <w:r w:rsidRPr="00273F0E">
        <w:rPr>
          <w:rStyle w:val="Emphasis"/>
        </w:rPr>
        <w:t>Response to AER preliminary determination–Re: rate of return and gamma</w:t>
      </w:r>
      <w:r w:rsidRPr="00273F0E">
        <w:t xml:space="preserve">, 6 January 2016, p. 61; AGN, </w:t>
      </w:r>
      <w:r w:rsidRPr="00273F0E">
        <w:rPr>
          <w:rStyle w:val="Emphasis"/>
        </w:rPr>
        <w:t>2016–17 to 2020/21 Access Arrangement information response to draft decision: Attachment 10.26 Response to draft decision: rate of return</w:t>
      </w:r>
      <w:r w:rsidRPr="00273F0E">
        <w:t xml:space="preserve">, January 2016, pp. 66; JEN (Vic), </w:t>
      </w:r>
      <w:r w:rsidRPr="00273F0E">
        <w:rPr>
          <w:rStyle w:val="Emphasis"/>
        </w:rPr>
        <w:t>2016–20 Electricity distribution price review regulatory proposal revocation and substitution submission: Attachment 6–1 Rate of return, gamma, forecast inflation, and debt and equity raising costs,</w:t>
      </w:r>
      <w:r w:rsidRPr="00273F0E">
        <w:t xml:space="preserve"> 6 January 2016, pp. 66–67; AusNet Services, </w:t>
      </w:r>
      <w:r w:rsidRPr="00273F0E">
        <w:rPr>
          <w:rStyle w:val="Emphasis"/>
        </w:rPr>
        <w:t>Electricity distribution price review 2016–20 Revised regulatory proposal: Chapter 7 Rate of return &amp; gamma</w:t>
      </w:r>
      <w:r w:rsidRPr="00273F0E">
        <w:t xml:space="preserve">, 6 January 2016, pp.59–60; APTNT stated that it did not make submissions about the Wright approach in its original October 2015 submission. However, we note that APTNT's explanation of its original proposal for estimating the MRP is effectively an implementation of a Wright CAPM, see: </w:t>
      </w:r>
      <w:r w:rsidRPr="00273F0E">
        <w:rPr>
          <w:rStyle w:val="Emphasis"/>
        </w:rPr>
        <w:t>Amadeus Gas Pipeline Access arrangement revised proposal: response to Draft Decision,</w:t>
      </w:r>
      <w:r w:rsidRPr="00273F0E">
        <w:t xml:space="preserve"> January 2016, pp. 65–68.</w:t>
      </w:r>
    </w:p>
  </w:footnote>
  <w:footnote w:id="861">
    <w:p w:rsidR="006345FD" w:rsidRDefault="006345FD" w:rsidP="001B6CF5">
      <w:pPr>
        <w:pStyle w:val="FootnoteText"/>
      </w:pPr>
      <w:r>
        <w:rPr>
          <w:rStyle w:val="FootnoteReference"/>
        </w:rPr>
        <w:footnoteRef/>
      </w:r>
      <w:r>
        <w:t xml:space="preserve"> </w:t>
      </w:r>
      <w:r>
        <w:tab/>
      </w:r>
      <w:r w:rsidRPr="00387DCE">
        <w:t xml:space="preserve">Partington and Satchell, </w:t>
      </w:r>
      <w:r>
        <w:rPr>
          <w:rStyle w:val="Emphasis"/>
        </w:rPr>
        <w:t>Report to the AER: Cost of equity issues–2016 electricity and gas determinations</w:t>
      </w:r>
      <w:r w:rsidRPr="00387DCE">
        <w:t>, April 201</w:t>
      </w:r>
      <w:r>
        <w:t>6</w:t>
      </w:r>
      <w:r w:rsidRPr="00387DCE">
        <w:t>,</w:t>
      </w:r>
      <w:r>
        <w:t xml:space="preserve"> p. 31.</w:t>
      </w:r>
    </w:p>
  </w:footnote>
  <w:footnote w:id="862">
    <w:p w:rsidR="006345FD" w:rsidRDefault="006345FD" w:rsidP="00DB0499">
      <w:pPr>
        <w:pStyle w:val="FootnoteText"/>
      </w:pPr>
      <w:r>
        <w:rPr>
          <w:rStyle w:val="FootnoteReference"/>
        </w:rPr>
        <w:footnoteRef/>
      </w:r>
      <w:r>
        <w:t xml:space="preserve"> </w:t>
      </w:r>
      <w:r>
        <w:tab/>
        <w:t>The Sharpe-Lintner CAPM is an equilibrium pricing model and hence the market risk premium parameter of the model should reflect the premium that investors require in a market in equilibrium. In this section, we examine returns that have been realised in practice, over periods in which the market may not have been in equilibrium. This data is used for practical reasons - the ex-ante required return of investors is not observable. We consider that realised returns remain a reliable indicator of investor expectations in market equilibrium.</w:t>
      </w:r>
    </w:p>
  </w:footnote>
  <w:footnote w:id="863">
    <w:p w:rsidR="006345FD" w:rsidRDefault="006345FD" w:rsidP="00ED5F44">
      <w:pPr>
        <w:pStyle w:val="FootnoteText"/>
      </w:pPr>
      <w:r>
        <w:rPr>
          <w:rStyle w:val="FootnoteReference"/>
        </w:rPr>
        <w:footnoteRef/>
      </w:r>
      <w:r>
        <w:t xml:space="preserve"> </w:t>
      </w:r>
      <w:r>
        <w:tab/>
      </w:r>
      <w:r w:rsidRPr="00B63E65">
        <w:t xml:space="preserve">Brailsford, Handley, Maheswaran, ‘Re-examination of the historical equity risk premium in Australia’, </w:t>
      </w:r>
      <w:r w:rsidRPr="00B63E65">
        <w:rPr>
          <w:rStyle w:val="AERtextitalic"/>
        </w:rPr>
        <w:t>Accounting and Finance</w:t>
      </w:r>
      <w:r w:rsidRPr="00B63E65">
        <w:t>, Vol. 48, 2008, pp. 76–77, 85–86</w:t>
      </w:r>
      <w:r>
        <w:t>.</w:t>
      </w:r>
    </w:p>
  </w:footnote>
  <w:footnote w:id="864">
    <w:p w:rsidR="006345FD" w:rsidRDefault="006345FD" w:rsidP="00DB0499">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865">
    <w:p w:rsidR="006345FD" w:rsidRDefault="006345FD" w:rsidP="00DB0499">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866">
    <w:p w:rsidR="006345FD" w:rsidRDefault="006345FD" w:rsidP="00DB0499">
      <w:pPr>
        <w:pStyle w:val="FootnoteText"/>
      </w:pPr>
      <w:r>
        <w:rPr>
          <w:rStyle w:val="FootnoteReference"/>
        </w:rPr>
        <w:footnoteRef/>
      </w:r>
      <w:r>
        <w:t xml:space="preserve"> </w:t>
      </w:r>
      <w:r>
        <w:tab/>
        <w:t xml:space="preserve">See section </w:t>
      </w:r>
      <w:r>
        <w:fldChar w:fldCharType="begin"/>
      </w:r>
      <w:r>
        <w:instrText xml:space="preserve"> REF _Ref449018117 \r \h </w:instrText>
      </w:r>
      <w:r>
        <w:fldChar w:fldCharType="separate"/>
      </w:r>
      <w:r>
        <w:t>B.5</w:t>
      </w:r>
      <w:r>
        <w:fldChar w:fldCharType="end"/>
      </w:r>
      <w:r>
        <w:t xml:space="preserve"> for details on the Wright CAPM.</w:t>
      </w:r>
    </w:p>
  </w:footnote>
  <w:footnote w:id="867">
    <w:p w:rsidR="006345FD" w:rsidRDefault="006345FD" w:rsidP="00DB0499">
      <w:pPr>
        <w:pStyle w:val="FootnoteText"/>
      </w:pPr>
      <w:r>
        <w:rPr>
          <w:rStyle w:val="FootnoteReference"/>
        </w:rPr>
        <w:footnoteRef/>
      </w:r>
      <w:r>
        <w:t xml:space="preserve"> </w:t>
      </w:r>
      <w:r>
        <w:tab/>
        <w:t>Our risk free rate estimate is 2.94 per cent.</w:t>
      </w:r>
    </w:p>
  </w:footnote>
  <w:footnote w:id="868">
    <w:p w:rsidR="006345FD" w:rsidRDefault="006345FD" w:rsidP="00423487">
      <w:pPr>
        <w:pStyle w:val="FootnoteText"/>
      </w:pPr>
      <w:r>
        <w:rPr>
          <w:rStyle w:val="FootnoteReference"/>
        </w:rPr>
        <w:footnoteRef/>
      </w:r>
      <w:r>
        <w:t xml:space="preserve"> </w:t>
      </w:r>
      <w:r>
        <w:tab/>
        <w:t>Our estimated range for equity beta is 0.4 to 0.7. For more detail, see the '</w:t>
      </w:r>
      <w:r w:rsidRPr="00423487">
        <w:fldChar w:fldCharType="begin"/>
      </w:r>
      <w:r w:rsidRPr="00423487">
        <w:instrText xml:space="preserve"> REF _Ref451677263 \h </w:instrText>
      </w:r>
      <w:r>
        <w:instrText xml:space="preserve"> \* MERGEFORMAT </w:instrText>
      </w:r>
      <w:r w:rsidRPr="00423487">
        <w:fldChar w:fldCharType="separate"/>
      </w:r>
      <w:r w:rsidRPr="00423487">
        <w:rPr>
          <w:rStyle w:val="AERtextorange"/>
          <w:color w:val="auto"/>
        </w:rPr>
        <w:t>Estimating equity beta</w:t>
      </w:r>
      <w:r w:rsidRPr="00423487">
        <w:fldChar w:fldCharType="end"/>
      </w:r>
      <w:r>
        <w:t xml:space="preserve">' subsection in section </w:t>
      </w:r>
      <w:r>
        <w:fldChar w:fldCharType="begin"/>
      </w:r>
      <w:r>
        <w:instrText xml:space="preserve"> REF _Ref430958591 \r \h </w:instrText>
      </w:r>
      <w:r>
        <w:fldChar w:fldCharType="separate"/>
      </w:r>
      <w:r>
        <w:t>3.4.1</w:t>
      </w:r>
      <w:r>
        <w:fldChar w:fldCharType="end"/>
      </w:r>
      <w:r>
        <w:t>.</w:t>
      </w:r>
    </w:p>
  </w:footnote>
  <w:footnote w:id="869">
    <w:p w:rsidR="006345FD" w:rsidRDefault="006345FD" w:rsidP="00DB0499">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870">
    <w:p w:rsidR="006345FD" w:rsidRDefault="006345FD" w:rsidP="00DB0499">
      <w:pPr>
        <w:pStyle w:val="FootnoteText"/>
      </w:pPr>
      <w:r>
        <w:rPr>
          <w:rStyle w:val="FootnoteReference"/>
        </w:rPr>
        <w:footnoteRef/>
      </w:r>
      <w:r>
        <w:t xml:space="preserve"> </w:t>
      </w:r>
      <w:r>
        <w:tab/>
        <w:t xml:space="preserve">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71">
    <w:p w:rsidR="006345FD" w:rsidRDefault="006345FD" w:rsidP="00DB0499">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72">
    <w:p w:rsidR="006345FD" w:rsidRDefault="006345FD" w:rsidP="00DB0499">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873">
    <w:p w:rsidR="006345FD" w:rsidRDefault="006345FD" w:rsidP="00DB0499">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874">
    <w:p w:rsidR="006345FD" w:rsidRDefault="006345FD" w:rsidP="00DB0499">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r>
        <w:t xml:space="preserve">  Also see, Australian Competition Tribunal</w:t>
      </w:r>
      <w:r w:rsidRPr="00024F5D">
        <w:rPr>
          <w:rStyle w:val="AERtextitalic"/>
        </w:rPr>
        <w:t>, Application by Public interest Advocacy Centre Ltd and Ausgrid [2016] ACompT 1</w:t>
      </w:r>
      <w:r>
        <w:t>, 26 February 2016.</w:t>
      </w:r>
    </w:p>
  </w:footnote>
  <w:footnote w:id="875">
    <w:p w:rsidR="006345FD" w:rsidRDefault="006345FD" w:rsidP="00DB0499">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876">
    <w:p w:rsidR="006345FD" w:rsidRDefault="006345FD" w:rsidP="00DB0499">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xml:space="preserve">, 22 February 2012, p. 5; Partington and Satchell, </w:t>
      </w:r>
      <w:r w:rsidRPr="00F15DCC">
        <w:rPr>
          <w:rStyle w:val="AERtextitalic"/>
        </w:rPr>
        <w:t>Report to the AER: Return on equity and comment on submissions in relation to JGN</w:t>
      </w:r>
      <w:r>
        <w:t xml:space="preserve">, May 2015, pp. 16–17; </w:t>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77">
    <w:p w:rsidR="006345FD" w:rsidRDefault="006345FD" w:rsidP="00DB0499">
      <w:pPr>
        <w:pStyle w:val="FootnoteText"/>
      </w:pPr>
      <w:r>
        <w:rPr>
          <w:rStyle w:val="FootnoteReference"/>
        </w:rPr>
        <w:footnoteRef/>
      </w:r>
      <w:r>
        <w:t xml:space="preserve"> </w:t>
      </w:r>
      <w:r>
        <w:tab/>
        <w:t xml:space="preserve">See, for example: NERA, </w:t>
      </w:r>
      <w:r w:rsidRPr="009D2D21">
        <w:rPr>
          <w:rStyle w:val="AERtextitalic"/>
        </w:rPr>
        <w:t xml:space="preserve">Prevailing conditions and the market risk premium: A report for </w:t>
      </w:r>
      <w:r>
        <w:rPr>
          <w:rStyle w:val="AERtextitalic"/>
        </w:rPr>
        <w:t>APA Group</w:t>
      </w:r>
      <w:r w:rsidRPr="009D2D21">
        <w:rPr>
          <w:rStyle w:val="AERtextitalic"/>
        </w:rPr>
        <w:t>, Envestra, MultiNet and SP AusNet</w:t>
      </w:r>
      <w:r>
        <w:t xml:space="preserve">, March 2012, pp. 3–16; NERA, </w:t>
      </w:r>
      <w:r w:rsidRPr="009D2D21">
        <w:rPr>
          <w:rStyle w:val="AERtextitalic"/>
        </w:rPr>
        <w:t>The market, size and value premiums: A report for the Energy Networks Association</w:t>
      </w:r>
      <w:r>
        <w:t xml:space="preserve">, June 2013, pp. 25–30 (NERA, </w:t>
      </w:r>
      <w:r w:rsidRPr="009D2D21">
        <w:rPr>
          <w:rStyle w:val="AERtextitalic"/>
        </w:rPr>
        <w:t xml:space="preserve">The </w:t>
      </w:r>
      <w:r>
        <w:rPr>
          <w:rStyle w:val="AERtextitalic"/>
        </w:rPr>
        <w:t>market, size and value premiums</w:t>
      </w:r>
      <w:r>
        <w:t xml:space="preserve">, June 2013); NERA, </w:t>
      </w:r>
      <w:r w:rsidRPr="004D0611">
        <w:rPr>
          <w:rStyle w:val="AERtextitalic"/>
        </w:rPr>
        <w:t>Historical estim</w:t>
      </w:r>
      <w:r>
        <w:rPr>
          <w:rStyle w:val="AERtextitalic"/>
        </w:rPr>
        <w:t>ates of the market risk premium</w:t>
      </w:r>
      <w:r>
        <w:t xml:space="preserve">, February 2015, pp. 12–24. </w:t>
      </w:r>
    </w:p>
  </w:footnote>
  <w:footnote w:id="878">
    <w:p w:rsidR="006345FD" w:rsidRDefault="006345FD" w:rsidP="00DB0499">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14–28.</w:t>
      </w:r>
    </w:p>
  </w:footnote>
  <w:footnote w:id="879">
    <w:p w:rsidR="006345FD" w:rsidRDefault="006345FD" w:rsidP="00DB0499">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33-38.</w:t>
      </w:r>
    </w:p>
  </w:footnote>
  <w:footnote w:id="880">
    <w:p w:rsidR="006345FD" w:rsidRDefault="006345FD" w:rsidP="00DB0499">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 44.</w:t>
      </w:r>
    </w:p>
  </w:footnote>
  <w:footnote w:id="881">
    <w:p w:rsidR="006345FD" w:rsidRDefault="006345FD" w:rsidP="00DB0499">
      <w:pPr>
        <w:pStyle w:val="FootnoteText"/>
      </w:pPr>
      <w:r>
        <w:rPr>
          <w:rStyle w:val="FootnoteReference"/>
        </w:rPr>
        <w:footnoteRef/>
      </w:r>
      <w:r>
        <w:t xml:space="preserve"> </w:t>
      </w:r>
      <w:r>
        <w:tab/>
      </w:r>
      <w:r w:rsidRPr="00F9407B">
        <w:t xml:space="preserve">Partington and Satchell, </w:t>
      </w:r>
      <w:r w:rsidRPr="00F9407B">
        <w:rPr>
          <w:rStyle w:val="AERtextitalic"/>
        </w:rPr>
        <w:t>Report to the AER: Return on equity and comment on submissions in relation to JGN</w:t>
      </w:r>
      <w:r w:rsidRPr="00F9407B">
        <w:t>, May 2015, p. 17</w:t>
      </w:r>
      <w:r>
        <w:t>.</w:t>
      </w:r>
    </w:p>
  </w:footnote>
  <w:footnote w:id="882">
    <w:p w:rsidR="006345FD" w:rsidRDefault="006345FD" w:rsidP="00DB0499">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pp. 5–9.</w:t>
      </w:r>
    </w:p>
  </w:footnote>
  <w:footnote w:id="883">
    <w:p w:rsidR="006345FD" w:rsidRDefault="006345FD" w:rsidP="00DB0499">
      <w:pPr>
        <w:pStyle w:val="FootnoteText"/>
      </w:pPr>
      <w:r>
        <w:rPr>
          <w:rStyle w:val="FootnoteReference"/>
        </w:rPr>
        <w:footnoteRef/>
      </w:r>
      <w:r>
        <w:t xml:space="preserve"> </w:t>
      </w:r>
      <w:r>
        <w:tab/>
        <w:t xml:space="preserve">See McKenzie and Partington, </w:t>
      </w:r>
      <w:r w:rsidRPr="00DC098F">
        <w:rPr>
          <w:rStyle w:val="AERtextitalic"/>
        </w:rPr>
        <w:t>Report to the AER: Supplementary report on the equity MRP</w:t>
      </w:r>
      <w:r>
        <w:t>, 22 February 2012, p. 8.</w:t>
      </w:r>
    </w:p>
  </w:footnote>
  <w:footnote w:id="884">
    <w:p w:rsidR="006345FD" w:rsidRDefault="006345FD" w:rsidP="00DB0499">
      <w:pPr>
        <w:pStyle w:val="FootnoteText"/>
      </w:pPr>
      <w:r>
        <w:rPr>
          <w:rStyle w:val="FootnoteReference"/>
        </w:rPr>
        <w:footnoteRef/>
      </w:r>
      <w:r>
        <w:t xml:space="preserve"> </w:t>
      </w:r>
      <w:r>
        <w:tab/>
      </w:r>
      <w:r w:rsidRPr="00BA33A5">
        <w:t xml:space="preserve">Partington &amp; Satchell, </w:t>
      </w:r>
      <w:r w:rsidRPr="00BA33A5">
        <w:rPr>
          <w:rStyle w:val="AERtextitalic"/>
        </w:rPr>
        <w:t>Report to the AER: Analysis of criticism of 2015 determinations</w:t>
      </w:r>
      <w:r w:rsidRPr="00BA33A5">
        <w:t>, October 2015</w:t>
      </w:r>
      <w:r>
        <w:t>, pp. 44–45.</w:t>
      </w:r>
    </w:p>
  </w:footnote>
  <w:footnote w:id="885">
    <w:p w:rsidR="006345FD" w:rsidRDefault="006345FD" w:rsidP="00DB0499">
      <w:pPr>
        <w:pStyle w:val="FootnoteText"/>
      </w:pPr>
      <w:r>
        <w:rPr>
          <w:rStyle w:val="FootnoteReference"/>
        </w:rPr>
        <w:footnoteRef/>
      </w:r>
      <w:r>
        <w:t xml:space="preserve"> </w:t>
      </w:r>
      <w:r>
        <w:tab/>
        <w:t xml:space="preserve">HoustonKemp, </w:t>
      </w:r>
      <w:r w:rsidRPr="009D472A">
        <w:rPr>
          <w:rStyle w:val="Emphasis"/>
        </w:rPr>
        <w:t>The Cost of Equity: Response to the AER’s Draft Decisions for the Victorian Electricity Distributors, ActewAGL Distribution and Australian Gas Networks</w:t>
      </w:r>
      <w:r>
        <w:t>, January 2016, pp. 35.</w:t>
      </w:r>
    </w:p>
  </w:footnote>
  <w:footnote w:id="886">
    <w:p w:rsidR="006345FD" w:rsidRDefault="006345FD" w:rsidP="00DB0499">
      <w:pPr>
        <w:pStyle w:val="FootnoteText"/>
      </w:pPr>
      <w:r>
        <w:rPr>
          <w:rStyle w:val="FootnoteReference"/>
        </w:rPr>
        <w:footnoteRef/>
      </w:r>
      <w:r>
        <w:t xml:space="preserve"> </w:t>
      </w:r>
      <w:r>
        <w:tab/>
        <w:t xml:space="preserve">Partington and Satchell, </w:t>
      </w:r>
      <w:r w:rsidRPr="000C55FC">
        <w:rPr>
          <w:rStyle w:val="Emphasis"/>
        </w:rPr>
        <w:t>Report to the AER: Cost of equity issues–Final decisions for the VIC DNSPs</w:t>
      </w:r>
      <w:r>
        <w:t>, April 2016, pp. 51–52.</w:t>
      </w:r>
    </w:p>
  </w:footnote>
  <w:footnote w:id="887">
    <w:p w:rsidR="006345FD" w:rsidRDefault="006345FD" w:rsidP="00DB0499">
      <w:pPr>
        <w:pStyle w:val="FootnoteText"/>
      </w:pPr>
      <w:r>
        <w:rPr>
          <w:rStyle w:val="FootnoteReference"/>
        </w:rPr>
        <w:footnoteRef/>
      </w:r>
      <w:r>
        <w:t xml:space="preserve"> </w:t>
      </w:r>
      <w:r>
        <w:tab/>
        <w:t xml:space="preserve">NERA, </w:t>
      </w:r>
      <w:r w:rsidRPr="0070750B">
        <w:rPr>
          <w:rStyle w:val="AERtextitalic"/>
        </w:rPr>
        <w:t xml:space="preserve">Further assessment of the historical MRP: Response to the AER's final decisions for the NSW </w:t>
      </w:r>
      <w:r>
        <w:rPr>
          <w:rStyle w:val="AERtextitalic"/>
        </w:rPr>
        <w:t>and ACT electricity distributors</w:t>
      </w:r>
      <w:r>
        <w:t>, June 2015, pp. 19–20.</w:t>
      </w:r>
    </w:p>
  </w:footnote>
  <w:footnote w:id="888">
    <w:p w:rsidR="006345FD" w:rsidRDefault="006345FD" w:rsidP="00DB0499">
      <w:pPr>
        <w:pStyle w:val="FootnoteText"/>
      </w:pPr>
      <w:r>
        <w:rPr>
          <w:rStyle w:val="FootnoteReference"/>
        </w:rPr>
        <w:footnoteRef/>
      </w:r>
      <w:r>
        <w:t xml:space="preserve"> </w:t>
      </w:r>
      <w:r>
        <w:tab/>
        <w:t xml:space="preserve">See </w:t>
      </w:r>
      <w:r w:rsidRPr="00007A3F">
        <w:t xml:space="preserve">SFG, </w:t>
      </w:r>
      <w:r w:rsidRPr="00AB7242">
        <w:rPr>
          <w:rStyle w:val="AERtextitalic"/>
        </w:rPr>
        <w:t>The required return on equity for the benchmark efficient entity</w:t>
      </w:r>
      <w:r>
        <w:t xml:space="preserve">, </w:t>
      </w:r>
      <w:r w:rsidRPr="00007A3F">
        <w:t>February 2015, p. 23</w:t>
      </w:r>
      <w:r>
        <w:t xml:space="preserve">; </w:t>
      </w:r>
      <w:r w:rsidRPr="00AB7242">
        <w:t xml:space="preserve">Frontier, </w:t>
      </w:r>
      <w:r w:rsidRPr="00AB7242">
        <w:rPr>
          <w:rStyle w:val="AERtextitalic"/>
        </w:rPr>
        <w:t>Key issues in estimating the return on equity for the benchmark efficient entity: Report prepared for ActewAGL Distribution, AGN, AusNet Services, CitiPower, Ergon, Energex, Jemena Electricity Networks, Powercor, SA Power Networks, and United Energy</w:t>
      </w:r>
      <w:r w:rsidRPr="00AB7242">
        <w:t>, June 2015</w:t>
      </w:r>
      <w:r>
        <w:t>, p. 62.</w:t>
      </w:r>
    </w:p>
  </w:footnote>
  <w:footnote w:id="889">
    <w:p w:rsidR="006345FD" w:rsidRDefault="006345FD" w:rsidP="00DB0499">
      <w:pPr>
        <w:pStyle w:val="FootnoteText"/>
      </w:pPr>
      <w:r>
        <w:rPr>
          <w:rStyle w:val="FootnoteReference"/>
        </w:rPr>
        <w:footnoteRef/>
      </w:r>
      <w:r>
        <w:t xml:space="preserve"> </w:t>
      </w:r>
      <w:r>
        <w:tab/>
      </w:r>
      <w:r w:rsidRPr="00007A3F">
        <w:t xml:space="preserve">SFG, </w:t>
      </w:r>
      <w:r w:rsidRPr="00AB7242">
        <w:rPr>
          <w:rStyle w:val="AERtextitalic"/>
        </w:rPr>
        <w:t>The required return on equity for regulated gas and electricity network businesses</w:t>
      </w:r>
      <w:r>
        <w:t xml:space="preserve">, </w:t>
      </w:r>
      <w:r w:rsidRPr="00007A3F">
        <w:t>May 2014, p</w:t>
      </w:r>
      <w:r>
        <w:t>p</w:t>
      </w:r>
      <w:r w:rsidRPr="00007A3F">
        <w:t xml:space="preserve">. </w:t>
      </w:r>
      <w:r>
        <w:t>44–</w:t>
      </w:r>
      <w:r w:rsidRPr="00007A3F">
        <w:t>49</w:t>
      </w:r>
      <w:r>
        <w:t>.</w:t>
      </w:r>
    </w:p>
  </w:footnote>
  <w:footnote w:id="890">
    <w:p w:rsidR="006345FD" w:rsidRDefault="006345FD" w:rsidP="00DB0499">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xml:space="preserve">, August 2012, appendix B section B.2.1; AER, </w:t>
      </w:r>
      <w:r w:rsidRPr="00E83706">
        <w:rPr>
          <w:rStyle w:val="AERtextitalic"/>
        </w:rPr>
        <w:t>Jemena Gas Networks final decision 2015-20</w:t>
      </w:r>
      <w:r>
        <w:rPr>
          <w:rStyle w:val="AERtextitalic"/>
        </w:rPr>
        <w:t>: Attachment 3—Rate of r</w:t>
      </w:r>
      <w:r w:rsidRPr="00E83706">
        <w:rPr>
          <w:rStyle w:val="AERtextitalic"/>
        </w:rPr>
        <w:t>eturn</w:t>
      </w:r>
      <w:r>
        <w:t>, June 2015, pp.333–338.</w:t>
      </w:r>
    </w:p>
  </w:footnote>
  <w:footnote w:id="891">
    <w:p w:rsidR="006345FD" w:rsidRDefault="006345FD" w:rsidP="00DB0499">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Also see NERA, </w:t>
      </w:r>
      <w:r w:rsidRPr="0070750B">
        <w:rPr>
          <w:rStyle w:val="AERtextitalic"/>
        </w:rPr>
        <w:t xml:space="preserve">Further assessment of the historical MRP: Response to the AER's final decisions for the NSW </w:t>
      </w:r>
      <w:r>
        <w:rPr>
          <w:rStyle w:val="AERtextitalic"/>
        </w:rPr>
        <w:t>and ACT electricity distributors</w:t>
      </w:r>
      <w:r>
        <w:t>, June 2015, p. 14.</w:t>
      </w:r>
    </w:p>
  </w:footnote>
  <w:footnote w:id="892">
    <w:p w:rsidR="006345FD" w:rsidRDefault="006345FD" w:rsidP="00DB0499">
      <w:pPr>
        <w:pStyle w:val="FootnoteText"/>
      </w:pPr>
      <w:r>
        <w:rPr>
          <w:rStyle w:val="FootnoteReference"/>
        </w:rPr>
        <w:footnoteRef/>
      </w:r>
      <w:r>
        <w:t xml:space="preserve"> </w:t>
      </w:r>
      <w:r>
        <w:tab/>
        <w:t xml:space="preserve">Partington and Satchell, </w:t>
      </w:r>
      <w:r w:rsidRPr="00F15DCC">
        <w:rPr>
          <w:rStyle w:val="AERtextitalic"/>
        </w:rPr>
        <w:t>Report to the AER: Return on equity and comment on submissions in relation to JGN</w:t>
      </w:r>
      <w:r>
        <w:t>, May 2015, p. 17.</w:t>
      </w:r>
    </w:p>
  </w:footnote>
  <w:footnote w:id="893">
    <w:p w:rsidR="006345FD" w:rsidRDefault="006345FD" w:rsidP="00DB0499">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894">
    <w:p w:rsidR="006345FD" w:rsidRDefault="006345FD" w:rsidP="00DB0499">
      <w:pPr>
        <w:pStyle w:val="FootnoteText"/>
      </w:pPr>
      <w:r>
        <w:rPr>
          <w:rStyle w:val="FootnoteReference"/>
        </w:rPr>
        <w:footnoteRef/>
      </w:r>
      <w:r>
        <w:t xml:space="preserve"> </w:t>
      </w:r>
      <w:r>
        <w:tab/>
      </w:r>
      <w:r w:rsidRPr="00915FAC">
        <w:t xml:space="preserve">Brailsford, Handley, Maheswaran, ‘Re-examination of the historical equity risk premium in Australia’, </w:t>
      </w:r>
      <w:r w:rsidRPr="00915FAC">
        <w:rPr>
          <w:rStyle w:val="AERtextitalic"/>
        </w:rPr>
        <w:t>Accounting and Finance</w:t>
      </w:r>
      <w:r w:rsidRPr="00915FAC">
        <w:t>, Vol. 48, 2008, pp. 79–81.</w:t>
      </w:r>
    </w:p>
  </w:footnote>
  <w:footnote w:id="895">
    <w:p w:rsidR="006345FD" w:rsidRDefault="006345FD" w:rsidP="00DB0499">
      <w:pPr>
        <w:pStyle w:val="FootnoteText"/>
      </w:pPr>
      <w:r>
        <w:rPr>
          <w:rStyle w:val="FootnoteReference"/>
        </w:rPr>
        <w:footnoteRef/>
      </w:r>
      <w:r>
        <w:t xml:space="preserve"> </w:t>
      </w:r>
      <w:r>
        <w:tab/>
      </w:r>
      <w:r w:rsidRPr="00915FAC">
        <w:t xml:space="preserve">NERA, </w:t>
      </w:r>
      <w:r w:rsidRPr="00915FAC">
        <w:rPr>
          <w:rStyle w:val="AERtextitalic"/>
        </w:rPr>
        <w:t>The market risk premium, analysis in response to the AER’s draft rate of return guideline: A report for the Energy Networks Association</w:t>
      </w:r>
      <w:r w:rsidRPr="00915FAC">
        <w:t xml:space="preserve">, 11 October 2013. (NERA, </w:t>
      </w:r>
      <w:r w:rsidRPr="00915FAC">
        <w:rPr>
          <w:rStyle w:val="AERtextitalic"/>
        </w:rPr>
        <w:t>Market risk premium for the ENA</w:t>
      </w:r>
      <w:r w:rsidRPr="00915FAC">
        <w:t xml:space="preserve">, October 2013); NERA, </w:t>
      </w:r>
      <w:r w:rsidRPr="00915FAC">
        <w:rPr>
          <w:rStyle w:val="AERtextitalic"/>
        </w:rPr>
        <w:t>The market size and value premiums</w:t>
      </w:r>
      <w:r w:rsidRPr="00915FAC">
        <w:t xml:space="preserve">, June 2013. This alternative adjustment was supported by SFG in its 2014 and 2015 reports for several service providers (see SFG, </w:t>
      </w:r>
      <w:r w:rsidRPr="00915FAC">
        <w:rPr>
          <w:rStyle w:val="AERtextitalic"/>
        </w:rPr>
        <w:t>The required return on equity for regulated gas and electricity network businesses</w:t>
      </w:r>
      <w:r w:rsidRPr="00915FAC">
        <w:t xml:space="preserve">, May 2014, pp. 49–50; SFG, </w:t>
      </w:r>
      <w:r w:rsidRPr="00915FAC">
        <w:rPr>
          <w:rStyle w:val="AERtextitalic"/>
        </w:rPr>
        <w:t>The required return on equity for the benchmark efficient entity</w:t>
      </w:r>
      <w:r w:rsidRPr="00915FAC">
        <w:t>, February 2015, pp. 49–52).</w:t>
      </w:r>
    </w:p>
  </w:footnote>
  <w:footnote w:id="896">
    <w:p w:rsidR="006345FD" w:rsidRDefault="006345FD" w:rsidP="00DB0499">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t>, 11 October 2013</w:t>
      </w:r>
      <w:r w:rsidRPr="00D536CE">
        <w:t xml:space="preserve">; </w:t>
      </w:r>
      <w:r>
        <w:t xml:space="preserve">NERA, </w:t>
      </w:r>
      <w:r w:rsidRPr="001E253F">
        <w:rPr>
          <w:rStyle w:val="AERtextitalic"/>
        </w:rPr>
        <w:t>The market size and value premiums</w:t>
      </w:r>
      <w:r>
        <w:t xml:space="preserve">, June 2013; NERA, </w:t>
      </w:r>
      <w:r w:rsidRPr="004D0611">
        <w:rPr>
          <w:rStyle w:val="AERtextitalic"/>
        </w:rPr>
        <w:t>Historical estim</w:t>
      </w:r>
      <w:r>
        <w:rPr>
          <w:rStyle w:val="AERtextitalic"/>
        </w:rPr>
        <w:t>ates of the market risk premium</w:t>
      </w:r>
      <w:r>
        <w:t>, February 2015, pp. i–vii</w:t>
      </w:r>
      <w:r w:rsidRPr="00B11FD5">
        <w:t xml:space="preserve"> </w:t>
      </w:r>
      <w:r>
        <w:t xml:space="preserve">; NERA, </w:t>
      </w:r>
      <w:r w:rsidRPr="0070750B">
        <w:rPr>
          <w:rStyle w:val="AERtextitalic"/>
        </w:rPr>
        <w:t xml:space="preserve">Further assessment of the historical </w:t>
      </w:r>
      <w:r>
        <w:rPr>
          <w:rStyle w:val="AERtextitalic"/>
        </w:rPr>
        <w:t>Market Risk Premium</w:t>
      </w:r>
      <w:r w:rsidRPr="0070750B">
        <w:rPr>
          <w:rStyle w:val="AERtextitalic"/>
        </w:rPr>
        <w:t xml:space="preserve">: Response to the AER's final decisions for the NSW </w:t>
      </w:r>
      <w:r>
        <w:rPr>
          <w:rStyle w:val="AERtextitalic"/>
        </w:rPr>
        <w:t>and ACT electricity distributors</w:t>
      </w:r>
      <w:r>
        <w:t xml:space="preserve">, June 2015, pp. 5, 8, 10. NERA's alternative adjustment was supported by SFG in its 2014 and 2015 reports for several service providers, see: SFG, </w:t>
      </w:r>
      <w:r w:rsidRPr="009A4E12">
        <w:rPr>
          <w:rStyle w:val="AERtextitalic"/>
        </w:rPr>
        <w:t>The required return on equity for regulated gas and electricity network businesses</w:t>
      </w:r>
      <w:r>
        <w:t xml:space="preserve">, May 2014, pp. 49–50; </w:t>
      </w:r>
      <w:r w:rsidRPr="002C4DC1">
        <w:t xml:space="preserve">SFG, </w:t>
      </w:r>
      <w:r w:rsidRPr="002C4DC1">
        <w:rPr>
          <w:rStyle w:val="AERtextitalic"/>
        </w:rPr>
        <w:t>The required return on equity for the benchmark efficient entity</w:t>
      </w:r>
      <w:r>
        <w:t xml:space="preserve">, </w:t>
      </w:r>
      <w:r w:rsidRPr="002C4DC1">
        <w:t>February 2015</w:t>
      </w:r>
      <w:r>
        <w:t>, pp. 49–52.</w:t>
      </w:r>
    </w:p>
  </w:footnote>
  <w:footnote w:id="897">
    <w:p w:rsidR="006345FD" w:rsidRDefault="006345FD" w:rsidP="00DB0499">
      <w:pPr>
        <w:pStyle w:val="FootnoteText"/>
      </w:pPr>
      <w:r>
        <w:rPr>
          <w:rStyle w:val="FootnoteReference"/>
        </w:rPr>
        <w:footnoteRef/>
      </w:r>
      <w:r>
        <w:t xml:space="preserve"> </w:t>
      </w:r>
      <w:r>
        <w:tab/>
        <w:t xml:space="preserve">AER, </w:t>
      </w:r>
      <w:r w:rsidRPr="00AD44F5">
        <w:rPr>
          <w:rStyle w:val="Emphasis"/>
        </w:rPr>
        <w:t>Preliminary decision CitiPo</w:t>
      </w:r>
      <w:r w:rsidRPr="002147A6">
        <w:rPr>
          <w:rStyle w:val="Emphasis"/>
        </w:rPr>
        <w:t>wer determination 2016 to 2020</w:t>
      </w:r>
      <w:r>
        <w:rPr>
          <w:rStyle w:val="Emphasis"/>
        </w:rPr>
        <w:t xml:space="preserve">: </w:t>
      </w:r>
      <w:r w:rsidRPr="00AD44F5">
        <w:rPr>
          <w:rStyle w:val="Emphasis"/>
        </w:rPr>
        <w:t>Attachment 3 - Rate of return</w:t>
      </w:r>
      <w:r>
        <w:t>, October 2015, pp. 375 - 380.</w:t>
      </w:r>
    </w:p>
  </w:footnote>
  <w:footnote w:id="898">
    <w:p w:rsidR="006345FD" w:rsidRDefault="006345FD" w:rsidP="00DB049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899">
    <w:p w:rsidR="006345FD" w:rsidRDefault="006345FD" w:rsidP="00DB0499">
      <w:pPr>
        <w:pStyle w:val="FootnoteText"/>
      </w:pPr>
      <w:r>
        <w:rPr>
          <w:rStyle w:val="FootnoteReference"/>
        </w:rPr>
        <w:footnoteRef/>
      </w:r>
      <w:r>
        <w:t xml:space="preserve"> </w:t>
      </w:r>
      <w:r>
        <w:tab/>
        <w:t xml:space="preserve">Handley, </w:t>
      </w:r>
      <w:r w:rsidRPr="007F105A">
        <w:rPr>
          <w:rStyle w:val="AERtextitalic"/>
        </w:rPr>
        <w:t>Further advice on the return on equity</w:t>
      </w:r>
      <w:r>
        <w:t>, April 2015, p. 8. Houston Kemp notes that NERA's analysis is based on a sample of nine, rather than seven, data points. This does not alter Handley's argument.</w:t>
      </w:r>
    </w:p>
  </w:footnote>
  <w:footnote w:id="900">
    <w:p w:rsidR="006345FD" w:rsidRDefault="006345FD" w:rsidP="00DB049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901">
    <w:p w:rsidR="006345FD" w:rsidRDefault="006345FD" w:rsidP="00DB0499">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80-81.</w:t>
      </w:r>
    </w:p>
  </w:footnote>
  <w:footnote w:id="902">
    <w:p w:rsidR="006345FD" w:rsidRDefault="006345FD" w:rsidP="00DB0499">
      <w:pPr>
        <w:pStyle w:val="FootnoteText"/>
      </w:pPr>
      <w:r>
        <w:rPr>
          <w:rStyle w:val="FootnoteReference"/>
        </w:rPr>
        <w:footnoteRef/>
      </w:r>
      <w:r>
        <w:t xml:space="preserve"> </w:t>
      </w:r>
      <w:r>
        <w:tab/>
        <w:t xml:space="preserve">See NERA, </w:t>
      </w:r>
      <w:r w:rsidRPr="004D0611">
        <w:rPr>
          <w:rStyle w:val="AERtextitalic"/>
        </w:rPr>
        <w:t>Historical estim</w:t>
      </w:r>
      <w:r>
        <w:rPr>
          <w:rStyle w:val="AERtextitalic"/>
        </w:rPr>
        <w:t>ates of the market risk premium</w:t>
      </w:r>
      <w:r>
        <w:t>, February 2015, p. vi.</w:t>
      </w:r>
    </w:p>
  </w:footnote>
  <w:footnote w:id="903">
    <w:p w:rsidR="006345FD" w:rsidRDefault="006345FD" w:rsidP="00DB0499">
      <w:pPr>
        <w:pStyle w:val="FootnoteText"/>
      </w:pPr>
      <w:r>
        <w:rPr>
          <w:rStyle w:val="FootnoteReference"/>
        </w:rPr>
        <w:footnoteRef/>
      </w:r>
      <w:r>
        <w:t xml:space="preserve"> </w:t>
      </w:r>
      <w:r>
        <w:tab/>
      </w:r>
      <w:r w:rsidRPr="00C73AC0">
        <w:t xml:space="preserve">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October 2014</w:t>
      </w:r>
      <w:r>
        <w:t>, p. 19</w:t>
      </w:r>
    </w:p>
  </w:footnote>
  <w:footnote w:id="904">
    <w:p w:rsidR="006345FD" w:rsidRDefault="006345FD" w:rsidP="00DB0499">
      <w:pPr>
        <w:pStyle w:val="FootnoteText"/>
      </w:pPr>
      <w:r>
        <w:rPr>
          <w:rStyle w:val="FootnoteReference"/>
        </w:rPr>
        <w:footnoteRef/>
      </w:r>
      <w:r>
        <w:t xml:space="preserve"> </w:t>
      </w:r>
      <w:r>
        <w:tab/>
        <w:t xml:space="preserve">Handley, </w:t>
      </w:r>
      <w:r w:rsidRPr="00E56D74">
        <w:rPr>
          <w:rStyle w:val="AERtextitalic"/>
        </w:rPr>
        <w:t>Advice on the rate of return for the 2015 AER energy network determination for Jemena Gas Networks</w:t>
      </w:r>
      <w:r>
        <w:t>, May 2015, p. 27.</w:t>
      </w:r>
    </w:p>
  </w:footnote>
  <w:footnote w:id="905">
    <w:p w:rsidR="006345FD" w:rsidRDefault="006345FD" w:rsidP="00DB049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906">
    <w:p w:rsidR="006345FD" w:rsidRDefault="006345FD" w:rsidP="00DB049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pp</w:t>
      </w:r>
      <w:r w:rsidRPr="00F05A72">
        <w:t xml:space="preserve">. </w:t>
      </w:r>
      <w:r>
        <w:t>76–77.</w:t>
      </w:r>
    </w:p>
  </w:footnote>
  <w:footnote w:id="907">
    <w:p w:rsidR="006345FD" w:rsidRDefault="006345FD" w:rsidP="00DB0499">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77.</w:t>
      </w:r>
    </w:p>
  </w:footnote>
  <w:footnote w:id="908">
    <w:p w:rsidR="006345FD" w:rsidRDefault="006345FD" w:rsidP="00DB0499">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909">
    <w:p w:rsidR="006345FD" w:rsidRDefault="006345FD" w:rsidP="00DB0499">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910">
    <w:p w:rsidR="006345FD" w:rsidRDefault="006345FD" w:rsidP="00DB0499">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911">
    <w:p w:rsidR="006345FD" w:rsidRDefault="006345FD" w:rsidP="00DB0499">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 p. 34; Partington, </w:t>
      </w:r>
      <w:r w:rsidRPr="002B4402">
        <w:rPr>
          <w:rStyle w:val="Emphasis"/>
        </w:rPr>
        <w:t>Report to the AER: Return on equity (Updated)</w:t>
      </w:r>
      <w:r>
        <w:t xml:space="preserve">, April 2015, p. 53; McKenzie and Partington, </w:t>
      </w:r>
      <w:r w:rsidRPr="002B4402">
        <w:rPr>
          <w:rStyle w:val="Emphasis"/>
        </w:rPr>
        <w:t>The DGM</w:t>
      </w:r>
      <w:r>
        <w:t xml:space="preserve">, December 2013, p. 24. </w:t>
      </w:r>
    </w:p>
  </w:footnote>
  <w:footnote w:id="912">
    <w:p w:rsidR="006345FD" w:rsidRDefault="006345FD" w:rsidP="00DB0499">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sidRPr="00B9639C">
        <w:rPr>
          <w:rStyle w:val="Emphasis"/>
        </w:rPr>
        <w:t>The DGM</w:t>
      </w:r>
      <w:r>
        <w:t xml:space="preserve">, December 2013, p. 15. Note McKenzie and Partington call the market value return on equity, the 'cost of equity'. </w:t>
      </w:r>
    </w:p>
  </w:footnote>
  <w:footnote w:id="913">
    <w:p w:rsidR="006345FD" w:rsidRDefault="006345FD" w:rsidP="00DB0499">
      <w:pPr>
        <w:pStyle w:val="FootnoteText"/>
      </w:pPr>
      <w:r>
        <w:rPr>
          <w:rStyle w:val="FootnoteReference"/>
        </w:rPr>
        <w:footnoteRef/>
      </w:r>
      <w:r>
        <w:t xml:space="preserve"> </w:t>
      </w:r>
      <w:r>
        <w:tab/>
        <w:t>A</w:t>
      </w:r>
      <w:r w:rsidRPr="00B4711B">
        <w:t>s applied in its 2014 report</w:t>
      </w:r>
      <w:r>
        <w:t xml:space="preserve">. SFG, </w:t>
      </w:r>
      <w:r>
        <w:rPr>
          <w:rStyle w:val="AERtextitalic"/>
        </w:rPr>
        <w:t>Alternative versions of the dividend discount model and the implied cost of equity</w:t>
      </w:r>
      <w:r>
        <w:t>, 15 May 2014.</w:t>
      </w:r>
    </w:p>
  </w:footnote>
  <w:footnote w:id="914">
    <w:p w:rsidR="006345FD" w:rsidRDefault="006345FD" w:rsidP="00DB0499">
      <w:pPr>
        <w:pStyle w:val="FootnoteText"/>
      </w:pPr>
      <w:r>
        <w:rPr>
          <w:rStyle w:val="FootnoteReference"/>
        </w:rPr>
        <w:footnoteRef/>
      </w:r>
      <w:r>
        <w:t xml:space="preserve"> </w:t>
      </w:r>
      <w:r>
        <w:tab/>
        <w:t xml:space="preserve">McKenzie and Partington, </w:t>
      </w:r>
      <w:r w:rsidRPr="002B4402">
        <w:rPr>
          <w:rStyle w:val="Emphasis"/>
        </w:rPr>
        <w:t>Report to the AER, Part A: Return on equity</w:t>
      </w:r>
      <w:r>
        <w:t xml:space="preserve"> October 2014.</w:t>
      </w:r>
    </w:p>
  </w:footnote>
  <w:footnote w:id="915">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916">
    <w:p w:rsidR="006345FD" w:rsidRDefault="006345FD" w:rsidP="00DB0499">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917">
    <w:p w:rsidR="006345FD" w:rsidRDefault="006345FD" w:rsidP="00DB0499">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918">
    <w:p w:rsidR="006345FD" w:rsidRDefault="006345FD" w:rsidP="00DB0499">
      <w:pPr>
        <w:pStyle w:val="FootnoteText"/>
      </w:pPr>
      <w:r>
        <w:rPr>
          <w:rStyle w:val="FootnoteReference"/>
        </w:rPr>
        <w:footnoteRef/>
      </w:r>
      <w:r>
        <w:t xml:space="preserve"> </w:t>
      </w:r>
      <w:r>
        <w:tab/>
        <w:t>Rather than target prices.</w:t>
      </w:r>
    </w:p>
  </w:footnote>
  <w:footnote w:id="919">
    <w:p w:rsidR="006345FD" w:rsidRDefault="006345FD" w:rsidP="00DB0499">
      <w:pPr>
        <w:pStyle w:val="FootnoteText"/>
      </w:pPr>
      <w:r>
        <w:rPr>
          <w:rStyle w:val="FootnoteReference"/>
        </w:rPr>
        <w:footnoteRef/>
      </w:r>
      <w:r>
        <w:t xml:space="preserve"> </w:t>
      </w:r>
      <w:r>
        <w:tab/>
        <w:t>Assumed to be 2.5 per cent, which is the mid-point of the RBA's target inflation band.</w:t>
      </w:r>
    </w:p>
  </w:footnote>
  <w:footnote w:id="920">
    <w:p w:rsidR="006345FD" w:rsidRDefault="006345FD" w:rsidP="00DB0499">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921">
    <w:p w:rsidR="006345FD" w:rsidRDefault="006345FD" w:rsidP="00DB0499">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922">
    <w:p w:rsidR="006345FD" w:rsidRDefault="006345FD" w:rsidP="00DB0499">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923">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924">
    <w:p w:rsidR="006345FD" w:rsidRDefault="006345FD" w:rsidP="00DB0499">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925">
    <w:p w:rsidR="006345FD" w:rsidRDefault="006345FD" w:rsidP="00DB0499">
      <w:pPr>
        <w:pStyle w:val="FootnoteText"/>
      </w:pPr>
      <w:r>
        <w:rPr>
          <w:rStyle w:val="FootnoteReference"/>
        </w:rPr>
        <w:footnoteRef/>
      </w:r>
      <w:r>
        <w:t xml:space="preserve"> </w:t>
      </w:r>
      <w:r>
        <w:tab/>
        <w:t>Although they use a different value for the assumed utilisation rate of imputation credits.</w:t>
      </w:r>
    </w:p>
  </w:footnote>
  <w:footnote w:id="926">
    <w:p w:rsidR="006345FD" w:rsidRDefault="006345FD" w:rsidP="00DB0499">
      <w:pPr>
        <w:pStyle w:val="FootnoteText"/>
      </w:pPr>
      <w:r>
        <w:rPr>
          <w:rStyle w:val="FootnoteReference"/>
        </w:rPr>
        <w:footnoteRef/>
      </w:r>
      <w:r>
        <w:t xml:space="preserve"> </w:t>
      </w:r>
      <w:r>
        <w:tab/>
        <w:t xml:space="preserve">CitiPower adopts the market risk premium estimates of Frontier Economics, see: Frontier Economics, </w:t>
      </w:r>
      <w:r w:rsidRPr="00F85858">
        <w:rPr>
          <w:rStyle w:val="AERtextitalic"/>
        </w:rPr>
        <w:t>The required return on equity under a foundation model approach</w:t>
      </w:r>
      <w:r>
        <w:t>, January 2016, p. 37.</w:t>
      </w:r>
    </w:p>
  </w:footnote>
  <w:footnote w:id="927">
    <w:p w:rsidR="006345FD" w:rsidRDefault="006345FD" w:rsidP="00DB0499">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928">
    <w:p w:rsidR="006345FD" w:rsidRDefault="006345FD" w:rsidP="00DB0499">
      <w:pPr>
        <w:pStyle w:val="FootnoteText"/>
      </w:pPr>
      <w:r>
        <w:rPr>
          <w:rStyle w:val="FootnoteReference"/>
        </w:rPr>
        <w:footnoteRef/>
      </w:r>
      <w:r>
        <w:t xml:space="preserve"> </w:t>
      </w:r>
      <w:r>
        <w:tab/>
        <w:t>W</w:t>
      </w:r>
      <w:r w:rsidRPr="00477869">
        <w:t>hich is the share of the operating cash flow available for owners</w:t>
      </w:r>
      <w:r>
        <w:t xml:space="preserve">. See: 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xml:space="preserve">, p. 47.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29">
    <w:p w:rsidR="006345FD" w:rsidRDefault="006345FD" w:rsidP="00DB0499">
      <w:pPr>
        <w:pStyle w:val="FootnoteText"/>
      </w:pPr>
      <w:r>
        <w:rPr>
          <w:rStyle w:val="FootnoteReference"/>
        </w:rPr>
        <w:footnoteRef/>
      </w:r>
      <w:r>
        <w:t xml:space="preserve"> </w:t>
      </w:r>
      <w:r>
        <w:tab/>
        <w:t xml:space="preserve">See, A. Brav, </w:t>
      </w:r>
      <w:r w:rsidRPr="000204F7">
        <w:rPr>
          <w:rStyle w:val="AERtextitalic"/>
        </w:rPr>
        <w:t>Payout policy in the 21st century</w:t>
      </w:r>
      <w:r>
        <w:t xml:space="preserve">, May 2005. </w:t>
      </w:r>
    </w:p>
  </w:footnote>
  <w:footnote w:id="930">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931">
    <w:p w:rsidR="006345FD" w:rsidRDefault="006345FD" w:rsidP="00DB0499">
      <w:pPr>
        <w:pStyle w:val="FootnoteText"/>
      </w:pPr>
      <w:r>
        <w:rPr>
          <w:rStyle w:val="FootnoteReference"/>
        </w:rPr>
        <w:footnoteRef/>
      </w:r>
      <w:r>
        <w:t xml:space="preserve"> </w:t>
      </w:r>
      <w:r>
        <w:tab/>
        <w:t xml:space="preserve">Frontier Economics, </w:t>
      </w:r>
      <w:r w:rsidRPr="006E4497">
        <w:rPr>
          <w:rStyle w:val="AERtextitalic"/>
        </w:rPr>
        <w:t>The relationship between government bond yields and the market risk premium</w:t>
      </w:r>
      <w:r>
        <w:t>, January 2016, p. 39.</w:t>
      </w:r>
    </w:p>
  </w:footnote>
  <w:footnote w:id="932">
    <w:p w:rsidR="006345FD" w:rsidRDefault="006345FD" w:rsidP="00DB0499">
      <w:pPr>
        <w:pStyle w:val="FootnoteText"/>
      </w:pPr>
      <w:r>
        <w:rPr>
          <w:rStyle w:val="FootnoteReference"/>
        </w:rPr>
        <w:footnoteRef/>
      </w:r>
      <w:r>
        <w:t xml:space="preserve"> </w:t>
      </w:r>
      <w:r>
        <w:tab/>
        <w:t xml:space="preserve">RBA, </w:t>
      </w:r>
      <w:r w:rsidRPr="000C6847">
        <w:rPr>
          <w:rStyle w:val="AERtextitalic"/>
        </w:rPr>
        <w:t>The Australian Economy and Financial Markets</w:t>
      </w:r>
      <w:r>
        <w:rPr>
          <w:rStyle w:val="AERtextitalic"/>
        </w:rPr>
        <w:t xml:space="preserve"> Chart Pack, </w:t>
      </w:r>
      <w:r w:rsidRPr="000C6847">
        <w:t>February 2016</w:t>
      </w:r>
      <w:r>
        <w:t>, p. 24.</w:t>
      </w:r>
    </w:p>
  </w:footnote>
  <w:footnote w:id="933">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xml:space="preserve">, December 2013, pp. 8–9. Also see </w:t>
      </w:r>
      <w:r w:rsidRPr="00A03CB7">
        <w:t xml:space="preserve">Partington &amp; Satchell, </w:t>
      </w:r>
      <w:r w:rsidRPr="00A03CB7">
        <w:rPr>
          <w:rStyle w:val="AERtextitalic"/>
        </w:rPr>
        <w:t>Report to the AER: Analysis of criticism of 2015 determinations</w:t>
      </w:r>
      <w:r w:rsidRPr="00A03CB7">
        <w:t>, October 2015, p. 43.</w:t>
      </w:r>
    </w:p>
  </w:footnote>
  <w:footnote w:id="934">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935">
    <w:p w:rsidR="006345FD" w:rsidRDefault="006345FD" w:rsidP="00DB0499">
      <w:pPr>
        <w:pStyle w:val="FootnoteText"/>
      </w:pPr>
      <w:r>
        <w:rPr>
          <w:rStyle w:val="FootnoteReference"/>
        </w:rPr>
        <w:footnoteRef/>
      </w:r>
      <w:r>
        <w:t xml:space="preserve"> </w:t>
      </w:r>
      <w:r>
        <w:tab/>
        <w:t xml:space="preserve">Frontier Economics, </w:t>
      </w:r>
      <w:r w:rsidRPr="00F85858">
        <w:rPr>
          <w:rStyle w:val="AERtextitalic"/>
        </w:rPr>
        <w:t>The relationship between government bond yields and the market risk premium</w:t>
      </w:r>
      <w:r>
        <w:t>, January 2016, p. 39.</w:t>
      </w:r>
    </w:p>
  </w:footnote>
  <w:footnote w:id="936">
    <w:p w:rsidR="006345FD" w:rsidRDefault="006345FD" w:rsidP="00DB0499">
      <w:pPr>
        <w:pStyle w:val="FootnoteText"/>
      </w:pPr>
      <w:r>
        <w:rPr>
          <w:rStyle w:val="FootnoteReference"/>
        </w:rPr>
        <w:footnoteRef/>
      </w:r>
      <w:r>
        <w:t xml:space="preserve"> </w:t>
      </w:r>
      <w:r>
        <w:tab/>
        <w:t>While t</w:t>
      </w:r>
      <w:r w:rsidRPr="00A0544B">
        <w:t>he JP Morgan report concerns the United States market</w:t>
      </w:r>
      <w:r>
        <w:t>,</w:t>
      </w:r>
      <w:r w:rsidRPr="00A0544B">
        <w:t xml:space="preserve"> </w:t>
      </w:r>
      <w:r>
        <w:t xml:space="preserve">Frontier referred to the report as providing insights transferrable to an Australian context (Frontier Economics, </w:t>
      </w:r>
      <w:r w:rsidRPr="00E76825">
        <w:rPr>
          <w:rStyle w:val="AERtextitalic"/>
        </w:rPr>
        <w:t>The relationship between government bond yields and the market risk premium</w:t>
      </w:r>
      <w:r>
        <w:t>, January 2016, p. 23).</w:t>
      </w:r>
    </w:p>
  </w:footnote>
  <w:footnote w:id="937">
    <w:p w:rsidR="006345FD" w:rsidRDefault="006345FD" w:rsidP="00DB0499">
      <w:pPr>
        <w:pStyle w:val="FootnoteText"/>
      </w:pPr>
      <w:r>
        <w:rPr>
          <w:rStyle w:val="FootnoteReference"/>
        </w:rPr>
        <w:footnoteRef/>
      </w:r>
      <w:r>
        <w:t xml:space="preserve"> </w:t>
      </w:r>
      <w:r>
        <w:tab/>
        <w:t xml:space="preserve">JP Morgan, </w:t>
      </w:r>
      <w:r w:rsidRPr="00E66299">
        <w:rPr>
          <w:rStyle w:val="Emphasis"/>
        </w:rPr>
        <w:t>Musing on low cost of debt and high risk premia</w:t>
      </w:r>
      <w:r>
        <w:t xml:space="preserve">, April 2012, pp. 2-3. </w:t>
      </w:r>
    </w:p>
  </w:footnote>
  <w:footnote w:id="938">
    <w:p w:rsidR="006345FD" w:rsidRDefault="006345FD" w:rsidP="00DB0499">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939">
    <w:p w:rsidR="006345FD" w:rsidRDefault="006345FD" w:rsidP="00DB0499">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940">
    <w:p w:rsidR="006345FD" w:rsidRDefault="006345FD" w:rsidP="00DB0499">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941">
    <w:p w:rsidR="006345FD" w:rsidRDefault="006345FD" w:rsidP="0014400B">
      <w:pPr>
        <w:pStyle w:val="FootnoteText"/>
      </w:pPr>
      <w:r>
        <w:rPr>
          <w:rStyle w:val="FootnoteReference"/>
        </w:rPr>
        <w:footnoteRef/>
      </w:r>
      <w:r>
        <w:t xml:space="preserve"> </w:t>
      </w:r>
      <w:r>
        <w:tab/>
        <w:t xml:space="preserve">See: AER, </w:t>
      </w:r>
      <w:r w:rsidRPr="00EA536A">
        <w:t>Explanatory statement—Rate of return guideline</w:t>
      </w:r>
      <w:r>
        <w:t>, December 2013, pp. 94 and 97.</w:t>
      </w:r>
    </w:p>
  </w:footnote>
  <w:footnote w:id="942">
    <w:p w:rsidR="006345FD" w:rsidRDefault="006345FD" w:rsidP="0014400B">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943">
    <w:p w:rsidR="006345FD" w:rsidRDefault="006345FD" w:rsidP="0014400B">
      <w:pPr>
        <w:pStyle w:val="FootnoteText"/>
      </w:pPr>
      <w:r>
        <w:rPr>
          <w:rStyle w:val="FootnoteReference"/>
        </w:rPr>
        <w:footnoteRef/>
      </w:r>
      <w:r>
        <w:t xml:space="preserve"> </w:t>
      </w:r>
      <w:r>
        <w:tab/>
        <w:t xml:space="preserve">We note that, during the Guideline development process in 2013,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w:t>
      </w:r>
    </w:p>
  </w:footnote>
  <w:footnote w:id="944">
    <w:p w:rsidR="006345FD" w:rsidRDefault="006345FD" w:rsidP="0014400B">
      <w:pPr>
        <w:pStyle w:val="FootnoteText"/>
      </w:pPr>
      <w:r>
        <w:rPr>
          <w:rStyle w:val="FootnoteReference"/>
        </w:rPr>
        <w:footnoteRef/>
      </w:r>
      <w:r>
        <w:t xml:space="preserve"> </w:t>
      </w:r>
      <w:r>
        <w:tab/>
        <w:t xml:space="preserve">See, </w:t>
      </w:r>
      <w:r>
        <w:fldChar w:fldCharType="begin"/>
      </w:r>
      <w:r>
        <w:instrText xml:space="preserve"> REF _Ref433023909 \h </w:instrText>
      </w:r>
      <w:r>
        <w:fldChar w:fldCharType="separate"/>
      </w:r>
      <w:r w:rsidRPr="00866A7A">
        <w:t xml:space="preserve">Figure </w:t>
      </w:r>
      <w:r>
        <w:rPr>
          <w:noProof/>
        </w:rPr>
        <w:t>3</w:t>
      </w:r>
      <w:r>
        <w:noBreakHyphen/>
      </w:r>
      <w:r>
        <w:rPr>
          <w:noProof/>
        </w:rPr>
        <w:t>7</w:t>
      </w:r>
      <w:r>
        <w:fldChar w:fldCharType="end"/>
      </w:r>
      <w:r>
        <w:t xml:space="preserve">: Implied volatility (VIX) over time; </w:t>
      </w:r>
      <w:r>
        <w:fldChar w:fldCharType="begin"/>
      </w:r>
      <w:r>
        <w:instrText xml:space="preserve"> REF _Ref433023708 \h </w:instrText>
      </w:r>
      <w:r>
        <w:fldChar w:fldCharType="separate"/>
      </w:r>
      <w:r w:rsidRPr="00866A7A">
        <w:t xml:space="preserve">Figure </w:t>
      </w:r>
      <w:r>
        <w:rPr>
          <w:noProof/>
        </w:rPr>
        <w:t>3</w:t>
      </w:r>
      <w:r>
        <w:noBreakHyphen/>
      </w:r>
      <w:r>
        <w:rPr>
          <w:noProof/>
        </w:rPr>
        <w:t>8</w:t>
      </w:r>
      <w:r>
        <w:fldChar w:fldCharType="end"/>
      </w:r>
      <w:r>
        <w:t xml:space="preserve">: Dividends yields; </w:t>
      </w:r>
      <w:r>
        <w:fldChar w:fldCharType="begin"/>
      </w:r>
      <w:r>
        <w:instrText xml:space="preserve"> REF _Ref433023804 \h </w:instrText>
      </w:r>
      <w:r>
        <w:fldChar w:fldCharType="separate"/>
      </w:r>
      <w:r w:rsidRPr="00866A7A">
        <w:t xml:space="preserve">Figure </w:t>
      </w:r>
      <w:r>
        <w:rPr>
          <w:noProof/>
        </w:rPr>
        <w:t>3</w:t>
      </w:r>
      <w:r>
        <w:noBreakHyphen/>
      </w:r>
      <w:r>
        <w:rPr>
          <w:noProof/>
        </w:rPr>
        <w:t>9</w:t>
      </w:r>
      <w:r>
        <w:fldChar w:fldCharType="end"/>
      </w:r>
      <w:r>
        <w:t xml:space="preserve">: Australian bond spreads over government yields. </w:t>
      </w:r>
    </w:p>
  </w:footnote>
  <w:footnote w:id="945">
    <w:p w:rsidR="006345FD" w:rsidRDefault="006345FD" w:rsidP="0014400B">
      <w:pPr>
        <w:pStyle w:val="FootnoteText"/>
      </w:pPr>
      <w:r>
        <w:rPr>
          <w:rStyle w:val="FootnoteReference"/>
        </w:rPr>
        <w:footnoteRef/>
      </w:r>
      <w:r>
        <w:t xml:space="preserve"> </w:t>
      </w:r>
      <w:r>
        <w:tab/>
        <w:t xml:space="preserve">See, </w:t>
      </w:r>
      <w:r>
        <w:fldChar w:fldCharType="begin"/>
      </w:r>
      <w:r>
        <w:instrText xml:space="preserve"> REF _Ref433023841 \h </w:instrText>
      </w:r>
      <w:r>
        <w:fldChar w:fldCharType="separate"/>
      </w:r>
      <w:r w:rsidRPr="00866A7A">
        <w:t xml:space="preserve">Figure </w:t>
      </w:r>
      <w:r>
        <w:rPr>
          <w:noProof/>
        </w:rPr>
        <w:t>3</w:t>
      </w:r>
      <w:r>
        <w:noBreakHyphen/>
      </w:r>
      <w:r>
        <w:rPr>
          <w:noProof/>
        </w:rPr>
        <w:t>10</w:t>
      </w:r>
      <w:r>
        <w:fldChar w:fldCharType="end"/>
      </w:r>
      <w:r>
        <w:t xml:space="preserve">: </w:t>
      </w:r>
      <w:r w:rsidRPr="00866A7A">
        <w:t>State government bond spreads over government yields</w:t>
      </w:r>
      <w:r>
        <w:t xml:space="preserve">; </w:t>
      </w:r>
      <w:r>
        <w:fldChar w:fldCharType="begin"/>
      </w:r>
      <w:r>
        <w:instrText xml:space="preserve"> REF _Ref417589908 \h </w:instrText>
      </w:r>
      <w:r>
        <w:fldChar w:fldCharType="separate"/>
      </w:r>
      <w:r>
        <w:t xml:space="preserve">Figure </w:t>
      </w:r>
      <w:r>
        <w:rPr>
          <w:noProof/>
        </w:rPr>
        <w:t>3</w:t>
      </w:r>
      <w:r>
        <w:noBreakHyphen/>
      </w:r>
      <w:r>
        <w:rPr>
          <w:noProof/>
        </w:rPr>
        <w:t>11</w:t>
      </w:r>
      <w:r>
        <w:fldChar w:fldCharType="end"/>
      </w:r>
      <w:r>
        <w:t xml:space="preserve">: Comparison of equity and debt premiums. </w:t>
      </w:r>
    </w:p>
  </w:footnote>
  <w:footnote w:id="946">
    <w:p w:rsidR="006345FD" w:rsidRDefault="006345FD" w:rsidP="0014400B">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947">
    <w:p w:rsidR="006345FD" w:rsidRDefault="006345FD" w:rsidP="0014400B">
      <w:pPr>
        <w:pStyle w:val="FootnoteText"/>
      </w:pPr>
      <w:r>
        <w:rPr>
          <w:rStyle w:val="FootnoteReference"/>
        </w:rPr>
        <w:footnoteRef/>
      </w:r>
      <w:r>
        <w:t xml:space="preserve"> </w:t>
      </w:r>
      <w:r>
        <w:tab/>
        <w:t xml:space="preserve">This averaging period is from 1 February 2016 to 26 February 2016. </w:t>
      </w:r>
    </w:p>
  </w:footnote>
  <w:footnote w:id="948">
    <w:p w:rsidR="006345FD" w:rsidRDefault="006345FD" w:rsidP="0014400B">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949">
    <w:p w:rsidR="006345FD" w:rsidRDefault="006345FD" w:rsidP="0014400B">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950">
    <w:p w:rsidR="006345FD" w:rsidRDefault="006345FD" w:rsidP="00846DE7">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951">
    <w:p w:rsidR="006345FD" w:rsidRDefault="006345FD" w:rsidP="00846DE7">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 NER, cl. 6A.6.2(c); NGR, r.87(3).</w:t>
      </w:r>
    </w:p>
  </w:footnote>
  <w:footnote w:id="952">
    <w:p w:rsidR="006345FD" w:rsidRDefault="006345FD" w:rsidP="00846DE7">
      <w:pPr>
        <w:pStyle w:val="FootnoteText"/>
      </w:pPr>
      <w:r>
        <w:rPr>
          <w:rStyle w:val="FootnoteReference"/>
        </w:rPr>
        <w:footnoteRef/>
      </w:r>
      <w:r>
        <w:t xml:space="preserve"> </w:t>
      </w:r>
      <w:r>
        <w:tab/>
        <w:t xml:space="preserve">Based on the spread to CGS from our estimation of the cost of debt (based on an average of the RBA's data (on yield to maturity on BBB-rated corporate bonds with a ten year term and the Bloomberg BBB–rated AUD BVAL curve). </w:t>
      </w:r>
    </w:p>
  </w:footnote>
  <w:footnote w:id="953">
    <w:p w:rsidR="006345FD" w:rsidRDefault="006345FD" w:rsidP="00846DE7">
      <w:pPr>
        <w:pStyle w:val="FootnoteText"/>
      </w:pPr>
      <w:r>
        <w:rPr>
          <w:rStyle w:val="FootnoteReference"/>
        </w:rPr>
        <w:footnoteRef/>
      </w:r>
      <w:r>
        <w:t xml:space="preserve"> </w:t>
      </w:r>
      <w:r>
        <w:tab/>
        <w:t xml:space="preserve">Based on a proposed return on equity of 9.89 per cent and a proposed risk free rate of 2.75 per cent (see: CitiPower, </w:t>
      </w:r>
      <w:r w:rsidRPr="006D282A">
        <w:rPr>
          <w:rStyle w:val="AERtextitalic"/>
        </w:rPr>
        <w:t>Re</w:t>
      </w:r>
      <w:r>
        <w:rPr>
          <w:rStyle w:val="AERtextitalic"/>
        </w:rPr>
        <w:t>vised re</w:t>
      </w:r>
      <w:r w:rsidRPr="006D282A">
        <w:rPr>
          <w:rStyle w:val="AERtextitalic"/>
        </w:rPr>
        <w:t xml:space="preserve">gulatory </w:t>
      </w:r>
      <w:r>
        <w:rPr>
          <w:rStyle w:val="AERtextitalic"/>
        </w:rPr>
        <w:t>p</w:t>
      </w:r>
      <w:r w:rsidRPr="006D282A">
        <w:rPr>
          <w:rStyle w:val="AERtextitalic"/>
        </w:rPr>
        <w:t>roposal 2016-2020</w:t>
      </w:r>
      <w:r>
        <w:t>, January 2016, pp. 262).</w:t>
      </w:r>
    </w:p>
  </w:footnote>
  <w:footnote w:id="954">
    <w:p w:rsidR="006345FD" w:rsidRDefault="006345FD" w:rsidP="00846DE7">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955">
    <w:p w:rsidR="006345FD" w:rsidRDefault="006345FD" w:rsidP="00846DE7">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956">
    <w:p w:rsidR="006345FD" w:rsidRDefault="006345FD" w:rsidP="00846DE7">
      <w:pPr>
        <w:pStyle w:val="FootnoteText"/>
      </w:pPr>
      <w:r>
        <w:rPr>
          <w:rStyle w:val="FootnoteReference"/>
        </w:rPr>
        <w:footnoteRef/>
      </w:r>
      <w:r>
        <w:t xml:space="preserve"> </w:t>
      </w:r>
      <w:r>
        <w:tab/>
        <w:t xml:space="preserve">ActewAGL Gas Distribution, </w:t>
      </w:r>
      <w:r w:rsidRPr="00470748">
        <w:rPr>
          <w:rStyle w:val="AERtextitalic"/>
        </w:rPr>
        <w:t>Appendix 8.02: Return on Equity - detailed proposal</w:t>
      </w:r>
      <w:r>
        <w:t>, June 2015, p. 48.</w:t>
      </w:r>
    </w:p>
  </w:footnote>
  <w:footnote w:id="957">
    <w:p w:rsidR="006345FD" w:rsidRDefault="006345FD" w:rsidP="00846DE7">
      <w:pPr>
        <w:pStyle w:val="FootnoteText"/>
      </w:pPr>
      <w:r>
        <w:rPr>
          <w:rStyle w:val="FootnoteReference"/>
        </w:rPr>
        <w:footnoteRef/>
      </w:r>
      <w:r>
        <w:t xml:space="preserve"> </w:t>
      </w:r>
      <w:r>
        <w:tab/>
      </w:r>
      <w:r w:rsidRPr="00273F0E">
        <w:t xml:space="preserve">AER, </w:t>
      </w:r>
      <w:r>
        <w:rPr>
          <w:rStyle w:val="Emphasis"/>
        </w:rPr>
        <w:t>Better Regulation: Explana</w:t>
      </w:r>
      <w:r w:rsidRPr="00273F0E">
        <w:rPr>
          <w:rStyle w:val="Emphasis"/>
        </w:rPr>
        <w:t>t</w:t>
      </w:r>
      <w:r>
        <w:rPr>
          <w:rStyle w:val="Emphasis"/>
        </w:rPr>
        <w:t>o</w:t>
      </w:r>
      <w:r w:rsidRPr="00273F0E">
        <w:rPr>
          <w:rStyle w:val="Emphasis"/>
        </w:rPr>
        <w:t>ry Statement: Rate of return guideline (appendic</w:t>
      </w:r>
      <w:r>
        <w:rPr>
          <w:rStyle w:val="Emphasis"/>
        </w:rPr>
        <w:t>e</w:t>
      </w:r>
      <w:r w:rsidRPr="00273F0E">
        <w:rPr>
          <w:rStyle w:val="Emphasis"/>
        </w:rPr>
        <w:t>s)</w:t>
      </w:r>
      <w:r w:rsidRPr="00273F0E">
        <w:t xml:space="preserve">, December 2013, pp. 46–48;  AER, </w:t>
      </w:r>
      <w:r w:rsidRPr="00273F0E">
        <w:rPr>
          <w:rStyle w:val="Emphasis"/>
        </w:rPr>
        <w:t>Preliminary decision: CitiPower determination 2016 to 2020, Attachment 3–Rate of return</w:t>
      </w:r>
      <w:r w:rsidRPr="00273F0E">
        <w:t xml:space="preserve">,  October 2015, pp. 96–99; AER, </w:t>
      </w:r>
      <w:r w:rsidRPr="00273F0E">
        <w:rPr>
          <w:rStyle w:val="AERtextitalic"/>
        </w:rPr>
        <w:t>Powercor Preliminary Decision - Attachment 3: Rate of Return</w:t>
      </w:r>
      <w:r w:rsidRPr="00273F0E">
        <w:t xml:space="preserve">, October 2015, pp. 96–100; AER, </w:t>
      </w:r>
      <w:r w:rsidRPr="00273F0E">
        <w:rPr>
          <w:rStyle w:val="Emphasis"/>
        </w:rPr>
        <w:t>Draft decision ActewAGL distribution determination 2016 to 2021: Attachment 3 – Rate of return</w:t>
      </w:r>
      <w:r w:rsidRPr="00273F0E">
        <w:t xml:space="preserve">, November 2015, pp. 97–98; AER, </w:t>
      </w:r>
      <w:r w:rsidRPr="00273F0E">
        <w:rPr>
          <w:rStyle w:val="Emphasis"/>
        </w:rPr>
        <w:t>Preliminary decision United Energy determination 2016 to 2020: Attachment 3 – Rate of return</w:t>
      </w:r>
      <w:r w:rsidRPr="00273F0E">
        <w:t xml:space="preserve">, October 2015, pp. 94–99; AER, </w:t>
      </w:r>
      <w:r w:rsidRPr="00273F0E">
        <w:rPr>
          <w:rStyle w:val="Emphasis"/>
        </w:rPr>
        <w:t>Draft decision Australian Gas Networks Access Arrangement 2016 to 2021: Attachment 3 – Rate of return</w:t>
      </w:r>
      <w:r w:rsidRPr="00273F0E">
        <w:t xml:space="preserve">, November 2015, pp. 96–100; AER, </w:t>
      </w:r>
      <w:r w:rsidRPr="00273F0E">
        <w:rPr>
          <w:rStyle w:val="Emphasis"/>
        </w:rPr>
        <w:t>Preliminary decision Jemena distribution determination 2016 to 2020: Attachment 3–Rate of return</w:t>
      </w:r>
      <w:r w:rsidRPr="00273F0E">
        <w:t>, October 2015, pp. 94–98; AER</w:t>
      </w:r>
      <w:r w:rsidRPr="00273F0E">
        <w:rPr>
          <w:rStyle w:val="Emphasis"/>
        </w:rPr>
        <w:t>, Preliminary decision AusNet Services determination 2016 to 2020: Attachment 3–Rate of return</w:t>
      </w:r>
      <w:r w:rsidRPr="00273F0E">
        <w:t>, October 2015, pp. 94–98</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97–100.</w:t>
      </w:r>
      <w:r w:rsidRPr="00EA690D" w:rsidDel="00273F0E">
        <w:t xml:space="preserve"> </w:t>
      </w:r>
      <w:r>
        <w:t>.</w:t>
      </w:r>
    </w:p>
  </w:footnote>
  <w:footnote w:id="958">
    <w:p w:rsidR="006345FD" w:rsidRDefault="006345FD" w:rsidP="00846DE7">
      <w:pPr>
        <w:pStyle w:val="FootnoteText"/>
      </w:pPr>
      <w:r>
        <w:rPr>
          <w:rStyle w:val="FootnoteReference"/>
        </w:rPr>
        <w:footnoteRef/>
      </w:r>
      <w:r>
        <w:t xml:space="preserve"> </w:t>
      </w:r>
      <w:r>
        <w:tab/>
        <w:t xml:space="preserve">Partington, </w:t>
      </w:r>
      <w:r w:rsidRPr="00D325AA">
        <w:rPr>
          <w:rStyle w:val="Emphasis"/>
        </w:rPr>
        <w:t>Report to the AER: Return on Equity (updated),</w:t>
      </w:r>
      <w:r>
        <w:t xml:space="preserve"> April 2015, p. 72.</w:t>
      </w:r>
    </w:p>
  </w:footnote>
  <w:footnote w:id="959">
    <w:p w:rsidR="006345FD" w:rsidRDefault="006345FD" w:rsidP="00445C3E">
      <w:pPr>
        <w:pStyle w:val="FootnoteText"/>
      </w:pPr>
      <w:r>
        <w:rPr>
          <w:rStyle w:val="FootnoteReference"/>
        </w:rPr>
        <w:footnoteRef/>
      </w:r>
      <w:r>
        <w:t xml:space="preserve"> </w:t>
      </w:r>
      <w:r>
        <w:tab/>
        <w:t xml:space="preserve">Note that the valuation reports show there is a general consensus among valuers on the estimation methods for the risk free rate. Valuers typically estimate the risk free rate as the current yield to maturity on long term (10 year) Australian government securities. We acknowledge that there is some evidence suggesting that there is a tendency for valuers to adopt risk free rates exceeding the yields on Australian government securities when these yields are low, but we consider this practice to be neither widespread nor persistent (see section </w:t>
      </w:r>
      <w:r>
        <w:fldChar w:fldCharType="begin"/>
      </w:r>
      <w:r>
        <w:instrText xml:space="preserve"> REF _Ref445933050 \r \h </w:instrText>
      </w:r>
      <w:r>
        <w:fldChar w:fldCharType="separate"/>
      </w:r>
      <w:r>
        <w:t>F.5</w:t>
      </w:r>
      <w:r>
        <w:fldChar w:fldCharType="end"/>
      </w:r>
      <w:r>
        <w:t xml:space="preserve"> for more detail). Therefore, we do not consider that removing the risk free rate and examining the equity risk premium will bias the results.</w:t>
      </w:r>
    </w:p>
  </w:footnote>
  <w:footnote w:id="960">
    <w:p w:rsidR="006345FD" w:rsidRDefault="006345FD" w:rsidP="00445C3E">
      <w:pPr>
        <w:pStyle w:val="FootnoteText"/>
      </w:pPr>
      <w:r>
        <w:rPr>
          <w:rStyle w:val="FootnoteReference"/>
        </w:rPr>
        <w:footnoteRef/>
      </w:r>
      <w:r>
        <w:t xml:space="preserve"> </w:t>
      </w:r>
      <w:r>
        <w:tab/>
        <w:t xml:space="preserve">CitiPower, </w:t>
      </w:r>
      <w:r w:rsidRPr="00C31257">
        <w:rPr>
          <w:rStyle w:val="AERtextitalic"/>
        </w:rPr>
        <w:t>Revised regulatory proposal 2016–2020</w:t>
      </w:r>
      <w:r>
        <w:t xml:space="preserve">, pp. 321; Powercor, </w:t>
      </w:r>
      <w:r w:rsidRPr="00C31257">
        <w:rPr>
          <w:rStyle w:val="AERtextitalic"/>
        </w:rPr>
        <w:t>Revised regulatory proposal 2016–2020</w:t>
      </w:r>
      <w:r>
        <w:t xml:space="preserve">, pp. 315; </w:t>
      </w:r>
      <w:r w:rsidRPr="003A546F">
        <w:t xml:space="preserve">JEN (Vic), </w:t>
      </w:r>
      <w:r w:rsidRPr="003A546F">
        <w:rPr>
          <w:rStyle w:val="Emphasis"/>
        </w:rPr>
        <w:t>2016–20 Electricity distribution price review regulatory proposal revocation and substitution submission: Attachment 6–1 Rate of return, gamma, forecast inflation, and debt and equity raising costs,</w:t>
      </w:r>
      <w:r w:rsidRPr="003A546F">
        <w:t xml:space="preserve"> 6 January 2016, p.</w:t>
      </w:r>
      <w:r>
        <w:t xml:space="preserve"> 80; </w:t>
      </w:r>
      <w:r w:rsidRPr="00EE7507">
        <w:t xml:space="preserve">AusNet Services, </w:t>
      </w:r>
      <w:r w:rsidRPr="00EE7507">
        <w:rPr>
          <w:rStyle w:val="Emphasis"/>
        </w:rPr>
        <w:t>Electricity distribution price review 2016–20 Revised regulatory proposal: Chapter 7 Rate of return &amp; gamma</w:t>
      </w:r>
      <w:r w:rsidRPr="00EE7507">
        <w:t>, 6 January 2016, pp.</w:t>
      </w:r>
      <w:r>
        <w:t xml:space="preserve"> 74–75, United Energy, </w:t>
      </w:r>
      <w:r w:rsidRPr="0047165F">
        <w:rPr>
          <w:rStyle w:val="AERtextitalic"/>
        </w:rPr>
        <w:t>Response to AER Preliminary Determination Re: Rate of return and gamma</w:t>
      </w:r>
      <w:r>
        <w:t xml:space="preserve">, January 2016, p. 75; </w:t>
      </w:r>
      <w:r w:rsidRPr="003203B3">
        <w:t xml:space="preserve">ActewAGL, </w:t>
      </w:r>
      <w:r w:rsidRPr="003203B3">
        <w:rPr>
          <w:rStyle w:val="Emphasis"/>
        </w:rPr>
        <w:t>Revised 2016–21 access arrangement proposal Response to the AER's draft decision, Appendix 5.01 Detailed response to rate of return, gamma and inflation</w:t>
      </w:r>
      <w:r w:rsidRPr="003203B3">
        <w:t>, January 2016, p.</w:t>
      </w:r>
      <w:r>
        <w:t xml:space="preserve"> 101; </w:t>
      </w:r>
      <w:r w:rsidRPr="00D33284">
        <w:t xml:space="preserve">AGN, </w:t>
      </w:r>
      <w:r w:rsidRPr="00D33284">
        <w:rPr>
          <w:rStyle w:val="Emphasis"/>
        </w:rPr>
        <w:t>2016–17 to 2020/21 Access Arrangement information response to draft decision: Attachment 10.26 Response to draft decision: rate of return</w:t>
      </w:r>
      <w:r w:rsidRPr="00D33284">
        <w:t xml:space="preserve">, January 2016, pp. </w:t>
      </w:r>
      <w:r>
        <w:t>78–79.</w:t>
      </w:r>
    </w:p>
  </w:footnote>
  <w:footnote w:id="961">
    <w:p w:rsidR="006345FD" w:rsidRDefault="006345FD" w:rsidP="00445C3E">
      <w:pPr>
        <w:pStyle w:val="FootnoteText"/>
      </w:pPr>
      <w:r>
        <w:rPr>
          <w:rStyle w:val="FootnoteReference"/>
        </w:rPr>
        <w:footnoteRef/>
      </w:r>
      <w:r>
        <w:t xml:space="preserve"> </w:t>
      </w:r>
      <w:r>
        <w:tab/>
        <w:t xml:space="preserve">McKenzie and Partington, </w:t>
      </w:r>
      <w:r w:rsidRPr="008253E6">
        <w:rPr>
          <w:rStyle w:val="AERtextitalic"/>
        </w:rPr>
        <w:t>Report to the AER: Part A: Return on Equity</w:t>
      </w:r>
      <w:r>
        <w:t>, October 2014, p. 46.</w:t>
      </w:r>
    </w:p>
  </w:footnote>
  <w:footnote w:id="962">
    <w:p w:rsidR="006345FD" w:rsidRDefault="006345FD" w:rsidP="007B1C84">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Fernandez, Ortiz, Acín, </w:t>
      </w:r>
      <w:r w:rsidRPr="00280362">
        <w:rPr>
          <w:rStyle w:val="AERtextitalic"/>
        </w:rPr>
        <w:t>Discount rate (risk-free rate and market risk premium) used for 41 countries in 2015: a survey</w:t>
      </w:r>
      <w:r>
        <w:t xml:space="preserve">, April 2015; </w:t>
      </w:r>
      <w:r w:rsidRPr="003D3E0E">
        <w:t xml:space="preserve">Asher and Hickling, </w:t>
      </w:r>
      <w:r>
        <w:rPr>
          <w:rStyle w:val="AERtextitalic"/>
        </w:rPr>
        <w:t>Equity Risk Premium Survey 2014</w:t>
      </w:r>
      <w:r w:rsidRPr="003D3E0E">
        <w:t>, Actuar</w:t>
      </w:r>
      <w:r>
        <w:t xml:space="preserve">ies Institute, April 2015;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footnote>
  <w:footnote w:id="963">
    <w:p w:rsidR="006345FD" w:rsidRDefault="006345FD" w:rsidP="007B1C84">
      <w:pPr>
        <w:pStyle w:val="FootnoteText"/>
      </w:pPr>
      <w:r>
        <w:rPr>
          <w:rStyle w:val="FootnoteReference"/>
        </w:rPr>
        <w:footnoteRef/>
      </w:r>
      <w:r>
        <w:t xml:space="preserve"> </w:t>
      </w:r>
      <w:r>
        <w:tab/>
        <w:t xml:space="preserve">As noted in: </w:t>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964">
    <w:p w:rsidR="006345FD" w:rsidRDefault="006345FD" w:rsidP="007B1C84">
      <w:pPr>
        <w:pStyle w:val="FootnoteText"/>
      </w:pPr>
      <w:r>
        <w:rPr>
          <w:rStyle w:val="FootnoteReference"/>
        </w:rPr>
        <w:footnoteRef/>
      </w:r>
      <w:r>
        <w:t xml:space="preserve"> </w:t>
      </w:r>
      <w:r>
        <w:tab/>
        <w:t xml:space="preserve">The KPMG valuation practices surveys do not clearly state the time period over which the survey was made. Fernandez, Ortiz, Acín, </w:t>
      </w:r>
      <w:r w:rsidRPr="00280362">
        <w:rPr>
          <w:rStyle w:val="AERtextitalic"/>
        </w:rPr>
        <w:t>Discount rate (risk-free rate and market risk premium) used for 41 countries in 2015: a survey</w:t>
      </w:r>
      <w:r>
        <w:t xml:space="preserve">, April 2015, p. 2;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65">
    <w:p w:rsidR="006345FD" w:rsidRDefault="006345FD" w:rsidP="007B1C84">
      <w:pPr>
        <w:pStyle w:val="FootnoteText"/>
      </w:pPr>
      <w:r>
        <w:rPr>
          <w:rStyle w:val="FootnoteReference"/>
        </w:rPr>
        <w:footnoteRef/>
      </w:r>
      <w:r>
        <w:t xml:space="preserve"> </w:t>
      </w:r>
      <w:r>
        <w:tab/>
        <w:t xml:space="preserve">KPMG, </w:t>
      </w:r>
      <w:r w:rsidRPr="00280362">
        <w:rPr>
          <w:rStyle w:val="AERtextitalic"/>
        </w:rPr>
        <w:t>Australian valuation practices survey 2015</w:t>
      </w:r>
      <w:r>
        <w:t xml:space="preserve">, May 2015, p. 2; Fernandez, Ortiz, Acín, </w:t>
      </w:r>
      <w:r w:rsidRPr="00280362">
        <w:rPr>
          <w:rStyle w:val="AERtextitalic"/>
        </w:rPr>
        <w:t>Discount rate (risk-free rate and market risk premium) used for 41 countries in 2015: a survey</w:t>
      </w:r>
      <w:r>
        <w:t xml:space="preserve">, April 2015, p. 3; </w:t>
      </w:r>
      <w:r w:rsidRPr="003D3E0E">
        <w:t xml:space="preserve">Asher and Hickling, </w:t>
      </w:r>
      <w:r>
        <w:rPr>
          <w:rStyle w:val="AERtextitalic"/>
        </w:rPr>
        <w:t>Equity Risk Premium Survey 2014</w:t>
      </w:r>
      <w:r w:rsidRPr="003D3E0E">
        <w:t>, Actuar</w:t>
      </w:r>
      <w:r>
        <w:t xml:space="preserve">ies Institute, April 2015, p. 1;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p>
  </w:footnote>
  <w:footnote w:id="966">
    <w:p w:rsidR="006345FD" w:rsidRDefault="006345FD" w:rsidP="007B1C84">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967">
    <w:p w:rsidR="006345FD" w:rsidRDefault="006345FD" w:rsidP="007B1C84">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968">
    <w:p w:rsidR="006345FD" w:rsidRDefault="006345FD" w:rsidP="007B1C84">
      <w:pPr>
        <w:pStyle w:val="FootnoteText"/>
      </w:pPr>
      <w:r>
        <w:rPr>
          <w:rStyle w:val="FootnoteReference"/>
        </w:rPr>
        <w:footnoteRef/>
      </w:r>
      <w:r>
        <w:t xml:space="preserve"> </w:t>
      </w:r>
      <w:r>
        <w:tab/>
        <w:t>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xml:space="preserve">, February 2015, p. 26. Also, in a subsequent 2015 report for JGN, SFG submitted that survey evidence reflects historical information because the surveys we consider 'almost invariably' report an MRP of 6.0 per cent (see: SFG, </w:t>
      </w:r>
      <w:r w:rsidRPr="00DC6F79">
        <w:rPr>
          <w:rStyle w:val="AERtextitalic"/>
        </w:rPr>
        <w:t>Cost of equity: Update for Jemena G</w:t>
      </w:r>
      <w:r>
        <w:rPr>
          <w:rStyle w:val="AERtextitalic"/>
        </w:rPr>
        <w:t>as Networks' averaging period —</w:t>
      </w:r>
      <w:r w:rsidRPr="00DC6F79">
        <w:rPr>
          <w:rStyle w:val="AERtextitalic"/>
        </w:rPr>
        <w:t>19 January to 16 February 2015</w:t>
      </w:r>
      <w:r>
        <w:t xml:space="preserve">, 27 March 2015, p. 7). </w:t>
      </w:r>
    </w:p>
  </w:footnote>
  <w:footnote w:id="969">
    <w:p w:rsidR="006345FD" w:rsidRDefault="006345FD" w:rsidP="007B1C84">
      <w:pPr>
        <w:pStyle w:val="FootnoteText"/>
      </w:pPr>
      <w:r>
        <w:rPr>
          <w:rStyle w:val="FootnoteReference"/>
        </w:rPr>
        <w:footnoteRef/>
      </w:r>
      <w:r>
        <w:t xml:space="preserve"> </w:t>
      </w:r>
      <w:r>
        <w:tab/>
        <w:t xml:space="preserve">See, for example, </w:t>
      </w:r>
      <w:r w:rsidRPr="001C7307">
        <w:t>AusNet</w:t>
      </w:r>
      <w:r>
        <w:t xml:space="preserve"> Services</w:t>
      </w:r>
      <w:r w:rsidRPr="001C7307">
        <w:t xml:space="preserve">, </w:t>
      </w:r>
      <w:r>
        <w:rPr>
          <w:rStyle w:val="AERtextitalic"/>
        </w:rPr>
        <w:t>Regulatory proposal</w:t>
      </w:r>
      <w:r w:rsidRPr="001C7307">
        <w:t>, 30 April 2015</w:t>
      </w:r>
      <w:r>
        <w:t xml:space="preserve">, p. 324; </w:t>
      </w:r>
      <w:r w:rsidRPr="001C7307">
        <w:t xml:space="preserve">United Energy, </w:t>
      </w:r>
      <w:r>
        <w:rPr>
          <w:rStyle w:val="AERtextitalic"/>
        </w:rPr>
        <w:t>R</w:t>
      </w:r>
      <w:r w:rsidRPr="001C7307">
        <w:rPr>
          <w:rStyle w:val="AERtextitalic"/>
        </w:rPr>
        <w:t>egulatory proposal: Attachment—Return on equity</w:t>
      </w:r>
      <w:r w:rsidRPr="001C7307">
        <w:t>, April 2015</w:t>
      </w:r>
      <w:r>
        <w:t>, section 2.7.7.3; Jemena Electricity Networks,</w:t>
      </w:r>
      <w:r w:rsidRPr="001C7307">
        <w:t xml:space="preserve"> </w:t>
      </w:r>
      <w:r>
        <w:rPr>
          <w:rStyle w:val="AERtextitalic"/>
        </w:rPr>
        <w:t>Regulatory proposal</w:t>
      </w:r>
      <w:r w:rsidRPr="001C7307">
        <w:rPr>
          <w:rStyle w:val="AERtextitalic"/>
        </w:rPr>
        <w:t>: Attachment 9-2—Rate of return proposal,</w:t>
      </w:r>
      <w:r w:rsidRPr="001C7307">
        <w:t xml:space="preserve"> April 2015</w:t>
      </w:r>
      <w:r>
        <w:t xml:space="preserve">, p. 75; </w:t>
      </w:r>
      <w:r w:rsidRPr="00C852A1">
        <w:t xml:space="preserve">Federal Court of Australia (PA Keane Chief Justice), </w:t>
      </w:r>
      <w:r w:rsidRPr="00C852A1">
        <w:rPr>
          <w:rStyle w:val="AERtextitalic"/>
        </w:rPr>
        <w:t>Practice note CM 13: Survey evidence</w:t>
      </w:r>
      <w:r w:rsidRPr="00C852A1">
        <w:t>, 1 August 2011</w:t>
      </w:r>
      <w:r>
        <w:t>.</w:t>
      </w:r>
    </w:p>
  </w:footnote>
  <w:footnote w:id="970">
    <w:p w:rsidR="006345FD" w:rsidRDefault="006345FD" w:rsidP="001823A6">
      <w:pPr>
        <w:pStyle w:val="FootnoteText"/>
      </w:pPr>
      <w:r>
        <w:rPr>
          <w:rStyle w:val="FootnoteReference"/>
        </w:rPr>
        <w:footnoteRef/>
      </w:r>
      <w:r>
        <w:t xml:space="preserve"> </w:t>
      </w:r>
      <w:r>
        <w:tab/>
        <w:t xml:space="preserve">The ranges given in </w:t>
      </w:r>
      <w:r>
        <w:fldChar w:fldCharType="begin"/>
      </w:r>
      <w:r>
        <w:instrText xml:space="preserve"> REF _Ref443644282 \h </w:instrText>
      </w:r>
      <w:r>
        <w:fldChar w:fldCharType="separate"/>
      </w:r>
      <w:r>
        <w:t xml:space="preserve">Table </w:t>
      </w:r>
      <w:r>
        <w:rPr>
          <w:noProof/>
        </w:rPr>
        <w:t>3</w:t>
      </w:r>
      <w:r>
        <w:noBreakHyphen/>
      </w:r>
      <w:r>
        <w:rPr>
          <w:noProof/>
        </w:rPr>
        <w:t>34</w:t>
      </w:r>
      <w:r>
        <w:fldChar w:fldCharType="end"/>
      </w:r>
      <w:r>
        <w:t xml:space="preserve"> capture the most recent report from each broker on each of the stated companies in this time period.</w:t>
      </w:r>
    </w:p>
  </w:footnote>
  <w:footnote w:id="971">
    <w:p w:rsidR="006345FD" w:rsidRDefault="006345FD" w:rsidP="001823A6">
      <w:pPr>
        <w:pStyle w:val="FootnoteText"/>
      </w:pPr>
      <w:r>
        <w:rPr>
          <w:rStyle w:val="FootnoteReference"/>
        </w:rPr>
        <w:footnoteRef/>
      </w:r>
      <w:r>
        <w:t xml:space="preserve"> </w:t>
      </w:r>
      <w:r>
        <w:tab/>
      </w:r>
      <w:r w:rsidRPr="000D589B">
        <w:t xml:space="preserve">We note that the correction of a small number of errors in Incenta Economic Consulting’s analysis </w:t>
      </w:r>
      <w:r>
        <w:t xml:space="preserve">of valuation reports </w:t>
      </w:r>
      <w:r w:rsidRPr="000D589B">
        <w:t xml:space="preserve">resulted in material </w:t>
      </w:r>
      <w:r>
        <w:t>changes to its results</w:t>
      </w:r>
      <w:r w:rsidRPr="000D589B">
        <w:t>.</w:t>
      </w:r>
      <w:r>
        <w:t xml:space="preserve"> See: Incenta Economic Consulting, </w:t>
      </w:r>
      <w:r w:rsidRPr="002131E4">
        <w:rPr>
          <w:rStyle w:val="AERtextitalic"/>
        </w:rPr>
        <w:t>Addendum to report titled 'Update on evidence on the required return on equity from independent expert reports'</w:t>
      </w:r>
      <w:r>
        <w:t>, 20 August 2014, p. 1.</w:t>
      </w:r>
    </w:p>
  </w:footnote>
  <w:footnote w:id="972">
    <w:p w:rsidR="006345FD" w:rsidRDefault="006345FD" w:rsidP="001823A6">
      <w:pPr>
        <w:pStyle w:val="FootnoteText"/>
      </w:pPr>
      <w:r>
        <w:rPr>
          <w:rStyle w:val="FootnoteReference"/>
        </w:rPr>
        <w:footnoteRef/>
      </w:r>
      <w:r>
        <w:t xml:space="preserve"> </w:t>
      </w:r>
      <w:r>
        <w:tab/>
        <w:t xml:space="preserve">The Thomson Reuters' Connect 4 database contains reports going back to 1991, but contains no reports between 1991 and 1998 for comparable electricity or gas network businesses. A list of the reports assessed in this report can be found in Table 3-20 of AER, </w:t>
      </w:r>
      <w:r w:rsidRPr="00B1506F">
        <w:rPr>
          <w:rStyle w:val="AERtextitalic"/>
        </w:rPr>
        <w:t>Draft Decision: TransGrid transmission determination</w:t>
      </w:r>
      <w:r>
        <w:t>, 2015–16 to 2017–18, Attachment 3–Rate of return, November 2014.</w:t>
      </w:r>
    </w:p>
  </w:footnote>
  <w:footnote w:id="973">
    <w:p w:rsidR="006345FD" w:rsidRDefault="006345FD" w:rsidP="001823A6">
      <w:pPr>
        <w:pStyle w:val="FootnoteText"/>
      </w:pPr>
      <w:r>
        <w:rPr>
          <w:rStyle w:val="FootnoteReference"/>
        </w:rPr>
        <w:footnoteRef/>
      </w:r>
      <w:r>
        <w:t xml:space="preserve"> </w:t>
      </w:r>
      <w:r>
        <w:tab/>
      </w:r>
      <w:r w:rsidRPr="00273F0E">
        <w:t>See Appendix E.6. 'Return on equity estimates from other practitioners' in the October and November 2015 decisions for more detail.</w:t>
      </w:r>
    </w:p>
  </w:footnote>
  <w:footnote w:id="974">
    <w:p w:rsidR="006345FD" w:rsidRDefault="006345FD" w:rsidP="001823A6">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975">
    <w:p w:rsidR="006345FD" w:rsidRDefault="006345FD" w:rsidP="001823A6">
      <w:pPr>
        <w:pStyle w:val="FootnoteText"/>
      </w:pPr>
      <w:r>
        <w:rPr>
          <w:rStyle w:val="FootnoteReference"/>
        </w:rPr>
        <w:footnoteRef/>
      </w:r>
      <w:r>
        <w:t xml:space="preserve"> </w:t>
      </w:r>
      <w:r>
        <w:tab/>
      </w:r>
      <w:r w:rsidRPr="00A532F6">
        <w:t xml:space="preserve">Grant Samuel's submission in response to our November 2014 decisions provided some clarification about its use of uplifts and dividend imputation in its Envestra valuation report. However, we considered that this clarification did not </w:t>
      </w:r>
      <w:r>
        <w:t>affect</w:t>
      </w:r>
      <w:r w:rsidRPr="00A532F6">
        <w:t xml:space="preserve"> the fundamental premise of our concerns and hence did not support a change to our approach (for more detail, see sections E.3 and E.6 of Attachment 3 to CitiPower's draft decision). In its revised proposal, CitiPower submitted that our consideration of both imputation-adjusted estimates and unadjusted estimates is illogical given Grant Samuel's submission</w:t>
      </w:r>
      <w:r>
        <w:t xml:space="preserve"> [</w:t>
      </w:r>
      <w:r w:rsidRPr="00A532F6">
        <w:t xml:space="preserve">CitiPower, </w:t>
      </w:r>
      <w:r w:rsidRPr="00A532F6">
        <w:rPr>
          <w:rStyle w:val="AERtextitalic"/>
        </w:rPr>
        <w:t>Revised regulatory proposal 2016–2020</w:t>
      </w:r>
      <w:r w:rsidRPr="00A532F6">
        <w:t>, pp. 320</w:t>
      </w:r>
      <w:r>
        <w:t>]</w:t>
      </w:r>
      <w:r w:rsidRPr="00A532F6">
        <w:t>.</w:t>
      </w:r>
      <w:r>
        <w:t xml:space="preserve"> CitiPower provided no additional information about Grant Samuel's Envestra valuation report and hence our consideration of it is unchanged.</w:t>
      </w:r>
    </w:p>
  </w:footnote>
  <w:footnote w:id="976">
    <w:p w:rsidR="006345FD" w:rsidRDefault="006345FD" w:rsidP="001823A6">
      <w:pPr>
        <w:pStyle w:val="FootnoteText"/>
      </w:pPr>
      <w:r>
        <w:rPr>
          <w:rStyle w:val="FootnoteReference"/>
        </w:rPr>
        <w:footnoteRef/>
      </w:r>
      <w:r>
        <w:t xml:space="preserve"> </w:t>
      </w:r>
      <w:r>
        <w:tab/>
      </w:r>
      <w:r w:rsidRPr="00273F0E">
        <w:t xml:space="preserve">CitiPower, </w:t>
      </w:r>
      <w:r w:rsidRPr="00273F0E">
        <w:rPr>
          <w:rStyle w:val="AERtextitalic"/>
        </w:rPr>
        <w:t>Revised regulatory proposal 2016–2020</w:t>
      </w:r>
      <w:r w:rsidRPr="00273F0E">
        <w:t xml:space="preserve">, pp. 317–318; Powercor, </w:t>
      </w:r>
      <w:r w:rsidRPr="00273F0E">
        <w:rPr>
          <w:rStyle w:val="AERtextitalic"/>
        </w:rPr>
        <w:t>Revised regulatory proposal 2016–2020</w:t>
      </w:r>
      <w:r w:rsidRPr="00273F0E">
        <w:t xml:space="preserve">, pp. 311–312; ActewAGL, </w:t>
      </w:r>
      <w:r w:rsidRPr="00273F0E">
        <w:rPr>
          <w:rStyle w:val="Emphasis"/>
        </w:rPr>
        <w:t>Revised 2016–21 access arrangement proposal Response to the AER's draft decision, Appendix 5.01 Detailed response to rate of return, gamma and inflation</w:t>
      </w:r>
      <w:r w:rsidRPr="00273F0E">
        <w:t xml:space="preserve">, January 2016, pp. 96–98; United Energy, </w:t>
      </w:r>
      <w:r w:rsidRPr="00273F0E">
        <w:rPr>
          <w:rStyle w:val="Emphasis"/>
        </w:rPr>
        <w:t>Response to AER preliminary determination–Re: rate of return and gamma</w:t>
      </w:r>
      <w:r w:rsidRPr="00273F0E">
        <w:t xml:space="preserve">, 6 January 2016, pp.71–72; AGN, </w:t>
      </w:r>
      <w:r w:rsidRPr="00273F0E">
        <w:rPr>
          <w:rStyle w:val="Emphasis"/>
        </w:rPr>
        <w:t>2016–17 to 2020/21 Access Arrangement information response to draft decision: Attachment 10.26 Response to draft decision: rate of return</w:t>
      </w:r>
      <w:r w:rsidRPr="00273F0E">
        <w:t xml:space="preserve">, January 2016, pp. 75–76; AusNet Services, </w:t>
      </w:r>
      <w:r w:rsidRPr="00273F0E">
        <w:rPr>
          <w:rStyle w:val="Emphasis"/>
        </w:rPr>
        <w:t>Electricity distribution price review 2016–20 Revised regulatory proposal: Chapter 7 Rate of return &amp; gamma</w:t>
      </w:r>
      <w:r w:rsidRPr="00273F0E">
        <w:t>, 6 January 2016, pp. 70–72</w:t>
      </w:r>
    </w:p>
  </w:footnote>
  <w:footnote w:id="977">
    <w:p w:rsidR="006345FD" w:rsidRDefault="006345FD" w:rsidP="001823A6">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ESCOSA, SA Water Regulatory Determination 2016 - Draft Determination: Statement of Reasons, February 2016</w:t>
      </w:r>
      <w:r>
        <w:t xml:space="preserve">; </w:t>
      </w:r>
      <w:r w:rsidRPr="00904748">
        <w:t>Essential Services Commission of Victoria, Goulburn-Murray Water Price Review 2016: Draft decision, February 2016</w:t>
      </w:r>
      <w:r>
        <w:t>.</w:t>
      </w:r>
    </w:p>
  </w:footnote>
  <w:footnote w:id="978">
    <w:p w:rsidR="006345FD" w:rsidRDefault="006345FD" w:rsidP="001823A6">
      <w:pPr>
        <w:pStyle w:val="FootnoteText"/>
      </w:pPr>
      <w:r>
        <w:rPr>
          <w:rStyle w:val="FootnoteReference"/>
        </w:rPr>
        <w:footnoteRef/>
      </w:r>
      <w:r>
        <w:t xml:space="preserve"> </w:t>
      </w:r>
      <w:r>
        <w:tab/>
        <w:t>Our</w:t>
      </w:r>
      <w:r w:rsidRPr="004A024B">
        <w:t xml:space="preserve"> April and June 2015</w:t>
      </w:r>
      <w:r>
        <w:t xml:space="preserve"> decisions examined decisions by other regulators from </w:t>
      </w:r>
      <w:r w:rsidRPr="00D445A8">
        <w:t>November 2014 to March 2015</w:t>
      </w:r>
      <w:r>
        <w:t>.</w:t>
      </w:r>
      <w:r w:rsidRPr="00D445A8">
        <w:t xml:space="preserve"> </w:t>
      </w:r>
      <w:r w:rsidRPr="003B2FE5">
        <w:t>Our October and November 2015 decisions examined decisions by other regulators from March to June 2015.</w:t>
      </w:r>
    </w:p>
  </w:footnote>
  <w:footnote w:id="979">
    <w:p w:rsidR="006345FD" w:rsidRDefault="006345FD" w:rsidP="001823A6">
      <w:pPr>
        <w:pStyle w:val="FootnoteText"/>
      </w:pPr>
      <w:r>
        <w:rPr>
          <w:rStyle w:val="FootnoteReference"/>
        </w:rPr>
        <w:footnoteRef/>
      </w:r>
      <w:r>
        <w:t xml:space="preserve"> </w:t>
      </w:r>
      <w:r>
        <w:tab/>
        <w:t>Note that the risk characteristics of rail businesses such as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 xml:space="preserve"> Nevertheless, we have included these decisions for comparative purposes.</w:t>
      </w:r>
    </w:p>
  </w:footnote>
  <w:footnote w:id="980">
    <w:p w:rsidR="006345FD" w:rsidRDefault="006345FD" w:rsidP="001823A6">
      <w:pPr>
        <w:pStyle w:val="FootnoteText"/>
      </w:pPr>
      <w:r>
        <w:rPr>
          <w:rStyle w:val="FootnoteReference"/>
        </w:rPr>
        <w:footnoteRef/>
      </w:r>
      <w:r>
        <w:t xml:space="preserve"> </w:t>
      </w:r>
      <w:r>
        <w:tab/>
      </w:r>
      <w:r w:rsidRPr="0068037A">
        <w:t xml:space="preserve">Independent Pricing and Regulatory Tribunal, </w:t>
      </w:r>
      <w:r w:rsidRPr="00433835">
        <w:rPr>
          <w:rStyle w:val="AERtextitalic"/>
        </w:rPr>
        <w:t>Fact sheet: WACC biannual update</w:t>
      </w:r>
      <w:r w:rsidRPr="0068037A">
        <w:t>, August 2015</w:t>
      </w:r>
      <w:r>
        <w:t xml:space="preserve">; </w:t>
      </w:r>
      <w:r w:rsidRPr="0068037A">
        <w:t xml:space="preserve">Economic Regulatory Authority of Western Australia, </w:t>
      </w:r>
      <w:r w:rsidRPr="00433835">
        <w:rPr>
          <w:rStyle w:val="AERtextitalic"/>
        </w:rPr>
        <w:t>Review of the method for estimating the Weighted Average Cost of Capital for the Regulated Railway Networks</w:t>
      </w:r>
      <w:r w:rsidRPr="0068037A">
        <w:t>, 18 September 2015</w:t>
      </w:r>
      <w:r>
        <w:t xml:space="preserve">; </w:t>
      </w:r>
      <w:r w:rsidRPr="0068037A">
        <w:t xml:space="preserve">Queensland Competition Authority, </w:t>
      </w:r>
      <w:r w:rsidRPr="00433835">
        <w:rPr>
          <w:rStyle w:val="AERtextitalic"/>
        </w:rPr>
        <w:t>Queensland Rail's 2015 Draft Access Undertaking: Draft Decision</w:t>
      </w:r>
      <w:r w:rsidRPr="0068037A">
        <w:t>, October 2015</w:t>
      </w:r>
      <w:r>
        <w:t xml:space="preserve">; </w:t>
      </w:r>
      <w:r w:rsidRPr="0068037A">
        <w:t xml:space="preserve">Australian Competition and Consumer Commission, </w:t>
      </w:r>
      <w:r w:rsidRPr="00433835">
        <w:rPr>
          <w:rStyle w:val="AERtextitalic"/>
        </w:rPr>
        <w:t>Public inquiry into final access determinations for fixed line services: Final decision</w:t>
      </w:r>
      <w:r w:rsidRPr="0068037A">
        <w:t>, October 2015</w:t>
      </w:r>
      <w:r>
        <w:t xml:space="preserve">; </w:t>
      </w:r>
      <w:r w:rsidRPr="0068037A">
        <w:t xml:space="preserve">Queensland Competition Authority, </w:t>
      </w:r>
      <w:r w:rsidRPr="00433835">
        <w:rPr>
          <w:rStyle w:val="AERtextitalic"/>
        </w:rPr>
        <w:t>Aurizon Network 2014 Draft Access Undertaking — Volume IV: Maximum Allowable Revenue</w:t>
      </w:r>
      <w:r w:rsidRPr="0068037A">
        <w:t>, December 2015</w:t>
      </w:r>
      <w:r>
        <w:t xml:space="preserve">; </w:t>
      </w:r>
      <w:r w:rsidRPr="0068037A">
        <w:t xml:space="preserve">Australian Competition and Consumer Commission, </w:t>
      </w:r>
      <w:r w:rsidRPr="00433835">
        <w:rPr>
          <w:rStyle w:val="AERtextitalic"/>
        </w:rPr>
        <w:t>ACCC decision on Australian Postal Corporation 2015 price notification</w:t>
      </w:r>
      <w:r w:rsidRPr="0068037A">
        <w:t>, December 2015</w:t>
      </w:r>
      <w:r>
        <w:t xml:space="preserve">; </w:t>
      </w:r>
      <w:r w:rsidRPr="0068037A">
        <w:t xml:space="preserve">Economic Regulatory Authority of Western Australia, </w:t>
      </w:r>
      <w:r w:rsidRPr="00433835">
        <w:rPr>
          <w:rStyle w:val="AERtextitalic"/>
        </w:rPr>
        <w:t>Draft Decision on Proposed Revisions to the Access Arrangement for the Goldfields Gas Pipeline</w:t>
      </w:r>
      <w:r w:rsidRPr="0068037A">
        <w:t>, 17 December 2015</w:t>
      </w:r>
      <w:r>
        <w:t xml:space="preserve">; </w:t>
      </w:r>
      <w:r w:rsidRPr="0068037A">
        <w:t xml:space="preserve">Economic Regulatory Authority of Western Australia, </w:t>
      </w:r>
      <w:r w:rsidRPr="00433835">
        <w:rPr>
          <w:rStyle w:val="AERtextitalic"/>
        </w:rPr>
        <w:t>Draft Decision on Proposed Revisions to the Access Arrangement for the Dampier to Bunbury Natural Gas Pipeline 2016–2020</w:t>
      </w:r>
      <w:r w:rsidRPr="0068037A">
        <w:t>, 22 December 2015</w:t>
      </w:r>
      <w:r>
        <w:t xml:space="preserve">; </w:t>
      </w:r>
      <w:r w:rsidRPr="0068037A">
        <w:t xml:space="preserve">Independent Pricing and Regulatory Tribunal, </w:t>
      </w:r>
      <w:r w:rsidRPr="00433835">
        <w:rPr>
          <w:rStyle w:val="AERtextitalic"/>
        </w:rPr>
        <w:t>Fact sheet: WACC biannual update</w:t>
      </w:r>
      <w:r w:rsidRPr="0068037A">
        <w:t>, February 2016</w:t>
      </w:r>
      <w:r>
        <w:t xml:space="preserve">; </w:t>
      </w:r>
      <w:r w:rsidRPr="00904748">
        <w:t>ESCOSA, SA Water Regulatory Determination 2016 - Draft Determination: Statement of Reasons, February 2016</w:t>
      </w:r>
      <w:r>
        <w:t xml:space="preserve">; </w:t>
      </w:r>
      <w:r w:rsidRPr="00904748">
        <w:t>Essential Services Commission of Victoria, Goulburn-Murray Water Price Review 2016: Draft decision, February 2016</w:t>
      </w:r>
      <w:r>
        <w:t>.</w:t>
      </w:r>
    </w:p>
  </w:footnote>
  <w:footnote w:id="981">
    <w:p w:rsidR="006345FD" w:rsidRDefault="006345FD" w:rsidP="00B52359">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528-534</w:t>
      </w:r>
      <w:r w:rsidRPr="00EA690D">
        <w:t xml:space="preserve">; AER, </w:t>
      </w:r>
      <w:r w:rsidRPr="00EA690D">
        <w:rPr>
          <w:rStyle w:val="AERtextitalic"/>
        </w:rPr>
        <w:t>Powercor Preliminary Decision - Attachment 3: Rate of Return</w:t>
      </w:r>
      <w:r w:rsidRPr="00EA690D">
        <w:t xml:space="preserve">, October 2015, pp. 528–535; AER, </w:t>
      </w:r>
      <w:r w:rsidRPr="00EA690D">
        <w:rPr>
          <w:rStyle w:val="Emphasis"/>
        </w:rPr>
        <w:t>Draft decision ActewAGL distribution determination 2016 to 2021: Attachment 3 – Rate of return</w:t>
      </w:r>
      <w:r w:rsidRPr="00EA690D">
        <w:t xml:space="preserve">, November 2015, pp. 541–550; AER, </w:t>
      </w:r>
      <w:r w:rsidRPr="00EA690D">
        <w:rPr>
          <w:rStyle w:val="Emphasis"/>
        </w:rPr>
        <w:t>Preliminary decision United Energy determination 2016 to 2020: Attachment 3 – Rate of return</w:t>
      </w:r>
      <w:r w:rsidRPr="00EA690D">
        <w:t xml:space="preserve">, October 2015, pp. 270–272, 524–539; AER, </w:t>
      </w:r>
      <w:r w:rsidRPr="00EA690D">
        <w:rPr>
          <w:rStyle w:val="Emphasis"/>
        </w:rPr>
        <w:t>Draft decision Australian Gas Networks Access Arrangement 2016 to 2021: Attachment 3 – Rate of return</w:t>
      </w:r>
      <w:r w:rsidRPr="00EA690D">
        <w:t xml:space="preserve">, November 2015, pp. 275–277, 530–542; AER, </w:t>
      </w:r>
      <w:r w:rsidRPr="00EA690D">
        <w:rPr>
          <w:rStyle w:val="Emphasis"/>
        </w:rPr>
        <w:t>Preliminary decision Jemena distribution determination 2016 to 2020: Attachment 3–Rate of return</w:t>
      </w:r>
      <w:r w:rsidRPr="00EA690D">
        <w:t>, October 2015, pp. 269–271, 525–539; AER</w:t>
      </w:r>
      <w:r w:rsidRPr="00EA690D">
        <w:rPr>
          <w:rStyle w:val="Emphasis"/>
        </w:rPr>
        <w:t>, Preliminary decision AusNet Services determination 2016 to 2020: Attachment 3–Rate of return</w:t>
      </w:r>
      <w:r w:rsidRPr="00EA690D">
        <w:t>, October 2015, pp. 269–270, 529–535</w:t>
      </w:r>
      <w:r>
        <w:t xml:space="preserve">; </w:t>
      </w:r>
      <w:r w:rsidRPr="00EA690D">
        <w:t xml:space="preserve">AER, </w:t>
      </w:r>
      <w:r w:rsidRPr="00EA690D">
        <w:rPr>
          <w:rStyle w:val="Emphasis"/>
        </w:rPr>
        <w:t>Draft decision Amadeus Gas Pipeline access arrangement 2016 to 2021: Attachment 3</w:t>
      </w:r>
      <w:r w:rsidRPr="00EA690D">
        <w:rPr>
          <w:rStyle w:val="Emphasis"/>
        </w:rPr>
        <w:softHyphen/>
        <w:t>–Rate of return</w:t>
      </w:r>
      <w:r w:rsidRPr="00EA690D">
        <w:t>, November 2015, pp</w:t>
      </w:r>
      <w:r>
        <w:t>. 269–273.</w:t>
      </w:r>
    </w:p>
  </w:footnote>
  <w:footnote w:id="982">
    <w:p w:rsidR="006345FD" w:rsidRDefault="006345FD" w:rsidP="00B52359">
      <w:pPr>
        <w:pStyle w:val="FootnoteText"/>
      </w:pPr>
      <w:r>
        <w:rPr>
          <w:rStyle w:val="FootnoteReference"/>
        </w:rPr>
        <w:footnoteRef/>
      </w:r>
      <w:r>
        <w:t xml:space="preserve"> </w:t>
      </w:r>
      <w:r>
        <w:tab/>
      </w:r>
      <w:r w:rsidRPr="005D746C">
        <w:t xml:space="preserve">Partington, </w:t>
      </w:r>
      <w:r w:rsidRPr="00DB1D18">
        <w:rPr>
          <w:rStyle w:val="AERtextitalic"/>
        </w:rPr>
        <w:t>Report to the AER: Return on equity (Updated)</w:t>
      </w:r>
      <w:r w:rsidRPr="005D746C">
        <w:t>, April 2015, p. 28</w:t>
      </w:r>
      <w:r>
        <w:t xml:space="preserve">; </w:t>
      </w:r>
      <w:r w:rsidRPr="005D746C">
        <w:t xml:space="preserve">Partington &amp; Satchell, </w:t>
      </w:r>
      <w:r w:rsidRPr="00DB1D18">
        <w:rPr>
          <w:rStyle w:val="AERtextitalic"/>
        </w:rPr>
        <w:t>Report to the AER: Analysis of criticism of 2015 determinations</w:t>
      </w:r>
      <w:r w:rsidRPr="005D746C">
        <w:t>, October 2015, p. 36.</w:t>
      </w:r>
    </w:p>
  </w:footnote>
  <w:footnote w:id="983">
    <w:p w:rsidR="006345FD" w:rsidRPr="00D23304" w:rsidRDefault="006345FD" w:rsidP="00B52359">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w:t>
      </w:r>
      <w:r>
        <w:t>g</w:t>
      </w:r>
      <w:r>
        <w:rPr>
          <w:lang w:val="en-US"/>
        </w:rPr>
        <w:t>rid, AusNet Services, Australian Gas Networks, CitiPower, Endeavour Energy, Energex, Ergon</w:t>
      </w:r>
      <w:r>
        <w:t xml:space="preserve"> Energy</w:t>
      </w:r>
      <w:r>
        <w:rPr>
          <w:lang w:val="en-US"/>
        </w:rPr>
        <w:t>, Essential Energy, Powercor, SA Power Networks, and United Energy, February 2015, p. 19.</w:t>
      </w:r>
    </w:p>
  </w:footnote>
  <w:footnote w:id="984">
    <w:p w:rsidR="006345FD" w:rsidRDefault="006345FD" w:rsidP="00B52359">
      <w:pPr>
        <w:pStyle w:val="FootnoteText"/>
      </w:pPr>
      <w:r>
        <w:rPr>
          <w:rStyle w:val="FootnoteReference"/>
        </w:rPr>
        <w:footnoteRef/>
      </w:r>
      <w:r>
        <w:t xml:space="preserve"> </w:t>
      </w:r>
      <w:r>
        <w:tab/>
        <w:t xml:space="preserve">Partington, </w:t>
      </w:r>
      <w:r w:rsidRPr="00B466AF">
        <w:rPr>
          <w:rStyle w:val="AERtextitalic"/>
        </w:rPr>
        <w:t>Repor</w:t>
      </w:r>
      <w:r>
        <w:rPr>
          <w:rStyle w:val="AERtextitalic"/>
        </w:rPr>
        <w:t>t to the AER: Return on equity </w:t>
      </w:r>
      <w:r w:rsidRPr="00B466AF">
        <w:rPr>
          <w:rStyle w:val="AERtextitalic"/>
        </w:rPr>
        <w:t>(Updated)</w:t>
      </w:r>
      <w:r>
        <w:t>,</w:t>
      </w:r>
      <w:r w:rsidRPr="00B466AF">
        <w:t xml:space="preserve"> April 2015</w:t>
      </w:r>
      <w:r>
        <w:t>, p. 28.</w:t>
      </w:r>
    </w:p>
  </w:footnote>
  <w:footnote w:id="985">
    <w:p w:rsidR="006345FD" w:rsidRDefault="006345FD" w:rsidP="00A83127">
      <w:pPr>
        <w:pStyle w:val="FootnoteText"/>
      </w:pPr>
      <w:r>
        <w:rPr>
          <w:rStyle w:val="FootnoteReference"/>
        </w:rPr>
        <w:footnoteRef/>
      </w:r>
      <w:r>
        <w:t xml:space="preserve"> </w:t>
      </w:r>
      <w:r>
        <w:tab/>
      </w:r>
      <w:r w:rsidRPr="00981E28">
        <w:t xml:space="preserve">AER, </w:t>
      </w:r>
      <w:r>
        <w:rPr>
          <w:rStyle w:val="AERtextitalic"/>
        </w:rPr>
        <w:t xml:space="preserve">CitiPower </w:t>
      </w:r>
      <w:r w:rsidRPr="00981E28">
        <w:rPr>
          <w:rStyle w:val="AERtextitalic"/>
        </w:rPr>
        <w:t>Preliminary Decision - Attachment 3: Rate of Return</w:t>
      </w:r>
      <w:r w:rsidRPr="00981E28">
        <w:t xml:space="preserve">, </w:t>
      </w:r>
      <w:r>
        <w:t>October</w:t>
      </w:r>
      <w:r w:rsidRPr="00981E28">
        <w:t xml:space="preserve"> 2015, p</w:t>
      </w:r>
      <w:r>
        <w:t>p</w:t>
      </w:r>
      <w:r w:rsidRPr="00981E28">
        <w:t xml:space="preserve">. </w:t>
      </w:r>
      <w:r>
        <w:t>508-537.</w:t>
      </w:r>
    </w:p>
    <w:p w:rsidR="006345FD" w:rsidRDefault="006345FD" w:rsidP="00B52359">
      <w:pPr>
        <w:pStyle w:val="FootnoteText"/>
      </w:pPr>
    </w:p>
  </w:footnote>
  <w:footnote w:id="986">
    <w:p w:rsidR="006345FD" w:rsidRDefault="006345FD" w:rsidP="00B52359">
      <w:pPr>
        <w:pStyle w:val="FootnoteText"/>
      </w:pPr>
      <w:r>
        <w:rPr>
          <w:rStyle w:val="FootnoteReference"/>
        </w:rPr>
        <w:footnoteRef/>
      </w:r>
      <w:r>
        <w:t xml:space="preserve"> </w:t>
      </w:r>
      <w:r>
        <w:tab/>
      </w:r>
      <w:r w:rsidRPr="00A85C79">
        <w:t xml:space="preserve">Incenta Economic Consulting, </w:t>
      </w:r>
      <w:r w:rsidRPr="00DB1D18">
        <w:rPr>
          <w:rStyle w:val="AERtextitalic"/>
        </w:rPr>
        <w:t>Further update on the required return on equity from independent expert reports</w:t>
      </w:r>
      <w:r w:rsidRPr="00A85C79">
        <w:t>, Report for Jemena Gas Networks, Jemena Elec</w:t>
      </w:r>
      <w:r>
        <w:t>tricity Networks, ActewAGL, Ausg</w:t>
      </w:r>
      <w:r w:rsidRPr="00A85C79">
        <w:t>rid, AusNet Services, Australian Gas Networks, CitiPower, Endeavour Energy, Energex, Ergon</w:t>
      </w:r>
      <w:r>
        <w:t xml:space="preserve"> Energy</w:t>
      </w:r>
      <w:r w:rsidRPr="00A85C79">
        <w:t>, Essential Energy, Powercor, SA Power Networks, and Uni</w:t>
      </w:r>
      <w:r>
        <w:t>ted Energy, February 2015, p. 33.</w:t>
      </w:r>
    </w:p>
  </w:footnote>
  <w:footnote w:id="987">
    <w:p w:rsidR="006345FD" w:rsidRDefault="006345FD" w:rsidP="00B52359">
      <w:pPr>
        <w:pStyle w:val="FootnoteText"/>
      </w:pPr>
      <w:r>
        <w:rPr>
          <w:rStyle w:val="FootnoteReference"/>
        </w:rPr>
        <w:footnoteRef/>
      </w:r>
      <w:r>
        <w:t xml:space="preserve"> </w:t>
      </w:r>
      <w:r>
        <w:tab/>
      </w:r>
      <w:r w:rsidRPr="00234188">
        <w:t xml:space="preserve">Partington, </w:t>
      </w:r>
      <w:r w:rsidRPr="00D946D9">
        <w:rPr>
          <w:rStyle w:val="AERtextitalic"/>
        </w:rPr>
        <w:t>Report to the AER: Return on equity (Updated)</w:t>
      </w:r>
      <w:r>
        <w:t>,</w:t>
      </w:r>
      <w:r w:rsidRPr="00234188">
        <w:t xml:space="preserve"> April 2015</w:t>
      </w:r>
      <w:r>
        <w:t>, p. 64.</w:t>
      </w:r>
    </w:p>
  </w:footnote>
  <w:footnote w:id="988">
    <w:p w:rsidR="006345FD" w:rsidRDefault="006345FD" w:rsidP="00B52359">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989">
    <w:p w:rsidR="006345FD" w:rsidRDefault="006345FD" w:rsidP="00B52359">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xml:space="preserve">, a report for United Energy, April 2015, p. 20;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90">
    <w:p w:rsidR="006345FD" w:rsidRDefault="006345FD" w:rsidP="00B52359">
      <w:pPr>
        <w:pStyle w:val="FootnoteText"/>
      </w:pPr>
      <w:r>
        <w:rPr>
          <w:rStyle w:val="FootnoteReference"/>
        </w:rPr>
        <w:footnoteRef/>
      </w:r>
      <w:r>
        <w:t xml:space="preserve"> </w:t>
      </w:r>
      <w:r>
        <w:tab/>
        <w:t>HoustonKemp noted that o</w:t>
      </w:r>
      <w:r w:rsidRPr="00B14BB6">
        <w:t>nly 25 of the</w:t>
      </w:r>
      <w:r>
        <w:t xml:space="preserve"> 195 independent valuation reports </w:t>
      </w:r>
      <w:r w:rsidRPr="00B14BB6">
        <w:t xml:space="preserve">contained </w:t>
      </w:r>
      <w:r>
        <w:t xml:space="preserve">large </w:t>
      </w:r>
      <w:r w:rsidRPr="00B14BB6">
        <w:t>uplifts</w:t>
      </w:r>
      <w:r>
        <w:t xml:space="preserve"> to (at least 100 basis points above)</w:t>
      </w:r>
      <w:r w:rsidRPr="00B14BB6">
        <w:t xml:space="preserve"> the </w:t>
      </w:r>
      <w:r>
        <w:t>10 year CGS yield,</w:t>
      </w:r>
      <w:r w:rsidRPr="00B14BB6">
        <w:t xml:space="preserve"> </w:t>
      </w:r>
      <w:r>
        <w:t xml:space="preserve">while 147 of these reports did not contain adjustments to the risk free rate which were greater than 50 basis points (see: HoustonKemp, </w:t>
      </w:r>
      <w:r w:rsidRPr="00527D82">
        <w:rPr>
          <w:rStyle w:val="AERtextitalic"/>
        </w:rPr>
        <w:t>The cost of equity: Response to the AER's draft decisions for the Victorian electricity distributors, ActewAGL Distribution and Australian Gas Networks</w:t>
      </w:r>
      <w:r>
        <w:t>, January 2016, p. 59).</w:t>
      </w:r>
    </w:p>
  </w:footnote>
  <w:footnote w:id="991">
    <w:p w:rsidR="006345FD" w:rsidRDefault="006345FD" w:rsidP="00B52359">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38.</w:t>
      </w:r>
    </w:p>
  </w:footnote>
  <w:footnote w:id="992">
    <w:p w:rsidR="006345FD" w:rsidRDefault="006345FD" w:rsidP="00B52359">
      <w:pPr>
        <w:pStyle w:val="FootnoteText"/>
      </w:pPr>
      <w:r>
        <w:rPr>
          <w:rStyle w:val="FootnoteReference"/>
        </w:rPr>
        <w:footnoteRef/>
      </w:r>
      <w:r>
        <w:t xml:space="preserve"> </w:t>
      </w:r>
      <w:r>
        <w:tab/>
        <w:t xml:space="preserve">HoustonKemp, </w:t>
      </w:r>
      <w:r w:rsidRPr="00527D82">
        <w:rPr>
          <w:rStyle w:val="AERtextitalic"/>
        </w:rPr>
        <w:t>The cost of equity: Response to the AER's draft decisions for the Victorian electricity distributors, ActewAGL Distribution and Australian Gas Networks</w:t>
      </w:r>
      <w:r>
        <w:t xml:space="preserve">, January 2016, p. 60; </w:t>
      </w:r>
      <w:r w:rsidRPr="00387DCE">
        <w:t xml:space="preserve">Partington and Satchell, </w:t>
      </w:r>
      <w:r w:rsidRPr="00262F70">
        <w:rPr>
          <w:rStyle w:val="Emphasis"/>
        </w:rPr>
        <w:t>Report to the AER: Cost of equity issues–2016 electricity and gas determinations</w:t>
      </w:r>
      <w:r w:rsidRPr="00387DCE">
        <w:t>, April 201</w:t>
      </w:r>
      <w:r>
        <w:t>6</w:t>
      </w:r>
      <w:r w:rsidRPr="00387DCE">
        <w:t>,</w:t>
      </w:r>
      <w:r>
        <w:t xml:space="preserve"> p. 49.</w:t>
      </w:r>
    </w:p>
  </w:footnote>
  <w:footnote w:id="993">
    <w:p w:rsidR="006345FD" w:rsidRDefault="006345FD" w:rsidP="00B52359">
      <w:pPr>
        <w:pStyle w:val="FootnoteText"/>
      </w:pPr>
      <w:r>
        <w:rPr>
          <w:rStyle w:val="FootnoteReference"/>
        </w:rPr>
        <w:footnoteRef/>
      </w:r>
      <w:r>
        <w:t xml:space="preserve"> </w:t>
      </w:r>
      <w:r>
        <w:tab/>
        <w:t xml:space="preserve">This is important because two firms write more than 40% of the reports that use a substantially increased risk free rate.” Furthermore, if we then construct the standard error based on an assumption of 100 observations (in terms of number of reports) rather than two observations (number of firms) we form an erroneous belief in the accuracy of our estimates. See: </w:t>
      </w:r>
      <w:r w:rsidRPr="00387DCE">
        <w:t xml:space="preserve">Partington and Satchell, </w:t>
      </w:r>
      <w:r>
        <w:t>Report to the AER: Cost of equity issues–2016 electricity and gas determinations</w:t>
      </w:r>
      <w:r w:rsidRPr="00387DCE">
        <w:t>, April 201</w:t>
      </w:r>
      <w:r>
        <w:t>6</w:t>
      </w:r>
      <w:r w:rsidRPr="00387DCE">
        <w:t>,</w:t>
      </w:r>
      <w:r>
        <w:t xml:space="preserve"> p. 49. </w:t>
      </w:r>
    </w:p>
  </w:footnote>
  <w:footnote w:id="994">
    <w:p w:rsidR="006345FD" w:rsidRDefault="006345FD" w:rsidP="00B52359">
      <w:pPr>
        <w:pStyle w:val="FootnoteText"/>
      </w:pPr>
      <w:r>
        <w:rPr>
          <w:rStyle w:val="FootnoteReference"/>
        </w:rPr>
        <w:footnoteRef/>
      </w:r>
      <w:r>
        <w:t xml:space="preserve"> </w:t>
      </w:r>
      <w:r>
        <w:tab/>
      </w:r>
      <w:r w:rsidRPr="00387DCE">
        <w:t xml:space="preserve">Partington and Satchell, </w:t>
      </w:r>
      <w:r w:rsidRPr="00262F70">
        <w:rPr>
          <w:rStyle w:val="Emphasis"/>
        </w:rPr>
        <w:t>Report to the AER: Cost of equity issues–2016 electricity and gas determinations</w:t>
      </w:r>
      <w:r w:rsidRPr="00387DCE">
        <w:t>, April 201</w:t>
      </w:r>
      <w:r>
        <w:t>6</w:t>
      </w:r>
      <w:r w:rsidRPr="00387DCE">
        <w:t>,</w:t>
      </w:r>
      <w:r>
        <w:t xml:space="preserve"> p. 49.</w:t>
      </w:r>
    </w:p>
  </w:footnote>
  <w:footnote w:id="995">
    <w:p w:rsidR="006345FD" w:rsidRDefault="006345FD" w:rsidP="00B52359">
      <w:pPr>
        <w:pStyle w:val="FootnoteText"/>
      </w:pPr>
      <w:r>
        <w:rPr>
          <w:rStyle w:val="FootnoteReference"/>
        </w:rPr>
        <w:footnoteRef/>
      </w:r>
      <w:r>
        <w:t xml:space="preserve"> </w:t>
      </w:r>
      <w:r>
        <w:tab/>
      </w:r>
      <w:r w:rsidRPr="00387DCE">
        <w:t xml:space="preserve">Partington and Satchell, </w:t>
      </w:r>
      <w:r w:rsidRPr="00262F70">
        <w:rPr>
          <w:rStyle w:val="Emphasis"/>
        </w:rPr>
        <w:t>Report to the AER: Cost of equity issues–2016 electricity and gas determinations</w:t>
      </w:r>
      <w:r w:rsidRPr="00387DCE">
        <w:t>, April 201</w:t>
      </w:r>
      <w:r>
        <w:t>6</w:t>
      </w:r>
      <w:r w:rsidRPr="00387DCE">
        <w:t>,</w:t>
      </w:r>
      <w:r>
        <w:t xml:space="preserve"> p. 49.</w:t>
      </w:r>
    </w:p>
  </w:footnote>
  <w:footnote w:id="996">
    <w:p w:rsidR="006345FD" w:rsidRDefault="006345FD" w:rsidP="00B52359">
      <w:pPr>
        <w:pStyle w:val="FootnoteText"/>
      </w:pPr>
      <w:r>
        <w:rPr>
          <w:rStyle w:val="FootnoteReference"/>
        </w:rPr>
        <w:footnoteRef/>
      </w:r>
      <w:r>
        <w:t xml:space="preserve"> </w:t>
      </w:r>
      <w:r>
        <w:tab/>
        <w:t xml:space="preserve">Partington &amp; Satchell, </w:t>
      </w:r>
      <w:r w:rsidRPr="00002E4F">
        <w:rPr>
          <w:rStyle w:val="AERtextitalic"/>
        </w:rPr>
        <w:t>Report to the AER: Analysis of criticism of 2015 determinations</w:t>
      </w:r>
      <w:r>
        <w:t>, October 2015, p. 36.</w:t>
      </w:r>
    </w:p>
  </w:footnote>
  <w:footnote w:id="997">
    <w:p w:rsidR="006345FD" w:rsidRDefault="006345FD" w:rsidP="00B52359">
      <w:pPr>
        <w:pStyle w:val="FootnoteText"/>
      </w:pPr>
      <w:r>
        <w:rPr>
          <w:rStyle w:val="FootnoteReference"/>
        </w:rPr>
        <w:footnoteRef/>
      </w:r>
      <w:r>
        <w:t xml:space="preserve"> </w:t>
      </w:r>
      <w:r>
        <w:tab/>
      </w:r>
      <w:r w:rsidRPr="00387DCE">
        <w:t xml:space="preserve">Partington and Satchell, </w:t>
      </w:r>
      <w:r>
        <w:t>Report to the AER: Cost of equity issues–2016 electricity and gas determinations</w:t>
      </w:r>
      <w:r w:rsidRPr="00387DCE">
        <w:t>, April 201</w:t>
      </w:r>
      <w:r>
        <w:t>6</w:t>
      </w:r>
      <w:r w:rsidRPr="00387DCE">
        <w:t>,</w:t>
      </w:r>
      <w:r>
        <w:t xml:space="preserve"> p. 50; HoustonKemp, </w:t>
      </w:r>
      <w:r w:rsidRPr="008860FD">
        <w:rPr>
          <w:rStyle w:val="AERtextitalic"/>
        </w:rPr>
        <w:t>The cost of equity: Response to the AER's draft decisions for the Victorian electricity distributors, ActewAGL Distribution and Australian Gas Networks</w:t>
      </w:r>
      <w:r>
        <w:t>, January 2016, p. 48.</w:t>
      </w:r>
    </w:p>
  </w:footnote>
  <w:footnote w:id="998">
    <w:p w:rsidR="006345FD" w:rsidRDefault="006345FD" w:rsidP="00B52359">
      <w:pPr>
        <w:pStyle w:val="FootnoteText"/>
      </w:pPr>
      <w:r>
        <w:rPr>
          <w:rStyle w:val="FootnoteReference"/>
        </w:rPr>
        <w:footnoteRef/>
      </w:r>
      <w:r>
        <w:t xml:space="preserve"> </w:t>
      </w:r>
      <w:r>
        <w:tab/>
      </w:r>
      <w:r w:rsidRPr="00387DCE">
        <w:t xml:space="preserve">Partington and Satchell, </w:t>
      </w:r>
      <w:r w:rsidRPr="00262F70">
        <w:rPr>
          <w:rStyle w:val="Emphasis"/>
        </w:rPr>
        <w:t>Report to the AER: Cost of equity issues–2016 electricity and gas determinations</w:t>
      </w:r>
      <w:r w:rsidRPr="00387DCE">
        <w:t>, April 201</w:t>
      </w:r>
      <w:r>
        <w:t>6</w:t>
      </w:r>
      <w:r w:rsidRPr="00387DCE">
        <w:t>,</w:t>
      </w:r>
      <w:r>
        <w:t xml:space="preserve"> pp. 49–50.</w:t>
      </w:r>
    </w:p>
  </w:footnote>
  <w:footnote w:id="999">
    <w:p w:rsidR="006345FD" w:rsidRDefault="006345FD" w:rsidP="00B52359">
      <w:pPr>
        <w:pStyle w:val="FootnoteText"/>
      </w:pPr>
      <w:r>
        <w:rPr>
          <w:rStyle w:val="FootnoteReference"/>
        </w:rPr>
        <w:footnoteRef/>
      </w:r>
      <w:r>
        <w:t xml:space="preserve"> </w:t>
      </w:r>
      <w:r>
        <w:tab/>
      </w:r>
      <w:r w:rsidRPr="00387DCE">
        <w:t xml:space="preserve">Partington and Satchell, </w:t>
      </w:r>
      <w:r w:rsidRPr="00262F70">
        <w:rPr>
          <w:rStyle w:val="Emphasis"/>
        </w:rPr>
        <w:t>Report to the AER: Cost of equity issues–2016 electricity and gas determinations</w:t>
      </w:r>
      <w:r w:rsidRPr="00387DCE">
        <w:t>, April 201</w:t>
      </w:r>
      <w:r>
        <w:t>6</w:t>
      </w:r>
      <w:r w:rsidRPr="00387DCE">
        <w:t>,</w:t>
      </w:r>
      <w:r>
        <w:t xml:space="preserve"> </w:t>
      </w:r>
      <w:r w:rsidRPr="00ED0CF8">
        <w:t xml:space="preserve">pp. </w:t>
      </w:r>
      <w:r>
        <w:t>21</w:t>
      </w:r>
      <w:r w:rsidRPr="00ED0CF8">
        <w:t>–</w:t>
      </w:r>
      <w:r>
        <w:t>22.</w:t>
      </w:r>
    </w:p>
  </w:footnote>
  <w:footnote w:id="1000">
    <w:p w:rsidR="006345FD" w:rsidRDefault="006345FD" w:rsidP="00B52359">
      <w:pPr>
        <w:pStyle w:val="FootnoteText"/>
      </w:pPr>
      <w:r>
        <w:rPr>
          <w:rStyle w:val="FootnoteReference"/>
        </w:rPr>
        <w:footnoteRef/>
      </w:r>
      <w:r>
        <w:t xml:space="preserve"> </w:t>
      </w:r>
      <w:r>
        <w:tab/>
        <w:t xml:space="preserve">NERA, </w:t>
      </w:r>
      <w:r w:rsidRPr="000A7131">
        <w:rPr>
          <w:rStyle w:val="AERtextitalic"/>
        </w:rPr>
        <w:t>The relationship between the market risk premium and risk free rate: evidence from independent expert reports</w:t>
      </w:r>
      <w:r>
        <w:t>, a report for United Energy, April 2015, p. 22.</w:t>
      </w:r>
    </w:p>
  </w:footnote>
  <w:footnote w:id="1001">
    <w:p w:rsidR="006345FD" w:rsidRDefault="006345FD" w:rsidP="00B52359">
      <w:pPr>
        <w:pStyle w:val="FootnoteText"/>
      </w:pPr>
      <w:r>
        <w:rPr>
          <w:rStyle w:val="FootnoteReference"/>
        </w:rPr>
        <w:footnoteRef/>
      </w:r>
      <w:r>
        <w:t xml:space="preserve"> </w:t>
      </w:r>
      <w:r>
        <w:tab/>
        <w:t xml:space="preserve">HoustonKemp, </w:t>
      </w:r>
      <w:r w:rsidRPr="002F61BA">
        <w:rPr>
          <w:rStyle w:val="AERtextitalic"/>
        </w:rPr>
        <w:t>The cost of equity: Response to the AER's draft decisions for the Victorian electricity distributors, ActewAGL Distribution and Australian Gas Networks</w:t>
      </w:r>
      <w:r>
        <w:t>, January 2016, p. 47.</w:t>
      </w:r>
    </w:p>
  </w:footnote>
  <w:footnote w:id="1002">
    <w:p w:rsidR="006345FD" w:rsidRDefault="006345FD" w:rsidP="00B52359">
      <w:pPr>
        <w:pStyle w:val="FootnoteText"/>
      </w:pPr>
      <w:r>
        <w:rPr>
          <w:rStyle w:val="FootnoteReference"/>
        </w:rPr>
        <w:footnoteRef/>
      </w:r>
      <w:r>
        <w:t xml:space="preserve"> </w:t>
      </w:r>
      <w:r>
        <w:tab/>
        <w:t xml:space="preserve">See also: Partington &amp; Satchell, </w:t>
      </w:r>
      <w:r w:rsidRPr="00002E4F">
        <w:rPr>
          <w:rStyle w:val="AERtextitalic"/>
        </w:rPr>
        <w:t>Report to the AER: Analysis of criticism of 2015 determinations</w:t>
      </w:r>
      <w:r>
        <w:t>, October 2015, pp. 53–55.</w:t>
      </w:r>
    </w:p>
  </w:footnote>
  <w:footnote w:id="1003">
    <w:p w:rsidR="006345FD" w:rsidRDefault="006345FD" w:rsidP="00AC3F76">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004">
    <w:p w:rsidR="006345FD" w:rsidRDefault="006345FD" w:rsidP="00AC3F76">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005">
    <w:p w:rsidR="006345FD" w:rsidRDefault="006345FD" w:rsidP="00AC3F76">
      <w:pPr>
        <w:pStyle w:val="FootnoteText"/>
      </w:pPr>
      <w:r>
        <w:rPr>
          <w:rStyle w:val="FootnoteReference"/>
        </w:rPr>
        <w:footnoteRef/>
      </w:r>
      <w:r>
        <w:t xml:space="preserve"> </w:t>
      </w:r>
      <w:r>
        <w:tab/>
        <w:t>NER, cll. 6A.6.2(g)</w:t>
      </w:r>
      <w:r w:rsidRPr="00374D0C">
        <w:t xml:space="preserve"> </w:t>
      </w:r>
      <w:r>
        <w:t xml:space="preserve">and 6.5.2(g); NGR, rule 87(7). It is the most recent AER report. </w:t>
      </w:r>
    </w:p>
  </w:footnote>
  <w:footnote w:id="1006">
    <w:p w:rsidR="006345FD" w:rsidRDefault="006345FD" w:rsidP="00AC3F76">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007">
    <w:p w:rsidR="006345FD" w:rsidRDefault="006345FD" w:rsidP="00AC3F76">
      <w:pPr>
        <w:pStyle w:val="FootnoteText"/>
      </w:pPr>
      <w:r>
        <w:rPr>
          <w:rStyle w:val="FootnoteReference"/>
        </w:rPr>
        <w:footnoteRef/>
      </w:r>
      <w:r>
        <w:t xml:space="preserve"> </w:t>
      </w:r>
      <w:r>
        <w:tab/>
        <w:t xml:space="preserve">See, for example, AER, </w:t>
      </w:r>
      <w:r w:rsidRPr="00834892">
        <w:rPr>
          <w:rStyle w:val="AERtextitalic"/>
        </w:rPr>
        <w:t>Preliminary decision: CitiPower determination 2016 to 2020—Attachment 3: Rate of return</w:t>
      </w:r>
      <w:r>
        <w:t>, October 2015, section D.2.2.</w:t>
      </w:r>
    </w:p>
  </w:footnote>
  <w:footnote w:id="1008">
    <w:p w:rsidR="006345FD" w:rsidRDefault="006345FD" w:rsidP="00AC3F76">
      <w:pPr>
        <w:pStyle w:val="FootnoteText"/>
      </w:pPr>
      <w:r>
        <w:rPr>
          <w:rStyle w:val="FootnoteReference"/>
        </w:rPr>
        <w:footnoteRef/>
      </w:r>
      <w:r>
        <w:t xml:space="preserve"> </w:t>
      </w:r>
      <w:r>
        <w:tab/>
        <w:t>R</w:t>
      </w:r>
      <w:r w:rsidRPr="00D20501">
        <w:t>aw equity beta estimates are those that are observed from the initial regression</w:t>
      </w:r>
    </w:p>
  </w:footnote>
  <w:footnote w:id="1009">
    <w:p w:rsidR="006345FD" w:rsidRDefault="006345FD" w:rsidP="00AC3F76">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010">
    <w:p w:rsidR="006345FD" w:rsidRDefault="006345FD" w:rsidP="00AC3F76">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011">
    <w:p w:rsidR="006345FD" w:rsidRDefault="006345FD" w:rsidP="00AC3F76">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012">
    <w:p w:rsidR="006345FD" w:rsidRDefault="006345FD" w:rsidP="00AC3F76">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013">
    <w:p w:rsidR="006345FD" w:rsidRDefault="006345FD" w:rsidP="00AC3F76">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We consider fixed weight portfolio estimates (equal weighting and value weighting) and averages of individual firm estimates.</w:t>
      </w:r>
    </w:p>
  </w:footnote>
  <w:footnote w:id="1014">
    <w:p w:rsidR="006345FD" w:rsidRDefault="006345FD" w:rsidP="00AC3F76">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015">
    <w:p w:rsidR="006345FD" w:rsidRDefault="006345FD" w:rsidP="00AC3F76">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016">
    <w:p w:rsidR="006345FD" w:rsidRDefault="006345FD" w:rsidP="00AC3F76">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017">
    <w:p w:rsidR="006345FD" w:rsidRDefault="006345FD" w:rsidP="00AC3F76">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018">
    <w:p w:rsidR="006345FD" w:rsidRDefault="006345FD" w:rsidP="00AC3F76">
      <w:pPr>
        <w:pStyle w:val="FootnoteText"/>
      </w:pPr>
      <w:r>
        <w:rPr>
          <w:rStyle w:val="FootnoteReference"/>
        </w:rPr>
        <w:footnoteRef/>
      </w:r>
      <w:r>
        <w:t xml:space="preserve"> </w:t>
      </w:r>
      <w:r>
        <w:tab/>
        <w:t>A</w:t>
      </w:r>
      <w:r w:rsidRPr="00354781">
        <w:t>s set out in section D.2.2 of Attachment 3 to CitiPower's preliminary decision</w:t>
      </w:r>
      <w:r>
        <w:t xml:space="preserve"> (AER, </w:t>
      </w:r>
      <w:r w:rsidRPr="00834892">
        <w:rPr>
          <w:rStyle w:val="AERtextitalic"/>
        </w:rPr>
        <w:t>Preliminary decision: CitiPower determination 2016 to 2020—Attachment 3: Rate of return</w:t>
      </w:r>
      <w:r>
        <w:t>, October 2015).</w:t>
      </w:r>
    </w:p>
  </w:footnote>
  <w:footnote w:id="1019">
    <w:p w:rsidR="006345FD" w:rsidRDefault="006345FD" w:rsidP="00AC3F76">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020">
    <w:p w:rsidR="006345FD" w:rsidRDefault="006345FD" w:rsidP="00AC3F76">
      <w:pPr>
        <w:pStyle w:val="FootnoteText"/>
      </w:pPr>
      <w:r>
        <w:rPr>
          <w:rStyle w:val="FootnoteReference"/>
        </w:rPr>
        <w:footnoteRef/>
      </w:r>
      <w:r>
        <w:t xml:space="preserve"> </w:t>
      </w:r>
      <w:r>
        <w:tab/>
        <w:t xml:space="preserve">This range includes raw and re-levered equity beta estimates. The re-levered estimates presented have been calculated using the Brealey-Myers formula set out in our recent decisions (see, for example, AER, </w:t>
      </w:r>
      <w:r w:rsidRPr="00834892">
        <w:rPr>
          <w:rStyle w:val="AERtextitalic"/>
        </w:rPr>
        <w:t>Preliminary decision: CitiPower determination 2016 to 2020—Attachment 3: Rate of return</w:t>
      </w:r>
      <w:r>
        <w:t>, October 2015, section D.2.2)</w:t>
      </w:r>
      <w:r w:rsidRPr="00B23FBA">
        <w:t xml:space="preserve">. </w:t>
      </w:r>
      <w:r>
        <w:t>Also, the studies we consider in this section are largely the same as those considered in our recent decisions.</w:t>
      </w:r>
    </w:p>
  </w:footnote>
  <w:footnote w:id="1021">
    <w:p w:rsidR="006345FD" w:rsidRDefault="006345FD" w:rsidP="00AC3F76">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022">
    <w:p w:rsidR="006345FD" w:rsidRDefault="006345FD" w:rsidP="00AC3F76">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023">
    <w:p w:rsidR="006345FD" w:rsidRDefault="006345FD" w:rsidP="00AC3F76">
      <w:pPr>
        <w:pStyle w:val="FootnoteText"/>
      </w:pPr>
      <w:r>
        <w:rPr>
          <w:rStyle w:val="FootnoteReference"/>
        </w:rPr>
        <w:footnoteRef/>
      </w:r>
      <w:r>
        <w:t xml:space="preserve"> </w:t>
      </w:r>
      <w:r>
        <w:tab/>
        <w:t xml:space="preserve">See, for example, SFG, </w:t>
      </w:r>
      <w:r w:rsidRPr="00B12036">
        <w:rPr>
          <w:rStyle w:val="AERtextitalic"/>
        </w:rPr>
        <w:t>Equity beta</w:t>
      </w:r>
      <w:r>
        <w:t xml:space="preserve">, May 2014, pp. 2–3; SFG, </w:t>
      </w:r>
      <w:r w:rsidRPr="00360306">
        <w:rPr>
          <w:rStyle w:val="AERtextitalic"/>
        </w:rPr>
        <w:t>The required return on equity for regulated gas and electricity network businesses</w:t>
      </w:r>
      <w:r>
        <w:t xml:space="preserve">, May 2014, pp. 84–85; CEG, </w:t>
      </w:r>
      <w:r w:rsidRPr="00360306">
        <w:rPr>
          <w:rStyle w:val="AERtextitalic"/>
        </w:rPr>
        <w:t>WACC estimates</w:t>
      </w:r>
      <w:r>
        <w:t xml:space="preserve">, May 2014, pp. 7–10; SFG, </w:t>
      </w:r>
      <w:r w:rsidRPr="0082349C">
        <w:rPr>
          <w:rStyle w:val="AERtextitalic"/>
        </w:rPr>
        <w:t>Beta and the Black capital asset pricing model</w:t>
      </w:r>
      <w:r>
        <w:t xml:space="preserve">, 13 February 2015, pp. 4, 10–12; SFG, </w:t>
      </w:r>
      <w:r w:rsidRPr="00360306">
        <w:rPr>
          <w:rStyle w:val="AERtextitalic"/>
        </w:rPr>
        <w:t>The required return on equity for the benchmark efficient entity</w:t>
      </w:r>
      <w:r>
        <w:t xml:space="preserve">, February 2015, pp. 19–20; CEG, </w:t>
      </w:r>
      <w:r w:rsidRPr="00360306">
        <w:rPr>
          <w:rStyle w:val="AERtextitalic"/>
        </w:rPr>
        <w:t>Estimating the cost of equity, equity beta and MRP, January 2015</w:t>
      </w:r>
      <w:r>
        <w:t xml:space="preserve">, pp. 33–34; Frontier Economics, </w:t>
      </w:r>
      <w:r w:rsidRPr="00360306">
        <w:rPr>
          <w:rStyle w:val="AERtextitalic"/>
        </w:rPr>
        <w:t>Key issues in estimating the return on equity for the benchmark efficient entity</w:t>
      </w:r>
      <w:r>
        <w:t xml:space="preserve">, June 2015, pp. 47–48, 50–51; Frontier Economics, </w:t>
      </w:r>
      <w:r>
        <w:rPr>
          <w:rStyle w:val="AERtextitalic"/>
        </w:rPr>
        <w:t>Estimating the equity beta for the benchmark efficient entity</w:t>
      </w:r>
      <w:r>
        <w:t xml:space="preserve">, January 2016, pp. 2–3; Frontier Economics, </w:t>
      </w:r>
      <w:r>
        <w:rPr>
          <w:rStyle w:val="AERtextitalic"/>
        </w:rPr>
        <w:t>The required return on equity under a foundation model approach</w:t>
      </w:r>
      <w:r>
        <w:t>, January 2016, pp. 39–40, 42–44.</w:t>
      </w:r>
    </w:p>
  </w:footnote>
  <w:footnote w:id="1024">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20–25, 34.</w:t>
      </w:r>
    </w:p>
  </w:footnote>
  <w:footnote w:id="1025">
    <w:p w:rsidR="006345FD" w:rsidRDefault="006345FD" w:rsidP="00AC3F76">
      <w:pPr>
        <w:pStyle w:val="FootnoteText"/>
      </w:pPr>
      <w:r>
        <w:rPr>
          <w:rStyle w:val="FootnoteReference"/>
        </w:rPr>
        <w:footnoteRef/>
      </w:r>
      <w:r>
        <w:t xml:space="preserve"> </w:t>
      </w:r>
      <w:r>
        <w:tab/>
        <w:t xml:space="preserve">See, for example, sections D.2.1 and D.2.3 of Attachment 3 to our preliminary decision for CitiPower (AER, </w:t>
      </w:r>
      <w:r w:rsidRPr="00834892">
        <w:rPr>
          <w:rStyle w:val="AERtextitalic"/>
        </w:rPr>
        <w:t>Preliminary decision: CitiPower determination 2016 to 2020—Attachment 3: Rate of return</w:t>
      </w:r>
      <w:r>
        <w:t>, October 2015). In these decisions we also responded to submissions from other stakeholders that suggested the equity beta estimates in Henry's 2014 report cluster around a range of 0.3 to 0.5.</w:t>
      </w:r>
    </w:p>
  </w:footnote>
  <w:footnote w:id="1026">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27">
    <w:p w:rsidR="006345FD" w:rsidRDefault="006345FD" w:rsidP="00AC3F76">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028">
    <w:p w:rsidR="006345FD" w:rsidRDefault="006345FD" w:rsidP="00AC3F76">
      <w:pPr>
        <w:pStyle w:val="FootnoteText"/>
      </w:pPr>
      <w:r>
        <w:rPr>
          <w:rStyle w:val="FootnoteReference"/>
        </w:rPr>
        <w:footnoteRef/>
      </w:r>
      <w:r>
        <w:t xml:space="preserve"> </w:t>
      </w:r>
      <w:r>
        <w:tab/>
      </w:r>
      <w:r w:rsidRPr="00D332F8">
        <w:t>SFG used the same Australian energy network firms in its comparator set of Australian (and US energy) firms</w:t>
      </w:r>
      <w:r>
        <w:t xml:space="preserve"> (see SFG, </w:t>
      </w:r>
      <w:r w:rsidRPr="005214A2">
        <w:rPr>
          <w:rStyle w:val="AERtextitalic"/>
        </w:rPr>
        <w:t>Regression-based estimates of risk parameters for the benchmark firm</w:t>
      </w:r>
      <w:r>
        <w:t>, June 2013, p. 9)</w:t>
      </w:r>
      <w:r w:rsidRPr="00D332F8">
        <w:t>.</w:t>
      </w:r>
      <w:r>
        <w:t xml:space="preserve"> </w:t>
      </w:r>
    </w:p>
  </w:footnote>
  <w:footnote w:id="1029">
    <w:p w:rsidR="006345FD" w:rsidRDefault="006345FD" w:rsidP="00AC3F76">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030">
    <w:p w:rsidR="006345FD" w:rsidRDefault="006345FD" w:rsidP="00AC3F76">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031">
    <w:p w:rsidR="006345FD" w:rsidRDefault="006345FD" w:rsidP="00AC3F76">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032">
    <w:p w:rsidR="006345FD" w:rsidRDefault="006345FD" w:rsidP="00AC3F76">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033">
    <w:p w:rsidR="006345FD" w:rsidRDefault="006345FD" w:rsidP="00AC3F76">
      <w:pPr>
        <w:pStyle w:val="FootnoteText"/>
      </w:pPr>
      <w:r>
        <w:rPr>
          <w:rStyle w:val="FootnoteReference"/>
        </w:rPr>
        <w:footnoteRef/>
      </w:r>
      <w:r>
        <w:t xml:space="preserve"> </w:t>
      </w:r>
      <w:r>
        <w:tab/>
        <w:t xml:space="preserve">APA Group, </w:t>
      </w:r>
      <w:r>
        <w:rPr>
          <w:rStyle w:val="AERtextitalic"/>
        </w:rPr>
        <w:t>Annual report 2015: Connecting markets creating opportunities</w:t>
      </w:r>
      <w:r>
        <w:t>, pp. 7, 18.</w:t>
      </w:r>
    </w:p>
  </w:footnote>
  <w:footnote w:id="1034">
    <w:p w:rsidR="006345FD" w:rsidRDefault="006345FD" w:rsidP="00AC3F76">
      <w:pPr>
        <w:pStyle w:val="FootnoteText"/>
      </w:pPr>
      <w:r>
        <w:rPr>
          <w:rStyle w:val="FootnoteReference"/>
        </w:rPr>
        <w:footnoteRef/>
      </w:r>
      <w:r>
        <w:t xml:space="preserve"> </w:t>
      </w:r>
      <w:r>
        <w:tab/>
        <w:t xml:space="preserve">DUET Group, </w:t>
      </w:r>
      <w:r w:rsidRPr="00B4312A">
        <w:rPr>
          <w:rStyle w:val="AERtextitalic"/>
        </w:rPr>
        <w:t>Annual report 201</w:t>
      </w:r>
      <w:r>
        <w:rPr>
          <w:rStyle w:val="AERtextitalic"/>
        </w:rPr>
        <w:t>5</w:t>
      </w:r>
      <w:r>
        <w:t>, p. 3.</w:t>
      </w:r>
    </w:p>
  </w:footnote>
  <w:footnote w:id="1035">
    <w:p w:rsidR="006345FD" w:rsidRDefault="006345FD" w:rsidP="00AC3F76">
      <w:pPr>
        <w:pStyle w:val="FootnoteText"/>
      </w:pPr>
      <w:r>
        <w:rPr>
          <w:rStyle w:val="FootnoteReference"/>
        </w:rPr>
        <w:footnoteRef/>
      </w:r>
      <w:r>
        <w:t xml:space="preserve"> </w:t>
      </w:r>
      <w:r>
        <w:tab/>
        <w:t xml:space="preserve">AusNet Services, </w:t>
      </w:r>
      <w:r>
        <w:rPr>
          <w:rStyle w:val="AERtextitalic"/>
        </w:rPr>
        <w:t>Statutory annual report 2015</w:t>
      </w:r>
      <w:r>
        <w:t>, p. 22.</w:t>
      </w:r>
    </w:p>
  </w:footnote>
  <w:footnote w:id="1036">
    <w:p w:rsidR="006345FD" w:rsidRDefault="006345FD" w:rsidP="00AC3F76">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3"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4"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5" w:history="1">
        <w:r w:rsidRPr="006558B8">
          <w:rPr>
            <w:rStyle w:val="Hyperlink"/>
            <w:color w:val="auto"/>
            <w:sz w:val="16"/>
            <w:u w:val="none"/>
          </w:rPr>
          <w:t>http://www.aer.gov.au/node/5219</w:t>
        </w:r>
      </w:hyperlink>
      <w:r>
        <w:t>.</w:t>
      </w:r>
    </w:p>
  </w:footnote>
  <w:footnote w:id="1037">
    <w:p w:rsidR="006345FD" w:rsidRDefault="006345FD" w:rsidP="00AC3F76">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038">
    <w:p w:rsidR="006345FD" w:rsidRDefault="006345FD" w:rsidP="00AC3F76">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039">
    <w:p w:rsidR="006345FD" w:rsidRDefault="006345FD" w:rsidP="00AC3F76">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xml:space="preserve">, July 2013, pp. </w:t>
      </w:r>
      <w:r>
        <w:t>3–4</w:t>
      </w:r>
      <w:r w:rsidRPr="00C24641">
        <w:t>.</w:t>
      </w:r>
    </w:p>
  </w:footnote>
  <w:footnote w:id="1040">
    <w:p w:rsidR="006345FD" w:rsidRDefault="006345FD" w:rsidP="00AC3F76">
      <w:pPr>
        <w:pStyle w:val="FootnoteText"/>
      </w:pPr>
      <w:r>
        <w:rPr>
          <w:rStyle w:val="FootnoteReference"/>
        </w:rPr>
        <w:footnoteRef/>
      </w:r>
      <w:r>
        <w:t xml:space="preserve"> </w:t>
      </w:r>
      <w:r>
        <w:tab/>
        <w:t xml:space="preserve">See, for example, Frontier, </w:t>
      </w:r>
      <w:r w:rsidRPr="00EC4716">
        <w:rPr>
          <w:rStyle w:val="AERtextitalic"/>
        </w:rPr>
        <w:t>Estimating the equity beta for the benchmark efficient entity</w:t>
      </w:r>
      <w:r>
        <w:t xml:space="preserve">, January 2016, pp. 13–19; SFG, </w:t>
      </w:r>
      <w:r w:rsidRPr="00EC4716">
        <w:rPr>
          <w:rStyle w:val="AERtextitalic"/>
        </w:rPr>
        <w:t>Beta and the Black capital asset pricing model</w:t>
      </w:r>
      <w:r>
        <w:t xml:space="preserve">, February 2015, pp. 10–11; CEG, </w:t>
      </w:r>
      <w:r w:rsidRPr="00EC4716">
        <w:rPr>
          <w:rStyle w:val="AERtextitalic"/>
        </w:rPr>
        <w:t>Estimating the cost of equity, equity beta and MRP</w:t>
      </w:r>
      <w:r>
        <w:t xml:space="preserve">, January 2015, pp. 33–34; CEG, </w:t>
      </w:r>
      <w:r w:rsidRPr="00EC4716">
        <w:rPr>
          <w:rStyle w:val="AERtextitalic"/>
        </w:rPr>
        <w:t>WACC estimates</w:t>
      </w:r>
      <w:r>
        <w:t xml:space="preserve">, May 2014, pp. 7–10; SFG, </w:t>
      </w:r>
      <w:r w:rsidRPr="00EC4716">
        <w:rPr>
          <w:rStyle w:val="AERtextitalic"/>
        </w:rPr>
        <w:t>Equity beta</w:t>
      </w:r>
      <w:r>
        <w:t>, May 2014, pp. 3–4, 13–15, 28–31. In its 2014 report, SFG considered the dispersion of equity beta estimates. It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xml:space="preserve">, June 2013, p. 5). </w:t>
      </w:r>
    </w:p>
  </w:footnote>
  <w:footnote w:id="1041">
    <w:p w:rsidR="006345FD" w:rsidRDefault="006345FD" w:rsidP="00AC3F76">
      <w:pPr>
        <w:pStyle w:val="FootnoteText"/>
      </w:pPr>
      <w:r>
        <w:rPr>
          <w:rStyle w:val="FootnoteReference"/>
        </w:rPr>
        <w:footnoteRef/>
      </w:r>
      <w:r>
        <w:t xml:space="preserve"> </w:t>
      </w:r>
      <w:r>
        <w:tab/>
        <w:t xml:space="preserve">See, for example, </w:t>
      </w:r>
      <w:r w:rsidRPr="00471174">
        <w:t xml:space="preserve">Frontier, </w:t>
      </w:r>
      <w:r w:rsidRPr="00471174">
        <w:rPr>
          <w:rStyle w:val="AERtextitalic"/>
        </w:rPr>
        <w:t>Estimating the equity beta for the benchmark efficient entity</w:t>
      </w:r>
      <w:r w:rsidRPr="00471174">
        <w:t>, January 2016</w:t>
      </w:r>
      <w:r>
        <w:t xml:space="preserve">, p. 34; </w:t>
      </w:r>
      <w:r w:rsidRPr="00471174">
        <w:t xml:space="preserve">CEG, </w:t>
      </w:r>
      <w:r w:rsidRPr="00471174">
        <w:rPr>
          <w:rStyle w:val="AERtextitalic"/>
        </w:rPr>
        <w:t>WACC estimates</w:t>
      </w:r>
      <w:r w:rsidRPr="00471174">
        <w:t>, May 2014, pp. 7–10</w:t>
      </w:r>
      <w:r>
        <w:t xml:space="preserve">; SFG, </w:t>
      </w:r>
      <w:r w:rsidRPr="005F7C32">
        <w:rPr>
          <w:rStyle w:val="AERtextitalic"/>
        </w:rPr>
        <w:t>Equity beta</w:t>
      </w:r>
      <w:r>
        <w:t>, May 2014, p</w:t>
      </w:r>
      <w:r w:rsidRPr="00F26CD7">
        <w:t>.</w:t>
      </w:r>
      <w:r>
        <w:t xml:space="preserve"> 13</w:t>
      </w:r>
      <w:r w:rsidRPr="00F26CD7">
        <w:t>.</w:t>
      </w:r>
    </w:p>
  </w:footnote>
  <w:footnote w:id="1042">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11.</w:t>
      </w:r>
    </w:p>
  </w:footnote>
  <w:footnote w:id="1043">
    <w:p w:rsidR="006345FD" w:rsidRDefault="006345FD" w:rsidP="00AC3F76">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044">
    <w:p w:rsidR="006345FD" w:rsidRDefault="006345FD" w:rsidP="00AC3F76">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045">
    <w:p w:rsidR="006345FD" w:rsidRDefault="006345FD" w:rsidP="00AC3F76">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046">
    <w:p w:rsidR="006345FD" w:rsidRDefault="006345FD" w:rsidP="00AC3F76">
      <w:pPr>
        <w:pStyle w:val="FootnoteText"/>
      </w:pPr>
      <w:r>
        <w:rPr>
          <w:rStyle w:val="FootnoteReference"/>
        </w:rPr>
        <w:footnoteRef/>
      </w:r>
      <w:r>
        <w:t xml:space="preserve"> </w:t>
      </w:r>
      <w:r>
        <w:tab/>
      </w:r>
      <w:r w:rsidRPr="00176251">
        <w:t xml:space="preserve">Frontier Economics, </w:t>
      </w:r>
      <w:r w:rsidRPr="00176251">
        <w:rPr>
          <w:rStyle w:val="AERtextitalic"/>
        </w:rPr>
        <w:t>Estimating the equity beta for the benchmark efficient entity</w:t>
      </w:r>
      <w:r>
        <w:t>, January 2016, pp. 13–19</w:t>
      </w:r>
      <w:r w:rsidRPr="00176251">
        <w:t>.</w:t>
      </w:r>
    </w:p>
  </w:footnote>
  <w:footnote w:id="1047">
    <w:p w:rsidR="006345FD" w:rsidRDefault="006345FD" w:rsidP="00AC3F76">
      <w:pPr>
        <w:pStyle w:val="FootnoteText"/>
      </w:pPr>
      <w:r>
        <w:rPr>
          <w:rStyle w:val="FootnoteReference"/>
        </w:rPr>
        <w:footnoteRef/>
      </w:r>
      <w:r>
        <w:t xml:space="preserve"> </w:t>
      </w:r>
      <w:r>
        <w:tab/>
        <w:t xml:space="preserve">For example, the precision and stability of equity beta estimates based on </w:t>
      </w:r>
      <w:r w:rsidRPr="000502B3">
        <w:t>Australian energy network firms</w:t>
      </w:r>
      <w:r>
        <w:t xml:space="preserve"> has been discussed in </w:t>
      </w:r>
      <w:r w:rsidRPr="000502B3">
        <w:t xml:space="preserve">SFG, </w:t>
      </w:r>
      <w:r w:rsidRPr="000502B3">
        <w:rPr>
          <w:rStyle w:val="AERtextitalic"/>
        </w:rPr>
        <w:t>Equity beta</w:t>
      </w:r>
      <w:r w:rsidRPr="000502B3">
        <w:t>, May 2014, pp. 3–4, 13–15, 28–31</w:t>
      </w:r>
      <w:r>
        <w:t xml:space="preserve">; </w:t>
      </w:r>
      <w:r w:rsidRPr="000502B3">
        <w:t xml:space="preserve">Brooks, Diamond, Gray and Hall, </w:t>
      </w:r>
      <w:r w:rsidRPr="000502B3">
        <w:rPr>
          <w:rStyle w:val="AERtextitalic"/>
        </w:rPr>
        <w:t>Assessing the reliability of regression-based estimates of risk</w:t>
      </w:r>
      <w:r w:rsidRPr="000502B3">
        <w:t>, June 2013</w:t>
      </w:r>
      <w:r>
        <w:t xml:space="preserve">, pp. 2, 9–15; and </w:t>
      </w:r>
      <w:r w:rsidRPr="00790167">
        <w:t xml:space="preserve">SFG, </w:t>
      </w:r>
      <w:r w:rsidRPr="00790167">
        <w:rPr>
          <w:rStyle w:val="AERtextitalic"/>
        </w:rPr>
        <w:t>Beta and the Black capital asset pricing model</w:t>
      </w:r>
      <w:r w:rsidRPr="00790167">
        <w:t>, February 2015, pp. 10–11</w:t>
      </w:r>
      <w:r>
        <w:t xml:space="preserve">. </w:t>
      </w:r>
    </w:p>
  </w:footnote>
  <w:footnote w:id="1048">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11–</w:t>
      </w:r>
      <w:r>
        <w:softHyphen/>
        <w:t>12, 15.</w:t>
      </w:r>
    </w:p>
  </w:footnote>
  <w:footnote w:id="1049">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50">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xml:space="preserve">, January 2016, pp. 17–18. </w:t>
      </w:r>
    </w:p>
  </w:footnote>
  <w:footnote w:id="1051">
    <w:p w:rsidR="006345FD" w:rsidRDefault="006345FD" w:rsidP="00AC3F76">
      <w:pPr>
        <w:pStyle w:val="FootnoteText"/>
      </w:pPr>
      <w:r>
        <w:rPr>
          <w:rStyle w:val="FootnoteReference"/>
        </w:rPr>
        <w:footnoteRef/>
      </w:r>
      <w:r>
        <w:t xml:space="preserve"> </w:t>
      </w:r>
      <w:r>
        <w:tab/>
        <w:t xml:space="preserve">For example, SFG states that, 'Because there are so many methodological choices to be made, it is common practice to consider the sensitivity of beta estimates to the different choices that might be made.' (see </w:t>
      </w:r>
      <w:r w:rsidRPr="00EA0B17">
        <w:t xml:space="preserve">SFG, </w:t>
      </w:r>
      <w:r w:rsidRPr="00EA0B17">
        <w:rPr>
          <w:rStyle w:val="AERtextitalic"/>
        </w:rPr>
        <w:t>Equity beta</w:t>
      </w:r>
      <w:r w:rsidRPr="00EA0B17">
        <w:t>, May 2014, p.</w:t>
      </w:r>
      <w:r>
        <w:t xml:space="preserve"> 9).</w:t>
      </w:r>
    </w:p>
  </w:footnote>
  <w:footnote w:id="1052">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7.</w:t>
      </w:r>
    </w:p>
  </w:footnote>
  <w:footnote w:id="1053">
    <w:p w:rsidR="006345FD" w:rsidRDefault="006345FD" w:rsidP="00AC3F76">
      <w:pPr>
        <w:pStyle w:val="FootnoteText"/>
      </w:pPr>
      <w:r>
        <w:rPr>
          <w:rStyle w:val="FootnoteReference"/>
        </w:rPr>
        <w:footnoteRef/>
      </w:r>
      <w:r>
        <w:t xml:space="preserve"> </w:t>
      </w:r>
      <w:r>
        <w:tab/>
        <w:t>NER, cll. 6.5.2(f) and 6A.6.2(f); NGR, rule 87(6).</w:t>
      </w:r>
    </w:p>
  </w:footnote>
  <w:footnote w:id="1054">
    <w:p w:rsidR="006345FD" w:rsidRDefault="006345FD" w:rsidP="00AC3F76">
      <w:pPr>
        <w:pStyle w:val="FootnoteText"/>
      </w:pPr>
      <w:r>
        <w:rPr>
          <w:rStyle w:val="FootnoteReference"/>
        </w:rPr>
        <w:footnoteRef/>
      </w:r>
      <w:r>
        <w:t xml:space="preserve"> </w:t>
      </w:r>
      <w:r>
        <w:tab/>
        <w:t>This is supported by Partington and Satchell</w:t>
      </w:r>
      <w:r w:rsidRPr="00BC7B9A">
        <w:t>.</w:t>
      </w:r>
      <w:r>
        <w:t xml:space="preserve"> See Partington and Satchell, </w:t>
      </w:r>
      <w:r w:rsidRPr="00F151A8">
        <w:rPr>
          <w:rStyle w:val="AERtextitalic"/>
        </w:rPr>
        <w:t>Report to the AER: Cost of equity issues</w:t>
      </w:r>
      <w:r>
        <w:rPr>
          <w:rStyle w:val="AERtextitalic"/>
        </w:rPr>
        <w:t xml:space="preserve"> 2016 electricity and gas determinations</w:t>
      </w:r>
      <w:r>
        <w:t>, April 2016, p. 11. They stated, '</w:t>
      </w:r>
      <w:r w:rsidRPr="00DC3465">
        <w:t>Considerable caution in reaching conclusions about beta needs to be exercised when the comparators are drawn from overseas countries. This is because of differences in industry structure, technology, the nature of competition, the economic environment and regulatory and tax systems</w:t>
      </w:r>
      <w:r>
        <w:t>'</w:t>
      </w:r>
      <w:r w:rsidRPr="00DC3465">
        <w:t>.</w:t>
      </w:r>
    </w:p>
  </w:footnote>
  <w:footnote w:id="1055">
    <w:p w:rsidR="006345FD" w:rsidRDefault="006345FD" w:rsidP="00AC3F76">
      <w:pPr>
        <w:pStyle w:val="FootnoteText"/>
      </w:pPr>
      <w:r>
        <w:rPr>
          <w:rStyle w:val="FootnoteReference"/>
        </w:rPr>
        <w:footnoteRef/>
      </w:r>
      <w:r>
        <w:t xml:space="preserve"> </w:t>
      </w:r>
      <w:r>
        <w:tab/>
      </w:r>
      <w:r w:rsidRPr="00C24641">
        <w:t>We implement the S</w:t>
      </w:r>
      <w:r>
        <w:t>harpe-</w:t>
      </w:r>
      <w:r w:rsidRPr="00C24641">
        <w:t>L</w:t>
      </w:r>
      <w:r>
        <w:t xml:space="preserve">intner </w:t>
      </w:r>
      <w:r w:rsidRPr="00C24641">
        <w:t>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056">
    <w:p w:rsidR="006345FD" w:rsidRDefault="006345FD" w:rsidP="00AC3F76">
      <w:pPr>
        <w:pStyle w:val="FootnoteText"/>
      </w:pPr>
      <w:r>
        <w:rPr>
          <w:rStyle w:val="FootnoteReference"/>
        </w:rPr>
        <w:footnoteRef/>
      </w:r>
      <w:r>
        <w:t xml:space="preserve"> </w:t>
      </w:r>
      <w:r>
        <w:tab/>
        <w:t xml:space="preserve">See </w:t>
      </w:r>
      <w:r w:rsidRPr="00C24641">
        <w:t xml:space="preserve">Handley, </w:t>
      </w:r>
      <w:r w:rsidRPr="00C24641">
        <w:rPr>
          <w:rStyle w:val="AERtextitalic"/>
        </w:rPr>
        <w:t>Advice on the return on equity</w:t>
      </w:r>
      <w:r>
        <w:t xml:space="preserve">, October 2014, p. 24; Partington and Satchell, </w:t>
      </w:r>
      <w:r w:rsidRPr="00F151A8">
        <w:rPr>
          <w:rStyle w:val="AERtextitalic"/>
        </w:rPr>
        <w:t>Report to the AER: Cost of equity issues</w:t>
      </w:r>
      <w:r>
        <w:rPr>
          <w:rStyle w:val="AERtextitalic"/>
        </w:rPr>
        <w:t xml:space="preserve"> 2016 electricity and gas determinations</w:t>
      </w:r>
      <w:r>
        <w:t>, April 2016, p. 16.</w:t>
      </w:r>
    </w:p>
  </w:footnote>
  <w:footnote w:id="1057">
    <w:p w:rsidR="006345FD" w:rsidRDefault="006345FD" w:rsidP="00AC3F76">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058">
    <w:p w:rsidR="006345FD" w:rsidRDefault="006345FD" w:rsidP="00AC3F76">
      <w:pPr>
        <w:pStyle w:val="FootnoteText"/>
      </w:pPr>
      <w:r>
        <w:rPr>
          <w:rStyle w:val="FootnoteReference"/>
        </w:rPr>
        <w:footnoteRef/>
      </w:r>
      <w:r>
        <w:t xml:space="preserve"> </w:t>
      </w:r>
      <w:r>
        <w:tab/>
        <w:t xml:space="preserve">This is supported by Handley and Partington and Satchell. See </w:t>
      </w:r>
      <w:r w:rsidRPr="00C24641">
        <w:t xml:space="preserve">Handley, </w:t>
      </w:r>
      <w:r w:rsidRPr="00C24641">
        <w:rPr>
          <w:rStyle w:val="AERtextitalic"/>
        </w:rPr>
        <w:t>Advice on the return on equity</w:t>
      </w:r>
      <w:r w:rsidRPr="00C24641">
        <w:t>, October 2014, pp. 23–24</w:t>
      </w:r>
      <w:r>
        <w:t xml:space="preserve">; Partington and Satchell, </w:t>
      </w:r>
      <w:r w:rsidRPr="00F151A8">
        <w:rPr>
          <w:rStyle w:val="AERtextitalic"/>
        </w:rPr>
        <w:t>Report to the AER: Cost of equity issues</w:t>
      </w:r>
      <w:r>
        <w:rPr>
          <w:rStyle w:val="AERtextitalic"/>
        </w:rPr>
        <w:t xml:space="preserve"> 2016 electricity and gas determinations</w:t>
      </w:r>
      <w:r>
        <w:t>, April 2016, p. 16</w:t>
      </w:r>
      <w:r w:rsidRPr="00C24641">
        <w:t>.</w:t>
      </w:r>
      <w:r w:rsidRPr="00D21D59">
        <w:t xml:space="preserve"> </w:t>
      </w:r>
      <w:r>
        <w:t xml:space="preserve">In his May 2015 report, Handley concluded that he does not consider it necessary to change any of the findings in his earlier (2014) report. See: Handley, </w:t>
      </w:r>
      <w:r w:rsidRPr="005E55CC">
        <w:rPr>
          <w:rStyle w:val="AERtextitalic"/>
        </w:rPr>
        <w:t>Advice on the rate of return for the 2015 AER energy network determination for Jemena Gas Networks</w:t>
      </w:r>
      <w:r>
        <w:t>, 20 May 2015, p. 28.</w:t>
      </w:r>
    </w:p>
  </w:footnote>
  <w:footnote w:id="1059">
    <w:p w:rsidR="006345FD" w:rsidRDefault="006345FD" w:rsidP="00AC3F76">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r w:rsidRPr="006C31CF">
        <w:t xml:space="preserve"> </w:t>
      </w:r>
    </w:p>
  </w:footnote>
  <w:footnote w:id="1060">
    <w:p w:rsidR="006345FD" w:rsidRDefault="006345FD" w:rsidP="00AC3F76">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061">
    <w:p w:rsidR="006345FD" w:rsidRDefault="006345FD" w:rsidP="00AC3F76">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062">
    <w:p w:rsidR="006345FD" w:rsidRDefault="006345FD" w:rsidP="00AC3F76">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063">
    <w:p w:rsidR="006345FD" w:rsidRDefault="006345FD" w:rsidP="00AC3F76">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064">
    <w:p w:rsidR="006345FD" w:rsidRDefault="006345FD" w:rsidP="00AC3F76">
      <w:pPr>
        <w:pStyle w:val="FootnoteText"/>
      </w:pPr>
      <w:r>
        <w:rPr>
          <w:rStyle w:val="FootnoteReference"/>
        </w:rPr>
        <w:footnoteRef/>
      </w:r>
      <w:r>
        <w:t xml:space="preserve"> </w:t>
      </w:r>
      <w:r>
        <w:tab/>
        <w:t xml:space="preserve">SFG, </w:t>
      </w:r>
      <w:r w:rsidRPr="00227F2F">
        <w:rPr>
          <w:rStyle w:val="AERtextitalic"/>
        </w:rPr>
        <w:t>Equity beta</w:t>
      </w:r>
      <w:r>
        <w:t xml:space="preserve">, May 2014, p. 28–31; CEG, </w:t>
      </w:r>
      <w:r w:rsidRPr="00EC4716">
        <w:rPr>
          <w:rStyle w:val="AERtextitalic"/>
        </w:rPr>
        <w:t>WACC estimates</w:t>
      </w:r>
      <w:r>
        <w:t xml:space="preserve">, May 2014, pp. 7–10; SFG, </w:t>
      </w:r>
      <w:r w:rsidRPr="0082349C">
        <w:rPr>
          <w:rStyle w:val="AERtextitalic"/>
        </w:rPr>
        <w:t>Beta and the Black capital asset pricing model</w:t>
      </w:r>
      <w:r>
        <w:t xml:space="preserve">, February 2015, pp. 10–12;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January 2016, pp. 13–19.</w:t>
      </w:r>
    </w:p>
  </w:footnote>
  <w:footnote w:id="1065">
    <w:p w:rsidR="006345FD" w:rsidRDefault="006345FD" w:rsidP="00AC3F76">
      <w:pPr>
        <w:pStyle w:val="FootnoteText"/>
      </w:pPr>
      <w:r>
        <w:rPr>
          <w:rStyle w:val="FootnoteReference"/>
        </w:rPr>
        <w:footnoteRef/>
      </w:r>
      <w:r>
        <w:t xml:space="preserve"> </w:t>
      </w:r>
      <w:r>
        <w:tab/>
        <w:t xml:space="preserve">SFG, </w:t>
      </w:r>
      <w:r w:rsidRPr="003812DC">
        <w:rPr>
          <w:rStyle w:val="AERtextitalic"/>
        </w:rPr>
        <w:t>Equity beta</w:t>
      </w:r>
      <w:r>
        <w:t xml:space="preserve">, May 2014, pp. 31–34, 40; CEG, </w:t>
      </w:r>
      <w:r w:rsidRPr="00EC4716">
        <w:rPr>
          <w:rStyle w:val="AERtextitalic"/>
        </w:rPr>
        <w:t>WACC estimates</w:t>
      </w:r>
      <w:r>
        <w:t xml:space="preserve">, May 2014, pp. 8–10; CEG, </w:t>
      </w:r>
      <w:r w:rsidRPr="00E8797D">
        <w:rPr>
          <w:rStyle w:val="AERtextitalic"/>
        </w:rPr>
        <w:t>Estimating the cost of equity, equity beta and MRP</w:t>
      </w:r>
      <w:r>
        <w:t xml:space="preserve">, January 2015, pp. 33–34; Frontier, </w:t>
      </w:r>
      <w:r w:rsidRPr="00EC4716">
        <w:rPr>
          <w:rStyle w:val="AERtextitalic"/>
        </w:rPr>
        <w:t>Estimating the equity beta for the benchmark efficient entity</w:t>
      </w:r>
      <w:r>
        <w:t xml:space="preserve">, January 2016, pp. 29–31; Frontier Economics, </w:t>
      </w:r>
      <w:r>
        <w:rPr>
          <w:rStyle w:val="AERtextitalic"/>
        </w:rPr>
        <w:t>The required return on equity under a foundation model approach</w:t>
      </w:r>
      <w:r>
        <w:t>, January 2016, p. 44.</w:t>
      </w:r>
    </w:p>
  </w:footnote>
  <w:footnote w:id="1066">
    <w:p w:rsidR="006345FD" w:rsidRDefault="006345FD" w:rsidP="00AC3F76">
      <w:pPr>
        <w:pStyle w:val="FootnoteText"/>
      </w:pPr>
      <w:r>
        <w:rPr>
          <w:rStyle w:val="FootnoteReference"/>
        </w:rPr>
        <w:footnoteRef/>
      </w:r>
      <w:r>
        <w:t xml:space="preserve"> </w:t>
      </w:r>
      <w:r>
        <w:tab/>
        <w:t xml:space="preserve">Nor do we consider </w:t>
      </w:r>
      <w:r w:rsidRPr="00872992">
        <w:t>our Australian empirical equity beta estimates are unreliable</w:t>
      </w:r>
      <w:r>
        <w:t xml:space="preserve"> (see section </w:t>
      </w:r>
      <w:r>
        <w:fldChar w:fldCharType="begin"/>
      </w:r>
      <w:r>
        <w:instrText xml:space="preserve"> REF _Ref446254453 \r \h </w:instrText>
      </w:r>
      <w:r>
        <w:fldChar w:fldCharType="separate"/>
      </w:r>
      <w:r>
        <w:t>G.4.2</w:t>
      </w:r>
      <w:r>
        <w:fldChar w:fldCharType="end"/>
      </w:r>
      <w:r>
        <w:t>)</w:t>
      </w:r>
      <w:r w:rsidRPr="00872992">
        <w:t>.</w:t>
      </w:r>
    </w:p>
  </w:footnote>
  <w:footnote w:id="1067">
    <w:p w:rsidR="006345FD" w:rsidRDefault="006345FD" w:rsidP="00AC3F76">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068">
    <w:p w:rsidR="006345FD" w:rsidRDefault="006345FD" w:rsidP="00AC3F76">
      <w:pPr>
        <w:pStyle w:val="FootnoteText"/>
      </w:pPr>
      <w:r>
        <w:rPr>
          <w:rStyle w:val="FootnoteReference"/>
        </w:rPr>
        <w:footnoteRef/>
      </w:r>
      <w:r>
        <w:t xml:space="preserve"> </w:t>
      </w:r>
      <w:r>
        <w:tab/>
        <w:t xml:space="preserve">See, for example, AER, </w:t>
      </w:r>
      <w:r w:rsidRPr="00834892">
        <w:rPr>
          <w:rStyle w:val="AERtextitalic"/>
        </w:rPr>
        <w:t>Preliminary decision: CitiPower determination 2016 to 2020—Attachment 3: Rate of return</w:t>
      </w:r>
      <w:r>
        <w:t>, October 2015, section D.2.1 (under the heading 'International comparators').</w:t>
      </w:r>
    </w:p>
  </w:footnote>
  <w:footnote w:id="1069">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15–16.</w:t>
      </w:r>
    </w:p>
  </w:footnote>
  <w:footnote w:id="1070">
    <w:p w:rsidR="006345FD" w:rsidRDefault="006345FD" w:rsidP="00AC3F76">
      <w:pPr>
        <w:pStyle w:val="FootnoteText"/>
      </w:pPr>
      <w:r>
        <w:rPr>
          <w:rStyle w:val="FootnoteReference"/>
        </w:rPr>
        <w:footnoteRef/>
      </w:r>
      <w:r>
        <w:t xml:space="preserve"> </w:t>
      </w:r>
      <w:r>
        <w:tab/>
        <w:t xml:space="preserve">See, for example, </w:t>
      </w:r>
      <w:r w:rsidRPr="004D154B">
        <w:t>Origin Energy</w:t>
      </w:r>
      <w:r w:rsidRPr="00B67295">
        <w:rPr>
          <w:rStyle w:val="AERtextitalic"/>
        </w:rPr>
        <w:t xml:space="preserve">, Submission to </w:t>
      </w:r>
      <w:r>
        <w:rPr>
          <w:rStyle w:val="AERtextitalic"/>
        </w:rPr>
        <w:t>Victorian electricity distributors' regulatory proposals</w:t>
      </w:r>
      <w:r w:rsidRPr="004D154B">
        <w:t>, 3 July 2015</w:t>
      </w:r>
      <w:r>
        <w:t xml:space="preserve">, pp. 10–11. Also see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071">
    <w:p w:rsidR="006345FD" w:rsidRDefault="006345FD" w:rsidP="00AC3F76">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t>, August 2015, pp. 70–71.</w:t>
      </w:r>
    </w:p>
  </w:footnote>
  <w:footnote w:id="1072">
    <w:p w:rsidR="006345FD" w:rsidRDefault="006345FD" w:rsidP="00AC3F76">
      <w:pPr>
        <w:pStyle w:val="FootnoteText"/>
      </w:pPr>
      <w:r>
        <w:rPr>
          <w:rStyle w:val="FootnoteReference"/>
        </w:rPr>
        <w:footnoteRef/>
      </w:r>
      <w:r>
        <w:t xml:space="preserve"> </w:t>
      </w:r>
      <w:r>
        <w:tab/>
        <w:t xml:space="preserve">Frontier Economics also proposed international energy firms be included. See: Frontier Economics, </w:t>
      </w:r>
      <w:r>
        <w:rPr>
          <w:rStyle w:val="AERtextitalic"/>
        </w:rPr>
        <w:t>Estimating the equity beta for the benchmark efficient entity</w:t>
      </w:r>
      <w:r>
        <w:t>, January 2016, pp. 2–3.</w:t>
      </w:r>
    </w:p>
  </w:footnote>
  <w:footnote w:id="1073">
    <w:p w:rsidR="006345FD" w:rsidRDefault="006345FD" w:rsidP="00AC3F76">
      <w:pPr>
        <w:pStyle w:val="FootnoteText"/>
      </w:pPr>
      <w:r>
        <w:rPr>
          <w:rStyle w:val="FootnoteReference"/>
        </w:rPr>
        <w:footnoteRef/>
      </w:r>
      <w:r>
        <w:t xml:space="preserve"> </w:t>
      </w:r>
      <w:r>
        <w:tab/>
        <w:t xml:space="preserve">Although it excluded two of these from its analysis because they have been engaged in merger activity (see Frontier Economics, </w:t>
      </w:r>
      <w:r>
        <w:rPr>
          <w:rStyle w:val="AERtextitalic"/>
        </w:rPr>
        <w:t>Estimating the equity beta for the benchmark efficient entity</w:t>
      </w:r>
      <w:r>
        <w:t>, January 2016, p. 21).</w:t>
      </w:r>
    </w:p>
  </w:footnote>
  <w:footnote w:id="1074">
    <w:p w:rsidR="006345FD" w:rsidRDefault="006345FD" w:rsidP="00AC3F76">
      <w:pPr>
        <w:pStyle w:val="FootnoteText"/>
      </w:pPr>
      <w:r>
        <w:rPr>
          <w:rStyle w:val="FootnoteReference"/>
        </w:rPr>
        <w:footnoteRef/>
      </w:r>
      <w:r>
        <w:t xml:space="preserve"> </w:t>
      </w:r>
      <w:r>
        <w:tab/>
        <w:t xml:space="preserve">Specifically, Frontier considered the average and portfolio estimates (10 year rolling beta estimates) are more stable over time and have tighter confidence intervals (see Frontier Economics, </w:t>
      </w:r>
      <w:r>
        <w:rPr>
          <w:rStyle w:val="AERtextitalic"/>
        </w:rPr>
        <w:t>Estimating the equity beta for the benchmark efficient entity</w:t>
      </w:r>
      <w:r>
        <w:t xml:space="preserve">, January 2016, p. 24–25, 31–33). We respond to this in section </w:t>
      </w:r>
      <w:r>
        <w:fldChar w:fldCharType="begin"/>
      </w:r>
      <w:r>
        <w:instrText xml:space="preserve"> REF _Ref446254453 \r \h </w:instrText>
      </w:r>
      <w:r>
        <w:fldChar w:fldCharType="separate"/>
      </w:r>
      <w:r>
        <w:t>G.4.2</w:t>
      </w:r>
      <w:r>
        <w:fldChar w:fldCharType="end"/>
      </w:r>
      <w:r>
        <w:t>.</w:t>
      </w:r>
    </w:p>
  </w:footnote>
  <w:footnote w:id="1075">
    <w:p w:rsidR="006345FD" w:rsidRDefault="006345FD" w:rsidP="00AC3F76">
      <w:pPr>
        <w:pStyle w:val="FootnoteText"/>
      </w:pPr>
      <w:r>
        <w:rPr>
          <w:rStyle w:val="FootnoteReference"/>
        </w:rPr>
        <w:footnoteRef/>
      </w:r>
      <w:r>
        <w:t xml:space="preserve"> </w:t>
      </w:r>
      <w:r>
        <w:tab/>
        <w:t>That is, the National Electricity Law and Rules, and the National Gas Law and Rules.</w:t>
      </w:r>
    </w:p>
  </w:footnote>
  <w:footnote w:id="1076">
    <w:p w:rsidR="006345FD" w:rsidRDefault="006345FD" w:rsidP="00AC3F76">
      <w:pPr>
        <w:pStyle w:val="FootnoteText"/>
      </w:pPr>
      <w:r>
        <w:rPr>
          <w:rStyle w:val="FootnoteReference"/>
        </w:rPr>
        <w:footnoteRef/>
      </w:r>
      <w:r>
        <w:t xml:space="preserve"> </w:t>
      </w:r>
      <w:r>
        <w:tab/>
        <w:t xml:space="preserve">For example, Sydney Airport and Transurban are listed infrastructure firms that are not subject to direct price/revenue regulation. Sydney Airport is subject only to price and quality monitoring by the ACCC (see Department of Infrastructure and Regional Development, </w:t>
      </w:r>
      <w:r w:rsidRPr="00CB3D02">
        <w:rPr>
          <w:rStyle w:val="AERtextitalic"/>
        </w:rPr>
        <w:t>Economic regulation</w:t>
      </w:r>
      <w:r>
        <w:t>, last updated 12 June 2014, viewed 23 February 2016,</w:t>
      </w:r>
      <w:r w:rsidRPr="00CB3D02">
        <w:t xml:space="preserve"> </w:t>
      </w:r>
      <w:hyperlink r:id="rId16" w:history="1">
        <w:r w:rsidRPr="00C20D81">
          <w:rPr>
            <w:rStyle w:val="Hyperlink"/>
            <w:sz w:val="16"/>
          </w:rPr>
          <w:t>https://infrastructure.gov.au/aviation/airport/airport_economic_regulation/economic_regulation.aspx</w:t>
        </w:r>
      </w:hyperlink>
      <w:r>
        <w:t>). 79% of Transurban's assets are concession assets, 'r</w:t>
      </w:r>
      <w:r w:rsidRPr="005C7A81">
        <w:t>epresenting the</w:t>
      </w:r>
      <w:r>
        <w:t xml:space="preserve"> </w:t>
      </w:r>
      <w:r w:rsidRPr="005C7A81">
        <w:t>provision by Government entities for the right to toll customers for the use of the assets</w:t>
      </w:r>
      <w:r>
        <w:t xml:space="preserve">' (see Transurban, </w:t>
      </w:r>
      <w:r w:rsidRPr="00CB3D02">
        <w:rPr>
          <w:rStyle w:val="AERtextitalic"/>
        </w:rPr>
        <w:t>2015 Transurban annual report</w:t>
      </w:r>
      <w:r>
        <w:t xml:space="preserve"> (for the year ended 30 June 2015), p. 11)</w:t>
      </w:r>
      <w:r w:rsidRPr="005C7A81">
        <w:t>.</w:t>
      </w:r>
      <w:r>
        <w:t xml:space="preserve"> Both of these types of regulation are very different to direct price/revenue cap regulation.</w:t>
      </w:r>
    </w:p>
  </w:footnote>
  <w:footnote w:id="1077">
    <w:p w:rsidR="006345FD" w:rsidRDefault="006345FD" w:rsidP="00AC3F76">
      <w:pPr>
        <w:pStyle w:val="FootnoteText"/>
      </w:pPr>
      <w:r>
        <w:rPr>
          <w:rStyle w:val="FootnoteReference"/>
        </w:rPr>
        <w:footnoteRef/>
      </w:r>
      <w:r>
        <w:t xml:space="preserve"> </w:t>
      </w:r>
      <w:r>
        <w:tab/>
        <w:t xml:space="preserve">For example, Telstra provides a range of services, categorised into segments such as Telstra Retail, Global Enterprise and Services, Telstra Wholesale and Telstra Operations. See Telstra, </w:t>
      </w:r>
      <w:r w:rsidRPr="00947538">
        <w:rPr>
          <w:rStyle w:val="AERtextitalic"/>
        </w:rPr>
        <w:t>Our brilliant connected future: Telstra annual report 2015</w:t>
      </w:r>
      <w:r>
        <w:t xml:space="preserve">, pp. 21–22. </w:t>
      </w:r>
    </w:p>
  </w:footnote>
  <w:footnote w:id="1078">
    <w:p w:rsidR="006345FD" w:rsidRDefault="006345FD" w:rsidP="00AC3F76">
      <w:pPr>
        <w:pStyle w:val="FootnoteText"/>
      </w:pPr>
      <w:r>
        <w:rPr>
          <w:rStyle w:val="FootnoteReference"/>
        </w:rPr>
        <w:footnoteRef/>
      </w:r>
      <w:r>
        <w:t xml:space="preserve"> </w:t>
      </w:r>
      <w:r>
        <w:tab/>
        <w:t xml:space="preserve">The Kolmogorov-Smirnov test </w:t>
      </w:r>
      <w:r w:rsidRPr="00AF3698">
        <w:t xml:space="preserve">tests whether two samples have the same distribution function; and </w:t>
      </w:r>
      <w:r>
        <w:t>the</w:t>
      </w:r>
      <w:r w:rsidRPr="00AF3698">
        <w:t xml:space="preserve"> t-test tests whether two samples come from populations that have the same mean</w:t>
      </w:r>
      <w:r>
        <w:t xml:space="preserve">. See Frontier Economics, </w:t>
      </w:r>
      <w:r>
        <w:rPr>
          <w:rStyle w:val="AERtextitalic"/>
        </w:rPr>
        <w:t>Estimating the equity beta for the benchmark efficient entity</w:t>
      </w:r>
      <w:r>
        <w:t>, January 2016, p. 7.</w:t>
      </w:r>
    </w:p>
  </w:footnote>
  <w:footnote w:id="1079">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pp. 22–24, 29–31.</w:t>
      </w:r>
    </w:p>
  </w:footnote>
  <w:footnote w:id="1080">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13.</w:t>
      </w:r>
    </w:p>
  </w:footnote>
  <w:footnote w:id="1081">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pp. 13–14.</w:t>
      </w:r>
    </w:p>
  </w:footnote>
  <w:footnote w:id="1082">
    <w:p w:rsidR="006345FD" w:rsidRDefault="006345FD" w:rsidP="00AC3F76">
      <w:pPr>
        <w:pStyle w:val="FootnoteText"/>
      </w:pPr>
      <w:r>
        <w:rPr>
          <w:rStyle w:val="FootnoteReference"/>
        </w:rPr>
        <w:footnoteRef/>
      </w:r>
      <w:r>
        <w:t xml:space="preserve"> </w:t>
      </w:r>
      <w:r>
        <w:tab/>
        <w:t xml:space="preserve">Partington and Satchell, </w:t>
      </w:r>
      <w:r w:rsidRPr="00F151A8">
        <w:rPr>
          <w:rStyle w:val="AERtextitalic"/>
        </w:rPr>
        <w:t>Report to the AER: Cost of equity issues</w:t>
      </w:r>
      <w:r>
        <w:rPr>
          <w:rStyle w:val="AERtextitalic"/>
        </w:rPr>
        <w:t xml:space="preserve"> 2016 electricity and gas determinations</w:t>
      </w:r>
      <w:r>
        <w:t>, April 2016, p. 15.</w:t>
      </w:r>
    </w:p>
  </w:footnote>
  <w:footnote w:id="1083">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31 (Table 11).</w:t>
      </w:r>
    </w:p>
  </w:footnote>
  <w:footnote w:id="1084">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20.</w:t>
      </w:r>
    </w:p>
  </w:footnote>
  <w:footnote w:id="1085">
    <w:p w:rsidR="006345FD" w:rsidRDefault="006345FD" w:rsidP="00AC3F76">
      <w:pPr>
        <w:pStyle w:val="FootnoteText"/>
      </w:pPr>
      <w:r>
        <w:rPr>
          <w:rStyle w:val="FootnoteReference"/>
        </w:rPr>
        <w:footnoteRef/>
      </w:r>
      <w:r>
        <w:t xml:space="preserve"> </w:t>
      </w:r>
      <w:r>
        <w:tab/>
        <w:t xml:space="preserve">Frontier Economics, </w:t>
      </w:r>
      <w:r>
        <w:rPr>
          <w:rStyle w:val="AERtextitalic"/>
        </w:rPr>
        <w:t>Estimating the equity beta for the benchmark efficient entity</w:t>
      </w:r>
      <w:r>
        <w:t>, January 2016, p. 34.</w:t>
      </w:r>
    </w:p>
  </w:footnote>
  <w:footnote w:id="1086">
    <w:p w:rsidR="006345FD" w:rsidRDefault="006345FD" w:rsidP="00AC3F76">
      <w:pPr>
        <w:pStyle w:val="FootnoteText"/>
      </w:pPr>
      <w:r>
        <w:rPr>
          <w:rStyle w:val="FootnoteReference"/>
        </w:rPr>
        <w:footnoteRef/>
      </w:r>
      <w:r>
        <w:t xml:space="preserve"> </w:t>
      </w:r>
      <w:r>
        <w:tab/>
        <w:t xml:space="preserve">See Frontier Economics, </w:t>
      </w:r>
      <w:r>
        <w:rPr>
          <w:rStyle w:val="AERtextitalic"/>
        </w:rPr>
        <w:t>Estimating the equity beta for the benchmark efficient entity</w:t>
      </w:r>
      <w:r>
        <w:t>, January 2016, p. 21. This range is based on the raw and re-levered estimates presented in this report and excludes Asciano and Qube (as Frontier does).</w:t>
      </w:r>
    </w:p>
  </w:footnote>
  <w:footnote w:id="1087">
    <w:p w:rsidR="006345FD" w:rsidRDefault="006345FD" w:rsidP="0070344D">
      <w:pPr>
        <w:pStyle w:val="FootnoteText"/>
      </w:pPr>
      <w:r>
        <w:rPr>
          <w:rStyle w:val="FootnoteReference"/>
        </w:rPr>
        <w:footnoteRef/>
      </w:r>
      <w:r>
        <w:t xml:space="preserve"> </w:t>
      </w:r>
      <w:r>
        <w:tab/>
        <w:t>For clarity, that is 100% of the base rate and DRP components of the allowed return on debt.</w:t>
      </w:r>
    </w:p>
  </w:footnote>
  <w:footnote w:id="1088">
    <w:p w:rsidR="006345FD" w:rsidRDefault="006345FD" w:rsidP="0070344D">
      <w:pPr>
        <w:pStyle w:val="FootnoteText"/>
      </w:pPr>
      <w:r>
        <w:rPr>
          <w:rStyle w:val="FootnoteReference"/>
        </w:rPr>
        <w:footnoteRef/>
      </w:r>
      <w:r>
        <w:t xml:space="preserve"> </w:t>
      </w:r>
      <w:r>
        <w:tab/>
        <w:t>The service providers referred to are Australian Gas Networks (AGN), ActewAGL gas distribution, APTNT, Jemena Electricity Networks (JEN), United Energy, AusNet Services, CitiPower and Powercor.</w:t>
      </w:r>
    </w:p>
  </w:footnote>
  <w:footnote w:id="1089">
    <w:p w:rsidR="006345FD" w:rsidRDefault="006345FD" w:rsidP="0070344D">
      <w:pPr>
        <w:pStyle w:val="FootnoteText"/>
      </w:pPr>
      <w:r>
        <w:rPr>
          <w:rStyle w:val="FootnoteReference"/>
        </w:rPr>
        <w:footnoteRef/>
      </w:r>
      <w:r>
        <w:t xml:space="preserve"> </w:t>
      </w:r>
      <w:r>
        <w:tab/>
        <w:t xml:space="preserve">CEG, </w:t>
      </w:r>
      <w:r w:rsidRPr="006A6F9F">
        <w:rPr>
          <w:rStyle w:val="AERtextitalic"/>
        </w:rPr>
        <w:t>Critique of the AER's approach to transition</w:t>
      </w:r>
      <w:r>
        <w:t>, January 2016.</w:t>
      </w:r>
    </w:p>
  </w:footnote>
  <w:footnote w:id="1090">
    <w:p w:rsidR="006345FD" w:rsidRDefault="006345FD" w:rsidP="0070344D">
      <w:pPr>
        <w:pStyle w:val="FootnoteText"/>
      </w:pPr>
      <w:r>
        <w:rPr>
          <w:rStyle w:val="FootnoteReference"/>
        </w:rPr>
        <w:footnoteRef/>
      </w:r>
      <w:r>
        <w:t xml:space="preserve"> </w:t>
      </w:r>
      <w:r>
        <w:tab/>
        <w:t>NER, cl. 6.5.2(c); NER, cl. 6A.6.2(c); NGR, r. 87(3).</w:t>
      </w:r>
    </w:p>
  </w:footnote>
  <w:footnote w:id="1091">
    <w:p w:rsidR="006345FD" w:rsidRDefault="006345FD" w:rsidP="0070344D">
      <w:pPr>
        <w:pStyle w:val="FootnoteText"/>
      </w:pPr>
      <w:r>
        <w:rPr>
          <w:rStyle w:val="FootnoteReference"/>
        </w:rPr>
        <w:footnoteRef/>
      </w:r>
      <w:r>
        <w:t xml:space="preserve"> </w:t>
      </w:r>
      <w:r>
        <w:tab/>
        <w:t xml:space="preserve">See Productivity Commission, </w:t>
      </w:r>
      <w:r w:rsidRPr="00B814E2">
        <w:rPr>
          <w:rStyle w:val="AERtextitalic"/>
        </w:rPr>
        <w:t>On efficiency and effectiveness: Some definitions</w:t>
      </w:r>
      <w:r>
        <w:t>, May 2013, p. 3</w:t>
      </w:r>
    </w:p>
  </w:footnote>
  <w:footnote w:id="1092">
    <w:p w:rsidR="006345FD" w:rsidRDefault="006345FD" w:rsidP="0070344D">
      <w:pPr>
        <w:pStyle w:val="FootnoteText"/>
      </w:pPr>
      <w:r>
        <w:rPr>
          <w:rStyle w:val="FootnoteReference"/>
        </w:rPr>
        <w:footnoteRef/>
      </w:r>
      <w:r>
        <w:t xml:space="preserve"> </w:t>
      </w:r>
      <w:r>
        <w:tab/>
        <w:t xml:space="preserve">We have previously discussed this in AER, </w:t>
      </w:r>
      <w:r w:rsidRPr="006757DF">
        <w:rPr>
          <w:rStyle w:val="AERtextitalic"/>
        </w:rPr>
        <w:t>Better regulation: Rate of return guidelines consultation paper</w:t>
      </w:r>
      <w:r>
        <w:t>, May 2013, pp. 75</w:t>
      </w:r>
      <w:r>
        <w:rPr>
          <w:rFonts w:cs="Arial"/>
        </w:rPr>
        <w:t>–</w:t>
      </w:r>
      <w:r>
        <w:t>6.</w:t>
      </w:r>
    </w:p>
  </w:footnote>
  <w:footnote w:id="1093">
    <w:p w:rsidR="006345FD" w:rsidRDefault="006345FD" w:rsidP="0070344D">
      <w:pPr>
        <w:pStyle w:val="FootnoteText"/>
      </w:pPr>
      <w:r>
        <w:rPr>
          <w:rStyle w:val="FootnoteReference"/>
        </w:rPr>
        <w:footnoteRef/>
      </w:r>
      <w:r>
        <w:t xml:space="preserve"> </w:t>
      </w:r>
      <w:r>
        <w:tab/>
        <w:t>We note the cost of debt (from a firm's perspective) is also known as investors' required rate of return on debt (from an investors' perspective).</w:t>
      </w:r>
    </w:p>
  </w:footnote>
  <w:footnote w:id="1094">
    <w:p w:rsidR="006345FD" w:rsidRDefault="006345FD" w:rsidP="0070344D">
      <w:pPr>
        <w:pStyle w:val="FootnoteText"/>
      </w:pPr>
      <w:r>
        <w:rPr>
          <w:rStyle w:val="FootnoteReference"/>
        </w:rPr>
        <w:footnoteRef/>
      </w:r>
      <w:r>
        <w:t xml:space="preserve"> </w:t>
      </w:r>
      <w:r>
        <w:tab/>
      </w:r>
      <w:r w:rsidRPr="00EE36F1">
        <w:t>Kahn</w:t>
      </w:r>
      <w:r>
        <w:t>, A.E.</w:t>
      </w:r>
      <w:r w:rsidRPr="00EE36F1">
        <w:t xml:space="preserve">, </w:t>
      </w:r>
      <w:r>
        <w:t>'The economics of regulation: Principles and institutions', The MIT Press, Massachusetts, 1988</w:t>
      </w:r>
      <w:r w:rsidRPr="00EE36F1">
        <w:t>, p. 45.</w:t>
      </w:r>
    </w:p>
  </w:footnote>
  <w:footnote w:id="1095">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096">
    <w:p w:rsidR="006345FD" w:rsidRDefault="006345FD" w:rsidP="0070344D">
      <w:pPr>
        <w:pStyle w:val="FootnoteText"/>
      </w:pPr>
      <w:r>
        <w:rPr>
          <w:rStyle w:val="FootnoteReference"/>
        </w:rPr>
        <w:footnoteRef/>
      </w:r>
      <w:r>
        <w:t xml:space="preserve"> </w:t>
      </w:r>
      <w:r>
        <w:tab/>
      </w:r>
      <w:r w:rsidRPr="005F51BE">
        <w:t xml:space="preserve">However, </w:t>
      </w:r>
      <w:r>
        <w:t>Partington and Satchell</w:t>
      </w:r>
      <w:r w:rsidRPr="005F51BE">
        <w:t xml:space="preserve"> note the yield to maturity overstates the (expected) opportunity cost of risky debt because it is based on the promised return</w:t>
      </w:r>
      <w:r>
        <w:t xml:space="preserve">, which exceeds the expected return on risky debt (due to default risk). See Partington, G., Satchell, S., </w:t>
      </w:r>
      <w:r w:rsidRPr="00D001FE">
        <w:rPr>
          <w:rStyle w:val="AERtextitalic"/>
        </w:rPr>
        <w:t>Report to the AER: Discussion of the allowed cost of</w:t>
      </w:r>
      <w:r>
        <w:t xml:space="preserve"> </w:t>
      </w:r>
      <w:r w:rsidRPr="00D001FE">
        <w:rPr>
          <w:rStyle w:val="AERtextitalic"/>
        </w:rPr>
        <w:t>debt</w:t>
      </w:r>
      <w:r>
        <w:t>, 5 May 2016, p. 28.</w:t>
      </w:r>
    </w:p>
  </w:footnote>
  <w:footnote w:id="1097">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31.</w:t>
      </w:r>
    </w:p>
  </w:footnote>
  <w:footnote w:id="1098">
    <w:p w:rsidR="006345FD" w:rsidRDefault="006345FD" w:rsidP="0070344D">
      <w:pPr>
        <w:pStyle w:val="FootnoteText"/>
      </w:pPr>
      <w:r>
        <w:rPr>
          <w:rStyle w:val="FootnoteReference"/>
        </w:rPr>
        <w:footnoteRef/>
      </w:r>
      <w:r>
        <w:t xml:space="preserve"> </w:t>
      </w:r>
      <w:r>
        <w:tab/>
        <w:t>The NEO is to 'promote</w:t>
      </w:r>
      <w:r w:rsidRPr="00ED7222">
        <w:t xml:space="preserve"> efficient investment in,</w:t>
      </w:r>
      <w:r>
        <w:t xml:space="preserve"> and</w:t>
      </w:r>
      <w:r w:rsidRPr="00ED7222">
        <w:t xml:space="preserve"> </w:t>
      </w:r>
      <w:r>
        <w:t xml:space="preserve">efficient </w:t>
      </w:r>
      <w:r w:rsidRPr="00ED7222">
        <w:t>operation and use of</w:t>
      </w:r>
      <w:r>
        <w:t>,</w:t>
      </w:r>
      <w:r w:rsidRPr="00ED7222">
        <w:t xml:space="preserve"> electricity services for the long term interests of consumers</w:t>
      </w:r>
      <w:r>
        <w:t xml:space="preserve"> of electricity  with respect to - (a) price, quality, safety, reliability and security of supply of electricity; and (b) the reliability, safety and security of the national electricity system'. Similarly the NGO is to '</w:t>
      </w:r>
      <w:r w:rsidRPr="00ED7222">
        <w:t>promote efficient investment in, and efficient operation and use of natural gas services for the long term interest of consumers of natural gas with respect to price, quality, safety, reliability and security of supply of natural gas</w:t>
      </w:r>
      <w:r>
        <w:t>'.</w:t>
      </w:r>
    </w:p>
  </w:footnote>
  <w:footnote w:id="1099">
    <w:p w:rsidR="006345FD" w:rsidRDefault="006345FD" w:rsidP="0070344D">
      <w:pPr>
        <w:pStyle w:val="FootnoteText"/>
      </w:pPr>
      <w:r>
        <w:rPr>
          <w:rStyle w:val="FootnoteReference"/>
        </w:rPr>
        <w:footnoteRef/>
      </w:r>
      <w:r>
        <w:t xml:space="preserve"> </w:t>
      </w:r>
      <w:r>
        <w:tab/>
        <w:t xml:space="preserve">AER, </w:t>
      </w:r>
      <w:r w:rsidRPr="005C3E8E">
        <w:rPr>
          <w:rStyle w:val="AERtextitalic"/>
        </w:rPr>
        <w:t>Better regulation: Rate of return guideline</w:t>
      </w:r>
      <w:r>
        <w:t>, December 2013, p. 7.</w:t>
      </w:r>
    </w:p>
  </w:footnote>
  <w:footnote w:id="1100">
    <w:p w:rsidR="006345FD" w:rsidRDefault="006345FD" w:rsidP="0070344D">
      <w:pPr>
        <w:pStyle w:val="FootnoteText"/>
      </w:pPr>
      <w:r>
        <w:rPr>
          <w:rStyle w:val="FootnoteReference"/>
        </w:rPr>
        <w:footnoteRef/>
      </w:r>
      <w:r>
        <w:t xml:space="preserve"> </w:t>
      </w:r>
      <w:r>
        <w:tab/>
        <w:t xml:space="preserve">AER, </w:t>
      </w:r>
      <w:r w:rsidRPr="005C3E8E">
        <w:rPr>
          <w:rStyle w:val="AERtextitalic"/>
        </w:rPr>
        <w:t>Draft rate of return guideline</w:t>
      </w:r>
      <w:r>
        <w:t>, August 2013, p. 9.</w:t>
      </w:r>
    </w:p>
  </w:footnote>
  <w:footnote w:id="1101">
    <w:p w:rsidR="006345FD" w:rsidRDefault="006345FD" w:rsidP="0070344D">
      <w:pPr>
        <w:pStyle w:val="FootnoteText"/>
      </w:pPr>
      <w:r>
        <w:rPr>
          <w:rStyle w:val="FootnoteReference"/>
        </w:rPr>
        <w:footnoteRef/>
      </w:r>
      <w:r>
        <w:t xml:space="preserve"> </w:t>
      </w:r>
      <w:r>
        <w:tab/>
        <w:t xml:space="preserve">APA Group, </w:t>
      </w:r>
      <w:r w:rsidRPr="005C3E8E">
        <w:rPr>
          <w:rStyle w:val="AERtextitalic"/>
        </w:rPr>
        <w:t>Submissions responding to AER draft rate of return guideline</w:t>
      </w:r>
      <w:r>
        <w:t>, 11 October 2013, p. 12</w:t>
      </w:r>
      <w:r>
        <w:rPr>
          <w:rFonts w:cs="Arial"/>
        </w:rPr>
        <w:t>–</w:t>
      </w:r>
      <w:r>
        <w:t xml:space="preserve">16; APIA, </w:t>
      </w:r>
      <w:r w:rsidRPr="005C3E8E">
        <w:rPr>
          <w:rStyle w:val="AERtextitalic"/>
        </w:rPr>
        <w:t>Meeting the ARORO? A submission to the AER's draft rate of return guideline</w:t>
      </w:r>
      <w:r>
        <w:t xml:space="preserve">, 11 October 2013, p. 11; MEU, </w:t>
      </w:r>
      <w:r w:rsidRPr="005C3E8E">
        <w:rPr>
          <w:rStyle w:val="AERtextitalic"/>
        </w:rPr>
        <w:t>Comments on the draft guideline</w:t>
      </w:r>
      <w:r>
        <w:t>, October 2013, p. 12.</w:t>
      </w:r>
    </w:p>
  </w:footnote>
  <w:footnote w:id="1102">
    <w:p w:rsidR="006345FD" w:rsidRDefault="006345FD" w:rsidP="0070344D">
      <w:pPr>
        <w:pStyle w:val="FootnoteText"/>
      </w:pPr>
      <w:r>
        <w:rPr>
          <w:rStyle w:val="FootnoteReference"/>
        </w:rPr>
        <w:footnoteRef/>
      </w:r>
      <w:r>
        <w:t xml:space="preserve"> </w:t>
      </w:r>
      <w:r>
        <w:tab/>
      </w:r>
      <w:r w:rsidRPr="00E0091E">
        <w:t xml:space="preserve">AER, </w:t>
      </w:r>
      <w:r w:rsidRPr="005C3E8E">
        <w:rPr>
          <w:rStyle w:val="AERtextitalic"/>
        </w:rPr>
        <w:t>WACC review, final decision</w:t>
      </w:r>
      <w:r w:rsidRPr="00E0091E">
        <w:t>, May 2009, p. 82.</w:t>
      </w:r>
    </w:p>
  </w:footnote>
  <w:footnote w:id="1103">
    <w:p w:rsidR="006345FD" w:rsidRDefault="006345FD" w:rsidP="0070344D">
      <w:pPr>
        <w:pStyle w:val="FootnoteText"/>
      </w:pPr>
      <w:r>
        <w:rPr>
          <w:rStyle w:val="FootnoteReference"/>
        </w:rPr>
        <w:footnoteRef/>
      </w:r>
      <w:r>
        <w:t xml:space="preserve"> </w:t>
      </w:r>
      <w:r>
        <w:tab/>
        <w:t>These include decisions for Ausgrid, Endeavour Energy, Energex, Ergon Energy, Essential Energy, Jemena Gas Networks, SA Power Networks, TasNetworks, Transend and TransGrid. These also include preliminary or draft decisions for ActewAGL gas, Amadeus gas pipeline, Australian Gas Networks, AusNet Services distribution, CitiPower, Jemena Electricity Networks, Powercor and United Energy.</w:t>
      </w:r>
    </w:p>
  </w:footnote>
  <w:footnote w:id="1104">
    <w:p w:rsidR="006345FD" w:rsidRDefault="006345FD" w:rsidP="0070344D">
      <w:pPr>
        <w:pStyle w:val="FootnoteText"/>
      </w:pPr>
      <w:r>
        <w:rPr>
          <w:rStyle w:val="FootnoteReference"/>
        </w:rPr>
        <w:footnoteRef/>
      </w:r>
      <w:r>
        <w:t xml:space="preserve"> </w:t>
      </w:r>
      <w:r>
        <w:tab/>
        <w:t xml:space="preserve">The World Bank and OECD have used this definition in </w:t>
      </w:r>
      <w:r w:rsidRPr="009D1BB8">
        <w:t xml:space="preserve">OECD, </w:t>
      </w:r>
      <w:r w:rsidRPr="00BE60B7">
        <w:rPr>
          <w:rStyle w:val="AERtextitalic"/>
        </w:rPr>
        <w:t>Glossary of key terms in evaluation and results based management</w:t>
      </w:r>
      <w:r w:rsidRPr="009D1BB8">
        <w:t>, 2002, p. 18</w:t>
      </w:r>
      <w:r>
        <w:t>,</w:t>
      </w:r>
      <w:r w:rsidRPr="009D1BB8">
        <w:t xml:space="preserve"> World Bank, </w:t>
      </w:r>
      <w:r w:rsidRPr="00BE60B7">
        <w:rPr>
          <w:rStyle w:val="AERtextitalic"/>
        </w:rPr>
        <w:t>How to build M&amp;E systems to support better government</w:t>
      </w:r>
      <w:r w:rsidRPr="009D1BB8">
        <w:t>, p. 138</w:t>
      </w:r>
      <w:r>
        <w:t>.</w:t>
      </w:r>
    </w:p>
  </w:footnote>
  <w:footnote w:id="1105">
    <w:p w:rsidR="006345FD" w:rsidRDefault="006345FD" w:rsidP="0070344D">
      <w:pPr>
        <w:pStyle w:val="FootnoteText"/>
      </w:pPr>
      <w:r>
        <w:rPr>
          <w:rStyle w:val="FootnoteReference"/>
        </w:rPr>
        <w:footnoteRef/>
      </w:r>
      <w:r>
        <w:t xml:space="preserve"> </w:t>
      </w:r>
      <w:r>
        <w:tab/>
      </w:r>
      <w:r w:rsidRPr="009D1BB8">
        <w:t xml:space="preserve">CFA Institute, </w:t>
      </w:r>
      <w:r w:rsidRPr="005772E3">
        <w:rPr>
          <w:rStyle w:val="AERtextitalic"/>
        </w:rPr>
        <w:t>Benchmarks and indices: Issue Brief</w:t>
      </w:r>
      <w:r w:rsidRPr="009D1BB8">
        <w:t>, April 2013, p. 2</w:t>
      </w:r>
      <w:r>
        <w:t>.</w:t>
      </w:r>
    </w:p>
  </w:footnote>
  <w:footnote w:id="1106">
    <w:p w:rsidR="006345FD" w:rsidRDefault="006345FD" w:rsidP="0070344D">
      <w:pPr>
        <w:pStyle w:val="FootnoteText"/>
      </w:pPr>
      <w:r>
        <w:rPr>
          <w:rStyle w:val="FootnoteReference"/>
        </w:rPr>
        <w:footnoteRef/>
      </w:r>
      <w:r>
        <w:t xml:space="preserve"> </w:t>
      </w:r>
      <w:r>
        <w:tab/>
      </w:r>
      <w:r w:rsidRPr="009D1BB8">
        <w:t xml:space="preserve">AEMC, </w:t>
      </w:r>
      <w:r w:rsidRPr="005772E3">
        <w:rPr>
          <w:rStyle w:val="AERtextitalic"/>
        </w:rPr>
        <w:t>Rule determination: Economic regulation of network service providers and price and revenue regulation of gas services</w:t>
      </w:r>
      <w:r w:rsidRPr="009D1BB8">
        <w:t>, 29 November 2012. p. 43</w:t>
      </w:r>
      <w:r>
        <w:t>.</w:t>
      </w:r>
    </w:p>
  </w:footnote>
  <w:footnote w:id="1107">
    <w:p w:rsidR="006345FD" w:rsidRDefault="006345FD" w:rsidP="0070344D">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18; AGN, </w:t>
      </w:r>
      <w:r w:rsidRPr="00FA673F">
        <w:rPr>
          <w:rStyle w:val="AERtextitalic"/>
        </w:rPr>
        <w:t>Attachment 10.26 response to draft decision: Rate of return</w:t>
      </w:r>
      <w:r>
        <w:t xml:space="preserve">, January 2016, p. 25; APA Group, </w:t>
      </w:r>
      <w:r w:rsidRPr="00FA673F">
        <w:rPr>
          <w:rStyle w:val="AERtextitalic"/>
        </w:rPr>
        <w:t>Amadeus Gas Pipeline access arrangement information</w:t>
      </w:r>
      <w:r>
        <w:t>, January 2016, p. 24;</w:t>
      </w:r>
      <w:r w:rsidRPr="00FA673F">
        <w:t xml:space="preserve"> </w:t>
      </w:r>
      <w:r>
        <w:t xml:space="preserve">AusNet Electricity Services, </w:t>
      </w:r>
      <w:r w:rsidRPr="00FA673F">
        <w:rPr>
          <w:rStyle w:val="AERtextitalic"/>
        </w:rPr>
        <w:t>Revised regulatory proposal</w:t>
      </w:r>
      <w:r>
        <w:t xml:space="preserve">, 6 January 2016, p. 163; CitiPower, </w:t>
      </w:r>
      <w:r w:rsidRPr="00FA673F">
        <w:rPr>
          <w:rStyle w:val="AERtextitalic"/>
        </w:rPr>
        <w:t>Revised Regulatory Proposal 2016—2020</w:t>
      </w:r>
      <w:r>
        <w:t xml:space="preserve">, 6 January 2016, p. 332; </w:t>
      </w:r>
      <w:r w:rsidRPr="00FA673F">
        <w:t xml:space="preserve">JEN, </w:t>
      </w:r>
      <w:r w:rsidRPr="00FA673F">
        <w:rPr>
          <w:rStyle w:val="AERtextitalic"/>
        </w:rPr>
        <w:t>Attachment 6-1 rate of return, gamma, forecast inflation, and debt and equity raising costs</w:t>
      </w:r>
      <w:r>
        <w:t xml:space="preserve">, 6 January 2016, p. 16; </w:t>
      </w:r>
      <w:r w:rsidRPr="00FA673F">
        <w:t xml:space="preserve">Powercor, </w:t>
      </w:r>
      <w:r w:rsidRPr="00FA673F">
        <w:rPr>
          <w:rStyle w:val="AERtextitalic"/>
        </w:rPr>
        <w:t>Revised regulatory proposal 2016–20</w:t>
      </w:r>
      <w:r>
        <w:t xml:space="preserve">, 6 January 2016, p. 326; </w:t>
      </w:r>
      <w:r w:rsidRPr="00FA673F">
        <w:t xml:space="preserve">United Energy, </w:t>
      </w:r>
      <w:r w:rsidRPr="00FA673F">
        <w:rPr>
          <w:rStyle w:val="AERtextitalic"/>
        </w:rPr>
        <w:t>2016 to 2020 revised regulatory proposal</w:t>
      </w:r>
      <w:r w:rsidRPr="00FA673F">
        <w:t>, 6 January 2016</w:t>
      </w:r>
      <w:r>
        <w:t>, p. 79</w:t>
      </w:r>
      <w:r w:rsidRPr="00FA673F">
        <w:t>.</w:t>
      </w:r>
    </w:p>
  </w:footnote>
  <w:footnote w:id="1108">
    <w:p w:rsidR="006345FD" w:rsidRPr="0070748E" w:rsidRDefault="006345FD" w:rsidP="0070344D">
      <w:pPr>
        <w:pStyle w:val="FootnoteText"/>
        <w:rPr>
          <w:i/>
        </w:rPr>
      </w:pPr>
      <w:r>
        <w:rPr>
          <w:rStyle w:val="FootnoteReference"/>
        </w:rPr>
        <w:footnoteRef/>
      </w:r>
      <w:r>
        <w:t xml:space="preserve"> </w:t>
      </w:r>
      <w:r>
        <w:tab/>
        <w:t xml:space="preserve">Australian Competition Tribunal, </w:t>
      </w:r>
      <w:r w:rsidRPr="0070748E">
        <w:rPr>
          <w:rStyle w:val="AERtextitalic"/>
        </w:rPr>
        <w:t>Applications by Public Interest Advocacy Centre Ltd and</w:t>
      </w:r>
      <w:r>
        <w:rPr>
          <w:rStyle w:val="AERtextitalic"/>
        </w:rPr>
        <w:t xml:space="preserve"> </w:t>
      </w:r>
      <w:r w:rsidRPr="0070748E">
        <w:rPr>
          <w:rStyle w:val="AERtextitalic"/>
        </w:rPr>
        <w:t>Ausgrid [2016] ACompT 1</w:t>
      </w:r>
      <w:r>
        <w:t>, 26 February 2016, para 914.</w:t>
      </w:r>
    </w:p>
  </w:footnote>
  <w:footnote w:id="1109">
    <w:p w:rsidR="006345FD" w:rsidRDefault="006345FD" w:rsidP="0070344D">
      <w:pPr>
        <w:pStyle w:val="FootnoteText"/>
      </w:pPr>
      <w:r>
        <w:rPr>
          <w:rStyle w:val="FootnoteReference"/>
        </w:rPr>
        <w:footnoteRef/>
      </w:r>
      <w:r>
        <w:t xml:space="preserve"> </w:t>
      </w:r>
      <w:r>
        <w:tab/>
        <w:t>The AER submitted before the Tribunal that the contention raised before the Tribunal by Networks NSW and ActewAGL that the benchmark efficient entity was an unregulated firm was not raised and maintained before the AER, and was therefore precluded from being raised in submissions to the Tribunal by reason of s71O of the NEL. The Tribunal formed the view that the issue was raised by Networks NSW and by ActewAGL in submissions before the AER. The AER has sought judicial review by the Federal Court of this component of the Tribunal's decision.</w:t>
      </w:r>
    </w:p>
    <w:p w:rsidR="006345FD" w:rsidRDefault="006345FD" w:rsidP="0070344D">
      <w:pPr>
        <w:pStyle w:val="FootnoteText"/>
      </w:pPr>
    </w:p>
  </w:footnote>
  <w:footnote w:id="1110">
    <w:p w:rsidR="006345FD" w:rsidRDefault="006345FD" w:rsidP="0070344D">
      <w:pPr>
        <w:pStyle w:val="FootnoteText"/>
      </w:pPr>
      <w:r>
        <w:rPr>
          <w:rStyle w:val="FootnoteReference"/>
        </w:rPr>
        <w:footnoteRef/>
      </w:r>
      <w:r>
        <w:t xml:space="preserve"> </w:t>
      </w:r>
      <w:r>
        <w:tab/>
        <w:t>NGR, cl. 87(3). Similar wording is found in NER, cl.  6.5.2(c) and NER, cl. 6A.6.2(c).</w:t>
      </w:r>
    </w:p>
  </w:footnote>
  <w:footnote w:id="1111">
    <w:p w:rsidR="006345FD" w:rsidRDefault="006345FD" w:rsidP="0070344D">
      <w:pPr>
        <w:pStyle w:val="FootnoteText"/>
      </w:pPr>
      <w:r>
        <w:rPr>
          <w:rStyle w:val="FootnoteReference"/>
        </w:rPr>
        <w:footnoteRef/>
      </w:r>
      <w:r>
        <w:t xml:space="preserve"> </w:t>
      </w:r>
      <w:r>
        <w:tab/>
        <w:t>NER, cl. 6.5.2(c); NER, cl. 6A.6.2(c); NGR, r. 87(3).</w:t>
      </w:r>
    </w:p>
  </w:footnote>
  <w:footnote w:id="1112">
    <w:p w:rsidR="006345FD" w:rsidRDefault="006345FD" w:rsidP="0070344D">
      <w:pPr>
        <w:pStyle w:val="FootnoteText"/>
      </w:pPr>
      <w:r w:rsidRPr="000F26DE">
        <w:rPr>
          <w:rStyle w:val="FootnoteReference"/>
          <w:sz w:val="20"/>
        </w:rPr>
        <w:footnoteRef/>
      </w:r>
      <w:r w:rsidRPr="000F26DE">
        <w:rPr>
          <w:sz w:val="20"/>
        </w:rPr>
        <w:t xml:space="preserve"> </w:t>
      </w:r>
      <w:r>
        <w:t>We</w:t>
      </w:r>
      <w:r w:rsidRPr="000F26DE">
        <w:t xml:space="preserve"> must </w:t>
      </w:r>
      <w:r>
        <w:t xml:space="preserve">also </w:t>
      </w:r>
      <w:r w:rsidRPr="000F26DE">
        <w:t xml:space="preserve">apply the rules in a manner consistent with the </w:t>
      </w:r>
      <w:r>
        <w:t xml:space="preserve">RPPs </w:t>
      </w:r>
      <w:r w:rsidRPr="000F26DE">
        <w:t xml:space="preserve">in the NEL. </w:t>
      </w:r>
      <w:r>
        <w:t>This requires providing</w:t>
      </w:r>
      <w:r w:rsidRPr="000F26DE">
        <w:t xml:space="preserve"> regulated service providers a reasonable opportunity to recover at least efficient costs and </w:t>
      </w:r>
      <w:r>
        <w:t>allowing</w:t>
      </w:r>
      <w:r w:rsidRPr="000F26DE">
        <w:t xml:space="preserve"> for a return commensurate with the regulatory and commercial risk involved in providing direct control services. We should also provide effective incentives to promote economic efficiency and have regard to the economic costs and risk of the potential for under and over investment by a regulated service provider.</w:t>
      </w:r>
    </w:p>
  </w:footnote>
  <w:footnote w:id="1113">
    <w:p w:rsidR="006345FD" w:rsidRDefault="006345FD" w:rsidP="0070344D">
      <w:pPr>
        <w:pStyle w:val="FootnoteText"/>
      </w:pPr>
      <w:r>
        <w:rPr>
          <w:rStyle w:val="FootnoteReference"/>
        </w:rPr>
        <w:footnoteRef/>
      </w:r>
      <w:r>
        <w:t xml:space="preserve"> </w:t>
      </w:r>
      <w:r>
        <w:tab/>
        <w:t xml:space="preserve">We consider this is commensurate with definition of a 'fair return' to capital in Leland, H.E., 'Regulation of natural monopolies and the fair rate of return, </w:t>
      </w:r>
      <w:r w:rsidRPr="00C332AB">
        <w:rPr>
          <w:rStyle w:val="AERtextitalic"/>
        </w:rPr>
        <w:t>The Bell Journal of Economics and Management Science</w:t>
      </w:r>
      <w:r>
        <w:t>, Vol. 5, No. 1, spring 1974, p. 7. Here, a fair return to capital is a pattern of profits across states of nature just sufficient to attract capital to its present use, which is equivalent to the stock market value of the firm equalling the value of a firm's assets.</w:t>
      </w:r>
    </w:p>
  </w:footnote>
  <w:footnote w:id="1114">
    <w:p w:rsidR="006345FD" w:rsidRPr="00602829" w:rsidRDefault="006345FD" w:rsidP="0070344D">
      <w:pPr>
        <w:pStyle w:val="FootnoteText"/>
      </w:pPr>
      <w:r>
        <w:rPr>
          <w:rStyle w:val="FootnoteReference"/>
        </w:rPr>
        <w:footnoteRef/>
      </w:r>
      <w:r>
        <w:t xml:space="preserve"> </w:t>
      </w:r>
      <w:r>
        <w:tab/>
        <w:t xml:space="preserve">For instance, this is </w:t>
      </w:r>
      <w:r w:rsidRPr="00F21B32">
        <w:t>consistent with zero ex</w:t>
      </w:r>
      <w:r>
        <w:t>pected returns in excess of equilibrium expected returns and 'fair game'</w:t>
      </w:r>
      <w:r w:rsidRPr="00F21B32">
        <w:t xml:space="preserve"> models of expected returns</w:t>
      </w:r>
      <w:r>
        <w:t xml:space="preserve">. For a brief explanation of 'fair games' see Malkiel, B. G. and Fama, E. F. 'Efficient capital markets: A review of theory and empirical work, </w:t>
      </w:r>
      <w:r w:rsidRPr="009E1E6C">
        <w:rPr>
          <w:rStyle w:val="AERtextitalic"/>
        </w:rPr>
        <w:t>The Journal of Finance</w:t>
      </w:r>
      <w:r>
        <w:rPr>
          <w:rStyle w:val="AERtextitalic"/>
        </w:rPr>
        <w:t>,</w:t>
      </w:r>
      <w:r>
        <w:t xml:space="preserve"> 25: 383-417, 1970.</w:t>
      </w:r>
    </w:p>
  </w:footnote>
  <w:footnote w:id="1115">
    <w:p w:rsidR="006345FD" w:rsidRDefault="006345FD" w:rsidP="0070344D">
      <w:pPr>
        <w:pStyle w:val="FootnoteText"/>
      </w:pPr>
      <w:r>
        <w:rPr>
          <w:rStyle w:val="FootnoteReference"/>
        </w:rPr>
        <w:footnoteRef/>
      </w:r>
      <w:r>
        <w:t xml:space="preserve"> </w:t>
      </w:r>
      <w:r>
        <w:tab/>
        <w:t>See SFG</w:t>
      </w:r>
      <w:r>
        <w:rPr>
          <w:rStyle w:val="AERtextitalic"/>
        </w:rPr>
        <w:t>, Preliminary analysis of rule change proposals: Report for</w:t>
      </w:r>
      <w:r w:rsidRPr="008C3116">
        <w:rPr>
          <w:rStyle w:val="AERtextitalic"/>
        </w:rPr>
        <w:t xml:space="preserve"> AEMC</w:t>
      </w:r>
      <w:r>
        <w:t xml:space="preserve">, February 2012, p. 41; Brennan, </w:t>
      </w:r>
      <w:r w:rsidRPr="005772E3">
        <w:rPr>
          <w:rStyle w:val="AERtextitalic"/>
        </w:rPr>
        <w:t>Depreciation, investor compensation and, welfare under rate-of-return regulation</w:t>
      </w:r>
      <w:r>
        <w:t>, Review of industrial organisation, 1991, 6, p. 75. In his article, Brennan stated, 'With regard to investor compensation, the basic goal of regulation is to give investors an income stream just sufficient to cover the costs of their assets, and no more'.</w:t>
      </w:r>
    </w:p>
  </w:footnote>
  <w:footnote w:id="1116">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p.14.</w:t>
      </w:r>
    </w:p>
  </w:footnote>
  <w:footnote w:id="1117">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18">
    <w:p w:rsidR="006345FD" w:rsidRDefault="006345FD" w:rsidP="0070344D">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 xml:space="preserve">p. 427, 434; Partington, G., Satchell, S., </w:t>
      </w:r>
      <w:r w:rsidRPr="00D001FE">
        <w:rPr>
          <w:rStyle w:val="AERtextitalic"/>
        </w:rPr>
        <w:t>Report to the AER: Discussion of the allowed cost of</w:t>
      </w:r>
      <w:r>
        <w:t xml:space="preserve"> </w:t>
      </w:r>
      <w:r w:rsidRPr="00D001FE">
        <w:rPr>
          <w:rStyle w:val="AERtextitalic"/>
        </w:rPr>
        <w:t>debt</w:t>
      </w:r>
      <w:r>
        <w:t>, 5 May 2016, p. 15.</w:t>
      </w:r>
    </w:p>
  </w:footnote>
  <w:footnote w:id="1119">
    <w:p w:rsidR="006345FD" w:rsidRDefault="006345FD" w:rsidP="0070344D">
      <w:pPr>
        <w:pStyle w:val="FootnoteText"/>
      </w:pPr>
      <w:r>
        <w:rPr>
          <w:rStyle w:val="FootnoteReference"/>
        </w:rPr>
        <w:footnoteRef/>
      </w:r>
      <w:r>
        <w:t xml:space="preserve"> </w:t>
      </w:r>
      <w:r>
        <w:tab/>
        <w:t>Partington and Satchell state that, '</w:t>
      </w:r>
      <w:r w:rsidRPr="008748C8">
        <w:t>the opportunity cost of capital is the discount rate that determines the market value of the benchmark efficient entity</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15, 29).</w:t>
      </w:r>
    </w:p>
  </w:footnote>
  <w:footnote w:id="1120">
    <w:p w:rsidR="006345FD" w:rsidRDefault="006345FD" w:rsidP="0070344D">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14–15; SFG</w:t>
      </w:r>
      <w:r>
        <w:rPr>
          <w:rStyle w:val="AERtextitalic"/>
        </w:rPr>
        <w:t>, Preliminary analysis of rule change proposals: Report for</w:t>
      </w:r>
      <w:r w:rsidRPr="008C3116">
        <w:rPr>
          <w:rStyle w:val="AERtextitalic"/>
        </w:rPr>
        <w:t xml:space="preserve"> AEMC</w:t>
      </w:r>
      <w:r>
        <w:t>, February 2012, p. 47.</w:t>
      </w:r>
      <w:r w:rsidRPr="003B0F67">
        <w:t xml:space="preserve"> </w:t>
      </w:r>
    </w:p>
  </w:footnote>
  <w:footnote w:id="1121">
    <w:p w:rsidR="006345FD" w:rsidRDefault="006345FD" w:rsidP="0070344D">
      <w:pPr>
        <w:pStyle w:val="FootnoteText"/>
      </w:pPr>
      <w:r>
        <w:rPr>
          <w:rStyle w:val="FootnoteReference"/>
        </w:rPr>
        <w:footnoteRef/>
      </w:r>
      <w:r>
        <w:t xml:space="preserve"> </w:t>
      </w:r>
      <w:r>
        <w:tab/>
        <w:t>The expected future cash flows under an on-the-day methodology can be likened to a long term floating rate security where the coupon rate is reset at the commencement of each regulatory period.</w:t>
      </w:r>
    </w:p>
  </w:footnote>
  <w:footnote w:id="1122">
    <w:p w:rsidR="006345FD" w:rsidRDefault="006345FD" w:rsidP="0070344D">
      <w:pPr>
        <w:pStyle w:val="FootnoteText"/>
      </w:pPr>
      <w:r>
        <w:rPr>
          <w:rStyle w:val="FootnoteReference"/>
        </w:rPr>
        <w:footnoteRef/>
      </w:r>
      <w:r>
        <w:t xml:space="preserve"> </w:t>
      </w:r>
      <w:r>
        <w:tab/>
        <w:t>The expected future cash flows under a trailing average methodology can be likened to 10 long term floating rate securities where the coupon rates are reset every ten years.</w:t>
      </w:r>
      <w:r w:rsidRPr="00806194">
        <w:t xml:space="preserve"> </w:t>
      </w:r>
      <w:r>
        <w:t>Each floating rate security covers</w:t>
      </w:r>
      <w:r w:rsidRPr="00806194">
        <w:t xml:space="preserve"> a 10 per cent 'investment portion' in the RAB where they receive the net operating cash flows generated from these investment portions</w:t>
      </w:r>
      <w:r>
        <w:t>.</w:t>
      </w:r>
    </w:p>
  </w:footnote>
  <w:footnote w:id="1123">
    <w:p w:rsidR="006345FD" w:rsidRDefault="006345FD" w:rsidP="0070344D">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85.</w:t>
      </w:r>
    </w:p>
  </w:footnote>
  <w:footnote w:id="1124">
    <w:p w:rsidR="006345FD" w:rsidRDefault="006345FD" w:rsidP="0070344D">
      <w:pPr>
        <w:pStyle w:val="FootnoteText"/>
      </w:pPr>
      <w:r>
        <w:rPr>
          <w:rStyle w:val="FootnoteReference"/>
        </w:rPr>
        <w:footnoteRef/>
      </w:r>
      <w:r>
        <w:t xml:space="preserve"> </w:t>
      </w:r>
      <w:r>
        <w:tab/>
      </w:r>
      <w:r w:rsidRPr="00554F83">
        <w:t xml:space="preserve">The required rate of return for a fixed term bond is the par yield in the market for fixed term bonds with similar characteristics (e.g. term and credit rating). However, we note that for a floating rate bond, the yield to equate the price to the face value may only equal the par yield on a fixed term bond with a maturity equal to the reset date of the variable rate note under certain assumptions. This may not include future default risk beyond the reset date. </w:t>
      </w:r>
      <w:r>
        <w:t>We discuss the valuation of a long term floating rate security as a conceptual analogy to our regulatory regime. This does not imply that the allowed return on debt should be equal to the required return on a floating rate bond. We use the par yield on fixed-term debt to calculate the allowed return on debt. G</w:t>
      </w:r>
      <w:r w:rsidRPr="00554F83">
        <w:t>iven we benchmark the cost of debt from the private sector service providers we regulate, we consider our use of the par yield on fixed term debt  is appropriate.</w:t>
      </w:r>
    </w:p>
  </w:footnote>
  <w:footnote w:id="1125">
    <w:p w:rsidR="006345FD" w:rsidRDefault="006345FD" w:rsidP="0070344D">
      <w:pPr>
        <w:pStyle w:val="FootnoteText"/>
      </w:pPr>
      <w:r>
        <w:rPr>
          <w:rStyle w:val="FootnoteReference"/>
        </w:rPr>
        <w:footnoteRef/>
      </w:r>
      <w:r>
        <w:t xml:space="preserve"> </w:t>
      </w:r>
      <w:r>
        <w:tab/>
        <w:t xml:space="preserve">Specifically, under the rules, the rate of return must reflect the risk of a benchmark efficient entity with a similar degree of risk as a service provider supplying regulated services. This is consistent with Partington and Satchell's advice that 'the fundamental principle is that what drives the required return on the investment is the risk of the assets' (see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21–22).  </w:t>
      </w:r>
    </w:p>
  </w:footnote>
  <w:footnote w:id="1126">
    <w:p w:rsidR="006345FD" w:rsidRDefault="006345FD" w:rsidP="0070344D">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pp. 35–36.</w:t>
      </w:r>
    </w:p>
  </w:footnote>
  <w:footnote w:id="1127">
    <w:p w:rsidR="006345FD" w:rsidRDefault="006345FD" w:rsidP="0070344D">
      <w:pPr>
        <w:pStyle w:val="FootnoteText"/>
      </w:pPr>
      <w:r>
        <w:rPr>
          <w:rStyle w:val="FootnoteReference"/>
        </w:rPr>
        <w:footnoteRef/>
      </w:r>
      <w:r>
        <w:t xml:space="preserve"> </w:t>
      </w:r>
      <w:r>
        <w:tab/>
        <w:t>Also see</w:t>
      </w:r>
      <w:r w:rsidRPr="00F70A5C">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32–37, 39, 43.</w:t>
      </w:r>
    </w:p>
  </w:footnote>
  <w:footnote w:id="1128">
    <w:p w:rsidR="006345FD" w:rsidRDefault="006345FD" w:rsidP="0070344D">
      <w:pPr>
        <w:pStyle w:val="FootnoteText"/>
      </w:pPr>
      <w:r>
        <w:rPr>
          <w:rStyle w:val="FootnoteReference"/>
        </w:rPr>
        <w:footnoteRef/>
      </w:r>
      <w:r>
        <w:t xml:space="preserve"> </w:t>
      </w:r>
      <w:r>
        <w:tab/>
        <w:t xml:space="preserve">As required under NER, cl </w:t>
      </w:r>
      <w:r w:rsidRPr="00F21B32">
        <w:t>6.5.3(k)</w:t>
      </w:r>
      <w:r>
        <w:t xml:space="preserve">, which </w:t>
      </w:r>
      <w:r w:rsidRPr="00F21B32">
        <w:t>require</w:t>
      </w:r>
      <w:r>
        <w:t>s</w:t>
      </w:r>
      <w:r w:rsidRPr="00F21B32">
        <w:t xml:space="preserve"> </w:t>
      </w:r>
      <w:r>
        <w:t>us</w:t>
      </w:r>
      <w:r w:rsidRPr="00F21B32">
        <w:t xml:space="preserve"> to have regard to ‘the desirability of minimising any difference between the return on debt and the return on debt of a benchmark efficient entity referred to in the allowed rate of return objective’</w:t>
      </w:r>
      <w:r>
        <w:t>.</w:t>
      </w:r>
    </w:p>
  </w:footnote>
  <w:footnote w:id="1129">
    <w:p w:rsidR="006345FD" w:rsidRDefault="006345FD" w:rsidP="0070344D">
      <w:pPr>
        <w:pStyle w:val="FootnoteText"/>
      </w:pPr>
      <w:r>
        <w:rPr>
          <w:rStyle w:val="FootnoteReference"/>
        </w:rPr>
        <w:footnoteRef/>
      </w:r>
      <w:r>
        <w:t xml:space="preserve"> </w:t>
      </w:r>
      <w:r>
        <w:tab/>
        <w:t xml:space="preserve">See, for example, AER, </w:t>
      </w:r>
      <w:r w:rsidRPr="00EE4654">
        <w:rPr>
          <w:rStyle w:val="AERtextitalic"/>
        </w:rPr>
        <w:t>Submission to the Productivity Commission: inquiry into electricity network regulation</w:t>
      </w:r>
      <w:r>
        <w:t>, April 2012, p. 4. It is worth noting that while the rules establish an ex-ante regulatory regime, they also include some ex-post elements. For example, see provisions on cost pass throughs under  NER, cl. 6.6.1; NER, cl. 6A.7.3; cl ; NGR, cl 97(1)(c).</w:t>
      </w:r>
    </w:p>
  </w:footnote>
  <w:footnote w:id="1130">
    <w:p w:rsidR="006345FD" w:rsidRDefault="006345FD" w:rsidP="0070344D">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35.</w:t>
      </w:r>
    </w:p>
  </w:footnote>
  <w:footnote w:id="1131">
    <w:p w:rsidR="006345FD" w:rsidRDefault="006345FD" w:rsidP="0070344D">
      <w:pPr>
        <w:pStyle w:val="FootnoteText"/>
      </w:pPr>
      <w:r>
        <w:rPr>
          <w:rStyle w:val="FootnoteReference"/>
        </w:rPr>
        <w:footnoteRef/>
      </w:r>
      <w:r>
        <w:t xml:space="preserve"> </w:t>
      </w:r>
      <w:r>
        <w:tab/>
        <w:t xml:space="preserve">In particular, </w:t>
      </w:r>
      <w:r w:rsidRPr="00FB1598">
        <w:t>we consider any mismatch between the regulatory return on debt allowance and a benchmark efficient entity's actual debt costs will flow through to equity holders (as they are residual claimants). The equity beta is determined using historical data (when an on-the-day approach was in effect). We consider this should capture any interest rate risk associated with an on-the-day approach, to the extent that it is systematic.</w:t>
      </w:r>
    </w:p>
  </w:footnote>
  <w:footnote w:id="1132">
    <w:p w:rsidR="006345FD" w:rsidRDefault="006345FD" w:rsidP="0070344D">
      <w:pPr>
        <w:pStyle w:val="FootnoteText"/>
      </w:pPr>
      <w:r>
        <w:rPr>
          <w:rStyle w:val="FootnoteReference"/>
        </w:rPr>
        <w:footnoteRef/>
      </w:r>
      <w:r>
        <w:t xml:space="preserve"> </w:t>
      </w:r>
      <w:r>
        <w:tab/>
        <w:t>For instance, we use the equity returns of service providers comparable to a benchmark efficient entity ('comparator firms') when estimating the equity beta. We also used comparator firms when estimating the credit rating and gearing of a benchmark efficient entity. This assists us in estimating an allowed rate of return that would compensate a benchmark efficient entity for the default risk and systematic risk more broadly that it would have faced under an on-the-day approach.</w:t>
      </w:r>
    </w:p>
  </w:footnote>
  <w:footnote w:id="1133">
    <w:p w:rsidR="006345FD" w:rsidRDefault="006345FD" w:rsidP="0070344D">
      <w:pPr>
        <w:pStyle w:val="FootnoteText"/>
      </w:pPr>
      <w:r>
        <w:rPr>
          <w:rStyle w:val="FootnoteReference"/>
        </w:rPr>
        <w:footnoteRef/>
      </w:r>
      <w:r>
        <w:t xml:space="preserve"> </w:t>
      </w:r>
      <w:r>
        <w:tab/>
        <w:t xml:space="preserve">Compensable risk could decrease if investors consider a benchmark efficient entity is less exposed to interest rate risk under the trailing average approach. This could occur if the trailing average approach allows a benchmark efficient entity to better match its debt cash outflows to its allowance than under the on-the-day approach. However, we note </w:t>
      </w:r>
      <w:r w:rsidRPr="00815D07">
        <w:t>Partington and Satchell consider that, 'It is difficult to see how the use of the trailing average will materially reduce the financing costs of firms since such costs are primarily driven by the assets the firms invest in'</w:t>
      </w:r>
      <w:r>
        <w:t xml:space="preserve">. See Partington, G., Satchell, S., </w:t>
      </w:r>
      <w:r w:rsidRPr="00D001FE">
        <w:rPr>
          <w:rStyle w:val="AERtextitalic"/>
        </w:rPr>
        <w:t>Report to the AER: Discussion of the allowed cost of</w:t>
      </w:r>
      <w:r>
        <w:t xml:space="preserve"> </w:t>
      </w:r>
      <w:r w:rsidRPr="00D001FE">
        <w:rPr>
          <w:rStyle w:val="AERtextitalic"/>
        </w:rPr>
        <w:t>debt</w:t>
      </w:r>
      <w:r>
        <w:t>, 5 May 2016, p. 38.</w:t>
      </w:r>
    </w:p>
  </w:footnote>
  <w:footnote w:id="1134">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18, 35–36.</w:t>
      </w:r>
    </w:p>
  </w:footnote>
  <w:footnote w:id="1135">
    <w:p w:rsidR="006345FD" w:rsidRDefault="006345FD" w:rsidP="0070344D">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37–38; SFG, </w:t>
      </w:r>
      <w:r>
        <w:rPr>
          <w:rStyle w:val="AERtextitalic"/>
        </w:rPr>
        <w:t>Preliminary analysis of rule change proposals: Report for</w:t>
      </w:r>
      <w:r w:rsidRPr="008C3116">
        <w:rPr>
          <w:rStyle w:val="AERtextitalic"/>
        </w:rPr>
        <w:t xml:space="preserve"> AEMC</w:t>
      </w:r>
      <w:r>
        <w:t xml:space="preserve">, February 2012, p. 41. </w:t>
      </w:r>
    </w:p>
  </w:footnote>
  <w:footnote w:id="1136">
    <w:p w:rsidR="006345FD" w:rsidRDefault="006345FD" w:rsidP="0070344D">
      <w:pPr>
        <w:pStyle w:val="FootnoteText"/>
      </w:pPr>
      <w:r>
        <w:rPr>
          <w:rStyle w:val="FootnoteReference"/>
        </w:rPr>
        <w:footnoteRef/>
      </w:r>
      <w:r>
        <w:t xml:space="preserve"> </w:t>
      </w:r>
      <w:r>
        <w:tab/>
        <w:t>NEL, s. 7A(3); NGL, s. (24)(3).</w:t>
      </w:r>
    </w:p>
  </w:footnote>
  <w:footnote w:id="1137">
    <w:p w:rsidR="006345FD" w:rsidRPr="00612B7B" w:rsidRDefault="006345FD" w:rsidP="0070344D">
      <w:pPr>
        <w:pStyle w:val="FootnoteText"/>
        <w:rPr>
          <w:i/>
        </w:rPr>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14.</w:t>
      </w:r>
    </w:p>
  </w:footnote>
  <w:footnote w:id="1138">
    <w:p w:rsidR="006345FD" w:rsidRDefault="006345FD" w:rsidP="0070344D">
      <w:pPr>
        <w:pStyle w:val="FootnoteText"/>
      </w:pPr>
      <w:r>
        <w:rPr>
          <w:rStyle w:val="FootnoteReference"/>
        </w:rPr>
        <w:footnoteRef/>
      </w:r>
      <w:r>
        <w:t xml:space="preserve"> </w:t>
      </w:r>
      <w:r>
        <w:tab/>
        <w:t>Averch and Johnson show that if a regulatory rate of return exceeds the firm's true cost of capital, it has an incentive to choose too much capital relative to labour. Averch, H, Johnson, L.L</w:t>
      </w:r>
      <w:r w:rsidRPr="00F72E67">
        <w:t>.</w:t>
      </w:r>
      <w:r>
        <w:t>, '</w:t>
      </w:r>
      <w:r w:rsidRPr="00F72E67">
        <w:t xml:space="preserve">Behaviour of the Firm under Regulatory Constraint’, </w:t>
      </w:r>
      <w:r w:rsidRPr="00F72E67">
        <w:rPr>
          <w:rStyle w:val="AERtextitalic"/>
        </w:rPr>
        <w:t>American Economic Review</w:t>
      </w:r>
      <w:r w:rsidRPr="00F72E67">
        <w:t xml:space="preserve">, </w:t>
      </w:r>
      <w:r>
        <w:t>Vol. 52, No. 5</w:t>
      </w:r>
      <w:r w:rsidRPr="00F72E67">
        <w:t xml:space="preserve">, December 1962, </w:t>
      </w:r>
      <w:r>
        <w:t xml:space="preserve">pp. </w:t>
      </w:r>
      <w:r w:rsidRPr="00F72E67">
        <w:t>1062</w:t>
      </w:r>
      <w:r>
        <w:rPr>
          <w:rFonts w:cs="Arial"/>
        </w:rPr>
        <w:t>–</w:t>
      </w:r>
      <w:r w:rsidRPr="00F72E67">
        <w:t>1069</w:t>
      </w:r>
      <w:r>
        <w:t>. Littlechild describes, '</w:t>
      </w:r>
      <w:r w:rsidRPr="008D260E">
        <w:t xml:space="preserve">Revenues need to be adequate to cover operating expenses and to ensure finance for necessary investment. They should not be so excessive as to encourage their </w:t>
      </w:r>
      <w:r>
        <w:t xml:space="preserve">dissipation on dubious schemes'. Littlechild, S., 'Economic regulation of privatised water authorities and some further reflections, </w:t>
      </w:r>
      <w:r w:rsidRPr="007510F1">
        <w:rPr>
          <w:rStyle w:val="AERtextitalic"/>
        </w:rPr>
        <w:t>Oxford review of economic polic</w:t>
      </w:r>
      <w:r>
        <w:t xml:space="preserve">y, Vol. 4, No. 2, summer 1988,  p. 47. Cambini and Rondi find the cost of capital is positively correlated with investment under incentive regulation. Cambini, C., Rondi, L., 'Incentive regulation and investment: evidence from European energy utilities, </w:t>
      </w:r>
      <w:r w:rsidRPr="00260845">
        <w:rPr>
          <w:rStyle w:val="AERtextitalic"/>
        </w:rPr>
        <w:t>Journal of Regulatory Economics</w:t>
      </w:r>
      <w:r>
        <w:t xml:space="preserve">, Vol. 38, 2010, p. 18. Greenwald notes that 'less than "fair" rates of return should simply elicit no investment' in Greenwald, B.C., 'Rate base selection and the structure of regulation', </w:t>
      </w:r>
      <w:r w:rsidRPr="006572DC">
        <w:rPr>
          <w:rStyle w:val="AERtextitalic"/>
        </w:rPr>
        <w:t>The RAND Journal of Economics</w:t>
      </w:r>
      <w:r>
        <w:t>, Vol. 15, No. 1, Spring 1984, p. 85.</w:t>
      </w:r>
    </w:p>
  </w:footnote>
  <w:footnote w:id="1139">
    <w:p w:rsidR="006345FD" w:rsidRDefault="006345FD" w:rsidP="0070344D">
      <w:pPr>
        <w:pStyle w:val="FootnoteText"/>
      </w:pPr>
      <w:r>
        <w:rPr>
          <w:rStyle w:val="FootnoteReference"/>
        </w:rPr>
        <w:footnoteRef/>
      </w:r>
      <w:r>
        <w:t xml:space="preserve"> </w:t>
      </w:r>
      <w:r>
        <w:tab/>
        <w:t xml:space="preserve">CCP3, </w:t>
      </w:r>
      <w:r w:rsidRPr="006C2193">
        <w:rPr>
          <w:rStyle w:val="AERtextitalic"/>
        </w:rPr>
        <w:t>Submission to the AER: An overview―Response to the AER Preliminary Decisions and revised proposals from Victorian electricity DNSPs for a revenue reset for the 2016–2020 regulatory period</w:t>
      </w:r>
      <w:r>
        <w:t>, 22 February 2016, p. 35.</w:t>
      </w:r>
    </w:p>
  </w:footnote>
  <w:footnote w:id="1140">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14.</w:t>
      </w:r>
    </w:p>
  </w:footnote>
  <w:footnote w:id="1141">
    <w:p w:rsidR="006345FD" w:rsidRPr="00B57A7C" w:rsidRDefault="006345FD" w:rsidP="0070344D">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pp. 74</w:t>
      </w:r>
      <w:r>
        <w:rPr>
          <w:rFonts w:cs="Arial"/>
        </w:rPr>
        <w:t>–</w:t>
      </w:r>
      <w:r>
        <w:t>75.</w:t>
      </w:r>
    </w:p>
  </w:footnote>
  <w:footnote w:id="1142">
    <w:p w:rsidR="006345FD" w:rsidRDefault="006345FD" w:rsidP="0070344D">
      <w:pPr>
        <w:pStyle w:val="FootnoteText"/>
      </w:pPr>
      <w:r>
        <w:rPr>
          <w:rStyle w:val="FootnoteReference"/>
        </w:rPr>
        <w:footnoteRef/>
      </w:r>
      <w:r>
        <w:t xml:space="preserve"> </w:t>
      </w:r>
      <w:r>
        <w:tab/>
        <w:t xml:space="preserve">HoustonKemp, </w:t>
      </w:r>
      <w:r w:rsidRPr="006C2193">
        <w:rPr>
          <w:rStyle w:val="AERtextitalic"/>
        </w:rPr>
        <w:t>Appropriate objective to guide the setting of the cost of debt allowance</w:t>
      </w:r>
      <w:r>
        <w:t>, 3 March 2015, p. 5.</w:t>
      </w:r>
    </w:p>
  </w:footnote>
  <w:footnote w:id="1143">
    <w:p w:rsidR="006345FD" w:rsidRDefault="006345FD" w:rsidP="0070344D">
      <w:pPr>
        <w:pStyle w:val="FootnoteText"/>
      </w:pPr>
      <w:r>
        <w:rPr>
          <w:rStyle w:val="FootnoteReference"/>
        </w:rPr>
        <w:footnoteRef/>
      </w:r>
      <w:r>
        <w:t xml:space="preserve"> </w:t>
      </w:r>
      <w:r>
        <w:tab/>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29 November 2012, p. 85.</w:t>
      </w:r>
    </w:p>
  </w:footnote>
  <w:footnote w:id="1144">
    <w:p w:rsidR="006345FD" w:rsidRDefault="006345FD" w:rsidP="0070344D">
      <w:pPr>
        <w:pStyle w:val="FootnoteText"/>
      </w:pPr>
      <w:r>
        <w:rPr>
          <w:rStyle w:val="FootnoteReference"/>
        </w:rPr>
        <w:footnoteRef/>
      </w:r>
      <w:r>
        <w:t xml:space="preserve"> </w:t>
      </w:r>
      <w:r>
        <w:tab/>
        <w:t xml:space="preserve">CCP3, </w:t>
      </w:r>
      <w:r w:rsidRPr="00A30733">
        <w:rPr>
          <w:rStyle w:val="AERtextitalic"/>
        </w:rPr>
        <w:t>Submission to the AER: An overview―Response to the AER Preliminary Decisions and revised proposals from Victorian electricity DNSPs for a revenue reset for the 2016–2020 regulatory period</w:t>
      </w:r>
      <w:r>
        <w:t xml:space="preserve">, 22 February 2016, p. 36; CCP3, </w:t>
      </w:r>
      <w:r w:rsidRPr="00A30733">
        <w:rPr>
          <w:rStyle w:val="AERtextitalic"/>
        </w:rPr>
        <w:t>Submission to the AER: Response to the AER Preliminary Decisions and revised proposals from Victorian electricity DNSPs for a revenue reset for the 2016–2020 regulatory period</w:t>
      </w:r>
      <w:r>
        <w:t xml:space="preserve">, 25 February 2016, p. 88; 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145">
    <w:p w:rsidR="006345FD" w:rsidRDefault="006345FD" w:rsidP="0070344D">
      <w:pPr>
        <w:pStyle w:val="FootnoteText"/>
      </w:pPr>
      <w:r>
        <w:rPr>
          <w:rStyle w:val="FootnoteReference"/>
        </w:rPr>
        <w:footnoteRef/>
      </w:r>
      <w:r>
        <w:t xml:space="preserve"> </w:t>
      </w:r>
      <w:r>
        <w:tab/>
        <w:t xml:space="preserve">HoustonKemp also held this view in </w:t>
      </w:r>
      <w:r w:rsidRPr="006C2193">
        <w:rPr>
          <w:rStyle w:val="AERtextitalic"/>
        </w:rPr>
        <w:t>Appropriate objective to guide the setting of the cost of debt allowance</w:t>
      </w:r>
      <w:r>
        <w:t>, 3 March 2015, p. 5.</w:t>
      </w:r>
    </w:p>
  </w:footnote>
  <w:footnote w:id="1146">
    <w:p w:rsidR="006345FD" w:rsidRDefault="006345FD" w:rsidP="0070344D">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45. Similarly, Partington and Satchell consider an immediate transition to a trailing average approach can be regarded as a material regulatory risk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47">
    <w:p w:rsidR="006345FD" w:rsidRDefault="006345FD" w:rsidP="0070344D">
      <w:pPr>
        <w:pStyle w:val="FootnoteText"/>
      </w:pPr>
      <w:r>
        <w:rPr>
          <w:rStyle w:val="FootnoteReference"/>
        </w:rPr>
        <w:footnoteRef/>
      </w:r>
      <w:r>
        <w:t xml:space="preserve"> </w:t>
      </w:r>
      <w:r>
        <w:tab/>
        <w:t xml:space="preserve">SFG, </w:t>
      </w:r>
      <w:r>
        <w:rPr>
          <w:i/>
        </w:rPr>
        <w:t xml:space="preserve">Rule change proposals relating to the debt component of the regulatory rate of </w:t>
      </w:r>
      <w:r w:rsidRPr="006441AF">
        <w:t>return</w:t>
      </w:r>
      <w:r>
        <w:t xml:space="preserve">, </w:t>
      </w:r>
      <w:r w:rsidRPr="006441AF">
        <w:t>August</w:t>
      </w:r>
      <w:r>
        <w:t xml:space="preserve"> 2012, p. 46.</w:t>
      </w:r>
    </w:p>
  </w:footnote>
  <w:footnote w:id="1148">
    <w:p w:rsidR="006345FD" w:rsidRDefault="006345FD" w:rsidP="0070344D">
      <w:pPr>
        <w:pStyle w:val="FootnoteText"/>
      </w:pPr>
      <w:r>
        <w:rPr>
          <w:rStyle w:val="FootnoteReference"/>
        </w:rPr>
        <w:footnoteRef/>
      </w:r>
      <w:r>
        <w:t xml:space="preserve"> </w:t>
      </w:r>
      <w:r>
        <w:tab/>
        <w:t xml:space="preserve">Expert Panel on Energy Access Pricing, </w:t>
      </w:r>
      <w:r w:rsidRPr="0070748E">
        <w:rPr>
          <w:rStyle w:val="AERtextitalic"/>
        </w:rPr>
        <w:t>Report to the M</w:t>
      </w:r>
      <w:r>
        <w:rPr>
          <w:rStyle w:val="AERtextitalic"/>
        </w:rPr>
        <w:t>inisterial Council on Energy</w:t>
      </w:r>
      <w:r>
        <w:t>, April 2006, p. 59.</w:t>
      </w:r>
    </w:p>
  </w:footnote>
  <w:footnote w:id="1149">
    <w:p w:rsidR="006345FD" w:rsidRDefault="006345FD" w:rsidP="0070344D">
      <w:pPr>
        <w:pStyle w:val="FootnoteText"/>
      </w:pPr>
      <w:r>
        <w:rPr>
          <w:rStyle w:val="FootnoteReference"/>
        </w:rPr>
        <w:footnoteRef/>
      </w:r>
      <w:r>
        <w:t xml:space="preserve"> </w:t>
      </w:r>
      <w:r>
        <w:tab/>
        <w:t xml:space="preserve">HoustonKemp, </w:t>
      </w:r>
      <w:r w:rsidRPr="0070748E">
        <w:rPr>
          <w:rStyle w:val="AERtextitalic"/>
        </w:rPr>
        <w:t>Appropriate objective to guide the setting the cost of debt allowance</w:t>
      </w:r>
      <w:r>
        <w:t>, March 2015, p. 5.</w:t>
      </w:r>
    </w:p>
  </w:footnote>
  <w:footnote w:id="1150">
    <w:p w:rsidR="006345FD" w:rsidRDefault="006345FD" w:rsidP="0070344D">
      <w:pPr>
        <w:pStyle w:val="FootnoteText"/>
      </w:pPr>
      <w:r>
        <w:rPr>
          <w:rStyle w:val="FootnoteReference"/>
        </w:rPr>
        <w:footnoteRef/>
      </w:r>
      <w:r>
        <w:t xml:space="preserve"> </w:t>
      </w:r>
      <w:r>
        <w:tab/>
        <w:t>NEL, s7A(3)(b); NGL,  s24(3)(b).</w:t>
      </w:r>
    </w:p>
  </w:footnote>
  <w:footnote w:id="1151">
    <w:p w:rsidR="006345FD" w:rsidRDefault="006345FD" w:rsidP="0070344D">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42.</w:t>
      </w:r>
    </w:p>
  </w:footnote>
  <w:footnote w:id="1152">
    <w:p w:rsidR="006345FD" w:rsidRDefault="006345FD" w:rsidP="0070344D">
      <w:pPr>
        <w:pStyle w:val="FootnoteText"/>
      </w:pPr>
      <w:r>
        <w:rPr>
          <w:rStyle w:val="FootnoteReference"/>
        </w:rPr>
        <w:footnoteRef/>
      </w:r>
      <w:r>
        <w:t xml:space="preserve"> </w:t>
      </w:r>
      <w:r>
        <w:tab/>
      </w:r>
      <w:r w:rsidRPr="00E2186B">
        <w:t xml:space="preserve">The </w:t>
      </w:r>
      <w:r w:rsidRPr="00CB2003">
        <w:t xml:space="preserve">on-the-day </w:t>
      </w:r>
      <w:r w:rsidRPr="00E2186B">
        <w:t xml:space="preserve">benchmark requires </w:t>
      </w:r>
      <w:r>
        <w:t xml:space="preserve">estimating </w:t>
      </w:r>
      <w:r w:rsidRPr="00E2186B">
        <w:t xml:space="preserve">the return of debt of a service provider on the first day of the regulatory period because, in theory, an </w:t>
      </w:r>
      <w:r w:rsidRPr="00CB2003">
        <w:t xml:space="preserve">on-the-day </w:t>
      </w:r>
      <w:r w:rsidRPr="00E2186B">
        <w:t xml:space="preserve">rate is considered the best indication of the opportunity cost of capital at a given point in time. However, in practice, </w:t>
      </w:r>
      <w:r>
        <w:t>it entails</w:t>
      </w:r>
      <w:r w:rsidRPr="00E2186B">
        <w:t xml:space="preserve"> estimating the return on debt over a short averaging period as close as practically possible to the start of the regulatory period. This is because using the</w:t>
      </w:r>
      <w:r w:rsidRPr="00CB2003">
        <w:t xml:space="preserve"> on-the-day </w:t>
      </w:r>
      <w:r>
        <w:t>approach</w:t>
      </w:r>
      <w:r w:rsidRPr="00E2186B">
        <w:t xml:space="preserve"> exposes the service provider to day-to-day volatility in the market rates.</w:t>
      </w:r>
    </w:p>
  </w:footnote>
  <w:footnote w:id="1153">
    <w:p w:rsidR="006345FD" w:rsidRDefault="006345FD" w:rsidP="0070344D">
      <w:pPr>
        <w:pStyle w:val="FootnoteText"/>
      </w:pPr>
      <w:r>
        <w:rPr>
          <w:rStyle w:val="FootnoteReference"/>
        </w:rPr>
        <w:footnoteRef/>
      </w:r>
      <w:r>
        <w:t xml:space="preserve"> </w:t>
      </w:r>
      <w:r>
        <w:tab/>
      </w:r>
      <w:r w:rsidRPr="00CF726F">
        <w:t xml:space="preserve">The </w:t>
      </w:r>
      <w:r w:rsidRPr="00CB2003">
        <w:t xml:space="preserve">on-the-day </w:t>
      </w:r>
      <w:r w:rsidRPr="00CF726F">
        <w:t xml:space="preserve">approach has been used to estimate the return on debt of service providers in Australia since at least 1998, by the ACCC/AER as well as other state regulators. </w:t>
      </w:r>
      <w:r>
        <w:t>See, for example, ACCC</w:t>
      </w:r>
      <w:r w:rsidRPr="00CF726F">
        <w:t xml:space="preserve">, </w:t>
      </w:r>
      <w:r w:rsidRPr="00CF726F">
        <w:rPr>
          <w:rStyle w:val="AERtextitalic"/>
        </w:rPr>
        <w:t>Final decision</w:t>
      </w:r>
      <w:r>
        <w:rPr>
          <w:rStyle w:val="AERtextitalic"/>
        </w:rPr>
        <w:t>:</w:t>
      </w:r>
      <w:r w:rsidRPr="00CF726F">
        <w:rPr>
          <w:rStyle w:val="AERtextitalic"/>
        </w:rPr>
        <w:t xml:space="preserve"> APA GasNet transmission</w:t>
      </w:r>
      <w:r w:rsidRPr="00CF726F">
        <w:t xml:space="preserve">, </w:t>
      </w:r>
      <w:r>
        <w:t xml:space="preserve">October </w:t>
      </w:r>
      <w:r w:rsidRPr="00CF726F">
        <w:t>1998, p. xvi</w:t>
      </w:r>
      <w:r>
        <w:t xml:space="preserve">; ACCC, </w:t>
      </w:r>
      <w:r w:rsidRPr="000F2664">
        <w:rPr>
          <w:rStyle w:val="AERtextitalic"/>
        </w:rPr>
        <w:t>Statement of principles for the regulation of electricity transmission revenues—background paper</w:t>
      </w:r>
      <w:r>
        <w:t>, December 2004, pp. 96, 109</w:t>
      </w:r>
      <w:r w:rsidRPr="00CF726F">
        <w:t>. At this time, the risk free rate and DRP were estimated separately and added together to generate a return on debt estimate.</w:t>
      </w:r>
    </w:p>
  </w:footnote>
  <w:footnote w:id="1154">
    <w:p w:rsidR="006345FD" w:rsidRDefault="006345FD" w:rsidP="0070344D">
      <w:pPr>
        <w:pStyle w:val="FootnoteText"/>
      </w:pPr>
      <w:r>
        <w:rPr>
          <w:rStyle w:val="FootnoteReference"/>
        </w:rPr>
        <w:footnoteRef/>
      </w:r>
      <w:r>
        <w:t xml:space="preserve"> </w:t>
      </w:r>
      <w:r>
        <w:tab/>
        <w:t>See NER, cl. 6.5.2(j)(1); NER, cl. 6A.6.2(j)(1); NGR, r. 87(10)(a).</w:t>
      </w:r>
    </w:p>
  </w:footnote>
  <w:footnote w:id="1155">
    <w:p w:rsidR="006345FD" w:rsidRDefault="006345FD" w:rsidP="0070344D">
      <w:pPr>
        <w:pStyle w:val="FootnoteText"/>
      </w:pPr>
      <w:r>
        <w:rPr>
          <w:rStyle w:val="FootnoteReference"/>
        </w:rPr>
        <w:footnoteRef/>
      </w:r>
      <w:r>
        <w:t xml:space="preserve"> </w:t>
      </w:r>
      <w:r>
        <w:tab/>
        <w:t>NER, cl. 6.5.2(g); NER, cl. 6A.6.2(g); NGR, cl. 87(7).</w:t>
      </w:r>
    </w:p>
  </w:footnote>
  <w:footnote w:id="1156">
    <w:p w:rsidR="006345FD" w:rsidRDefault="006345FD" w:rsidP="0070344D">
      <w:pPr>
        <w:pStyle w:val="FootnoteText"/>
      </w:pPr>
      <w:r>
        <w:rPr>
          <w:rStyle w:val="FootnoteReference"/>
        </w:rPr>
        <w:footnoteRef/>
      </w:r>
      <w:r>
        <w:t xml:space="preserve"> </w:t>
      </w:r>
      <w:r>
        <w:tab/>
        <w:t xml:space="preserve">SFG, </w:t>
      </w:r>
      <w:r w:rsidRPr="005772E3">
        <w:rPr>
          <w:rStyle w:val="AERtextitalic"/>
        </w:rPr>
        <w:t>Rule change proposals relating to the debt component of the regulated rate of return: Report for AEMC</w:t>
      </w:r>
      <w:r>
        <w:t>, August 2012, p. 5.</w:t>
      </w:r>
    </w:p>
  </w:footnote>
  <w:footnote w:id="1157">
    <w:p w:rsidR="006345FD" w:rsidRDefault="006345FD" w:rsidP="0070344D">
      <w:pPr>
        <w:pStyle w:val="FootnoteText"/>
      </w:pPr>
      <w:r>
        <w:rPr>
          <w:rStyle w:val="FootnoteReference"/>
        </w:rPr>
        <w:footnoteRef/>
      </w:r>
      <w:r>
        <w:t xml:space="preserve"> </w:t>
      </w:r>
      <w:r>
        <w:tab/>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 xml:space="preserve">, 2009, </w:t>
      </w:r>
      <w:r>
        <w:t>p. 434.</w:t>
      </w:r>
    </w:p>
  </w:footnote>
  <w:footnote w:id="1158">
    <w:p w:rsidR="006345FD" w:rsidRDefault="006345FD" w:rsidP="0070344D">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w:t>
      </w:r>
    </w:p>
  </w:footnote>
  <w:footnote w:id="1159">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60">
    <w:p w:rsidR="006345FD" w:rsidRDefault="006345FD" w:rsidP="0070344D">
      <w:pPr>
        <w:pStyle w:val="FootnoteText"/>
      </w:pPr>
      <w:r>
        <w:rPr>
          <w:rStyle w:val="FootnoteReference"/>
        </w:rPr>
        <w:footnoteRef/>
      </w:r>
      <w:r>
        <w:t xml:space="preserve"> </w:t>
      </w:r>
      <w:r>
        <w:tab/>
      </w:r>
      <w:r w:rsidRPr="001A712C">
        <w:t xml:space="preserve">AEMC, </w:t>
      </w:r>
      <w:r w:rsidRPr="002E2138">
        <w:rPr>
          <w:rStyle w:val="AERtextitalic"/>
        </w:rPr>
        <w:t>Final Rule Determination</w:t>
      </w:r>
      <w:r>
        <w:rPr>
          <w:rStyle w:val="AERtextitalic"/>
        </w:rPr>
        <w:t>: Economic regulation of network service providers, and price and r</w:t>
      </w:r>
      <w:r w:rsidRPr="00612B7B">
        <w:rPr>
          <w:rStyle w:val="AERtextitalic"/>
        </w:rPr>
        <w:t>evenue</w:t>
      </w:r>
      <w:r>
        <w:rPr>
          <w:rStyle w:val="AERtextitalic"/>
        </w:rPr>
        <w:t xml:space="preserve"> regulation of gas services</w:t>
      </w:r>
      <w:r>
        <w:t xml:space="preserve">, </w:t>
      </w:r>
      <w:r w:rsidRPr="001A712C">
        <w:t>29 November 2012, p. 73.</w:t>
      </w:r>
    </w:p>
  </w:footnote>
  <w:footnote w:id="1161">
    <w:p w:rsidR="006345FD" w:rsidRDefault="006345FD" w:rsidP="0070344D">
      <w:pPr>
        <w:pStyle w:val="FootnoteText"/>
      </w:pPr>
      <w:r>
        <w:rPr>
          <w:rStyle w:val="FootnoteReference"/>
        </w:rPr>
        <w:footnoteRef/>
      </w:r>
      <w:r>
        <w:t xml:space="preserve"> </w:t>
      </w:r>
      <w:r>
        <w:tab/>
        <w:t>SFG</w:t>
      </w:r>
      <w:r>
        <w:rPr>
          <w:rStyle w:val="AERtextitalic"/>
        </w:rPr>
        <w:t>, Preliminary analysis of rule change proposals: Report for</w:t>
      </w:r>
      <w:r w:rsidRPr="008C3116">
        <w:rPr>
          <w:rStyle w:val="AERtextitalic"/>
        </w:rPr>
        <w:t xml:space="preserve"> AEMC</w:t>
      </w:r>
      <w:r>
        <w:t>, February 2012, p. 46.</w:t>
      </w:r>
    </w:p>
  </w:footnote>
  <w:footnote w:id="1162">
    <w:p w:rsidR="006345FD" w:rsidRDefault="006345FD" w:rsidP="0070344D">
      <w:pPr>
        <w:pStyle w:val="FootnoteText"/>
      </w:pPr>
      <w:r>
        <w:rPr>
          <w:rStyle w:val="FootnoteReference"/>
        </w:rPr>
        <w:footnoteRef/>
      </w:r>
      <w:r>
        <w:t xml:space="preserve"> </w:t>
      </w:r>
      <w:r>
        <w:tab/>
        <w:t xml:space="preserve">See Office of the Regulator General, </w:t>
      </w:r>
      <w:r w:rsidRPr="009D272F">
        <w:rPr>
          <w:rStyle w:val="AERtextitalic"/>
        </w:rPr>
        <w:t>Submission to the Productivity Commission review of the national access regime (part IIIA of the trade practices act) position paper</w:t>
      </w:r>
      <w:r>
        <w:t>, 2001, p. 6.</w:t>
      </w:r>
    </w:p>
  </w:footnote>
  <w:footnote w:id="1163">
    <w:p w:rsidR="006345FD" w:rsidRDefault="006345FD" w:rsidP="0070344D">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3 March 2015, p. 1.</w:t>
      </w:r>
    </w:p>
  </w:footnote>
  <w:footnote w:id="1164">
    <w:p w:rsidR="006345FD" w:rsidRDefault="006345FD" w:rsidP="0070344D">
      <w:pPr>
        <w:pStyle w:val="FootnoteText"/>
      </w:pPr>
      <w:r>
        <w:rPr>
          <w:rStyle w:val="FootnoteReference"/>
        </w:rPr>
        <w:footnoteRef/>
      </w:r>
      <w:r>
        <w:t xml:space="preserve"> </w:t>
      </w:r>
      <w:r>
        <w:tab/>
        <w:t xml:space="preserve">HoustonKemp, </w:t>
      </w:r>
      <w:r w:rsidRPr="00163EC0">
        <w:rPr>
          <w:rStyle w:val="AERtextitalic"/>
        </w:rPr>
        <w:t>Memo: Appropriate objective to guide the setting of the cost of debt allowance</w:t>
      </w:r>
      <w:r>
        <w:t xml:space="preserve">, 3 March 2015, p. 1. Also see Chairmont, </w:t>
      </w:r>
      <w:r w:rsidRPr="008A1995">
        <w:rPr>
          <w:rStyle w:val="AERtextitalic"/>
        </w:rPr>
        <w:t>Cost of debt comparative analysis</w:t>
      </w:r>
      <w:r>
        <w:t>, November 2013, p. 4.</w:t>
      </w:r>
    </w:p>
  </w:footnote>
  <w:footnote w:id="1165">
    <w:p w:rsidR="006345FD" w:rsidRDefault="006345FD" w:rsidP="0070344D">
      <w:pPr>
        <w:pStyle w:val="FootnoteText"/>
      </w:pPr>
      <w:r>
        <w:rPr>
          <w:rStyle w:val="FootnoteReference"/>
        </w:rPr>
        <w:footnoteRef/>
      </w:r>
      <w:r>
        <w:t xml:space="preserve"> </w:t>
      </w:r>
      <w:r>
        <w:tab/>
        <w:t xml:space="preserve">Chairmont, </w:t>
      </w:r>
      <w:r w:rsidRPr="008A1995">
        <w:rPr>
          <w:rStyle w:val="AERtextitalic"/>
        </w:rPr>
        <w:t>Cost of debt comparative analysis</w:t>
      </w:r>
      <w:r>
        <w:t>, November 2013, p. 4.</w:t>
      </w:r>
    </w:p>
  </w:footnote>
  <w:footnote w:id="1166">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46.</w:t>
      </w:r>
    </w:p>
  </w:footnote>
  <w:footnote w:id="1167">
    <w:p w:rsidR="006345FD" w:rsidRDefault="006345FD" w:rsidP="0070344D">
      <w:pPr>
        <w:pStyle w:val="FootnoteText"/>
      </w:pPr>
      <w:r>
        <w:rPr>
          <w:rStyle w:val="FootnoteReference"/>
        </w:rPr>
        <w:footnoteRef/>
      </w:r>
      <w:r>
        <w:t xml:space="preserve"> </w:t>
      </w:r>
      <w:r>
        <w:tab/>
        <w:t>See NER, cl. 6.5.2(j)(2); NER, cl. 6A.6.2(j)(2); NGR, r. 87(10)(b).</w:t>
      </w:r>
    </w:p>
  </w:footnote>
  <w:footnote w:id="1168">
    <w:p w:rsidR="006345FD" w:rsidRDefault="006345FD" w:rsidP="0070344D">
      <w:pPr>
        <w:pStyle w:val="FootnoteText"/>
      </w:pPr>
      <w:r>
        <w:rPr>
          <w:rStyle w:val="FootnoteReference"/>
        </w:rPr>
        <w:footnoteRef/>
      </w:r>
      <w:r>
        <w:t xml:space="preserve"> </w:t>
      </w:r>
      <w:r>
        <w:tab/>
        <w:t xml:space="preserve">SFG, </w:t>
      </w:r>
      <w:r w:rsidRPr="006E6F93">
        <w:rPr>
          <w:rStyle w:val="AERtextitalic"/>
        </w:rPr>
        <w:t>Preliminary analysis of rule change proposals: Report for AEMC</w:t>
      </w:r>
      <w:r>
        <w:t>, February 2012, p. 41.</w:t>
      </w:r>
    </w:p>
  </w:footnote>
  <w:footnote w:id="1169">
    <w:p w:rsidR="006345FD" w:rsidRDefault="006345FD" w:rsidP="0070344D">
      <w:pPr>
        <w:pStyle w:val="FootnoteText"/>
      </w:pPr>
      <w:r>
        <w:rPr>
          <w:rStyle w:val="FootnoteReference"/>
        </w:rPr>
        <w:footnoteRef/>
      </w:r>
      <w:r>
        <w:t xml:space="preserve"> </w:t>
      </w:r>
      <w:r>
        <w:tab/>
        <w:t xml:space="preserve">Lally, </w:t>
      </w:r>
      <w:r w:rsidRPr="006B5568">
        <w:rPr>
          <w:rStyle w:val="AERtextitalic"/>
        </w:rPr>
        <w:t>The cost of debt</w:t>
      </w:r>
      <w:r>
        <w:t>, 10 October 2014, p. 3.</w:t>
      </w:r>
    </w:p>
  </w:footnote>
  <w:footnote w:id="1170">
    <w:p w:rsidR="006345FD" w:rsidRDefault="006345FD" w:rsidP="0070344D">
      <w:pPr>
        <w:pStyle w:val="FootnoteText"/>
      </w:pPr>
      <w:r>
        <w:rPr>
          <w:rStyle w:val="FootnoteReference"/>
        </w:rPr>
        <w:footnoteRef/>
      </w:r>
      <w:r>
        <w:t xml:space="preserve"> </w:t>
      </w:r>
      <w:r>
        <w:tab/>
        <w:t xml:space="preserve">See AER, </w:t>
      </w:r>
      <w:r w:rsidRPr="00CD279B">
        <w:rPr>
          <w:rStyle w:val="AERtextitalic"/>
        </w:rPr>
        <w:t>Final decision: TransGrid transmission determination, Attachment 3</w:t>
      </w:r>
      <w:r>
        <w:t>, April 2015, p. 150.</w:t>
      </w:r>
    </w:p>
  </w:footnote>
  <w:footnote w:id="1171">
    <w:p w:rsidR="006345FD" w:rsidRDefault="006345FD" w:rsidP="0070344D">
      <w:pPr>
        <w:pStyle w:val="FootnoteText"/>
      </w:pPr>
      <w:r>
        <w:rPr>
          <w:rStyle w:val="FootnoteReference"/>
        </w:rPr>
        <w:footnoteRef/>
      </w:r>
      <w:r>
        <w:t xml:space="preserve"> </w:t>
      </w:r>
      <w:r>
        <w:tab/>
        <w:t xml:space="preserve">HoustonKemp, </w:t>
      </w:r>
      <w:r w:rsidRPr="00CD279B">
        <w:rPr>
          <w:rStyle w:val="AERtextitalic"/>
        </w:rPr>
        <w:t>Memo: Appropriate objective to guide the setting of the cost of debt allowance</w:t>
      </w:r>
      <w:r>
        <w:t>, 3 March 2015, p. 4.</w:t>
      </w:r>
    </w:p>
  </w:footnote>
  <w:footnote w:id="1172">
    <w:p w:rsidR="006345FD" w:rsidRDefault="006345FD" w:rsidP="0070344D">
      <w:pPr>
        <w:pStyle w:val="FootnoteText"/>
      </w:pPr>
      <w:r>
        <w:rPr>
          <w:rStyle w:val="FootnoteReference"/>
        </w:rPr>
        <w:footnoteRef/>
      </w:r>
      <w:r>
        <w:t xml:space="preserve"> </w:t>
      </w:r>
      <w:r>
        <w:tab/>
        <w:t xml:space="preserve">However, we note </w:t>
      </w:r>
      <w:r w:rsidRPr="00815D07">
        <w:t>Partington and Satchell consider that, 'It is difficult to see how the use of the trailing average will materially reduce the financing costs of firms since such costs are primarily driven by the assets the firms invest in'</w:t>
      </w:r>
      <w:r>
        <w:t>.</w:t>
      </w:r>
    </w:p>
  </w:footnote>
  <w:footnote w:id="1173">
    <w:p w:rsidR="006345FD" w:rsidRDefault="006345FD" w:rsidP="0070344D">
      <w:pPr>
        <w:pStyle w:val="FootnoteText"/>
      </w:pPr>
      <w:r>
        <w:rPr>
          <w:rStyle w:val="FootnoteReference"/>
        </w:rPr>
        <w:footnoteRef/>
      </w:r>
      <w:r>
        <w:t xml:space="preserve"> </w:t>
      </w:r>
      <w:r>
        <w:tab/>
        <w:t xml:space="preserve">This is consistent with NEL s.7A(2). </w:t>
      </w:r>
      <w:r w:rsidRPr="00524990">
        <w:t>Lally advised that this principle in the NEL is ‘equiva</w:t>
      </w:r>
      <w:r>
        <w:t xml:space="preserve">lent’ to the NPV </w:t>
      </w:r>
      <w:r w:rsidRPr="00524990">
        <w:t>principle.</w:t>
      </w:r>
      <w:r>
        <w:t xml:space="preserve"> See </w:t>
      </w:r>
      <w:r w:rsidRPr="00524990">
        <w:t xml:space="preserve">Lally, </w:t>
      </w:r>
      <w:r w:rsidRPr="00524990">
        <w:rPr>
          <w:rStyle w:val="AERtextitalic"/>
        </w:rPr>
        <w:t>The risk free rate and the present value principle</w:t>
      </w:r>
      <w:r w:rsidRPr="00524990">
        <w:t xml:space="preserve">, 22 August, 2012. SFG also appears to support using the NPV principle to assess rate of return approaches. SFG, </w:t>
      </w:r>
      <w:r w:rsidRPr="00524990">
        <w:rPr>
          <w:rStyle w:val="AERtextitalic"/>
        </w:rPr>
        <w:t>Preliminary analysis on rule change proposals</w:t>
      </w:r>
      <w:r>
        <w:rPr>
          <w:rStyle w:val="AERtextitalic"/>
        </w:rPr>
        <w:t>: Report for AEMC</w:t>
      </w:r>
      <w:r w:rsidRPr="00524990">
        <w:t>, February 2012, p.</w:t>
      </w:r>
      <w:r>
        <w:t xml:space="preserve"> </w:t>
      </w:r>
      <w:r w:rsidRPr="00524990">
        <w:t>47.</w:t>
      </w:r>
    </w:p>
  </w:footnote>
  <w:footnote w:id="1174">
    <w:p w:rsidR="006345FD" w:rsidRDefault="006345FD" w:rsidP="0070344D">
      <w:pPr>
        <w:pStyle w:val="FootnoteText"/>
      </w:pPr>
      <w:r>
        <w:rPr>
          <w:rStyle w:val="FootnoteReference"/>
        </w:rPr>
        <w:footnoteRef/>
      </w:r>
      <w:r>
        <w:t xml:space="preserve"> </w:t>
      </w:r>
      <w:r>
        <w:tab/>
        <w:t xml:space="preserve">We assume the expected net operating cash flows for year </w:t>
      </w:r>
      <m:oMath>
        <m:r>
          <w:rPr>
            <w:rFonts w:ascii="Cambria Math" w:hAnsi="Cambria Math"/>
          </w:rPr>
          <m:t>t</m:t>
        </m:r>
      </m:oMath>
      <w:r>
        <w:t xml:space="preserve"> are equal to those allowed through our regulatory determinations / access arrangements.</w:t>
      </w:r>
    </w:p>
  </w:footnote>
  <w:footnote w:id="1175">
    <w:p w:rsidR="006345FD" w:rsidRDefault="006345FD" w:rsidP="0070344D">
      <w:pPr>
        <w:pStyle w:val="FootnoteText"/>
      </w:pPr>
      <w:r>
        <w:rPr>
          <w:rStyle w:val="FootnoteReference"/>
        </w:rPr>
        <w:footnoteRef/>
      </w:r>
      <w:r>
        <w:t xml:space="preserve"> </w:t>
      </w:r>
      <w:r>
        <w:tab/>
        <w:t xml:space="preserve">That is, </w:t>
      </w:r>
      <m:oMath>
        <m:sSub>
          <m:sSubPr>
            <m:ctrlPr>
              <w:rPr>
                <w:rFonts w:ascii="Cambria Math" w:hAnsi="Cambria Math"/>
              </w:rPr>
            </m:ctrlPr>
          </m:sSubPr>
          <m:e>
            <m:r>
              <w:rPr>
                <w:rFonts w:ascii="Cambria Math" w:hAnsi="Cambria Math"/>
              </w:rPr>
              <m:t>CF</m:t>
            </m:r>
          </m:e>
          <m:sub>
            <m:r>
              <w:rPr>
                <w:rFonts w:ascii="Cambria Math" w:hAnsi="Cambria Math"/>
              </w:rPr>
              <m:t>t</m:t>
            </m:r>
          </m:sub>
        </m:sSub>
      </m:oMath>
      <w:r>
        <w:t xml:space="preserve">  entails subtracting operating expenditure (opex) from total revenue on the assumption that the regulatory allowance for opex covers actual opex costs incurred. For clarity, this assumption is for ease of exposition and does not affect whether the ARORO is satisfied.</w:t>
      </w:r>
    </w:p>
  </w:footnote>
  <w:footnote w:id="1176">
    <w:p w:rsidR="006345FD" w:rsidRDefault="006345FD" w:rsidP="0070344D">
      <w:pPr>
        <w:pStyle w:val="FootnoteText"/>
      </w:pPr>
      <w:r>
        <w:rPr>
          <w:rStyle w:val="FootnoteReference"/>
        </w:rPr>
        <w:footnoteRef/>
      </w:r>
      <w:r>
        <w:t xml:space="preserve"> </w:t>
      </w:r>
      <w:r>
        <w:tab/>
      </w:r>
      <m:oMath>
        <m:sSub>
          <m:sSubPr>
            <m:ctrlPr>
              <w:rPr>
                <w:rFonts w:ascii="Cambria Math" w:hAnsi="Cambria Math"/>
              </w:rPr>
            </m:ctrlPr>
          </m:sSubPr>
          <m:e>
            <m:r>
              <w:rPr>
                <w:rFonts w:ascii="Cambria Math" w:hAnsi="Cambria Math"/>
              </w:rPr>
              <m:t>r</m:t>
            </m:r>
          </m:e>
          <m:sub>
            <m:r>
              <w:rPr>
                <w:rFonts w:ascii="Cambria Math" w:hAnsi="Cambria Math"/>
              </w:rPr>
              <m:t>t</m:t>
            </m:r>
          </m:sub>
        </m:sSub>
      </m:oMath>
      <w:r>
        <w:t xml:space="preserve"> is the allowed rate of return applied to year </w:t>
      </w:r>
      <m:oMath>
        <m:r>
          <w:rPr>
            <w:rFonts w:ascii="Cambria Math" w:hAnsi="Cambria Math"/>
          </w:rPr>
          <m:t>t</m:t>
        </m:r>
      </m:oMath>
      <w:r>
        <w:t xml:space="preserve"> (that is, to determine the net operating cash flow for year </w:t>
      </w:r>
      <m:oMath>
        <m:r>
          <w:rPr>
            <w:rFonts w:ascii="Cambria Math" w:hAnsi="Cambria Math"/>
          </w:rPr>
          <m:t>t</m:t>
        </m:r>
      </m:oMath>
      <w:r>
        <w:t xml:space="preserve">). However, it is calculated using data in year </w:t>
      </w:r>
      <m:oMath>
        <m:r>
          <w:rPr>
            <w:rFonts w:ascii="Cambria Math" w:hAnsi="Cambria Math"/>
          </w:rPr>
          <m:t>t-1</m:t>
        </m:r>
      </m:oMath>
      <w:r>
        <w:t>.</w:t>
      </w:r>
    </w:p>
  </w:footnote>
  <w:footnote w:id="1177">
    <w:p w:rsidR="006345FD" w:rsidRDefault="006345FD" w:rsidP="0070344D">
      <w:pPr>
        <w:pStyle w:val="FootnoteText"/>
      </w:pPr>
      <w:r>
        <w:rPr>
          <w:rStyle w:val="FootnoteReference"/>
        </w:rPr>
        <w:footnoteRef/>
      </w:r>
      <w:r>
        <w:t xml:space="preserve"> </w:t>
      </w:r>
      <w:r>
        <w:tab/>
        <w:t>The investment is an investment with similar degree of risk as a service provider with respect to the provision of regulated services.</w:t>
      </w:r>
    </w:p>
  </w:footnote>
  <w:footnote w:id="1178">
    <w:p w:rsidR="006345FD" w:rsidRDefault="006345FD" w:rsidP="0070344D">
      <w:pPr>
        <w:pStyle w:val="FootnoteText"/>
      </w:pPr>
      <w:r>
        <w:rPr>
          <w:rStyle w:val="FootnoteReference"/>
        </w:rPr>
        <w:footnoteRef/>
      </w:r>
      <w:r>
        <w:t xml:space="preserve"> </w:t>
      </w:r>
      <w:r>
        <w:tab/>
        <w:t xml:space="preserve">The end of the term of the RAB occurs at time </w:t>
      </w:r>
      <m:oMath>
        <m:r>
          <w:rPr>
            <w:rFonts w:ascii="Cambria Math" w:hAnsi="Cambria Math"/>
          </w:rPr>
          <m:t>T</m:t>
        </m:r>
      </m:oMath>
      <w:r>
        <w:t xml:space="preserve"> when the final return on capital and return of capital revenue allowances are provided. After this year there is no more capital finance to return to investors.</w:t>
      </w:r>
    </w:p>
  </w:footnote>
  <w:footnote w:id="1179">
    <w:p w:rsidR="006345FD" w:rsidRDefault="006345FD" w:rsidP="0070344D">
      <w:pPr>
        <w:pStyle w:val="FootnoteText"/>
      </w:pPr>
      <w:r>
        <w:rPr>
          <w:rStyle w:val="FootnoteReference"/>
        </w:rPr>
        <w:footnoteRef/>
      </w:r>
      <w:r>
        <w:t xml:space="preserve"> </w:t>
      </w:r>
      <w:r>
        <w:tab/>
        <w:t xml:space="preserve">We note there are academic articles which support the view that the depreciation schedule does not affect the zero NPV investment condition (all else equal). See for example Schmalansee, </w:t>
      </w:r>
      <w:r w:rsidRPr="005772E3">
        <w:rPr>
          <w:rStyle w:val="AERtextitalic"/>
        </w:rPr>
        <w:t>An expository note on depreciation and profitability under rate of return regulation</w:t>
      </w:r>
      <w:r>
        <w:t>,</w:t>
      </w:r>
      <w:r w:rsidRPr="00CB56E6">
        <w:t xml:space="preserve"> Journal of Regulatory Economics, </w:t>
      </w:r>
      <w:r>
        <w:t xml:space="preserve">1989, </w:t>
      </w:r>
      <w:r w:rsidRPr="00CB56E6">
        <w:t>1</w:t>
      </w:r>
      <w:r>
        <w:t>,</w:t>
      </w:r>
      <w:r w:rsidRPr="00CB56E6">
        <w:t xml:space="preserve"> </w:t>
      </w:r>
      <w:r>
        <w:t>pp. 293–</w:t>
      </w:r>
      <w:r w:rsidRPr="00CB56E6">
        <w:t>298</w:t>
      </w:r>
      <w:r>
        <w:t>.</w:t>
      </w:r>
    </w:p>
  </w:footnote>
  <w:footnote w:id="1180">
    <w:p w:rsidR="006345FD" w:rsidRDefault="006345FD" w:rsidP="0070344D">
      <w:pPr>
        <w:pStyle w:val="FootnoteText"/>
      </w:pPr>
      <w:r>
        <w:rPr>
          <w:rStyle w:val="FootnoteReference"/>
        </w:rPr>
        <w:footnoteRef/>
      </w:r>
      <w:r>
        <w:t xml:space="preserve"> </w:t>
      </w:r>
      <w:r>
        <w:tab/>
        <w:t xml:space="preserve">Brennan, </w:t>
      </w:r>
      <w:r w:rsidRPr="002F0DC8">
        <w:rPr>
          <w:rStyle w:val="AERtextitalic"/>
        </w:rPr>
        <w:t>Depreciation, investor compensation and, welfare under rate-of-return regulation</w:t>
      </w:r>
      <w:r>
        <w:t>, Review of industrial organisation, 1991, 6, p. 75.</w:t>
      </w:r>
    </w:p>
  </w:footnote>
  <w:footnote w:id="1181">
    <w:p w:rsidR="006345FD" w:rsidRDefault="006345FD" w:rsidP="0070344D">
      <w:pPr>
        <w:pStyle w:val="FootnoteText"/>
      </w:pPr>
      <w:r>
        <w:rPr>
          <w:rStyle w:val="FootnoteReference"/>
        </w:rPr>
        <w:footnoteRef/>
      </w:r>
      <w:r>
        <w:t xml:space="preserve"> </w:t>
      </w:r>
      <w:r>
        <w:tab/>
      </w:r>
      <w:r w:rsidRPr="009E5F8F">
        <w:t xml:space="preserve">In practice, we have used a 10 year term to estimate the allowed rate of return. Given </w:t>
      </w:r>
      <w:r w:rsidRPr="007F1840">
        <w:t>interest rates on longer-term debt securities are often higher than those on shorter-term debt securities</w:t>
      </w:r>
      <w:r>
        <w:t>, this would lead to overcompensation all else being equal. However, we assume no material overcompensation given this excess allowance on the return on debt may compensate service providers for their hedging costs in relation to debt capital. And, in relation to the return on equity, we assume no material overcompensation given we use a MRP estimate which his partly reliant on historical MRP estimates, which are estimated using the yield to maturity on 10 year Commonwealth Government Securities (CGS).</w:t>
      </w:r>
    </w:p>
  </w:footnote>
  <w:footnote w:id="1182">
    <w:p w:rsidR="006345FD" w:rsidRDefault="006345FD" w:rsidP="0070344D">
      <w:pPr>
        <w:pStyle w:val="FootnoteText"/>
      </w:pPr>
      <w:r>
        <w:rPr>
          <w:rStyle w:val="FootnoteReference"/>
        </w:rPr>
        <w:footnoteRef/>
      </w:r>
      <w:r>
        <w:t xml:space="preserve"> </w:t>
      </w:r>
      <w:r>
        <w:tab/>
        <w:t xml:space="preserve">This is the weighted average cost of capital (WACC) for an investment with similar degree of risk as a service provider in the provision of regulated services, at time t. That is, </w:t>
      </w:r>
      <m:oMath>
        <m:sSub>
          <m:sSubPr>
            <m:ctrlPr>
              <w:rPr>
                <w:rFonts w:ascii="Cambria Math" w:hAnsi="Cambria Math"/>
              </w:rPr>
            </m:ctrlPr>
          </m:sSubPr>
          <m:e>
            <m:r>
              <w:rPr>
                <w:rFonts w:ascii="Cambria Math" w:hAnsi="Cambria Math"/>
              </w:rPr>
              <m:t>r</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r(e)</m:t>
            </m:r>
          </m:e>
          <m:sub>
            <m:r>
              <w:rPr>
                <w:rFonts w:ascii="Cambria Math" w:hAnsi="Cambria Math"/>
              </w:rPr>
              <m:t>t,5</m:t>
            </m:r>
          </m:sub>
        </m:sSub>
        <m:r>
          <w:rPr>
            <w:rFonts w:ascii="Cambria Math" w:hAnsi="Cambria Math"/>
          </w:rPr>
          <m:t>+</m:t>
        </m:r>
        <m:f>
          <m:fPr>
            <m:ctrlPr>
              <w:rPr>
                <w:rFonts w:ascii="Cambria Math" w:hAnsi="Cambria Math"/>
              </w:rPr>
            </m:ctrlPr>
          </m:fPr>
          <m:num>
            <m:r>
              <w:rPr>
                <w:rFonts w:ascii="Cambria Math" w:hAnsi="Cambria Math"/>
              </w:rPr>
              <m:t>D</m:t>
            </m:r>
          </m:num>
          <m:den>
            <m:r>
              <w:rPr>
                <w:rFonts w:ascii="Cambria Math" w:hAnsi="Cambria Math"/>
              </w:rPr>
              <m:t>V</m:t>
            </m:r>
          </m:den>
        </m:f>
        <m:r>
          <w:rPr>
            <w:rFonts w:ascii="Cambria Math" w:hAnsi="Cambria Math"/>
          </w:rPr>
          <m:t>*</m:t>
        </m:r>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where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is the proportion of equity capital; </w:t>
      </w:r>
      <m:oMath>
        <m:sSub>
          <m:sSubPr>
            <m:ctrlPr>
              <w:rPr>
                <w:rFonts w:ascii="Cambria Math" w:hAnsi="Cambria Math"/>
              </w:rPr>
            </m:ctrlPr>
          </m:sSubPr>
          <m:e>
            <m:r>
              <w:rPr>
                <w:rFonts w:ascii="Cambria Math" w:hAnsi="Cambria Math"/>
              </w:rPr>
              <m:t>r(e)</m:t>
            </m:r>
          </m:e>
          <m:sub>
            <m:r>
              <w:rPr>
                <w:rFonts w:ascii="Cambria Math" w:hAnsi="Cambria Math"/>
              </w:rPr>
              <m:t>t,5</m:t>
            </m:r>
          </m:sub>
        </m:sSub>
      </m:oMath>
      <w:r>
        <w:t xml:space="preserve"> is the cost of equity;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is the proportion of debt capital; and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is the cost of debt.</w:t>
      </w:r>
    </w:p>
  </w:footnote>
  <w:footnote w:id="1183">
    <w:p w:rsidR="006345FD" w:rsidRDefault="006345FD" w:rsidP="0070344D">
      <w:pPr>
        <w:pStyle w:val="FootnoteText"/>
      </w:pPr>
      <w:r>
        <w:rPr>
          <w:rStyle w:val="FootnoteReference"/>
        </w:rPr>
        <w:footnoteRef/>
      </w:r>
      <w:r>
        <w:t xml:space="preserve"> </w:t>
      </w:r>
      <w:r>
        <w:tab/>
        <w:t xml:space="preserve">This is the closing RAB at the end of year t-1, which equals the opening RAB at the beginning of year t. </w:t>
      </w:r>
    </w:p>
  </w:footnote>
  <w:footnote w:id="1184">
    <w:p w:rsidR="006345FD" w:rsidRDefault="006345FD" w:rsidP="0070344D">
      <w:pPr>
        <w:pStyle w:val="FootnoteText"/>
      </w:pPr>
      <w:r>
        <w:rPr>
          <w:rStyle w:val="FootnoteReference"/>
        </w:rPr>
        <w:footnoteRef/>
      </w:r>
      <w:r>
        <w:t xml:space="preserve"> </w:t>
      </w:r>
      <w:r>
        <w:tab/>
      </w:r>
      <m:oMath>
        <m:acc>
          <m:accPr>
            <m:ctrlPr>
              <w:rPr>
                <w:rFonts w:ascii="Cambria Math" w:hAnsi="Cambria Math"/>
              </w:rPr>
            </m:ctrlPr>
          </m:accPr>
          <m:e>
            <m:sSub>
              <m:sSubPr>
                <m:ctrlPr>
                  <w:rPr>
                    <w:rFonts w:ascii="Cambria Math" w:hAnsi="Cambria Math"/>
                  </w:rPr>
                </m:ctrlPr>
              </m:sSubPr>
              <m:e>
                <m:r>
                  <w:rPr>
                    <w:rFonts w:ascii="Cambria Math" w:hAnsi="Cambria Math"/>
                  </w:rPr>
                  <m:t>r</m:t>
                </m:r>
              </m:e>
              <m:sub>
                <m:r>
                  <w:rPr>
                    <w:rFonts w:ascii="Cambria Math" w:hAnsi="Cambria Math"/>
                  </w:rPr>
                  <m:t>t,5</m:t>
                </m:r>
              </m:sub>
            </m:sSub>
          </m:e>
        </m:acc>
      </m:oMath>
      <w:r>
        <w:t xml:space="preserve"> is our best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It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xml:space="preserve">;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d</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debt </w:t>
      </w:r>
      <m:oMath>
        <m:sSub>
          <m:sSubPr>
            <m:ctrlPr>
              <w:rPr>
                <w:rFonts w:ascii="Cambria Math" w:hAnsi="Cambria Math"/>
              </w:rPr>
            </m:ctrlPr>
          </m:sSubPr>
          <m:e>
            <m:r>
              <w:rPr>
                <w:rFonts w:ascii="Cambria Math" w:hAnsi="Cambria Math"/>
              </w:rPr>
              <m:t>r(d)</m:t>
            </m:r>
          </m:e>
          <m:sub>
            <m:r>
              <w:rPr>
                <w:rFonts w:ascii="Cambria Math" w:hAnsi="Cambria Math"/>
              </w:rPr>
              <m:t>t,5</m:t>
            </m:r>
          </m:sub>
        </m:sSub>
      </m:oMath>
      <w:r>
        <w:t xml:space="preserve">;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w:t>
      </w:r>
    </w:p>
  </w:footnote>
  <w:footnote w:id="1185">
    <w:p w:rsidR="006345FD" w:rsidRDefault="006345FD" w:rsidP="0070344D">
      <w:pPr>
        <w:pStyle w:val="FootnoteText"/>
      </w:pPr>
      <w:r>
        <w:rPr>
          <w:rStyle w:val="FootnoteReference"/>
        </w:rPr>
        <w:footnoteRef/>
      </w:r>
      <w:r>
        <w:t xml:space="preserve"> </w:t>
      </w:r>
      <w:r>
        <w:tab/>
        <w:t>These assumptions are: we ignore changes to the capital stock and assume all initial capital is returned at the end of the term of the RAB.</w:t>
      </w:r>
    </w:p>
  </w:footnote>
  <w:footnote w:id="1186">
    <w:p w:rsidR="006345FD" w:rsidRDefault="006345FD" w:rsidP="0070344D">
      <w:pPr>
        <w:pStyle w:val="FootnoteText"/>
      </w:pPr>
      <w:r>
        <w:rPr>
          <w:rStyle w:val="FootnoteReference"/>
        </w:rPr>
        <w:footnoteRef/>
      </w:r>
      <w:r>
        <w:t xml:space="preserve"> </w:t>
      </w:r>
      <w:r>
        <w:tab/>
        <w:t>These equalities hold under the expectation that the allowed rate of return is reset at the commencement of each regulatory period to reflect the prevailing market cost of capital at that time (</w:t>
      </w:r>
      <m:oMath>
        <m:sSub>
          <m:sSubPr>
            <m:ctrlPr>
              <w:rPr>
                <w:rFonts w:ascii="Cambria Math" w:hAnsi="Cambria Math"/>
              </w:rPr>
            </m:ctrlPr>
          </m:sSubPr>
          <m:e>
            <m:r>
              <w:rPr>
                <w:rFonts w:ascii="Cambria Math" w:hAnsi="Cambria Math"/>
              </w:rPr>
              <m:t>r</m:t>
            </m:r>
          </m:e>
          <m:sub>
            <m:r>
              <w:rPr>
                <w:rFonts w:ascii="Cambria Math" w:hAnsi="Cambria Math"/>
              </w:rPr>
              <m:t>t+5,5</m:t>
            </m:r>
          </m:sub>
        </m:sSub>
      </m:oMath>
      <w:r>
        <w:t xml:space="preserve">, </w:t>
      </w:r>
      <m:oMath>
        <m:sSub>
          <m:sSubPr>
            <m:ctrlPr>
              <w:rPr>
                <w:rFonts w:ascii="Cambria Math" w:hAnsi="Cambria Math"/>
              </w:rPr>
            </m:ctrlPr>
          </m:sSubPr>
          <m:e>
            <m:r>
              <w:rPr>
                <w:rFonts w:ascii="Cambria Math" w:hAnsi="Cambria Math"/>
              </w:rPr>
              <m:t>r</m:t>
            </m:r>
          </m:e>
          <m:sub>
            <m:r>
              <w:rPr>
                <w:rFonts w:ascii="Cambria Math" w:hAnsi="Cambria Math"/>
              </w:rPr>
              <m:t>t+10,5</m:t>
            </m:r>
          </m:sub>
        </m:sSub>
      </m:oMath>
      <w:r>
        <w:t>, etc.). However, these future rates are unknown at time t.</w:t>
      </w:r>
      <w:r w:rsidRPr="00AF6784">
        <w:t xml:space="preserve"> Also, </w:t>
      </w:r>
      <w:r>
        <w:t xml:space="preserve">under our assumptions, </w:t>
      </w:r>
      <m:oMath>
        <m:sSub>
          <m:sSubPr>
            <m:ctrlPr>
              <w:rPr>
                <w:rFonts w:ascii="Cambria Math" w:hAnsi="Cambria Math"/>
              </w:rPr>
            </m:ctrlPr>
          </m:sSubPr>
          <m:e>
            <m:r>
              <w:rPr>
                <w:rFonts w:ascii="Cambria Math" w:hAnsi="Cambria Math"/>
              </w:rPr>
              <m:t>K</m:t>
            </m:r>
          </m:e>
          <m:sub>
            <m:r>
              <w:rPr>
                <w:rFonts w:ascii="Cambria Math" w:hAnsi="Cambria Math"/>
              </w:rPr>
              <m:t>0</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T</m:t>
            </m:r>
          </m:sub>
        </m:sSub>
      </m:oMath>
      <w:r>
        <w:t>.</w:t>
      </w:r>
    </w:p>
  </w:footnote>
  <w:footnote w:id="1187">
    <w:p w:rsidR="006345FD" w:rsidRDefault="006345FD" w:rsidP="0070344D">
      <w:pPr>
        <w:pStyle w:val="FootnoteText"/>
      </w:pPr>
      <w:r>
        <w:rPr>
          <w:rStyle w:val="FootnoteReference"/>
        </w:rPr>
        <w:footnoteRef/>
      </w:r>
      <w:r>
        <w:t xml:space="preserve"> </w:t>
      </w:r>
      <w:r>
        <w:tab/>
        <w:t xml:space="preserve">The resetting of the allowed rate of return at the commencement of each regulatory period means the end-of-period closing RAB has a present value equal to its statutory value at that point in time. However, any cash flow with a present value equal to the statutory value of the end-of-period closing RAB </w:t>
      </w:r>
      <m:oMath>
        <m:sSub>
          <m:sSubPr>
            <m:ctrlPr>
              <w:rPr>
                <w:rFonts w:ascii="Cambria Math" w:hAnsi="Cambria Math"/>
              </w:rPr>
            </m:ctrlPr>
          </m:sSubPr>
          <m:e>
            <m:r>
              <w:rPr>
                <w:rFonts w:ascii="Cambria Math" w:hAnsi="Cambria Math"/>
              </w:rPr>
              <m:t>K</m:t>
            </m:r>
          </m:e>
          <m:sub>
            <m:r>
              <w:rPr>
                <w:rFonts w:ascii="Cambria Math" w:hAnsi="Cambria Math"/>
              </w:rPr>
              <m:t>t+5</m:t>
            </m:r>
          </m:sub>
        </m:sSub>
      </m:oMath>
      <w:r w:rsidRPr="00AF6784">
        <w:t xml:space="preserve"> </w:t>
      </w:r>
      <w:r>
        <w:t>at that time (for example, a cash flow transitioning to a trailing average) should result in the equality holding.</w:t>
      </w:r>
    </w:p>
  </w:footnote>
  <w:footnote w:id="1188">
    <w:p w:rsidR="006345FD" w:rsidRDefault="006345FD" w:rsidP="0070344D">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189">
    <w:p w:rsidR="006345FD" w:rsidRDefault="006345FD" w:rsidP="0070344D">
      <w:pPr>
        <w:pStyle w:val="FootnoteText"/>
      </w:pPr>
      <w:r>
        <w:rPr>
          <w:rStyle w:val="FootnoteReference"/>
        </w:rPr>
        <w:footnoteRef/>
      </w:r>
      <w:r>
        <w:t xml:space="preserve"> </w:t>
      </w:r>
      <w:r>
        <w:tab/>
      </w:r>
      <w:r w:rsidRPr="008948E5">
        <w:t xml:space="preserve">For clarity, we make this analogy to demonstrate why </w:t>
      </w:r>
      <w:r>
        <w:t>the rate of return</w:t>
      </w:r>
      <w:r w:rsidRPr="008948E5">
        <w:t xml:space="preserve"> should be reset on each reset date. We do not consider our return on debt cash flows are equivalent to a floating rate bond or require the allowed rate of return to be determined as such. We consider our benchmarked return on debt and return on equity estimates reasonably reflects the prevailing cost of debt and cost of equity for an investment with a similar degree of risk as a service provider in providing regulated services.</w:t>
      </w:r>
    </w:p>
  </w:footnote>
  <w:footnote w:id="1190">
    <w:p w:rsidR="006345FD" w:rsidRDefault="006345FD" w:rsidP="0070344D">
      <w:pPr>
        <w:pStyle w:val="FootnoteText"/>
      </w:pPr>
      <w:r>
        <w:rPr>
          <w:rStyle w:val="FootnoteReference"/>
        </w:rPr>
        <w:footnoteRef/>
      </w:r>
      <w:r>
        <w:t xml:space="preserve"> </w:t>
      </w:r>
      <w:r>
        <w:tab/>
      </w:r>
      <w:r w:rsidRPr="008948E5">
        <w:t xml:space="preserve">Assuming the correct discount rate </w:t>
      </w:r>
      <w:r w:rsidRPr="006A4A74">
        <w:t>(or cost of capital) is used to benchmark the allowed rate of return (and therefore reset the RAB to its statutory value) at each reset date.</w:t>
      </w:r>
    </w:p>
  </w:footnote>
  <w:footnote w:id="1191">
    <w:p w:rsidR="006345FD" w:rsidRDefault="006345FD" w:rsidP="0070344D">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xml:space="preserve">) is no longer an estimate of the prevailing market cost of capital </w:t>
      </w:r>
      <m:oMath>
        <m:sSub>
          <m:sSubPr>
            <m:ctrlPr>
              <w:rPr>
                <w:rFonts w:ascii="Cambria Math" w:hAnsi="Cambria Math"/>
              </w:rPr>
            </m:ctrlPr>
          </m:sSubPr>
          <m:e>
            <m:r>
              <w:rPr>
                <w:rFonts w:ascii="Cambria Math" w:hAnsi="Cambria Math"/>
              </w:rPr>
              <m:t>r</m:t>
            </m:r>
          </m:e>
          <m:sub>
            <m:r>
              <w:rPr>
                <w:rFonts w:ascii="Cambria Math" w:hAnsi="Cambria Math"/>
              </w:rPr>
              <m:t>t,5</m:t>
            </m:r>
          </m:sub>
        </m:sSub>
      </m:oMath>
      <w:r>
        <w:t xml:space="preserve">. The allowed rate of return consists of </w:t>
      </w:r>
      <m:oMath>
        <m:sSub>
          <m:sSubPr>
            <m:ctrlPr>
              <w:rPr>
                <w:rFonts w:ascii="Cambria Math" w:hAnsi="Cambria Math"/>
              </w:rPr>
            </m:ctrlPr>
          </m:sSubPr>
          <m:e>
            <m:acc>
              <m:accPr>
                <m:ctrlPr>
                  <w:rPr>
                    <w:rFonts w:ascii="Cambria Math" w:hAnsi="Cambria Math"/>
                  </w:rPr>
                </m:ctrlPr>
              </m:accPr>
              <m:e>
                <m:r>
                  <w:rPr>
                    <w:rFonts w:ascii="Cambria Math" w:hAnsi="Cambria Math"/>
                  </w:rPr>
                  <m:t>r</m:t>
                </m:r>
                <m:r>
                  <m:rPr>
                    <m:sty m:val="p"/>
                  </m:rPr>
                  <w:rPr>
                    <w:rFonts w:ascii="Cambria Math" w:hAnsi="Cambria Math"/>
                  </w:rPr>
                  <m:t>(</m:t>
                </m:r>
                <m:r>
                  <w:rPr>
                    <w:rFonts w:ascii="Cambria Math" w:hAnsi="Cambria Math"/>
                  </w:rPr>
                  <m:t>e</m:t>
                </m:r>
                <m:r>
                  <m:rPr>
                    <m:sty m:val="p"/>
                  </m:rPr>
                  <w:rPr>
                    <w:rFonts w:ascii="Cambria Math" w:hAnsi="Cambria Math"/>
                  </w:rPr>
                  <m:t>)</m:t>
                </m:r>
              </m:e>
            </m:acc>
          </m:e>
          <m:sub>
            <m:r>
              <w:rPr>
                <w:rFonts w:ascii="Cambria Math" w:hAnsi="Cambria Math"/>
              </w:rPr>
              <m:t>t</m:t>
            </m:r>
            <m:r>
              <m:rPr>
                <m:sty m:val="p"/>
              </m:rPr>
              <w:rPr>
                <w:rFonts w:ascii="Cambria Math" w:hAnsi="Cambria Math"/>
              </w:rPr>
              <m:t>,5</m:t>
            </m:r>
          </m:sub>
        </m:sSub>
      </m:oMath>
      <w:r>
        <w:t xml:space="preserve">—our best estimate of the prevailing market cost of equity </w:t>
      </w:r>
      <m:oMath>
        <m:sSub>
          <m:sSubPr>
            <m:ctrlPr>
              <w:rPr>
                <w:rFonts w:ascii="Cambria Math" w:hAnsi="Cambria Math"/>
                <w:i/>
                <w:iCs/>
              </w:rPr>
            </m:ctrlPr>
          </m:sSubPr>
          <m:e>
            <m:r>
              <w:rPr>
                <w:rFonts w:ascii="Cambria Math" w:hAnsi="Cambria Math"/>
              </w:rPr>
              <m:t>r(e)</m:t>
            </m:r>
          </m:e>
          <m:sub>
            <m:r>
              <w:rPr>
                <w:rFonts w:ascii="Cambria Math" w:hAnsi="Cambria Math"/>
              </w:rPr>
              <m:t>t,5</m:t>
            </m:r>
          </m:sub>
        </m:sSub>
      </m:oMath>
      <w:r>
        <w:t>; 0.1*</w:t>
      </w:r>
      <m:oMath>
        <m:nary>
          <m:naryPr>
            <m:chr m:val="∑"/>
            <m:limLoc m:val="subSup"/>
            <m:ctrlPr>
              <w:rPr>
                <w:rFonts w:ascii="Cambria Math" w:hAnsi="Cambria Math"/>
              </w:rPr>
            </m:ctrlPr>
          </m:naryPr>
          <m:sub>
            <m:r>
              <w:rPr>
                <w:rFonts w:ascii="Cambria Math" w:hAnsi="Cambria Math"/>
              </w:rPr>
              <m:t xml:space="preserve">s=i-10 </m:t>
            </m:r>
          </m:sub>
          <m:sup>
            <m:r>
              <w:rPr>
                <w:rFonts w:ascii="Cambria Math" w:hAnsi="Cambria Math"/>
              </w:rPr>
              <m:t>i-1</m:t>
            </m:r>
          </m:sup>
          <m:e>
            <m:sSub>
              <m:sSubPr>
                <m:ctrlPr>
                  <w:rPr>
                    <w:rFonts w:ascii="Cambria Math" w:hAnsi="Cambria Math"/>
                  </w:rPr>
                </m:ctrlPr>
              </m:sSubPr>
              <m:e>
                <m:r>
                  <w:rPr>
                    <w:rFonts w:ascii="Cambria Math" w:hAnsi="Cambria Math"/>
                  </w:rPr>
                  <m:t>[r</m:t>
                </m:r>
              </m:e>
              <m:sub>
                <m:r>
                  <w:rPr>
                    <w:rFonts w:ascii="Cambria Math" w:hAnsi="Cambria Math"/>
                  </w:rPr>
                  <m:t>s,10</m:t>
                </m:r>
              </m:sub>
            </m:sSub>
            <m:r>
              <w:rPr>
                <w:rFonts w:ascii="Cambria Math" w:hAnsi="Cambria Math"/>
              </w:rPr>
              <m:t>]</m:t>
            </m:r>
          </m:e>
        </m:nary>
      </m:oMath>
      <w:r>
        <w:t xml:space="preserve">—a 10 year historical average cost of debt that is updated annually; 0.4—our best estimate of </w:t>
      </w:r>
      <m:oMath>
        <m:f>
          <m:fPr>
            <m:ctrlPr>
              <w:rPr>
                <w:rFonts w:ascii="Cambria Math" w:hAnsi="Cambria Math"/>
              </w:rPr>
            </m:ctrlPr>
          </m:fPr>
          <m:num>
            <m:r>
              <w:rPr>
                <w:rFonts w:ascii="Cambria Math" w:hAnsi="Cambria Math"/>
              </w:rPr>
              <m:t>E</m:t>
            </m:r>
          </m:num>
          <m:den>
            <m:r>
              <w:rPr>
                <w:rFonts w:ascii="Cambria Math" w:hAnsi="Cambria Math"/>
              </w:rPr>
              <m:t>V</m:t>
            </m:r>
          </m:den>
        </m:f>
      </m:oMath>
      <w:r>
        <w:t xml:space="preserve">; and 0.6—our best estimate of </w:t>
      </w:r>
      <m:oMath>
        <m:f>
          <m:fPr>
            <m:ctrlPr>
              <w:rPr>
                <w:rFonts w:ascii="Cambria Math" w:hAnsi="Cambria Math"/>
              </w:rPr>
            </m:ctrlPr>
          </m:fPr>
          <m:num>
            <m:r>
              <w:rPr>
                <w:rFonts w:ascii="Cambria Math" w:hAnsi="Cambria Math"/>
              </w:rPr>
              <m:t>D</m:t>
            </m:r>
          </m:num>
          <m:den>
            <m:r>
              <w:rPr>
                <w:rFonts w:ascii="Cambria Math" w:hAnsi="Cambria Math"/>
              </w:rPr>
              <m:t>V</m:t>
            </m:r>
          </m:den>
        </m:f>
      </m:oMath>
      <w:r>
        <w:t xml:space="preserve">. </w:t>
      </w:r>
    </w:p>
  </w:footnote>
  <w:footnote w:id="1192">
    <w:p w:rsidR="006345FD" w:rsidRDefault="006345FD" w:rsidP="0070344D">
      <w:pPr>
        <w:pStyle w:val="FootnoteText"/>
      </w:pPr>
      <w:r>
        <w:rPr>
          <w:rStyle w:val="FootnoteReference"/>
        </w:rPr>
        <w:footnoteRef/>
      </w:r>
      <w:r>
        <w:t xml:space="preserve"> </w:t>
      </w:r>
      <w:r>
        <w:tab/>
        <w:t xml:space="preserve">We consider this is consistent with Partington and Satchell's view that, 'if all future cash flows are positive, then there is a unique solution for the rate of return that sets the NPV to zero' (over each regulatory period). Partington, G., Satchell, S., </w:t>
      </w:r>
      <w:r w:rsidRPr="00D001FE">
        <w:rPr>
          <w:rStyle w:val="AERtextitalic"/>
        </w:rPr>
        <w:t>Report to the AER: Discussion of the allowed cost of</w:t>
      </w:r>
      <w:r>
        <w:t xml:space="preserve"> </w:t>
      </w:r>
      <w:r w:rsidRPr="00D001FE">
        <w:rPr>
          <w:rStyle w:val="AERtextitalic"/>
        </w:rPr>
        <w:t>debt</w:t>
      </w:r>
      <w:r>
        <w:t>, 5 May 2016, p. 45.</w:t>
      </w:r>
    </w:p>
  </w:footnote>
  <w:footnote w:id="1193">
    <w:p w:rsidR="006345FD" w:rsidRDefault="006345FD" w:rsidP="0070344D">
      <w:pPr>
        <w:pStyle w:val="FootnoteText"/>
      </w:pPr>
      <w:r>
        <w:rPr>
          <w:rStyle w:val="FootnoteReference"/>
        </w:rPr>
        <w:footnoteRef/>
      </w:r>
      <w:r>
        <w:t xml:space="preserve"> </w:t>
      </w:r>
      <w:r>
        <w:tab/>
        <w:t xml:space="preserve">That is, they consider it is likely that the 'cost of equity will diverge from that assumed at a 60% leverage level'. See Partington, G., Satchell, S., </w:t>
      </w:r>
      <w:r w:rsidRPr="00D001FE">
        <w:rPr>
          <w:rStyle w:val="AERtextitalic"/>
        </w:rPr>
        <w:t>Report to the AER: Discussion of the allowed cost of</w:t>
      </w:r>
      <w:r>
        <w:t xml:space="preserve"> </w:t>
      </w:r>
      <w:r w:rsidRPr="00D001FE">
        <w:rPr>
          <w:rStyle w:val="AERtextitalic"/>
        </w:rPr>
        <w:t>debt</w:t>
      </w:r>
      <w:r>
        <w:t>, 5 May 2016, p. 21.</w:t>
      </w:r>
    </w:p>
  </w:footnote>
  <w:footnote w:id="1194">
    <w:p w:rsidR="006345FD" w:rsidRDefault="006345FD" w:rsidP="0070344D">
      <w:pPr>
        <w:pStyle w:val="FootnoteText"/>
      </w:pPr>
      <w:r>
        <w:rPr>
          <w:rStyle w:val="FootnoteReference"/>
        </w:rPr>
        <w:footnoteRef/>
      </w:r>
      <w:r>
        <w:t xml:space="preserve"> </w:t>
      </w:r>
      <w:r>
        <w:tab/>
        <w:t xml:space="preserve">We have used spot rates </w:t>
      </w:r>
      <m:oMath>
        <m:sSub>
          <m:sSubPr>
            <m:ctrlPr>
              <w:rPr>
                <w:rFonts w:ascii="Cambria Math" w:hAnsi="Cambria Math"/>
              </w:rPr>
            </m:ctrlPr>
          </m:sSubPr>
          <m:e>
            <m:r>
              <w:rPr>
                <w:rFonts w:ascii="Cambria Math" w:hAnsi="Cambria Math"/>
              </w:rPr>
              <m:t>r</m:t>
            </m:r>
          </m:e>
          <m:sub>
            <m:r>
              <w:rPr>
                <w:rFonts w:ascii="Cambria Math" w:hAnsi="Cambria Math"/>
              </w:rPr>
              <m:t>0,t</m:t>
            </m:r>
          </m:sub>
        </m:sSub>
      </m:oMath>
      <w:r>
        <w:t xml:space="preserve"> to discount the cash flows for years t=1 to t=10 because the debt portfolio consists of debt with different maturities. The cost of (debt) capital in this case is a complicated average of the spot rates. </w:t>
      </w:r>
    </w:p>
  </w:footnote>
  <w:footnote w:id="1195">
    <w:p w:rsidR="006345FD" w:rsidRDefault="006345FD" w:rsidP="0070344D">
      <w:pPr>
        <w:pStyle w:val="FootnoteText"/>
      </w:pPr>
      <w:r>
        <w:rPr>
          <w:rStyle w:val="FootnoteReference"/>
        </w:rPr>
        <w:footnoteRef/>
      </w:r>
      <w:r>
        <w:t xml:space="preserve"> </w:t>
      </w:r>
      <w:r>
        <w:tab/>
        <w:t>This equals the opening RAB at the beginning of year 0—because the opening RAB</w:t>
      </w:r>
      <w:r w:rsidRPr="003E2DB8">
        <w:t xml:space="preserve"> </w:t>
      </w:r>
      <w:r>
        <w:t>at the beginning of year t equals the closing RAB at the end of year t-1.</w:t>
      </w:r>
    </w:p>
  </w:footnote>
  <w:footnote w:id="1196">
    <w:p w:rsidR="006345FD" w:rsidRDefault="006345FD" w:rsidP="0070344D">
      <w:pPr>
        <w:pStyle w:val="FootnoteText"/>
      </w:pPr>
      <w:r>
        <w:rPr>
          <w:rStyle w:val="FootnoteReference"/>
        </w:rPr>
        <w:footnoteRef/>
      </w:r>
      <w:r>
        <w:t xml:space="preserve"> </w:t>
      </w:r>
      <w:r>
        <w:tab/>
        <w:t>The allowed rate of return (</w:t>
      </w:r>
      <m:oMath>
        <m:sSub>
          <m:sSubPr>
            <m:ctrlPr>
              <w:rPr>
                <w:rFonts w:ascii="Cambria Math" w:hAnsi="Cambria Math"/>
              </w:rPr>
            </m:ctrlPr>
          </m:sSubPr>
          <m:e>
            <m:r>
              <w:rPr>
                <w:rFonts w:ascii="Cambria Math" w:hAnsi="Cambria Math"/>
              </w:rPr>
              <m:t>r</m:t>
            </m:r>
          </m:e>
          <m:sub>
            <m:r>
              <w:rPr>
                <w:rFonts w:ascii="Cambria Math" w:hAnsi="Cambria Math"/>
              </w:rPr>
              <m:t>i</m:t>
            </m:r>
          </m:sub>
        </m:sSub>
      </m:oMath>
      <w:r>
        <w:t>) is an average of estimates of the spot rates (at time 0) for different terms. The allowed rate of return differs each year because the proportion of expected net operating cash flow allocated to this debt portfolio reduces as each tranche of debt matures and the staggered portfolio is formed (see next section).</w:t>
      </w:r>
    </w:p>
  </w:footnote>
  <w:footnote w:id="1197">
    <w:p w:rsidR="006345FD" w:rsidRDefault="006345FD" w:rsidP="0070344D">
      <w:pPr>
        <w:pStyle w:val="FootnoteText"/>
      </w:pPr>
      <w:r>
        <w:rPr>
          <w:rStyle w:val="FootnoteReference"/>
        </w:rPr>
        <w:footnoteRef/>
      </w:r>
      <w:r>
        <w:t xml:space="preserve"> </w:t>
      </w:r>
      <w:r>
        <w:tab/>
        <w:t>O</w:t>
      </w:r>
      <w:r w:rsidRPr="002D138D">
        <w:t>r</w:t>
      </w:r>
      <w:r>
        <w:t>,</w:t>
      </w:r>
      <w:r w:rsidRPr="002D138D">
        <w:t xml:space="preserve"> the expected cash flows generated from these portions</w:t>
      </w:r>
      <w:r>
        <w:t>.</w:t>
      </w:r>
    </w:p>
  </w:footnote>
  <w:footnote w:id="1198">
    <w:p w:rsidR="006345FD" w:rsidRDefault="006345FD" w:rsidP="0070344D">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199">
    <w:p w:rsidR="006345FD" w:rsidRDefault="006345FD" w:rsidP="0070344D">
      <w:pPr>
        <w:pStyle w:val="FootnoteText"/>
      </w:pPr>
      <w:r>
        <w:rPr>
          <w:rStyle w:val="FootnoteReference"/>
        </w:rPr>
        <w:footnoteRef/>
      </w:r>
      <w:r>
        <w:t xml:space="preserve"> </w:t>
      </w:r>
      <w:r>
        <w:tab/>
      </w:r>
      <w:r w:rsidRPr="00A758A8">
        <w:t>In likening this approach to ten long term floating rate securities, the proportion of expected net operating cash flow generated each year from portions 1 to 10 of the RAB can be seen as the fixed interest payments on the ten securities. One security is issued (at par value) each year 1 to 10 and the interest rate on each equals the prevailing market cost of capital at the time of issuance, until it is reset in ten years.</w:t>
      </w:r>
    </w:p>
  </w:footnote>
  <w:footnote w:id="1200">
    <w:p w:rsidR="006345FD" w:rsidRDefault="006345FD" w:rsidP="0070344D">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 We note this represents only one tenth of the trailing average rate of return (on debt).</w:t>
      </w:r>
    </w:p>
  </w:footnote>
  <w:footnote w:id="1201">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17.</w:t>
      </w:r>
    </w:p>
  </w:footnote>
  <w:footnote w:id="1202">
    <w:p w:rsidR="006345FD" w:rsidRDefault="006345FD" w:rsidP="0070344D">
      <w:pPr>
        <w:pStyle w:val="FootnoteText"/>
      </w:pPr>
      <w:r>
        <w:rPr>
          <w:rStyle w:val="FootnoteReference"/>
        </w:rPr>
        <w:footnoteRef/>
      </w:r>
      <w:r>
        <w:t xml:space="preserve"> </w:t>
      </w:r>
      <w:r>
        <w:tab/>
        <w:t>Note we ignore the treatment of changes to the capital stock before the end of the assets life (where we assume all capital is returned).</w:t>
      </w:r>
    </w:p>
  </w:footnote>
  <w:footnote w:id="1203">
    <w:p w:rsidR="006345FD" w:rsidRDefault="006345FD" w:rsidP="0070344D">
      <w:pPr>
        <w:pStyle w:val="FootnoteText"/>
      </w:pPr>
      <w:r>
        <w:rPr>
          <w:rStyle w:val="FootnoteReference"/>
        </w:rPr>
        <w:footnoteRef/>
      </w:r>
      <w:r>
        <w:t xml:space="preserve"> </w:t>
      </w:r>
      <w:r>
        <w:tab/>
        <w:t>The opening RAB</w:t>
      </w:r>
      <w:r w:rsidRPr="003E2DB8">
        <w:t xml:space="preserve"> </w:t>
      </w:r>
      <w:r>
        <w:t>at the beginning of year t equals the closing RAB at the end of year t-1.</w:t>
      </w:r>
    </w:p>
  </w:footnote>
  <w:footnote w:id="1204">
    <w:p w:rsidR="006345FD" w:rsidRDefault="006345FD" w:rsidP="0070344D">
      <w:pPr>
        <w:pStyle w:val="FootnoteText"/>
      </w:pPr>
      <w:r>
        <w:rPr>
          <w:rStyle w:val="FootnoteReference"/>
        </w:rPr>
        <w:footnoteRef/>
      </w:r>
      <w:r>
        <w:t xml:space="preserve"> </w:t>
      </w:r>
      <w:r>
        <w:tab/>
        <w:t xml:space="preserve">Where </w:t>
      </w:r>
      <m:oMath>
        <m:sSub>
          <m:sSubPr>
            <m:ctrlPr>
              <w:rPr>
                <w:rFonts w:ascii="Cambria Math" w:hAnsi="Cambria Math"/>
              </w:rPr>
            </m:ctrlPr>
          </m:sSubPr>
          <m:e>
            <m:acc>
              <m:accPr>
                <m:ctrlPr>
                  <w:rPr>
                    <w:rFonts w:ascii="Cambria Math" w:hAnsi="Cambria Math"/>
                  </w:rPr>
                </m:ctrlPr>
              </m:accPr>
              <m:e>
                <m:r>
                  <w:rPr>
                    <w:rFonts w:ascii="Cambria Math" w:hAnsi="Cambria Math"/>
                  </w:rPr>
                  <m:t>r</m:t>
                </m:r>
              </m:e>
            </m:acc>
          </m:e>
          <m:sub>
            <m:r>
              <w:rPr>
                <w:rFonts w:ascii="Cambria Math" w:hAnsi="Cambria Math"/>
              </w:rPr>
              <m:t>t,10</m:t>
            </m:r>
          </m:sub>
        </m:sSub>
      </m:oMath>
      <w:r>
        <w:t xml:space="preserve"> is our best estimate of the prevailing market cost of (debt) capital at time t </w:t>
      </w:r>
      <m:oMath>
        <m:sSub>
          <m:sSubPr>
            <m:ctrlPr>
              <w:rPr>
                <w:rFonts w:ascii="Cambria Math" w:hAnsi="Cambria Math"/>
              </w:rPr>
            </m:ctrlPr>
          </m:sSubPr>
          <m:e>
            <m:r>
              <w:rPr>
                <w:rFonts w:ascii="Cambria Math" w:hAnsi="Cambria Math"/>
              </w:rPr>
              <m:t>r</m:t>
            </m:r>
          </m:e>
          <m:sub>
            <m:r>
              <w:rPr>
                <w:rFonts w:ascii="Cambria Math" w:hAnsi="Cambria Math"/>
              </w:rPr>
              <m:t>t,10</m:t>
            </m:r>
          </m:sub>
        </m:sSub>
      </m:oMath>
      <w:r>
        <w:t>.</w:t>
      </w:r>
    </w:p>
  </w:footnote>
  <w:footnote w:id="1205">
    <w:p w:rsidR="006345FD" w:rsidRDefault="006345FD" w:rsidP="0070344D">
      <w:pPr>
        <w:pStyle w:val="FootnoteText"/>
      </w:pPr>
      <w:r>
        <w:rPr>
          <w:rStyle w:val="FootnoteReference"/>
        </w:rPr>
        <w:footnoteRef/>
      </w:r>
      <w:r>
        <w:t xml:space="preserve"> </w:t>
      </w:r>
      <w:r>
        <w:tab/>
        <w:t>Wherever we say revenue neutral we mean revenue neutral in a present value sense. This is equivalent to avoiding wealth transfers from the change in methodology. This is also equivalent to saying there are no windfall gains or losses from the change in methodology (as HoustonKemp appear to use the term in their advice to ESCOSSA).</w:t>
      </w:r>
    </w:p>
  </w:footnote>
  <w:footnote w:id="1206">
    <w:p w:rsidR="006345FD" w:rsidRDefault="006345FD" w:rsidP="0070344D">
      <w:pPr>
        <w:pStyle w:val="FootnoteText"/>
      </w:pPr>
      <w:r>
        <w:rPr>
          <w:rStyle w:val="FootnoteReference"/>
        </w:rPr>
        <w:footnoteRef/>
      </w:r>
      <w:r>
        <w:t xml:space="preserve"> </w:t>
      </w:r>
      <w:r>
        <w:tab/>
        <w:t xml:space="preserve">The change in the return on debt approach and the associated transition were necessarily discussed, consulted on and determined upon together. See AER, </w:t>
      </w:r>
      <w:r w:rsidRPr="00435485">
        <w:rPr>
          <w:rStyle w:val="AERtextitalic"/>
        </w:rPr>
        <w:t>Explanatory statement to the rate of return guideline</w:t>
      </w:r>
      <w:r>
        <w:t>, December 2013, pp. 98</w:t>
      </w:r>
      <w:r>
        <w:rPr>
          <w:rFonts w:cs="Arial"/>
        </w:rPr>
        <w:t>–</w:t>
      </w:r>
      <w:r>
        <w:t xml:space="preserve">125; AER, </w:t>
      </w:r>
      <w:r w:rsidRPr="00435485">
        <w:rPr>
          <w:rStyle w:val="AERtextitalic"/>
        </w:rPr>
        <w:t>Explanatory statement to the draft rate of return guideline</w:t>
      </w:r>
      <w:r>
        <w:t>, August 2013, pp. 73</w:t>
      </w:r>
      <w:r w:rsidRPr="00435485">
        <w:t>–</w:t>
      </w:r>
      <w:r>
        <w:t xml:space="preserve">97; AER, </w:t>
      </w:r>
      <w:r w:rsidRPr="00435485">
        <w:rPr>
          <w:rStyle w:val="AERtextitalic"/>
        </w:rPr>
        <w:t>Consultation paper: Rate of return guidelines</w:t>
      </w:r>
      <w:r>
        <w:t>, May 2013, pp. 49</w:t>
      </w:r>
      <w:r>
        <w:rPr>
          <w:rFonts w:cs="Arial"/>
        </w:rPr>
        <w:t>–</w:t>
      </w:r>
      <w:r>
        <w:t>55.</w:t>
      </w:r>
    </w:p>
  </w:footnote>
  <w:footnote w:id="1207">
    <w:p w:rsidR="006345FD" w:rsidRDefault="006345FD" w:rsidP="0070344D">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revenue reset for the 2016–20 regulatory period</w:t>
      </w:r>
      <w:r>
        <w:t>, 25 February 2016, p. 109.</w:t>
      </w:r>
    </w:p>
  </w:footnote>
  <w:footnote w:id="1208">
    <w:p w:rsidR="006345FD" w:rsidRDefault="006345FD" w:rsidP="0070344D">
      <w:pPr>
        <w:pStyle w:val="FootnoteText"/>
      </w:pPr>
      <w:r>
        <w:rPr>
          <w:rStyle w:val="FootnoteReference"/>
        </w:rPr>
        <w:footnoteRef/>
      </w:r>
      <w:r>
        <w:t xml:space="preserve"> </w:t>
      </w:r>
      <w:r>
        <w:tab/>
        <w:t xml:space="preserve">CCP3, </w:t>
      </w:r>
      <w:r w:rsidRPr="00A30733">
        <w:rPr>
          <w:rStyle w:val="AERtextitalic"/>
        </w:rPr>
        <w:t>Submission to the AER: An overview ―Response to AER Preliminary Decisions and revised proposals from Victorian electricity DNSPs for revenue reset for the 2016–20 regulatory period</w:t>
      </w:r>
      <w:r>
        <w:t>, 22 February 2016, p. 35.</w:t>
      </w:r>
    </w:p>
  </w:footnote>
  <w:footnote w:id="1209">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10">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45–46.</w:t>
      </w:r>
    </w:p>
  </w:footnote>
  <w:footnote w:id="1211">
    <w:p w:rsidR="006345FD" w:rsidRDefault="006345FD" w:rsidP="0070344D">
      <w:pPr>
        <w:pStyle w:val="FootnoteText"/>
      </w:pPr>
      <w:r>
        <w:rPr>
          <w:rStyle w:val="FootnoteReference"/>
        </w:rPr>
        <w:footnoteRef/>
      </w:r>
      <w:r>
        <w:t xml:space="preserve"> </w:t>
      </w:r>
      <w:r>
        <w:tab/>
        <w:t xml:space="preserve">This example does not consider expected allowed return on debt cash flows beyond year ten because beyond year ten the expected cash flows of the AER and the service providers are the same (in relation to the issue of transition only). </w:t>
      </w:r>
    </w:p>
  </w:footnote>
  <w:footnote w:id="1212">
    <w:p w:rsidR="006345FD" w:rsidRDefault="006345FD" w:rsidP="0070344D">
      <w:pPr>
        <w:pStyle w:val="FootnoteText"/>
      </w:pPr>
      <w:r>
        <w:rPr>
          <w:rStyle w:val="FootnoteReference"/>
        </w:rPr>
        <w:footnoteRef/>
      </w:r>
      <w:r>
        <w:t xml:space="preserve"> </w:t>
      </w:r>
      <w:r>
        <w:tab/>
      </w:r>
      <w:r w:rsidRPr="007B45CA">
        <w:t>We note the exact amount in each year is impacted by the forecast capital investment and depreciation. However, these forecasts will impact both the AER’s allowance and the NSPs proposed allowance as shown above, and the difference will still be a fixed amount which is a function of the known RAB at time 0 and the expected RAB at time 1 to 8.</w:t>
      </w:r>
    </w:p>
  </w:footnote>
  <w:footnote w:id="1213">
    <w:p w:rsidR="006345FD" w:rsidRDefault="006345FD" w:rsidP="0070344D">
      <w:pPr>
        <w:pStyle w:val="FootnoteText"/>
      </w:pPr>
      <w:r>
        <w:rPr>
          <w:rStyle w:val="FootnoteReference"/>
        </w:rPr>
        <w:footnoteRef/>
      </w:r>
      <w:r>
        <w:t xml:space="preserve"> </w:t>
      </w:r>
      <w:r>
        <w:tab/>
      </w:r>
      <w:r w:rsidRPr="007B45CA">
        <w:t>This assumes you have forecasts for the RAB at time 1 to 8. This may not be realistic for time 6 onwards (i.e. beyond the end of the current regulatory control period). However, even in the absence of RAB forecasts for yeas 6 to 10 a reasonable approximation of the present value difference can be made today.</w:t>
      </w:r>
    </w:p>
  </w:footnote>
  <w:footnote w:id="1214">
    <w:p w:rsidR="006345FD" w:rsidRDefault="006345FD" w:rsidP="0070344D">
      <w:pPr>
        <w:pStyle w:val="FootnoteText"/>
      </w:pPr>
      <w:r>
        <w:rPr>
          <w:rStyle w:val="FootnoteReference"/>
        </w:rPr>
        <w:footnoteRef/>
      </w:r>
      <w:r>
        <w:t xml:space="preserve"> </w:t>
      </w:r>
      <w:r>
        <w:tab/>
        <w:t xml:space="preserve">AGN also proposed a full hybrid transition as a third preference.  AGN, Attachment 10.26, </w:t>
      </w:r>
      <w:r w:rsidRPr="00E45C75">
        <w:rPr>
          <w:rStyle w:val="AERtextitalic"/>
        </w:rPr>
        <w:t>Response to draft decision: Rate of return</w:t>
      </w:r>
      <w:r>
        <w:t>, January 2016, p. 7.</w:t>
      </w:r>
    </w:p>
  </w:footnote>
  <w:footnote w:id="1215">
    <w:p w:rsidR="006345FD" w:rsidRDefault="006345FD" w:rsidP="0070344D">
      <w:pPr>
        <w:pStyle w:val="FootnoteText"/>
      </w:pPr>
      <w:r>
        <w:rPr>
          <w:rStyle w:val="FootnoteReference"/>
        </w:rPr>
        <w:footnoteRef/>
      </w:r>
      <w:r>
        <w:t xml:space="preserve"> </w:t>
      </w:r>
      <w:r>
        <w:tab/>
        <w:t xml:space="preserve">Noting we do not consider if there was a lesser mismatch under one approach it would justify an approach that did not result in an efficient (forward looking) return on debt allowance. </w:t>
      </w:r>
    </w:p>
  </w:footnote>
  <w:footnote w:id="1216">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 52.</w:t>
      </w:r>
    </w:p>
  </w:footnote>
  <w:footnote w:id="1217">
    <w:p w:rsidR="006345FD" w:rsidRDefault="006345FD" w:rsidP="0070344D">
      <w:pPr>
        <w:pStyle w:val="FootnoteText"/>
      </w:pPr>
      <w:r>
        <w:rPr>
          <w:rStyle w:val="FootnoteReference"/>
        </w:rPr>
        <w:footnoteRef/>
      </w:r>
      <w:r>
        <w:t xml:space="preserve"> </w:t>
      </w:r>
      <w:r>
        <w:tab/>
        <w:t>The exceptions were: APTNT, which only proposed no transition and AGN proposed a full hybrid transition as its third preference.</w:t>
      </w:r>
    </w:p>
  </w:footnote>
  <w:footnote w:id="1218">
    <w:p w:rsidR="006345FD" w:rsidRDefault="006345FD" w:rsidP="0070344D">
      <w:pPr>
        <w:pStyle w:val="FootnoteText"/>
      </w:pPr>
      <w:r>
        <w:rPr>
          <w:rStyle w:val="FootnoteReference"/>
        </w:rPr>
        <w:footnoteRef/>
      </w:r>
      <w:r>
        <w:t xml:space="preserve"> </w:t>
      </w:r>
      <w:r>
        <w:tab/>
        <w:t xml:space="preserve">In the revised proposals that put Option 5 before us, </w:t>
      </w:r>
      <m:oMath>
        <m:r>
          <w:rPr>
            <w:rFonts w:ascii="Cambria Math" w:hAnsi="Cambria Math"/>
          </w:rPr>
          <m:t>x=1/3</m:t>
        </m:r>
      </m:oMath>
      <w:r>
        <w:t xml:space="preserve"> based on CEG, </w:t>
      </w:r>
      <w:r w:rsidRPr="00127D6B">
        <w:rPr>
          <w:rStyle w:val="AERtextitalic"/>
        </w:rPr>
        <w:t>Critique of the AER's approach to transition</w:t>
      </w:r>
      <w:r>
        <w:t xml:space="preserve">, January 2016, p. 2. </w:t>
      </w:r>
    </w:p>
  </w:footnote>
  <w:footnote w:id="1219">
    <w:p w:rsidR="006345FD" w:rsidRDefault="006345FD" w:rsidP="0070344D">
      <w:pPr>
        <w:pStyle w:val="FootnoteText"/>
      </w:pPr>
      <w:r>
        <w:rPr>
          <w:rStyle w:val="FootnoteReference"/>
        </w:rPr>
        <w:footnoteRef/>
      </w:r>
      <w:r>
        <w:t xml:space="preserve"> </w:t>
      </w:r>
      <w:r>
        <w:tab/>
        <w:t>CCP3 submits that service providers are proposing an effective DRP of approximately 5.1%. In contrast,</w:t>
      </w:r>
      <w:r w:rsidRPr="00564427">
        <w:t xml:space="preserve"> data</w:t>
      </w:r>
      <w:r>
        <w:t xml:space="preserve"> </w:t>
      </w:r>
      <w:r w:rsidRPr="00564427">
        <w:t>suggests</w:t>
      </w:r>
      <w:r>
        <w:t xml:space="preserve"> that the</w:t>
      </w:r>
      <w:r w:rsidRPr="00564427">
        <w:t xml:space="preserve"> historical average DRP was in the order of 2.35% for BBB rated</w:t>
      </w:r>
      <w:r>
        <w:t xml:space="preserve"> </w:t>
      </w:r>
      <w:r w:rsidRPr="00564427">
        <w:t>companies. Even during the GFC, the DRP was less than 4.5%.</w:t>
      </w:r>
      <w:r>
        <w:t xml:space="preserve"> See CCP3, </w:t>
      </w:r>
      <w:r w:rsidRPr="006C2193">
        <w:rPr>
          <w:rStyle w:val="AERtextitalic"/>
        </w:rPr>
        <w:t xml:space="preserve">Submission to the AER:  </w:t>
      </w:r>
      <w:r>
        <w:rPr>
          <w:rStyle w:val="AERtextitalic"/>
        </w:rPr>
        <w:t>A</w:t>
      </w:r>
      <w:r w:rsidRPr="006C2193">
        <w:rPr>
          <w:rStyle w:val="AERtextitalic"/>
        </w:rPr>
        <w:t>n Overview ― Response to AER Preliminary Decisions and revised proposals from Victorian electricity DNSPs for a revenue reset for the 2016‐2020 regulatory period</w:t>
      </w:r>
      <w:r w:rsidRPr="00564427">
        <w:t xml:space="preserve"> </w:t>
      </w:r>
      <w:r>
        <w:t>, 22 February 2016, p. 34</w:t>
      </w:r>
    </w:p>
  </w:footnote>
  <w:footnote w:id="1220">
    <w:p w:rsidR="006345FD" w:rsidRDefault="006345FD" w:rsidP="0070344D">
      <w:pPr>
        <w:pStyle w:val="FootnoteText"/>
      </w:pPr>
      <w:r>
        <w:rPr>
          <w:rStyle w:val="FootnoteReference"/>
        </w:rPr>
        <w:footnoteRef/>
      </w:r>
      <w:r>
        <w:t xml:space="preserve"> </w:t>
      </w:r>
      <w:r>
        <w:tab/>
        <w:t xml:space="preserve">CCP3, </w:t>
      </w:r>
      <w:r w:rsidRPr="00A30733">
        <w:rPr>
          <w:rStyle w:val="AERtextitalic"/>
        </w:rPr>
        <w:t>Submission to the AER:  Response to AER Preliminary Decisions and revised proposals from Victorian electricity DNSPs for a revenue reset for the 2016</w:t>
      </w:r>
      <w:r w:rsidRPr="00BA615F">
        <w:rPr>
          <w:rStyle w:val="AERtextitalic"/>
          <w:rFonts w:ascii="Cambria Math" w:hAnsi="Cambria Math" w:cs="Cambria Math"/>
        </w:rPr>
        <w:t>‐</w:t>
      </w:r>
      <w:r w:rsidRPr="00A30733">
        <w:rPr>
          <w:rStyle w:val="AERtextitalic"/>
        </w:rPr>
        <w:t>2020 regulatory period</w:t>
      </w:r>
      <w:r w:rsidRPr="00564427">
        <w:t xml:space="preserve"> </w:t>
      </w:r>
      <w:r>
        <w:t>, 25 February 2016, p. 104</w:t>
      </w:r>
    </w:p>
  </w:footnote>
  <w:footnote w:id="1221">
    <w:p w:rsidR="006345FD" w:rsidRDefault="006345FD" w:rsidP="0070344D">
      <w:pPr>
        <w:pStyle w:val="FootnoteText"/>
      </w:pPr>
      <w:r>
        <w:rPr>
          <w:rStyle w:val="FootnoteReference"/>
        </w:rPr>
        <w:footnoteRef/>
      </w:r>
      <w:r>
        <w:t xml:space="preserve"> </w:t>
      </w:r>
      <w:r>
        <w:tab/>
        <w:t>It is useful to note that our trailing average</w:t>
      </w:r>
      <w:r w:rsidRPr="00F66125">
        <w:t xml:space="preserve"> </w:t>
      </w:r>
      <w:r>
        <w:t xml:space="preserve">reflects prevailing market rates (in part) because one-tenth of the average is updated each year to reflect prevailing market rates. In this way, a benchmark efficient entity's debt fund under a trailing average approach could be seen as 10 floating rate bonds that are raised on a staggered basis and reset to par every 10 years (see </w:t>
      </w:r>
      <w:r>
        <w:fldChar w:fldCharType="begin"/>
      </w:r>
      <w:r>
        <w:instrText xml:space="preserve"> REF _Ref444773920 \r \h </w:instrText>
      </w:r>
      <w:r>
        <w:fldChar w:fldCharType="separate"/>
      </w:r>
      <w:r>
        <w:t>H.3.3</w:t>
      </w:r>
      <w:r>
        <w:fldChar w:fldCharType="end"/>
      </w:r>
      <w:r>
        <w:t xml:space="preserve"> for a mathematical depiction).</w:t>
      </w:r>
    </w:p>
  </w:footnote>
  <w:footnote w:id="1222">
    <w:p w:rsidR="006345FD" w:rsidRDefault="006345FD" w:rsidP="0070344D">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33; AGN, </w:t>
      </w:r>
      <w:r w:rsidRPr="00FA673F">
        <w:rPr>
          <w:rStyle w:val="AERtextitalic"/>
        </w:rPr>
        <w:t>Attachment 10.26 response to draft decision: Rate of return</w:t>
      </w:r>
      <w:r>
        <w:t>, January 2016, p. 34;</w:t>
      </w:r>
      <w:r w:rsidRPr="00FA673F">
        <w:t xml:space="preserve"> </w:t>
      </w:r>
      <w:r>
        <w:t xml:space="preserve">AusNet Electricity Services, </w:t>
      </w:r>
      <w:r w:rsidRPr="00FA673F">
        <w:rPr>
          <w:rStyle w:val="AERtextitalic"/>
        </w:rPr>
        <w:t>Revised regulatory proposal</w:t>
      </w:r>
      <w:r>
        <w:t xml:space="preserve">, January 2016, p. 172; CitiPower, </w:t>
      </w:r>
      <w:r w:rsidRPr="00FA673F">
        <w:rPr>
          <w:rStyle w:val="AERtextitalic"/>
        </w:rPr>
        <w:t>Revised Regulatory Proposal 2016—2020</w:t>
      </w:r>
      <w:r>
        <w:t xml:space="preserve">, January 2016, p. 341; </w:t>
      </w:r>
      <w:r w:rsidRPr="00FA673F">
        <w:t xml:space="preserve">JEN, </w:t>
      </w:r>
      <w:r w:rsidRPr="00FA673F">
        <w:rPr>
          <w:rStyle w:val="AERtextitalic"/>
        </w:rPr>
        <w:t>Attachment 6-1 rate of return, gamma, forecast inflation, and debt and equity raising costs</w:t>
      </w:r>
      <w:r>
        <w:t xml:space="preserve">, January 2016, p. 26; </w:t>
      </w:r>
      <w:r w:rsidRPr="00FA673F">
        <w:t xml:space="preserve">Powercor, </w:t>
      </w:r>
      <w:r w:rsidRPr="00FA673F">
        <w:rPr>
          <w:rStyle w:val="AERtextitalic"/>
        </w:rPr>
        <w:t>Revised regulatory proposal 2016–20</w:t>
      </w:r>
      <w:r>
        <w:t xml:space="preserve">, January 2016, p. 335; United Energy, </w:t>
      </w:r>
      <w:r w:rsidRPr="00275DE0">
        <w:rPr>
          <w:rStyle w:val="AERtextitalic"/>
        </w:rPr>
        <w:t>Revised regulatory proposal: Response to AER preliminary decision—Re: rate of return and gamma</w:t>
      </w:r>
      <w:r>
        <w:t>, January 2016, p. 32</w:t>
      </w:r>
      <w:r w:rsidRPr="00FA673F">
        <w:t>.</w:t>
      </w:r>
    </w:p>
  </w:footnote>
  <w:footnote w:id="1223">
    <w:p w:rsidR="006345FD" w:rsidRDefault="006345FD" w:rsidP="0070344D">
      <w:pPr>
        <w:pStyle w:val="FootnoteText"/>
      </w:pPr>
      <w:r>
        <w:rPr>
          <w:rStyle w:val="FootnoteReference"/>
        </w:rPr>
        <w:footnoteRef/>
      </w:r>
      <w:r>
        <w:t xml:space="preserve"> </w:t>
      </w:r>
      <w:r>
        <w:tab/>
        <w:t>I</w:t>
      </w:r>
      <w:r w:rsidRPr="00FB7CFD">
        <w:t>nvestors in the service provides we regulate have for many years had allowed debt cash flows set</w:t>
      </w:r>
      <w:r>
        <w:t xml:space="preserve"> using the on-the-day approach and would have reasonably </w:t>
      </w:r>
      <w:r w:rsidRPr="00FB7CFD">
        <w:t>expected future debt cash flows</w:t>
      </w:r>
      <w:r>
        <w:t xml:space="preserve"> (and associated risks)</w:t>
      </w:r>
      <w:r w:rsidRPr="00FB7CFD">
        <w:t xml:space="preserve"> consistent with the on-the-day approach. To the extent t these risks were systematic, these would be priced into investors' required cost of equity</w:t>
      </w:r>
      <w:r>
        <w:t>, and w</w:t>
      </w:r>
      <w:r w:rsidRPr="00FB7CFD">
        <w:t xml:space="preserve">e would </w:t>
      </w:r>
      <w:r>
        <w:t>compensate</w:t>
      </w:r>
      <w:r w:rsidRPr="00FB7CFD">
        <w:t xml:space="preserve"> service providers for this given </w:t>
      </w:r>
      <w:r>
        <w:t>by using</w:t>
      </w:r>
      <w:r w:rsidRPr="00FB7CFD">
        <w:t xml:space="preserve"> historical returns to calculate beta</w:t>
      </w:r>
      <w:r>
        <w:t xml:space="preserve">. We </w:t>
      </w:r>
      <w:r w:rsidRPr="00FB7CFD">
        <w:t>consider mismatch risk arises f</w:t>
      </w:r>
      <w:r>
        <w:t xml:space="preserve">rom interest rate risk </w:t>
      </w:r>
      <w:r w:rsidRPr="00FB7CFD">
        <w:t xml:space="preserve">because any difference between a benchmark efficient entity's costs of servicing its debt and the allowed return on debt is a function of unforeseen </w:t>
      </w:r>
      <w:r>
        <w:t>interest rate</w:t>
      </w:r>
      <w:r w:rsidRPr="00FB7CFD">
        <w:t xml:space="preserve"> move</w:t>
      </w:r>
      <w:r>
        <w:t>ments</w:t>
      </w:r>
      <w:r w:rsidRPr="00FB7CFD">
        <w:t>.</w:t>
      </w:r>
    </w:p>
  </w:footnote>
  <w:footnote w:id="1224">
    <w:p w:rsidR="006345FD" w:rsidRDefault="006345FD" w:rsidP="0070344D">
      <w:pPr>
        <w:pStyle w:val="FootnoteText"/>
      </w:pPr>
      <w:r>
        <w:rPr>
          <w:rStyle w:val="FootnoteReference"/>
        </w:rPr>
        <w:footnoteRef/>
      </w:r>
      <w:r>
        <w:t xml:space="preserve"> </w:t>
      </w:r>
      <w:r>
        <w:tab/>
        <w:t>NER, cl. 6.5.2(k)(1);  NER, cl. 6A.6.2(k)(1); NGR, cl. 87(11)(a).</w:t>
      </w:r>
    </w:p>
  </w:footnote>
  <w:footnote w:id="1225">
    <w:p w:rsidR="006345FD" w:rsidRDefault="006345FD" w:rsidP="0070344D">
      <w:pPr>
        <w:pStyle w:val="FootnoteText"/>
      </w:pPr>
      <w:r>
        <w:rPr>
          <w:rStyle w:val="FootnoteReference"/>
        </w:rPr>
        <w:footnoteRef/>
      </w:r>
      <w:r>
        <w:t xml:space="preserve"> </w:t>
      </w:r>
      <w:r>
        <w:tab/>
        <w:t>A</w:t>
      </w:r>
      <w:r w:rsidRPr="00C10DF7">
        <w:t>s noted by SFG, it is not possible to hedge historical interest rates as businesses cannot access historical rates at the time they issue new debt</w:t>
      </w:r>
      <w:r>
        <w:t xml:space="preserve"> (see SFG, </w:t>
      </w:r>
      <w:r w:rsidRPr="00C10DF7">
        <w:rPr>
          <w:rStyle w:val="AERtextitalic"/>
        </w:rPr>
        <w:t>Rule change proposals relating to the debt component of the regulatory rate of return</w:t>
      </w:r>
      <w:r>
        <w:t xml:space="preserve">, </w:t>
      </w:r>
      <w:r w:rsidRPr="006441AF">
        <w:t>August</w:t>
      </w:r>
      <w:r>
        <w:t xml:space="preserve"> 2012, pp. 32, 45)</w:t>
      </w:r>
      <w:r w:rsidRPr="00C10DF7">
        <w:t>.</w:t>
      </w:r>
      <w:r>
        <w:t xml:space="preserve"> Similarly, Partington and Satchell stated, '</w:t>
      </w:r>
      <w:r w:rsidRPr="00B05081">
        <w:t>Once the change in value has occurred the original event cannot be hedged. We cannot change the past. Hedges have to be put in place before the events to be hedged have occurred</w:t>
      </w:r>
      <w:r>
        <w:t xml:space="preserve">' (Partington, G., Satchell, S., </w:t>
      </w:r>
      <w:r w:rsidRPr="00D001FE">
        <w:rPr>
          <w:rStyle w:val="AERtextitalic"/>
        </w:rPr>
        <w:t>Report to the AER: Discussion of the allowed cost of</w:t>
      </w:r>
      <w:r>
        <w:t xml:space="preserve"> </w:t>
      </w:r>
      <w:r w:rsidRPr="00D001FE">
        <w:rPr>
          <w:rStyle w:val="AERtextitalic"/>
        </w:rPr>
        <w:t>debt</w:t>
      </w:r>
      <w:r>
        <w:t>, 5 May 2016, p. 34)</w:t>
      </w:r>
      <w:r w:rsidRPr="00B05081">
        <w:t>.</w:t>
      </w:r>
    </w:p>
  </w:footnote>
  <w:footnote w:id="1226">
    <w:p w:rsidR="006345FD" w:rsidRDefault="006345FD" w:rsidP="0070344D">
      <w:pPr>
        <w:pStyle w:val="FootnoteText"/>
      </w:pPr>
      <w:r>
        <w:rPr>
          <w:rStyle w:val="FootnoteReference"/>
        </w:rPr>
        <w:footnoteRef/>
      </w:r>
      <w:r>
        <w:t xml:space="preserve"> </w:t>
      </w:r>
      <w:r>
        <w:tab/>
        <w:t>Partington and Satchell state '…</w:t>
      </w:r>
      <w:r w:rsidRPr="001834B1">
        <w:t>changes in the value of a regulated firm’s debt portfolio value occur when the market interest rates change. These changes lead to increases or decreases in the market value debt, which in turn affect the market value of the equity of the regulated firm at the same time as the market value of the debt changes</w:t>
      </w:r>
      <w:r>
        <w:t>' (see</w:t>
      </w:r>
      <w:r w:rsidRPr="001834B1">
        <w:t xml:space="preserve"> </w:t>
      </w:r>
      <w:r>
        <w:t xml:space="preserve">Partington, G., Satchell, S., </w:t>
      </w:r>
      <w:r w:rsidRPr="00D001FE">
        <w:rPr>
          <w:rStyle w:val="AERtextitalic"/>
        </w:rPr>
        <w:t>Report to the AER: Discussion of the allowed cost of</w:t>
      </w:r>
      <w:r>
        <w:t xml:space="preserve"> </w:t>
      </w:r>
      <w:r w:rsidRPr="00D001FE">
        <w:rPr>
          <w:rStyle w:val="AERtextitalic"/>
        </w:rPr>
        <w:t>debt</w:t>
      </w:r>
      <w:r>
        <w:t xml:space="preserve">, 5 May 2016, p. 34). </w:t>
      </w:r>
      <w:r w:rsidRPr="00F21B32">
        <w:t xml:space="preserve">We </w:t>
      </w:r>
      <w:r>
        <w:t xml:space="preserve">also </w:t>
      </w:r>
      <w:r w:rsidRPr="00F21B32">
        <w:t>note the firms we regulate generally account for gains or losses from interest rate movements in their financial accounts where they use fair value accounting</w:t>
      </w:r>
      <w:r>
        <w:t xml:space="preserve">. See for example APA Group, </w:t>
      </w:r>
      <w:r w:rsidRPr="00BA1680">
        <w:rPr>
          <w:rStyle w:val="AERtextitalic"/>
        </w:rPr>
        <w:t>Annual report 2015</w:t>
      </w:r>
      <w:r>
        <w:t xml:space="preserve">, p. 64; DUET Group, </w:t>
      </w:r>
      <w:r w:rsidRPr="00BA1680">
        <w:rPr>
          <w:rStyle w:val="AERtextitalic"/>
        </w:rPr>
        <w:t>Financial report 2015</w:t>
      </w:r>
      <w:r>
        <w:t xml:space="preserve">, p. 63, Spark Infrastructure, </w:t>
      </w:r>
      <w:r w:rsidRPr="00BA1680">
        <w:rPr>
          <w:rStyle w:val="AERtextitalic"/>
        </w:rPr>
        <w:t>Annual Report 2013</w:t>
      </w:r>
      <w:r>
        <w:t>, p. 62.</w:t>
      </w:r>
    </w:p>
  </w:footnote>
  <w:footnote w:id="1227">
    <w:p w:rsidR="006345FD" w:rsidRDefault="006345FD" w:rsidP="0070344D">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January 2016, pp. 4</w:t>
      </w:r>
      <w:r w:rsidRPr="007D612D">
        <w:t>–</w:t>
      </w:r>
      <w:r>
        <w:t xml:space="preserve">5,18; AGN, </w:t>
      </w:r>
      <w:r w:rsidRPr="00FA673F">
        <w:rPr>
          <w:rStyle w:val="AERtextitalic"/>
        </w:rPr>
        <w:t>Attachment 10.26 response to draft decision: Rate of return</w:t>
      </w:r>
      <w:r>
        <w:t xml:space="preserve">, January 2016, p. 6; APA Group, </w:t>
      </w:r>
      <w:r w:rsidRPr="00DA2177">
        <w:rPr>
          <w:rStyle w:val="AERtextitalic"/>
        </w:rPr>
        <w:t>Amadeus Gas Pipeline access arrangement information</w:t>
      </w:r>
      <w:r>
        <w:t xml:space="preserve">, January 2016, p. 24; </w:t>
      </w:r>
      <w:r w:rsidRPr="00FA673F">
        <w:t xml:space="preserve"> </w:t>
      </w:r>
      <w:r>
        <w:t xml:space="preserve">AusNet Electricity Services, </w:t>
      </w:r>
      <w:r w:rsidRPr="00FA673F">
        <w:rPr>
          <w:rStyle w:val="AERtextitalic"/>
        </w:rPr>
        <w:t>Revised regulatory proposal</w:t>
      </w:r>
      <w:r>
        <w:t>, January 2016, p. 144</w:t>
      </w:r>
      <w:r w:rsidRPr="007D612D">
        <w:t>–</w:t>
      </w:r>
      <w:r>
        <w:t xml:space="preserve">5; CitiPower, </w:t>
      </w:r>
      <w:r w:rsidRPr="00FA673F">
        <w:rPr>
          <w:rStyle w:val="AERtextitalic"/>
        </w:rPr>
        <w:t>Revised Regulatory Proposal 2016—2020</w:t>
      </w:r>
      <w:r>
        <w:t>, January 2016, p. 264</w:t>
      </w:r>
      <w:r w:rsidRPr="007D612D">
        <w:t>–</w:t>
      </w:r>
      <w:r>
        <w:t xml:space="preserve">5; </w:t>
      </w:r>
      <w:r w:rsidRPr="00FA673F">
        <w:t xml:space="preserve">JEN, </w:t>
      </w:r>
      <w:r w:rsidRPr="00FA673F">
        <w:rPr>
          <w:rStyle w:val="AERtextitalic"/>
        </w:rPr>
        <w:t>Attachment 6-1 rate of return, gamma, forecast inflation, and debt and equity raising costs</w:t>
      </w:r>
      <w:r>
        <w:t>, January 2016, p. ix</w:t>
      </w:r>
      <w:r w:rsidRPr="007D612D">
        <w:t>–</w:t>
      </w:r>
      <w:r>
        <w:t xml:space="preserve">x; </w:t>
      </w:r>
      <w:r w:rsidRPr="00FA673F">
        <w:t xml:space="preserve">Powercor, </w:t>
      </w:r>
      <w:r w:rsidRPr="00FA673F">
        <w:rPr>
          <w:rStyle w:val="AERtextitalic"/>
        </w:rPr>
        <w:t>Revised regulatory proposal 2016–20</w:t>
      </w:r>
      <w:r>
        <w:t>, January 2016, p. 258</w:t>
      </w:r>
      <w:r w:rsidRPr="007D612D">
        <w:t>–</w:t>
      </w:r>
      <w:r>
        <w:t xml:space="preserve">9; United Energy, </w:t>
      </w:r>
      <w:r w:rsidRPr="00DA2177">
        <w:rPr>
          <w:rStyle w:val="AERtextitalic"/>
        </w:rPr>
        <w:t>2016 to 2020 revised regulatory proposal</w:t>
      </w:r>
      <w:r>
        <w:t>, January 2016, p. 76</w:t>
      </w:r>
      <w:r w:rsidRPr="007D612D">
        <w:t>–</w:t>
      </w:r>
      <w:r>
        <w:t>8.</w:t>
      </w:r>
    </w:p>
  </w:footnote>
  <w:footnote w:id="1228">
    <w:p w:rsidR="006345FD" w:rsidRDefault="006345FD" w:rsidP="0070344D">
      <w:pPr>
        <w:pStyle w:val="FootnoteText"/>
      </w:pPr>
      <w:r>
        <w:rPr>
          <w:rStyle w:val="FootnoteReference"/>
        </w:rPr>
        <w:footnoteRef/>
      </w:r>
      <w:r>
        <w:t xml:space="preserve"> </w:t>
      </w:r>
      <w:r>
        <w:tab/>
        <w:t xml:space="preserve">CEG, </w:t>
      </w:r>
      <w:r w:rsidRPr="003E0673">
        <w:rPr>
          <w:rStyle w:val="AERtextitalic"/>
        </w:rPr>
        <w:t>Critique of the AER’s approach to transition</w:t>
      </w:r>
      <w:r>
        <w:t>, January 2016, p. 1.</w:t>
      </w:r>
    </w:p>
  </w:footnote>
  <w:footnote w:id="1229">
    <w:p w:rsidR="006345FD" w:rsidRDefault="006345FD" w:rsidP="0070344D">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APA Group, </w:t>
      </w:r>
      <w:r w:rsidRPr="00DA2177">
        <w:rPr>
          <w:rStyle w:val="AERtextitalic"/>
        </w:rPr>
        <w:t>Amadeus Gas Pipeline access arrangement information</w:t>
      </w:r>
      <w:r>
        <w:t xml:space="preserve">, January 2016, pp. 79–81;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30">
    <w:p w:rsidR="006345FD" w:rsidRDefault="006345FD" w:rsidP="002D581C">
      <w:pPr>
        <w:pStyle w:val="FootnoteText"/>
      </w:pPr>
      <w:r>
        <w:rPr>
          <w:rStyle w:val="FootnoteReference"/>
        </w:rPr>
        <w:footnoteRef/>
      </w:r>
      <w:r>
        <w:t xml:space="preserve"> </w:t>
      </w:r>
      <w:r>
        <w:tab/>
        <w:t>T</w:t>
      </w:r>
      <w:r w:rsidRPr="00E64F99">
        <w:t xml:space="preserve">he basis for </w:t>
      </w:r>
      <w:r>
        <w:t>desiring</w:t>
      </w:r>
      <w:r w:rsidRPr="00E64F99">
        <w:t xml:space="preserve"> </w:t>
      </w:r>
      <w:r>
        <w:t>a</w:t>
      </w:r>
      <w:r w:rsidRPr="00E64F99">
        <w:t xml:space="preserve"> competitive market outcome in microeconomic theory stems from the </w:t>
      </w:r>
      <w:r>
        <w:t xml:space="preserve">theorems that </w:t>
      </w:r>
      <w:r w:rsidRPr="00E64F99">
        <w:t>a competitive equilibrium is Pareto-efficient and any Pareto-efficient allocation can be decentralised as a competitive equilibrium</w:t>
      </w:r>
      <w:r>
        <w:t>. This is where, in microeconomic theory, a</w:t>
      </w:r>
      <w:r w:rsidRPr="00E64F99">
        <w:t xml:space="preserve"> 'competitive market equilibrium' </w:t>
      </w:r>
      <w:r>
        <w:t>is where</w:t>
      </w:r>
      <w:r w:rsidRPr="00E64F99">
        <w:t xml:space="preserve"> firms' maximise their profits, consumers maximise their utilities and the market clears (there is no waste or undersupply</w:t>
      </w:r>
      <w:r>
        <w:t xml:space="preserve">). See Mas-Colell, A., Whinston, M.D., Green, J.R., </w:t>
      </w:r>
      <w:r w:rsidRPr="00092B1D">
        <w:rPr>
          <w:rStyle w:val="AERtextitalic"/>
        </w:rPr>
        <w:t>Microeconomic theory</w:t>
      </w:r>
      <w:r>
        <w:t xml:space="preserve">, Oxford University Press, 2006, p. 314. It is worth noting that these theorems are derived from strong assumptions including an absence of externalities and market power, price taking behaviour and symmetric information. See for example Varian, H.R., </w:t>
      </w:r>
      <w:r w:rsidRPr="00092B1D">
        <w:rPr>
          <w:rStyle w:val="AERtextitalic"/>
        </w:rPr>
        <w:t>Intermediate micro economics: A modern approach</w:t>
      </w:r>
      <w:r>
        <w:t xml:space="preserve">, ed. 7, W.W. Norton &amp;Company, 1987, pp. 585; Hindriks, J., Myles, G.D., </w:t>
      </w:r>
      <w:r w:rsidRPr="00732E2F">
        <w:rPr>
          <w:rStyle w:val="AERtextitalic"/>
        </w:rPr>
        <w:t>Intermediate public economics</w:t>
      </w:r>
      <w:r>
        <w:t>, The MIT Press, 2006, pp. 12</w:t>
      </w:r>
      <w:r w:rsidRPr="002D581C">
        <w:t>–</w:t>
      </w:r>
      <w:r>
        <w:t>13.</w:t>
      </w:r>
    </w:p>
  </w:footnote>
  <w:footnote w:id="1231">
    <w:p w:rsidR="006345FD" w:rsidRDefault="006345FD" w:rsidP="0070344D">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pp. 34–35; AGN, </w:t>
      </w:r>
      <w:r w:rsidRPr="00FA673F">
        <w:rPr>
          <w:rStyle w:val="AERtextitalic"/>
        </w:rPr>
        <w:t>Attachment 10.26 response to draft decision: Rate of return</w:t>
      </w:r>
      <w:r>
        <w:t xml:space="preserve">, January 2016, pp. 35–36; AusNet Electricity Services, </w:t>
      </w:r>
      <w:r w:rsidRPr="00FA673F">
        <w:rPr>
          <w:rStyle w:val="AERtextitalic"/>
        </w:rPr>
        <w:t>Revised regulatory proposal</w:t>
      </w:r>
      <w:r>
        <w:t xml:space="preserve">, January 2016, pp. 7-32–7-33; CitiPower, </w:t>
      </w:r>
      <w:r w:rsidRPr="00FA673F">
        <w:rPr>
          <w:rStyle w:val="AERtextitalic"/>
        </w:rPr>
        <w:t>Revised Regulatory Proposal 2016—2020</w:t>
      </w:r>
      <w:r>
        <w:t xml:space="preserve">, January 2016, p. 343; </w:t>
      </w:r>
      <w:r w:rsidRPr="00FA673F">
        <w:t xml:space="preserve">JEN, </w:t>
      </w:r>
      <w:r w:rsidRPr="00FA673F">
        <w:rPr>
          <w:rStyle w:val="AERtextitalic"/>
        </w:rPr>
        <w:t>Attachment 6-1 rate of return, gamma, forecast inflation, and debt and equity raising costs</w:t>
      </w:r>
      <w:r>
        <w:t xml:space="preserve">, January 2016, p. 28; </w:t>
      </w:r>
      <w:r w:rsidRPr="00FA673F">
        <w:t xml:space="preserve">Powercor, </w:t>
      </w:r>
      <w:r w:rsidRPr="00FA673F">
        <w:rPr>
          <w:rStyle w:val="AERtextitalic"/>
        </w:rPr>
        <w:t>Revised regulatory proposal 2016–20</w:t>
      </w:r>
      <w:r>
        <w:t xml:space="preserve">, January 2016, p. 337; United Energy, </w:t>
      </w:r>
      <w:r w:rsidRPr="00DA2177">
        <w:rPr>
          <w:rStyle w:val="AERtextitalic"/>
        </w:rPr>
        <w:t>2016 to 2020 revised regulatory proposal</w:t>
      </w:r>
      <w:r>
        <w:t>, January 2016, p. 33.</w:t>
      </w:r>
    </w:p>
  </w:footnote>
  <w:footnote w:id="1232">
    <w:p w:rsidR="006345FD" w:rsidRDefault="006345FD" w:rsidP="0070344D">
      <w:pPr>
        <w:pStyle w:val="FootnoteText"/>
      </w:pPr>
      <w:r>
        <w:rPr>
          <w:rStyle w:val="FootnoteReference"/>
        </w:rPr>
        <w:footnoteRef/>
      </w:r>
      <w:r>
        <w:t xml:space="preserve"> </w:t>
      </w:r>
      <w:r>
        <w:tab/>
        <w:t xml:space="preserve">See Partington, G., Satchell, S., </w:t>
      </w:r>
      <w:r w:rsidRPr="00D001FE">
        <w:rPr>
          <w:rStyle w:val="AERtextitalic"/>
        </w:rPr>
        <w:t>Report to the AER: Discussion of the allowed cost of</w:t>
      </w:r>
      <w:r>
        <w:t xml:space="preserve"> </w:t>
      </w:r>
      <w:r w:rsidRPr="00D001FE">
        <w:rPr>
          <w:rStyle w:val="AERtextitalic"/>
        </w:rPr>
        <w:t>debt</w:t>
      </w:r>
      <w:r>
        <w:t xml:space="preserve">, 5 May 2016, pp. 15–27. </w:t>
      </w:r>
    </w:p>
  </w:footnote>
  <w:footnote w:id="1233">
    <w:p w:rsidR="006345FD" w:rsidRDefault="006345FD" w:rsidP="0070344D">
      <w:pPr>
        <w:pStyle w:val="FootnoteText"/>
      </w:pPr>
      <w:r>
        <w:rPr>
          <w:rStyle w:val="FootnoteReference"/>
        </w:rPr>
        <w:footnoteRef/>
      </w:r>
      <w:r>
        <w:t xml:space="preserve"> </w:t>
      </w:r>
      <w:r>
        <w:tab/>
        <w:t xml:space="preserve">ActewAGL, </w:t>
      </w:r>
      <w:r w:rsidRPr="00FA673F">
        <w:rPr>
          <w:rStyle w:val="AERtextitalic"/>
        </w:rPr>
        <w:t>Appendix 5.01 detailed response to rate of return, gamma and inflation</w:t>
      </w:r>
      <w:r>
        <w:t xml:space="preserve">, January 2016, p. 19; AGN, </w:t>
      </w:r>
      <w:r w:rsidRPr="00FA673F">
        <w:rPr>
          <w:rStyle w:val="AERtextitalic"/>
        </w:rPr>
        <w:t>Attachment 10.26 response to draft decision: Rate of return</w:t>
      </w:r>
      <w:r>
        <w:t xml:space="preserve">, January 2016, p. 25; AusNet Electricity Services, </w:t>
      </w:r>
      <w:r w:rsidRPr="00FA673F">
        <w:rPr>
          <w:rStyle w:val="AERtextitalic"/>
        </w:rPr>
        <w:t>Revised regulatory proposal</w:t>
      </w:r>
      <w:r>
        <w:t xml:space="preserve">, January 2016, p. 7-21; CitiPower, </w:t>
      </w:r>
      <w:r w:rsidRPr="00FA673F">
        <w:rPr>
          <w:rStyle w:val="AERtextitalic"/>
        </w:rPr>
        <w:t>Revised Regulatory Proposal 2016—2020</w:t>
      </w:r>
      <w:r>
        <w:t xml:space="preserve">, January 2016, p. 331; </w:t>
      </w:r>
      <w:r w:rsidRPr="00FA673F">
        <w:t xml:space="preserve">JEN, </w:t>
      </w:r>
      <w:r w:rsidRPr="00FA673F">
        <w:rPr>
          <w:rStyle w:val="AERtextitalic"/>
        </w:rPr>
        <w:t>Attachment 6-1 rate of return, gamma, forecast inflation, and debt and equity raising costs</w:t>
      </w:r>
      <w:r>
        <w:t xml:space="preserve">, January 2016, p. 16; </w:t>
      </w:r>
      <w:r w:rsidRPr="00FA673F">
        <w:t xml:space="preserve">Powercor, </w:t>
      </w:r>
      <w:r w:rsidRPr="00FA673F">
        <w:rPr>
          <w:rStyle w:val="AERtextitalic"/>
        </w:rPr>
        <w:t>Revised regulatory proposal 2016–20</w:t>
      </w:r>
      <w:r>
        <w:t xml:space="preserve">, January 2016, p. 325; United Energy, </w:t>
      </w:r>
      <w:r w:rsidRPr="00DA2177">
        <w:rPr>
          <w:rStyle w:val="AERtextitalic"/>
        </w:rPr>
        <w:t>2016 to 2020 revised regulatory proposal</w:t>
      </w:r>
      <w:r>
        <w:t>, January 2016, p. 22.</w:t>
      </w:r>
    </w:p>
  </w:footnote>
  <w:footnote w:id="1234">
    <w:p w:rsidR="006345FD" w:rsidRDefault="006345FD" w:rsidP="0070344D">
      <w:pPr>
        <w:pStyle w:val="FootnoteText"/>
      </w:pPr>
      <w:r>
        <w:rPr>
          <w:rStyle w:val="FootnoteReference"/>
        </w:rPr>
        <w:footnoteRef/>
      </w:r>
      <w:r>
        <w:t xml:space="preserve"> </w:t>
      </w:r>
      <w:r>
        <w:tab/>
        <w:t xml:space="preserve">Based on CEG's advice in CEG, </w:t>
      </w:r>
      <w:r w:rsidRPr="003E0673">
        <w:rPr>
          <w:rStyle w:val="AERtextitalic"/>
        </w:rPr>
        <w:t>Critique of the AER’s approach to transition</w:t>
      </w:r>
      <w:r>
        <w:t>, January 2016.</w:t>
      </w:r>
    </w:p>
  </w:footnote>
  <w:footnote w:id="1235">
    <w:p w:rsidR="006345FD" w:rsidRDefault="006345FD" w:rsidP="0070344D">
      <w:pPr>
        <w:pStyle w:val="FootnoteText"/>
      </w:pPr>
      <w:r>
        <w:rPr>
          <w:rStyle w:val="FootnoteReference"/>
        </w:rPr>
        <w:footnoteRef/>
      </w:r>
      <w:r>
        <w:t xml:space="preserve"> </w:t>
      </w:r>
      <w:r>
        <w:tab/>
        <w:t xml:space="preserve">AER, </w:t>
      </w:r>
      <w:r w:rsidRPr="00AD0E24">
        <w:rPr>
          <w:rStyle w:val="AERtextitalic"/>
        </w:rPr>
        <w:t>Review of WACC parameters: Final decision</w:t>
      </w:r>
      <w:r>
        <w:t xml:space="preserve">, May 2009, p. 153; AER, </w:t>
      </w:r>
      <w:r w:rsidRPr="00B94D1B">
        <w:rPr>
          <w:rStyle w:val="AERtextitalic"/>
        </w:rPr>
        <w:t>Review of WACC parameters</w:t>
      </w:r>
      <w:r>
        <w:t xml:space="preserve">: </w:t>
      </w:r>
      <w:r w:rsidRPr="00AD0E24">
        <w:rPr>
          <w:rStyle w:val="AERtextitalic"/>
        </w:rPr>
        <w:t>Explanatory statement</w:t>
      </w:r>
      <w:r>
        <w:t>, December 2008, pp. 103–104.</w:t>
      </w:r>
    </w:p>
  </w:footnote>
  <w:footnote w:id="1236">
    <w:p w:rsidR="006345FD" w:rsidRDefault="006345FD" w:rsidP="0070344D">
      <w:pPr>
        <w:pStyle w:val="FootnoteText"/>
      </w:pPr>
      <w:r>
        <w:rPr>
          <w:rStyle w:val="FootnoteReference"/>
        </w:rPr>
        <w:footnoteRef/>
      </w:r>
      <w:r>
        <w:t xml:space="preserve"> </w:t>
      </w:r>
      <w:r>
        <w:tab/>
        <w:t xml:space="preserve">Chairmont, </w:t>
      </w:r>
      <w:r w:rsidRPr="00D001FE">
        <w:rPr>
          <w:rStyle w:val="AERtextitalic"/>
        </w:rPr>
        <w:t>Financing practices under regulation: Past and transitional</w:t>
      </w:r>
      <w:r>
        <w:rPr>
          <w:rStyle w:val="AERtextitalic"/>
        </w:rPr>
        <w:t xml:space="preserve"> (Confidential)</w:t>
      </w:r>
      <w:r>
        <w:t>, October 2015, pp. 73–80.</w:t>
      </w:r>
    </w:p>
  </w:footnote>
  <w:footnote w:id="1237">
    <w:p w:rsidR="006345FD" w:rsidRDefault="006345FD" w:rsidP="0070344D">
      <w:pPr>
        <w:pStyle w:val="FootnoteText"/>
      </w:pPr>
      <w:r>
        <w:rPr>
          <w:rStyle w:val="FootnoteReference"/>
        </w:rPr>
        <w:footnoteRef/>
      </w:r>
      <w:r>
        <w:t xml:space="preserve"> </w:t>
      </w:r>
      <w:r>
        <w:tab/>
        <w:t xml:space="preserve">See for example APA Group, </w:t>
      </w:r>
      <w:r w:rsidRPr="00EB2DC2">
        <w:rPr>
          <w:rStyle w:val="AERtextitalic"/>
        </w:rPr>
        <w:t>Annual report 2015</w:t>
      </w:r>
      <w:r>
        <w:t xml:space="preserve">, p. 14; DUET Group, </w:t>
      </w:r>
      <w:r w:rsidRPr="00125E39">
        <w:rPr>
          <w:rStyle w:val="AERtextitalic"/>
        </w:rPr>
        <w:t>Financial report for year ended 30 June 2015</w:t>
      </w:r>
      <w:r>
        <w:t xml:space="preserve"> , p. 61; Envestra Ltd, </w:t>
      </w:r>
      <w:r>
        <w:rPr>
          <w:rStyle w:val="AERtextitalic"/>
        </w:rPr>
        <w:t>2014 annual report</w:t>
      </w:r>
      <w:r>
        <w:t xml:space="preserve">, p. 26; Envestra Ltd, </w:t>
      </w:r>
      <w:r w:rsidRPr="008410DE">
        <w:rPr>
          <w:rStyle w:val="AERtextitalic"/>
        </w:rPr>
        <w:t>Directors' and financial report</w:t>
      </w:r>
      <w:r>
        <w:t xml:space="preserve">, 30 June 2014, p. 27; AusNet Services, </w:t>
      </w:r>
      <w:r w:rsidRPr="00AD0E24">
        <w:rPr>
          <w:rStyle w:val="AERtextitalic"/>
        </w:rPr>
        <w:t>Statutory annual report 2015: We move energy</w:t>
      </w:r>
      <w:r>
        <w:t xml:space="preserve">, p. 36; SP AusNet, </w:t>
      </w:r>
      <w:r w:rsidRPr="00012C61">
        <w:rPr>
          <w:rStyle w:val="AERtextitalic"/>
        </w:rPr>
        <w:t>Business review 2014: SP AusNet Distribution financial report</w:t>
      </w:r>
      <w:r>
        <w:t xml:space="preserve">, Note 19, p. 11; Spark Infrastructure, </w:t>
      </w:r>
      <w:r w:rsidRPr="00B94D1B">
        <w:rPr>
          <w:rStyle w:val="AERtextitalic"/>
        </w:rPr>
        <w:t>The Australian infrastructure network specialists: Annual report 2014</w:t>
      </w:r>
      <w:r>
        <w:t>, p. 7 (Spark does not currently engage in interest rate hedging, but over the previous two years have hedged almost 100% of their debt).</w:t>
      </w:r>
    </w:p>
  </w:footnote>
  <w:footnote w:id="1238">
    <w:p w:rsidR="006345FD" w:rsidRDefault="006345FD" w:rsidP="0070344D">
      <w:pPr>
        <w:pStyle w:val="FootnoteText"/>
      </w:pPr>
      <w:r>
        <w:rPr>
          <w:rStyle w:val="FootnoteReference"/>
        </w:rPr>
        <w:footnoteRef/>
      </w:r>
      <w:r>
        <w:t xml:space="preserve"> </w:t>
      </w:r>
      <w:r>
        <w:tab/>
        <w:t xml:space="preserve">Chairmont, </w:t>
      </w:r>
      <w:r w:rsidRPr="00196FB2">
        <w:rPr>
          <w:rStyle w:val="AERtextitalic"/>
        </w:rPr>
        <w:t>Financing practices under regulation: Past and transitional</w:t>
      </w:r>
      <w:r>
        <w:t>, October 2015, pp. 9, 13.</w:t>
      </w:r>
    </w:p>
  </w:footnote>
  <w:footnote w:id="1239">
    <w:p w:rsidR="006345FD" w:rsidRDefault="006345FD" w:rsidP="0070344D">
      <w:pPr>
        <w:pStyle w:val="FootnoteText"/>
      </w:pPr>
      <w:r>
        <w:rPr>
          <w:rStyle w:val="FootnoteReference"/>
        </w:rPr>
        <w:footnoteRef/>
      </w:r>
      <w:r>
        <w:t xml:space="preserve"> </w:t>
      </w:r>
      <w:r>
        <w:tab/>
        <w:t xml:space="preserve">See, for example, AER, </w:t>
      </w:r>
      <w:r w:rsidRPr="00AD0E24">
        <w:rPr>
          <w:rStyle w:val="AERtextitalic"/>
        </w:rPr>
        <w:t>Preliminary decision: United Energy determination 2016 to 2020, Attachment 3 — Rate of return</w:t>
      </w:r>
      <w:r>
        <w:t>, October 2015, pp. 555</w:t>
      </w:r>
      <w:r>
        <w:rPr>
          <w:rFonts w:cs="Arial"/>
        </w:rPr>
        <w:t>–</w:t>
      </w:r>
      <w:r>
        <w:t>558.</w:t>
      </w:r>
    </w:p>
  </w:footnote>
  <w:footnote w:id="1240">
    <w:p w:rsidR="006345FD" w:rsidRDefault="006345FD" w:rsidP="0070344D">
      <w:pPr>
        <w:pStyle w:val="FootnoteText"/>
      </w:pPr>
      <w:r>
        <w:rPr>
          <w:rStyle w:val="FootnoteReference"/>
        </w:rPr>
        <w:footnoteRef/>
      </w:r>
      <w:r>
        <w:t xml:space="preserve"> </w:t>
      </w:r>
      <w:r>
        <w:tab/>
        <w:t xml:space="preserve">JEN, </w:t>
      </w:r>
      <w:r w:rsidRPr="00C067F7">
        <w:rPr>
          <w:rStyle w:val="AERtextitalic"/>
        </w:rPr>
        <w:t>R</w:t>
      </w:r>
      <w:r>
        <w:rPr>
          <w:rStyle w:val="AERtextitalic"/>
        </w:rPr>
        <w:t>evised r</w:t>
      </w:r>
      <w:r w:rsidRPr="00C067F7">
        <w:rPr>
          <w:rStyle w:val="AERtextitalic"/>
        </w:rPr>
        <w:t xml:space="preserve">egulatory proposal: Attachment </w:t>
      </w:r>
      <w:r>
        <w:rPr>
          <w:rStyle w:val="AERtextitalic"/>
        </w:rPr>
        <w:t>6</w:t>
      </w:r>
      <w:r w:rsidRPr="00C067F7">
        <w:rPr>
          <w:rStyle w:val="AERtextitalic"/>
        </w:rPr>
        <w:t>-</w:t>
      </w:r>
      <w:r>
        <w:rPr>
          <w:rStyle w:val="AERtextitalic"/>
        </w:rPr>
        <w:t>1 R</w:t>
      </w:r>
      <w:r w:rsidRPr="00C067F7">
        <w:rPr>
          <w:rStyle w:val="AERtextitalic"/>
        </w:rPr>
        <w:t>ate of return</w:t>
      </w:r>
      <w:r>
        <w:rPr>
          <w:rStyle w:val="AERtextitalic"/>
        </w:rPr>
        <w:t>, gamma, forecast inflation, and debt and equity raising costs</w:t>
      </w:r>
      <w:r>
        <w:t xml:space="preserve">, January 2016, pp. 35, 41. See ActewAGL, </w:t>
      </w:r>
      <w:r>
        <w:rPr>
          <w:rStyle w:val="AERtextitalic"/>
        </w:rPr>
        <w:t>Revised a</w:t>
      </w:r>
      <w:r w:rsidRPr="00C067F7">
        <w:rPr>
          <w:rStyle w:val="AERtextitalic"/>
        </w:rPr>
        <w:t xml:space="preserve">ccess arrangement </w:t>
      </w:r>
      <w:r>
        <w:rPr>
          <w:rStyle w:val="AERtextitalic"/>
        </w:rPr>
        <w:t>proposal</w:t>
      </w:r>
      <w:r w:rsidRPr="00C067F7">
        <w:rPr>
          <w:rStyle w:val="AERtextitalic"/>
        </w:rPr>
        <w:t>:</w:t>
      </w:r>
      <w:r>
        <w:rPr>
          <w:rStyle w:val="AERtextitalic"/>
        </w:rPr>
        <w:t xml:space="preserve"> Appendix 5.01—Detailed response to r</w:t>
      </w:r>
      <w:r w:rsidRPr="00C067F7">
        <w:rPr>
          <w:rStyle w:val="AERtextitalic"/>
        </w:rPr>
        <w:t>ate of return, gamma and inflation</w:t>
      </w:r>
      <w:r>
        <w:t xml:space="preserve">, January 2016, pp. 43, 45; AGN, </w:t>
      </w:r>
      <w:r>
        <w:rPr>
          <w:rStyle w:val="AERtextitalic"/>
        </w:rPr>
        <w:t>Revised a</w:t>
      </w:r>
      <w:r w:rsidRPr="00C067F7">
        <w:rPr>
          <w:rStyle w:val="AERtextitalic"/>
        </w:rPr>
        <w:t xml:space="preserve">ccess arrangement </w:t>
      </w:r>
      <w:r>
        <w:rPr>
          <w:rStyle w:val="AERtextitalic"/>
        </w:rPr>
        <w:t>proposal: Attachment 10.26—Response to draft decision: Rate of return</w:t>
      </w:r>
      <w:r>
        <w:t xml:space="preserve">, January 2016, pp. 9–10, 37–40, 87; CitiPower, </w:t>
      </w:r>
      <w:r w:rsidRPr="00C067F7">
        <w:rPr>
          <w:rStyle w:val="AERtextitalic"/>
        </w:rPr>
        <w:t>R</w:t>
      </w:r>
      <w:r>
        <w:rPr>
          <w:rStyle w:val="AERtextitalic"/>
        </w:rPr>
        <w:t>evised r</w:t>
      </w:r>
      <w:r w:rsidRPr="00C067F7">
        <w:rPr>
          <w:rStyle w:val="AERtextitalic"/>
        </w:rPr>
        <w:t>egulatory proposal</w:t>
      </w:r>
      <w:r>
        <w:t xml:space="preserve">, January 2016, p. 349–351; Powercor, </w:t>
      </w:r>
      <w:r w:rsidRPr="00C067F7">
        <w:rPr>
          <w:rStyle w:val="AERtextitalic"/>
        </w:rPr>
        <w:t>R</w:t>
      </w:r>
      <w:r>
        <w:rPr>
          <w:rStyle w:val="AERtextitalic"/>
        </w:rPr>
        <w:t>evised r</w:t>
      </w:r>
      <w:r w:rsidRPr="00C067F7">
        <w:rPr>
          <w:rStyle w:val="AERtextitalic"/>
        </w:rPr>
        <w:t>egulatory proposal</w:t>
      </w:r>
      <w:r>
        <w:t>, January 2016, p. 343–345.</w:t>
      </w:r>
    </w:p>
  </w:footnote>
  <w:footnote w:id="1241">
    <w:p w:rsidR="006345FD" w:rsidRDefault="006345FD" w:rsidP="0070344D">
      <w:pPr>
        <w:pStyle w:val="FootnoteText"/>
      </w:pPr>
      <w:r>
        <w:rPr>
          <w:rStyle w:val="FootnoteReference"/>
        </w:rPr>
        <w:footnoteRef/>
      </w:r>
      <w:r>
        <w:t xml:space="preserve"> </w:t>
      </w:r>
      <w:r>
        <w:tab/>
      </w:r>
      <w:r w:rsidRPr="007B5BED">
        <w:t xml:space="preserve">Chairmont, </w:t>
      </w:r>
      <w:r w:rsidRPr="00D001FE">
        <w:rPr>
          <w:rStyle w:val="AERtextitalic"/>
        </w:rPr>
        <w:t>ERA Hedging costs in the cost of debt</w:t>
      </w:r>
      <w:r w:rsidRPr="007B5BED">
        <w:t>, 13 May 2015</w:t>
      </w:r>
      <w:r>
        <w:t xml:space="preserve">; CEG, </w:t>
      </w:r>
      <w:r w:rsidRPr="00196FB2">
        <w:rPr>
          <w:rStyle w:val="AERtextitalic"/>
        </w:rPr>
        <w:t>Critique of the AER's approach to transition</w:t>
      </w:r>
      <w:r>
        <w:t>, January 2016, pp. 63</w:t>
      </w:r>
      <w:r w:rsidRPr="005F311D">
        <w:t>–</w:t>
      </w:r>
      <w:r>
        <w:t>64; C</w:t>
      </w:r>
      <w:r w:rsidRPr="00CE6B23">
        <w:t xml:space="preserve">EG, </w:t>
      </w:r>
      <w:r w:rsidRPr="00D001FE">
        <w:rPr>
          <w:rStyle w:val="AERtextitalic"/>
        </w:rPr>
        <w:t>Memo– September 2015 cost of debt and inflation forecasts</w:t>
      </w:r>
      <w:r>
        <w:t xml:space="preserve">, 5 </w:t>
      </w:r>
      <w:r w:rsidRPr="00CE6B23">
        <w:t>January 2016</w:t>
      </w:r>
      <w:r>
        <w:t>.</w:t>
      </w:r>
    </w:p>
  </w:footnote>
  <w:footnote w:id="1242">
    <w:p w:rsidR="006345FD" w:rsidRDefault="006345FD" w:rsidP="0070344D">
      <w:pPr>
        <w:pStyle w:val="FootnoteText"/>
      </w:pPr>
      <w:r>
        <w:rPr>
          <w:rStyle w:val="FootnoteReference"/>
        </w:rPr>
        <w:footnoteRef/>
      </w:r>
      <w:r>
        <w:t xml:space="preserve"> </w:t>
      </w:r>
      <w:r>
        <w:tab/>
        <w:t xml:space="preserve">On this basis, some service providers do not propose swap transaction costs. APTNT, </w:t>
      </w:r>
      <w:r w:rsidRPr="00C067F7">
        <w:rPr>
          <w:rStyle w:val="AERtextitalic"/>
        </w:rPr>
        <w:t xml:space="preserve">Amadeus Gas Pipeline access arrangement </w:t>
      </w:r>
      <w:r>
        <w:rPr>
          <w:rStyle w:val="AERtextitalic"/>
        </w:rPr>
        <w:t>revised proposal: Response to draft decision</w:t>
      </w:r>
      <w:r>
        <w:t xml:space="preserve">, January 2016; and United Energy, </w:t>
      </w:r>
      <w:r w:rsidRPr="00C067F7">
        <w:rPr>
          <w:rStyle w:val="AERtextitalic"/>
        </w:rPr>
        <w:t>Regulatory proposal</w:t>
      </w:r>
      <w:r>
        <w:t xml:space="preserve">, April 2015 do not mention swap transaction costs. AusNet Services, </w:t>
      </w:r>
      <w:r w:rsidRPr="00C067F7">
        <w:rPr>
          <w:rStyle w:val="AERtextitalic"/>
        </w:rPr>
        <w:t>R</w:t>
      </w:r>
      <w:r>
        <w:rPr>
          <w:rStyle w:val="AERtextitalic"/>
        </w:rPr>
        <w:t>evised r</w:t>
      </w:r>
      <w:r w:rsidRPr="00C067F7">
        <w:rPr>
          <w:rStyle w:val="AERtextitalic"/>
        </w:rPr>
        <w:t>egulatory proposal</w:t>
      </w:r>
      <w:r>
        <w:t xml:space="preserve">, January 2016, p. 7-37 specifically stated it does not propose swap transaction costs because it proposes an immediate transition to a trailing average. </w:t>
      </w:r>
    </w:p>
  </w:footnote>
  <w:footnote w:id="1243">
    <w:p w:rsidR="006345FD" w:rsidRDefault="006345FD" w:rsidP="0070344D">
      <w:pPr>
        <w:pStyle w:val="FootnoteText"/>
      </w:pPr>
      <w:r>
        <w:rPr>
          <w:rStyle w:val="FootnoteReference"/>
        </w:rPr>
        <w:footnoteRef/>
      </w:r>
      <w:r>
        <w:t xml:space="preserve"> </w:t>
      </w:r>
      <w:r>
        <w:tab/>
        <w:t xml:space="preserve">See, for example, AER, </w:t>
      </w:r>
      <w:r w:rsidRPr="00AD0E24">
        <w:rPr>
          <w:rStyle w:val="AERtextitalic"/>
        </w:rPr>
        <w:t>Draft decision: Australian Gas Networks access arrangement 2016 to 2021</w:t>
      </w:r>
      <w:r>
        <w:t>, November 2015, section G.1.6, p. 581.</w:t>
      </w:r>
    </w:p>
  </w:footnote>
  <w:footnote w:id="1244">
    <w:p w:rsidR="006345FD" w:rsidRDefault="006345FD" w:rsidP="0070344D">
      <w:pPr>
        <w:pStyle w:val="FootnoteText"/>
      </w:pPr>
      <w:r>
        <w:rPr>
          <w:rStyle w:val="FootnoteReference"/>
        </w:rPr>
        <w:footnoteRef/>
      </w:r>
      <w:r>
        <w:t xml:space="preserve"> </w:t>
      </w:r>
      <w:r>
        <w:tab/>
        <w:t xml:space="preserve">CEG, </w:t>
      </w:r>
      <w:r w:rsidRPr="00AD0E24">
        <w:rPr>
          <w:rStyle w:val="AERtextitalic"/>
        </w:rPr>
        <w:t>Critique of the AER's approach to transition</w:t>
      </w:r>
      <w:r>
        <w:t>, January 2016, p. 1.</w:t>
      </w:r>
    </w:p>
  </w:footnote>
  <w:footnote w:id="1245">
    <w:p w:rsidR="006345FD" w:rsidRDefault="006345FD" w:rsidP="0070344D">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27, 31.</w:t>
      </w:r>
    </w:p>
  </w:footnote>
  <w:footnote w:id="1246">
    <w:p w:rsidR="006345FD" w:rsidRDefault="006345FD" w:rsidP="0070344D">
      <w:pPr>
        <w:pStyle w:val="FootnoteText"/>
      </w:pPr>
      <w:r>
        <w:rPr>
          <w:rStyle w:val="FootnoteReference"/>
        </w:rPr>
        <w:footnoteRef/>
      </w:r>
      <w:r>
        <w:t xml:space="preserve"> </w:t>
      </w:r>
      <w:r>
        <w:tab/>
        <w:t xml:space="preserve">See, </w:t>
      </w:r>
      <w:r w:rsidRPr="005A04E5">
        <w:t>Peirson, Brown, Easton, Howard</w:t>
      </w:r>
      <w:r>
        <w:t>,</w:t>
      </w:r>
      <w:r w:rsidRPr="005A04E5">
        <w:t xml:space="preserve"> Pinder, </w:t>
      </w:r>
      <w:r w:rsidRPr="0069770C">
        <w:rPr>
          <w:rStyle w:val="AERtextitalic"/>
        </w:rPr>
        <w:t>Business Finance</w:t>
      </w:r>
      <w:r w:rsidRPr="005A04E5">
        <w:t xml:space="preserve">, McGraw-Hill, </w:t>
      </w:r>
      <w:r>
        <w:t>Ed. 10</w:t>
      </w:r>
      <w:r w:rsidRPr="005A04E5">
        <w:t>,</w:t>
      </w:r>
      <w:r>
        <w:t xml:space="preserve"> 2009, p. 95. Also see AER, </w:t>
      </w:r>
      <w:r w:rsidRPr="00AD0E24">
        <w:rPr>
          <w:rStyle w:val="AERtextitalic"/>
        </w:rPr>
        <w:t>Rate of return guideline: Explanatory statement</w:t>
      </w:r>
      <w:r>
        <w:t xml:space="preserve">, December 2013, pp. 138–139; NSW DNSP, </w:t>
      </w:r>
      <w:r w:rsidRPr="00AD0E24">
        <w:rPr>
          <w:rStyle w:val="AERtextitalic"/>
        </w:rPr>
        <w:t>Submission on the rate of return draft guideline</w:t>
      </w:r>
      <w:r>
        <w:t xml:space="preserve">, 11 October 2013, pp. 16–17; Ergon Energy, </w:t>
      </w:r>
      <w:r w:rsidRPr="00AD0E24">
        <w:rPr>
          <w:rStyle w:val="AERtextitalic"/>
        </w:rPr>
        <w:t>Submission on the draft rate of return guidelines and explanatory statement</w:t>
      </w:r>
      <w:r>
        <w:t xml:space="preserve">, 11 October 2013, p. 5; ENA, </w:t>
      </w:r>
      <w:r w:rsidRPr="00AD0E24">
        <w:rPr>
          <w:rStyle w:val="AERtextitalic"/>
        </w:rPr>
        <w:t>Response to the draft rate of return guideline</w:t>
      </w:r>
      <w:r>
        <w:t>, 11 October 2013, pp. 58–60.</w:t>
      </w:r>
    </w:p>
  </w:footnote>
  <w:footnote w:id="1247">
    <w:p w:rsidR="006345FD" w:rsidRDefault="006345FD" w:rsidP="007D0518">
      <w:pPr>
        <w:pStyle w:val="FootnoteText"/>
      </w:pPr>
      <w:r>
        <w:rPr>
          <w:rStyle w:val="FootnoteReference"/>
        </w:rPr>
        <w:footnoteRef/>
      </w:r>
      <w:r>
        <w:t xml:space="preserve"> </w:t>
      </w:r>
      <w:r>
        <w:tab/>
        <w:t xml:space="preserve">AER, </w:t>
      </w:r>
      <w:r w:rsidRPr="00E50160">
        <w:rPr>
          <w:rStyle w:val="AERtextitalic"/>
        </w:rPr>
        <w:t>Return on debt: Choice of third party data service provider—Issues Paper</w:t>
      </w:r>
      <w:r>
        <w:t>, April 2014.</w:t>
      </w:r>
    </w:p>
  </w:footnote>
  <w:footnote w:id="1248">
    <w:p w:rsidR="006345FD" w:rsidRDefault="006345FD" w:rsidP="007D0518">
      <w:pPr>
        <w:pStyle w:val="FootnoteText"/>
      </w:pPr>
      <w:r>
        <w:rPr>
          <w:rStyle w:val="FootnoteReference"/>
        </w:rPr>
        <w:footnoteRef/>
      </w:r>
      <w:r>
        <w:t xml:space="preserve"> </w:t>
      </w:r>
      <w:r>
        <w:tab/>
        <w:t>This is from the period that the revised proposals were submitted (6 Jan 2016) until the final decisions for the Victorian DNSPs are published (26 May 2016), noting that analysis, consultation and decision would have to fit within this period.</w:t>
      </w:r>
    </w:p>
  </w:footnote>
  <w:footnote w:id="1249">
    <w:p w:rsidR="006345FD" w:rsidRDefault="006345FD" w:rsidP="007D0518">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50">
    <w:p w:rsidR="006345FD" w:rsidRDefault="006345FD" w:rsidP="002D2307">
      <w:pPr>
        <w:pStyle w:val="FootnoteText"/>
      </w:pPr>
      <w:r>
        <w:rPr>
          <w:rStyle w:val="FootnoteReference"/>
        </w:rPr>
        <w:footnoteRef/>
      </w:r>
      <w:r>
        <w:t xml:space="preserve"> </w:t>
      </w:r>
      <w:r>
        <w:tab/>
        <w:t xml:space="preserve">Specifically, AER staff met with Thomson Reuters staff on 18 April 2016. </w:t>
      </w:r>
    </w:p>
  </w:footnote>
  <w:footnote w:id="1251">
    <w:p w:rsidR="006345FD" w:rsidRDefault="006345FD" w:rsidP="002D2307">
      <w:pPr>
        <w:pStyle w:val="FootnoteText"/>
      </w:pPr>
      <w:r>
        <w:rPr>
          <w:rStyle w:val="FootnoteReference"/>
        </w:rPr>
        <w:footnoteRef/>
      </w:r>
      <w:r>
        <w:t xml:space="preserve"> </w:t>
      </w:r>
      <w:r>
        <w:tab/>
        <w:t xml:space="preserve">CEG, </w:t>
      </w:r>
      <w:r>
        <w:rPr>
          <w:rStyle w:val="AERtextitalic"/>
        </w:rPr>
        <w:t>Response to AER information request</w:t>
      </w:r>
      <w:r w:rsidR="00397922">
        <w:rPr>
          <w:rStyle w:val="AERtextitalic"/>
        </w:rPr>
        <w:t xml:space="preserve"> </w:t>
      </w:r>
      <w:r w:rsidR="00397922" w:rsidRPr="00397922">
        <w:t>[email to AER]</w:t>
      </w:r>
      <w:r>
        <w:t>, 8 February 2016.</w:t>
      </w:r>
    </w:p>
  </w:footnote>
  <w:footnote w:id="1252">
    <w:p w:rsidR="006345FD" w:rsidRDefault="006345FD" w:rsidP="007D0518">
      <w:pPr>
        <w:pStyle w:val="FootnoteText"/>
      </w:pPr>
      <w:r>
        <w:rPr>
          <w:rStyle w:val="FootnoteReference"/>
        </w:rPr>
        <w:footnoteRef/>
      </w:r>
      <w:r>
        <w:t xml:space="preserve"> </w:t>
      </w:r>
      <w:r>
        <w:tab/>
        <w:t xml:space="preserve">CEG, </w:t>
      </w:r>
      <w:r w:rsidRPr="00D3347E">
        <w:rPr>
          <w:rStyle w:val="AERtextitalic"/>
        </w:rPr>
        <w:t>Criteria for assessing fair value curves</w:t>
      </w:r>
      <w:r>
        <w:t>, January 2016, p. 9.</w:t>
      </w:r>
    </w:p>
  </w:footnote>
  <w:footnote w:id="1253">
    <w:p w:rsidR="006345FD" w:rsidRDefault="006345FD" w:rsidP="007D0518">
      <w:pPr>
        <w:pStyle w:val="FootnoteText"/>
      </w:pPr>
      <w:r>
        <w:rPr>
          <w:rStyle w:val="FootnoteReference"/>
        </w:rPr>
        <w:footnoteRef/>
      </w:r>
      <w:r>
        <w:t xml:space="preserve"> </w:t>
      </w:r>
      <w:r>
        <w:tab/>
        <w:t xml:space="preserve">AusNet Services, </w:t>
      </w:r>
      <w:r w:rsidRPr="00E90439">
        <w:rPr>
          <w:rStyle w:val="AERtextitalic"/>
        </w:rPr>
        <w:t>AusNet Services’ response to submissions on the Victorian EDPR Preliminary Decision</w:t>
      </w:r>
      <w:r>
        <w:t>, February 2016, pp. 18–21.</w:t>
      </w:r>
    </w:p>
  </w:footnote>
  <w:footnote w:id="1254">
    <w:p w:rsidR="006345FD" w:rsidRDefault="006345FD" w:rsidP="007D0518">
      <w:pPr>
        <w:pStyle w:val="FootnoteText"/>
      </w:pPr>
      <w:r>
        <w:rPr>
          <w:rStyle w:val="FootnoteReference"/>
        </w:rPr>
        <w:footnoteRef/>
      </w:r>
      <w:r>
        <w:t xml:space="preserve"> </w:t>
      </w:r>
      <w:r>
        <w:tab/>
        <w:t xml:space="preserve">CEG, </w:t>
      </w:r>
      <w:r w:rsidRPr="00D3347E">
        <w:rPr>
          <w:rStyle w:val="AERtextitalic"/>
        </w:rPr>
        <w:t>Criteria for assessing fair value curves</w:t>
      </w:r>
      <w:r>
        <w:t xml:space="preserve">, January 2016; CEG, </w:t>
      </w:r>
      <w:r w:rsidRPr="00CB2D08">
        <w:rPr>
          <w:rStyle w:val="AERtextitalic"/>
        </w:rPr>
        <w:t>Memorandum: Recent financial market conditions and the BVAL curve</w:t>
      </w:r>
      <w:r>
        <w:t>, February 2016.</w:t>
      </w:r>
    </w:p>
    <w:p w:rsidR="006345FD" w:rsidRDefault="006345FD" w:rsidP="007D0518">
      <w:pPr>
        <w:pStyle w:val="FootnoteText"/>
      </w:pPr>
    </w:p>
  </w:footnote>
  <w:footnote w:id="1255">
    <w:p w:rsidR="006345FD" w:rsidRDefault="006345FD" w:rsidP="007D0518">
      <w:pPr>
        <w:pStyle w:val="FootnoteText"/>
      </w:pPr>
      <w:r>
        <w:rPr>
          <w:rStyle w:val="FootnoteReference"/>
        </w:rPr>
        <w:footnoteRef/>
      </w:r>
      <w:r>
        <w:t xml:space="preserve"> </w:t>
      </w:r>
      <w:r>
        <w:tab/>
        <w:t xml:space="preserve">For example: AER, </w:t>
      </w:r>
      <w:r w:rsidRPr="00E31FE5">
        <w:rPr>
          <w:rStyle w:val="AERtextitalic"/>
        </w:rPr>
        <w:t>Final decision—Ausgrid distribution determination—Attachment 3: Rate of return</w:t>
      </w:r>
      <w:r>
        <w:t>, April 2015, pp. 202</w:t>
      </w:r>
      <w:r>
        <w:softHyphen/>
        <w:t xml:space="preserve">–203; AER, </w:t>
      </w:r>
      <w:r w:rsidRPr="00E31FE5">
        <w:rPr>
          <w:rStyle w:val="AERtextitalic"/>
        </w:rPr>
        <w:t>Preliminary decision—AusNet Services—Attachment 3: Rate of return</w:t>
      </w:r>
      <w:r>
        <w:t>, October 2015, p. 224.</w:t>
      </w:r>
    </w:p>
  </w:footnote>
  <w:footnote w:id="1256">
    <w:p w:rsidR="006345FD" w:rsidRDefault="006345FD" w:rsidP="00964FD6">
      <w:pPr>
        <w:pStyle w:val="FootnoteText"/>
      </w:pPr>
      <w:r>
        <w:rPr>
          <w:rStyle w:val="FootnoteReference"/>
        </w:rPr>
        <w:footnoteRef/>
      </w:r>
      <w:r>
        <w:t xml:space="preserve"> </w:t>
      </w:r>
      <w:r>
        <w:tab/>
        <w:t xml:space="preserve">Some information is available on the RBA website: </w:t>
      </w:r>
      <w:r w:rsidRPr="009026AF">
        <w:t>http://www.rba.gov.au/statistics/tables/changes-to-tables.html</w:t>
      </w:r>
    </w:p>
  </w:footnote>
  <w:footnote w:id="1257">
    <w:p w:rsidR="006345FD" w:rsidRDefault="006345FD" w:rsidP="00964FD6">
      <w:pPr>
        <w:pStyle w:val="FootnoteText"/>
      </w:pPr>
      <w:r>
        <w:rPr>
          <w:rStyle w:val="FootnoteReference"/>
        </w:rPr>
        <w:footnoteRef/>
      </w:r>
      <w:r>
        <w:t xml:space="preserve"> </w:t>
      </w:r>
      <w:r>
        <w:tab/>
        <w:t>Specifically, AER staff met with RBA staff on 8 April 2016.</w:t>
      </w:r>
    </w:p>
  </w:footnote>
  <w:footnote w:id="1258">
    <w:p w:rsidR="006345FD" w:rsidRDefault="006345FD" w:rsidP="007D0518">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xml:space="preserve">, January 2016, p. 9; CEG, </w:t>
      </w:r>
      <w:r w:rsidRPr="00E31FE5">
        <w:rPr>
          <w:rStyle w:val="AERtextitalic"/>
        </w:rPr>
        <w:t>Recent financial market conditions and the BVAL curve – updated to 19 February 2016</w:t>
      </w:r>
      <w:r>
        <w:t>, February 2016, p. 1.</w:t>
      </w:r>
    </w:p>
  </w:footnote>
  <w:footnote w:id="1259">
    <w:p w:rsidR="006345FD" w:rsidRDefault="006345FD" w:rsidP="007D0518">
      <w:pPr>
        <w:pStyle w:val="FootnoteText"/>
      </w:pPr>
      <w:r>
        <w:rPr>
          <w:rStyle w:val="FootnoteReference"/>
        </w:rPr>
        <w:footnoteRef/>
      </w:r>
      <w:r>
        <w:t xml:space="preserve"> </w:t>
      </w:r>
      <w:r>
        <w:tab/>
        <w:t xml:space="preserve">See for example: AER, </w:t>
      </w:r>
      <w:r w:rsidRPr="00E8288C">
        <w:rPr>
          <w:rStyle w:val="AERtextitalic"/>
        </w:rPr>
        <w:t>Ausgrid distribution determination: Draft Decision—Attachment 3: Rate of return</w:t>
      </w:r>
      <w:r>
        <w:t xml:space="preserve">, pp. 135–150; </w:t>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60">
    <w:p w:rsidR="006345FD" w:rsidRDefault="006345FD" w:rsidP="007D051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61">
    <w:p w:rsidR="006345FD" w:rsidRDefault="006345FD" w:rsidP="007D051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xml:space="preserve">, February 2016, p. 4; AusNet Services, </w:t>
      </w:r>
      <w:r w:rsidRPr="00EF333E">
        <w:rPr>
          <w:rStyle w:val="AERtextitalic"/>
        </w:rPr>
        <w:t>Response to submissions on AER's EDPR preliminary decision</w:t>
      </w:r>
      <w:r>
        <w:t>, February 2016, p. 21.</w:t>
      </w:r>
    </w:p>
  </w:footnote>
  <w:footnote w:id="1262">
    <w:p w:rsidR="006345FD" w:rsidRDefault="006345FD" w:rsidP="007D051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4.</w:t>
      </w:r>
    </w:p>
  </w:footnote>
  <w:footnote w:id="1263">
    <w:p w:rsidR="006345FD" w:rsidRDefault="006345FD" w:rsidP="007D0518">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 242.</w:t>
      </w:r>
    </w:p>
  </w:footnote>
  <w:footnote w:id="1264">
    <w:p w:rsidR="006345FD" w:rsidRDefault="006345FD" w:rsidP="007D0518">
      <w:pPr>
        <w:pStyle w:val="FootnoteText"/>
      </w:pPr>
      <w:r>
        <w:rPr>
          <w:rStyle w:val="FootnoteReference"/>
        </w:rPr>
        <w:footnoteRef/>
      </w:r>
      <w:r>
        <w:t xml:space="preserve"> </w:t>
      </w:r>
      <w:r>
        <w:tab/>
        <w:t xml:space="preserve">For example: </w:t>
      </w:r>
      <w:r w:rsidRPr="00283B13">
        <w:t xml:space="preserve">CEG, </w:t>
      </w:r>
      <w:r w:rsidRPr="00283B13">
        <w:rPr>
          <w:rStyle w:val="AERtextitalic"/>
        </w:rPr>
        <w:t>The hybrid method for the transition to the trailing average rate of return on debt—Assessment and calculations for AGN</w:t>
      </w:r>
      <w:r w:rsidRPr="00283B13">
        <w:t>, June 2015</w:t>
      </w:r>
      <w:r>
        <w:t>, p. 75.</w:t>
      </w:r>
    </w:p>
  </w:footnote>
  <w:footnote w:id="1265">
    <w:p w:rsidR="006345FD" w:rsidRDefault="006345FD" w:rsidP="007D0518">
      <w:pPr>
        <w:pStyle w:val="FootnoteText"/>
      </w:pPr>
      <w:r>
        <w:rPr>
          <w:rStyle w:val="FootnoteReference"/>
        </w:rPr>
        <w:footnoteRef/>
      </w:r>
      <w:r>
        <w:t xml:space="preserve"> </w:t>
      </w:r>
      <w:r>
        <w:tab/>
        <w:t xml:space="preserve">AER, </w:t>
      </w:r>
      <w:r w:rsidRPr="00AC0EB9">
        <w:rPr>
          <w:rStyle w:val="AERtextitalic"/>
        </w:rPr>
        <w:t>Email</w:t>
      </w:r>
      <w:r>
        <w:t xml:space="preserve"> c</w:t>
      </w:r>
      <w:r w:rsidRPr="00283B13">
        <w:rPr>
          <w:rStyle w:val="AERtextitalic"/>
        </w:rPr>
        <w:t>orrespondence with Bloomberg</w:t>
      </w:r>
      <w:r>
        <w:t>, 12 September 2015.</w:t>
      </w:r>
    </w:p>
  </w:footnote>
  <w:footnote w:id="1266">
    <w:p w:rsidR="006345FD" w:rsidRDefault="006345FD" w:rsidP="007D0518">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w:t>
      </w:r>
      <w:r>
        <w:softHyphen/>
        <w:t>6.</w:t>
      </w:r>
    </w:p>
  </w:footnote>
  <w:footnote w:id="1267">
    <w:p w:rsidR="006345FD" w:rsidRDefault="006345FD" w:rsidP="007D0518">
      <w:pPr>
        <w:pStyle w:val="FootnoteText"/>
      </w:pPr>
      <w:r>
        <w:rPr>
          <w:rStyle w:val="FootnoteReference"/>
        </w:rPr>
        <w:footnoteRef/>
      </w:r>
      <w:r>
        <w:t xml:space="preserve"> </w:t>
      </w:r>
      <w:r>
        <w:tab/>
        <w:t xml:space="preserve">CEG, </w:t>
      </w:r>
      <w:r w:rsidRPr="00E31FE5">
        <w:rPr>
          <w:rStyle w:val="AERtextitalic"/>
        </w:rPr>
        <w:t>Recent financial market conditions and the BVAL curve – updated to 19 February 2016</w:t>
      </w:r>
      <w:r>
        <w:t>, February 2016.</w:t>
      </w:r>
    </w:p>
  </w:footnote>
  <w:footnote w:id="1268">
    <w:p w:rsidR="006345FD" w:rsidRDefault="006345FD" w:rsidP="007D0518">
      <w:pPr>
        <w:pStyle w:val="FootnoteText"/>
      </w:pPr>
      <w:r>
        <w:rPr>
          <w:rStyle w:val="FootnoteReference"/>
        </w:rPr>
        <w:footnoteRef/>
      </w:r>
      <w:r>
        <w:t xml:space="preserve"> </w:t>
      </w:r>
      <w:r>
        <w:tab/>
        <w:t xml:space="preserve">AusNet Services, </w:t>
      </w:r>
      <w:r w:rsidRPr="002656DF">
        <w:rPr>
          <w:rStyle w:val="AERtextitalic"/>
        </w:rPr>
        <w:t>Actual Debt Averaging Period – Additional Evidence</w:t>
      </w:r>
      <w:r>
        <w:t>, March 2016.</w:t>
      </w:r>
    </w:p>
  </w:footnote>
  <w:footnote w:id="1269">
    <w:p w:rsidR="006345FD" w:rsidRDefault="006345FD" w:rsidP="007D0518">
      <w:pPr>
        <w:pStyle w:val="FootnoteText"/>
      </w:pPr>
      <w:r>
        <w:rPr>
          <w:rStyle w:val="FootnoteReference"/>
        </w:rPr>
        <w:footnoteRef/>
      </w:r>
      <w:r>
        <w:t xml:space="preserve"> </w:t>
      </w:r>
      <w:r>
        <w:tab/>
        <w:t>The correlation coefficient was –0.65.</w:t>
      </w:r>
    </w:p>
  </w:footnote>
  <w:footnote w:id="1270">
    <w:p w:rsidR="006345FD" w:rsidRDefault="006345FD" w:rsidP="007D0518">
      <w:pPr>
        <w:pStyle w:val="FootnoteText"/>
      </w:pPr>
      <w:r>
        <w:rPr>
          <w:rStyle w:val="FootnoteReference"/>
        </w:rPr>
        <w:footnoteRef/>
      </w:r>
      <w:r>
        <w:t xml:space="preserve"> </w:t>
      </w:r>
      <w:r>
        <w:tab/>
        <w:t xml:space="preserve">CEG, </w:t>
      </w:r>
      <w:r w:rsidRPr="00CB2D08">
        <w:rPr>
          <w:rStyle w:val="AERtextitalic"/>
        </w:rPr>
        <w:t>Memorandum: Recent financial market conditions and the BVAL curve</w:t>
      </w:r>
      <w:r>
        <w:t>, February 2016, p. 5.</w:t>
      </w:r>
    </w:p>
  </w:footnote>
  <w:footnote w:id="1271">
    <w:p w:rsidR="006345FD" w:rsidRDefault="006345FD" w:rsidP="007D0518">
      <w:pPr>
        <w:pStyle w:val="FootnoteText"/>
      </w:pPr>
      <w:r>
        <w:rPr>
          <w:rStyle w:val="FootnoteReference"/>
        </w:rPr>
        <w:footnoteRef/>
      </w:r>
      <w:r>
        <w:t xml:space="preserve"> </w:t>
      </w:r>
      <w:r>
        <w:tab/>
        <w:t xml:space="preserve">We confirmed this by entering the bond tickers from CEG's 'Figure 3: Percentage change in spread-to-swap—31 December to 27 January 2016' into the Bloomberg terminal. See: CEG, </w:t>
      </w:r>
      <w:r w:rsidRPr="00CB2D08">
        <w:rPr>
          <w:rStyle w:val="AERtextitalic"/>
        </w:rPr>
        <w:t>Memorandum: Recent financial market conditions and the BVAL curve</w:t>
      </w:r>
      <w:r>
        <w:t>, February 2016, p. 4.</w:t>
      </w:r>
    </w:p>
  </w:footnote>
  <w:footnote w:id="1272">
    <w:p w:rsidR="006345FD" w:rsidRDefault="006345FD" w:rsidP="007D051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41.</w:t>
      </w:r>
    </w:p>
  </w:footnote>
  <w:footnote w:id="1273">
    <w:p w:rsidR="006345FD" w:rsidRDefault="006345FD" w:rsidP="007D0518">
      <w:pPr>
        <w:pStyle w:val="FootnoteText"/>
      </w:pPr>
      <w:r>
        <w:rPr>
          <w:rStyle w:val="FootnoteReference"/>
        </w:rPr>
        <w:footnoteRef/>
      </w:r>
      <w:r>
        <w:t xml:space="preserve"> </w:t>
      </w:r>
      <w:r>
        <w:tab/>
        <w:t xml:space="preserve">AusNet Services, </w:t>
      </w:r>
      <w:r w:rsidRPr="00E31FE5">
        <w:rPr>
          <w:rStyle w:val="AERtextitalic"/>
        </w:rPr>
        <w:t>Actual Debt Averaging Period – Additional Evidence</w:t>
      </w:r>
      <w:r>
        <w:t>, March 2016, pp. 12</w:t>
      </w:r>
      <w:r>
        <w:softHyphen/>
        <w:t>–13.</w:t>
      </w:r>
    </w:p>
  </w:footnote>
  <w:footnote w:id="1274">
    <w:p w:rsidR="006345FD" w:rsidRDefault="006345FD" w:rsidP="007D0518">
      <w:pPr>
        <w:pStyle w:val="FootnoteText"/>
      </w:pPr>
      <w:r>
        <w:rPr>
          <w:rStyle w:val="FootnoteReference"/>
        </w:rPr>
        <w:footnoteRef/>
      </w:r>
      <w:r>
        <w:t xml:space="preserve"> </w:t>
      </w:r>
      <w:r>
        <w:tab/>
        <w:t xml:space="preserve">See for example: CEG, </w:t>
      </w:r>
      <w:r w:rsidRPr="00E31FE5">
        <w:rPr>
          <w:rStyle w:val="AERtextitalic"/>
        </w:rPr>
        <w:t>Recent financial market conditions and the BVAL curve – updated to 19 February 2016</w:t>
      </w:r>
      <w:r>
        <w:t>, February 2016, p. 1.</w:t>
      </w:r>
    </w:p>
  </w:footnote>
  <w:footnote w:id="1275">
    <w:p w:rsidR="006345FD" w:rsidRDefault="006345FD" w:rsidP="007D0518">
      <w:pPr>
        <w:pStyle w:val="FootnoteText"/>
      </w:pPr>
      <w:r>
        <w:rPr>
          <w:rStyle w:val="FootnoteReference"/>
        </w:rPr>
        <w:footnoteRef/>
      </w:r>
      <w:r>
        <w:t xml:space="preserve"> </w:t>
      </w:r>
      <w:r>
        <w:tab/>
        <w:t xml:space="preserve">AER, </w:t>
      </w:r>
      <w:r w:rsidRPr="00E31FE5">
        <w:rPr>
          <w:rStyle w:val="AERtextitalic"/>
        </w:rPr>
        <w:t>Preliminary decision—AusNet Services—Attachment 3: Rate of return</w:t>
      </w:r>
      <w:r>
        <w:t>, October 2015, pp. 226</w:t>
      </w:r>
      <w:r>
        <w:softHyphen/>
        <w:t>–227.</w:t>
      </w:r>
    </w:p>
  </w:footnote>
  <w:footnote w:id="1276">
    <w:p w:rsidR="006345FD" w:rsidRDefault="006345FD" w:rsidP="007D0518">
      <w:pPr>
        <w:pStyle w:val="FootnoteText"/>
      </w:pPr>
      <w:r>
        <w:rPr>
          <w:rStyle w:val="FootnoteReference"/>
        </w:rPr>
        <w:footnoteRef/>
      </w:r>
      <w:r>
        <w:t xml:space="preserve"> </w:t>
      </w:r>
      <w:r>
        <w:tab/>
        <w:t>See section I.1.</w:t>
      </w:r>
    </w:p>
  </w:footnote>
  <w:footnote w:id="1277">
    <w:p w:rsidR="006345FD" w:rsidRDefault="006345FD" w:rsidP="007D0518">
      <w:pPr>
        <w:pStyle w:val="FootnoteText"/>
      </w:pPr>
      <w:r>
        <w:rPr>
          <w:rStyle w:val="FootnoteReference"/>
        </w:rPr>
        <w:footnoteRef/>
      </w:r>
      <w:r>
        <w:t xml:space="preserve"> </w:t>
      </w:r>
      <w:r>
        <w:tab/>
        <w:t xml:space="preserve">AER, </w:t>
      </w:r>
      <w:r w:rsidRPr="00F775B5">
        <w:rPr>
          <w:rStyle w:val="AERtextitalic"/>
        </w:rPr>
        <w:t>Preliminary decision—AusNet Services—Attachment 3: Rate of return</w:t>
      </w:r>
      <w:r>
        <w:t>, October 2015, pp. 226</w:t>
      </w:r>
      <w:r>
        <w:softHyphen/>
        <w:t>–227.</w:t>
      </w:r>
    </w:p>
  </w:footnote>
  <w:footnote w:id="1278">
    <w:p w:rsidR="006345FD" w:rsidRDefault="006345FD" w:rsidP="007D0518">
      <w:pPr>
        <w:pStyle w:val="FootnoteText"/>
      </w:pPr>
      <w:r>
        <w:rPr>
          <w:rStyle w:val="FootnoteReference"/>
        </w:rPr>
        <w:footnoteRef/>
      </w:r>
      <w:r>
        <w:t xml:space="preserve"> </w:t>
      </w:r>
      <w:r>
        <w:tab/>
        <w:t xml:space="preserve">AER, </w:t>
      </w:r>
      <w:r w:rsidRPr="00E31FE5">
        <w:rPr>
          <w:rStyle w:val="AERtextitalic"/>
        </w:rPr>
        <w:t>Better Regulation: Explanatory statement—Rate of return guideline</w:t>
      </w:r>
      <w:r>
        <w:t xml:space="preserve">, December 2013, p. 136. </w:t>
      </w:r>
    </w:p>
  </w:footnote>
  <w:footnote w:id="1279">
    <w:p w:rsidR="006345FD" w:rsidRDefault="006345FD" w:rsidP="007D0518">
      <w:pPr>
        <w:pStyle w:val="FootnoteText"/>
      </w:pPr>
      <w:r>
        <w:rPr>
          <w:rStyle w:val="FootnoteReference"/>
        </w:rPr>
        <w:footnoteRef/>
      </w:r>
      <w:r>
        <w:t xml:space="preserve"> </w:t>
      </w:r>
      <w:r>
        <w:tab/>
        <w:t xml:space="preserve">Australian Competition Tribunal, </w:t>
      </w:r>
      <w:r w:rsidRPr="00582F11">
        <w:rPr>
          <w:rStyle w:val="AERtextitalic"/>
        </w:rPr>
        <w:t>Applications by Public Interest Advocacy Centre Ltd and Ausgrid  [2016] ACompT 1</w:t>
      </w:r>
      <w:r>
        <w:t>, February 2016, para. 983.</w:t>
      </w:r>
    </w:p>
  </w:footnote>
  <w:footnote w:id="1280">
    <w:p w:rsidR="006345FD" w:rsidRDefault="006345FD" w:rsidP="007D0518">
      <w:pPr>
        <w:pStyle w:val="FootnoteText"/>
      </w:pPr>
      <w:r>
        <w:rPr>
          <w:rStyle w:val="FootnoteReference"/>
        </w:rPr>
        <w:footnoteRef/>
      </w:r>
      <w:r>
        <w:t xml:space="preserve"> </w:t>
      </w:r>
      <w:r>
        <w:tab/>
        <w:t xml:space="preserve">Australian Competition Tribunal, </w:t>
      </w:r>
      <w:r w:rsidRPr="00582F11">
        <w:rPr>
          <w:rStyle w:val="AERtextitalic"/>
        </w:rPr>
        <w:t>Applications by Public Interest Advocacy Centre Ltd and Ausgrid  [2016] ACompT 1</w:t>
      </w:r>
      <w:r>
        <w:t>, February 2016, para. 983.</w:t>
      </w:r>
    </w:p>
  </w:footnote>
  <w:footnote w:id="1281">
    <w:p w:rsidR="006345FD" w:rsidRDefault="006345FD" w:rsidP="007D0518">
      <w:pPr>
        <w:pStyle w:val="FootnoteText"/>
      </w:pPr>
      <w:r>
        <w:rPr>
          <w:rStyle w:val="FootnoteReference"/>
        </w:rPr>
        <w:footnoteRef/>
      </w:r>
      <w:r>
        <w:t xml:space="preserve"> </w:t>
      </w:r>
      <w:r>
        <w:tab/>
        <w:t xml:space="preserve">For example: CEG, </w:t>
      </w:r>
      <w:r w:rsidRPr="00E31FE5">
        <w:rPr>
          <w:rStyle w:val="AERtextitalic"/>
        </w:rPr>
        <w:t>Criteria for assessing fair value curves</w:t>
      </w:r>
      <w:r>
        <w:t>, January 2016, p. 31.</w:t>
      </w:r>
    </w:p>
  </w:footnote>
  <w:footnote w:id="1282">
    <w:p w:rsidR="006345FD" w:rsidRDefault="006345FD" w:rsidP="007D0518">
      <w:pPr>
        <w:pStyle w:val="FootnoteText"/>
      </w:pPr>
      <w:r>
        <w:rPr>
          <w:rStyle w:val="FootnoteReference"/>
        </w:rPr>
        <w:footnoteRef/>
      </w:r>
      <w:r>
        <w:t xml:space="preserve"> </w:t>
      </w:r>
      <w:r>
        <w:tab/>
      </w:r>
      <w:r w:rsidRPr="00DF4D11">
        <w:t xml:space="preserve">Lally, </w:t>
      </w:r>
      <w:r w:rsidRPr="00DF4D11">
        <w:rPr>
          <w:rStyle w:val="AERtextitalic"/>
        </w:rPr>
        <w:t>Implementation issues for the cost of debt</w:t>
      </w:r>
      <w:r w:rsidRPr="00DF4D11">
        <w:t>, November 2014</w:t>
      </w:r>
      <w:r>
        <w:t xml:space="preserve">; ACCC Regulatory Economics Unit, </w:t>
      </w:r>
      <w:r w:rsidRPr="00DF4D11">
        <w:rPr>
          <w:rStyle w:val="AERtextitalic"/>
        </w:rPr>
        <w:t>Return on debt estimation: A review of the alternative third party data series</w:t>
      </w:r>
      <w:r>
        <w:t xml:space="preserve">, August 2014;  Lally, </w:t>
      </w:r>
      <w:r w:rsidRPr="00DF4D11">
        <w:rPr>
          <w:rStyle w:val="AERtextitalic"/>
        </w:rPr>
        <w:t>Review of submissions on implementation issues for cost of deb</w:t>
      </w:r>
      <w:r>
        <w:t>t, October 2015.</w:t>
      </w:r>
    </w:p>
  </w:footnote>
  <w:footnote w:id="1283">
    <w:p w:rsidR="006345FD" w:rsidRDefault="006345FD" w:rsidP="007D0518">
      <w:pPr>
        <w:pStyle w:val="FootnoteText"/>
      </w:pPr>
      <w:r>
        <w:rPr>
          <w:rStyle w:val="FootnoteReference"/>
        </w:rPr>
        <w:footnoteRef/>
      </w:r>
      <w:r>
        <w:t xml:space="preserve"> </w:t>
      </w:r>
      <w:r>
        <w:tab/>
        <w:t>To illustrate this, Bloomberg published data on 252 days in 2015, where the RBA published data on 12 days.</w:t>
      </w:r>
    </w:p>
  </w:footnote>
  <w:footnote w:id="1284">
    <w:p w:rsidR="006345FD" w:rsidRDefault="006345FD" w:rsidP="007D0518">
      <w:pPr>
        <w:pStyle w:val="FootnoteText"/>
      </w:pPr>
      <w:r>
        <w:rPr>
          <w:rStyle w:val="FootnoteReference"/>
        </w:rPr>
        <w:footnoteRef/>
      </w:r>
      <w:r>
        <w:t xml:space="preserve"> </w:t>
      </w:r>
      <w:r>
        <w:tab/>
        <w:t xml:space="preserve">AusNet Services, </w:t>
      </w:r>
      <w:r w:rsidRPr="00965241">
        <w:rPr>
          <w:rStyle w:val="AERtextitalic"/>
        </w:rPr>
        <w:t>AusNet Services’ response to submissions on the Victorian EDPR Preliminary Decision</w:t>
      </w:r>
      <w:r>
        <w:t>, February 2016, pp. 20–21.</w:t>
      </w:r>
    </w:p>
  </w:footnote>
  <w:footnote w:id="1285">
    <w:p w:rsidR="006345FD" w:rsidRDefault="006345FD" w:rsidP="007D051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pp. 2–3.</w:t>
      </w:r>
    </w:p>
  </w:footnote>
  <w:footnote w:id="1286">
    <w:p w:rsidR="006345FD" w:rsidRDefault="006345FD" w:rsidP="007D051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87">
    <w:p w:rsidR="006345FD" w:rsidRDefault="006345FD" w:rsidP="007D0518">
      <w:pPr>
        <w:pStyle w:val="FootnoteText"/>
      </w:pPr>
      <w:r>
        <w:rPr>
          <w:rStyle w:val="FootnoteReference"/>
        </w:rPr>
        <w:footnoteRef/>
      </w:r>
      <w:r>
        <w:t xml:space="preserve"> </w:t>
      </w:r>
      <w:r>
        <w:tab/>
        <w:t xml:space="preserve">CEG, </w:t>
      </w:r>
      <w:r w:rsidRPr="00F95704">
        <w:rPr>
          <w:rStyle w:val="AERtextitalic"/>
        </w:rPr>
        <w:t>Critique of the AER's JGN draft decision on the cost of debt</w:t>
      </w:r>
      <w:r>
        <w:t>, April 2015, p. 64</w:t>
      </w:r>
    </w:p>
  </w:footnote>
  <w:footnote w:id="1288">
    <w:p w:rsidR="006345FD" w:rsidRDefault="006345FD" w:rsidP="007D051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20.</w:t>
      </w:r>
    </w:p>
  </w:footnote>
  <w:footnote w:id="1289">
    <w:p w:rsidR="006345FD" w:rsidRDefault="006345FD" w:rsidP="007D0518">
      <w:pPr>
        <w:pStyle w:val="FootnoteText"/>
      </w:pPr>
      <w:r>
        <w:rPr>
          <w:rStyle w:val="FootnoteReference"/>
        </w:rPr>
        <w:footnoteRef/>
      </w:r>
      <w:r>
        <w:t xml:space="preserve"> </w:t>
      </w:r>
      <w:r>
        <w:tab/>
        <w:t xml:space="preserve">Chairmont, </w:t>
      </w:r>
      <w:r w:rsidRPr="000B4FF2">
        <w:rPr>
          <w:rStyle w:val="AERtextitalic"/>
        </w:rPr>
        <w:t>Financing practices under regulation</w:t>
      </w:r>
      <w:r>
        <w:t>, October 2015, pp. 24–26.</w:t>
      </w:r>
    </w:p>
  </w:footnote>
  <w:footnote w:id="1290">
    <w:p w:rsidR="006345FD" w:rsidRDefault="006345FD" w:rsidP="007D0518">
      <w:pPr>
        <w:pStyle w:val="FootnoteText"/>
      </w:pPr>
      <w:r>
        <w:rPr>
          <w:rStyle w:val="FootnoteReference"/>
        </w:rPr>
        <w:footnoteRef/>
      </w:r>
      <w:r>
        <w:t xml:space="preserve"> </w:t>
      </w:r>
      <w:r>
        <w:tab/>
      </w:r>
      <w:r w:rsidRPr="005820BF">
        <w:t xml:space="preserve">ENA, </w:t>
      </w:r>
      <w:r w:rsidRPr="005820BF">
        <w:rPr>
          <w:rStyle w:val="AERtextitalic"/>
        </w:rPr>
        <w:t>Submission to the draft guideline</w:t>
      </w:r>
      <w:r w:rsidRPr="005820BF">
        <w:t>, October 2013.</w:t>
      </w:r>
    </w:p>
  </w:footnote>
  <w:footnote w:id="1291">
    <w:p w:rsidR="006345FD" w:rsidRDefault="006345FD" w:rsidP="007D0518">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December 2013, December 2013, p. 143.</w:t>
      </w:r>
    </w:p>
  </w:footnote>
  <w:footnote w:id="1292">
    <w:p w:rsidR="006345FD" w:rsidRDefault="006345FD" w:rsidP="007D0518">
      <w:pPr>
        <w:pStyle w:val="FootnoteText"/>
      </w:pPr>
      <w:r>
        <w:rPr>
          <w:rStyle w:val="FootnoteReference"/>
        </w:rPr>
        <w:footnoteRef/>
      </w:r>
      <w:r>
        <w:t xml:space="preserve"> </w:t>
      </w:r>
      <w:r>
        <w:tab/>
        <w:t xml:space="preserve">CEG, </w:t>
      </w:r>
      <w:r w:rsidRPr="00880BA4">
        <w:rPr>
          <w:rStyle w:val="AERtextitalic"/>
        </w:rPr>
        <w:t>Criteria for assessing fair value curves, January 2016</w:t>
      </w:r>
      <w:r>
        <w:t>, p. 55.</w:t>
      </w:r>
    </w:p>
  </w:footnote>
  <w:footnote w:id="1293">
    <w:p w:rsidR="006345FD" w:rsidRDefault="006345FD" w:rsidP="007D0518">
      <w:pPr>
        <w:pStyle w:val="FootnoteText"/>
      </w:pPr>
      <w:r>
        <w:rPr>
          <w:rStyle w:val="FootnoteReference"/>
        </w:rPr>
        <w:footnoteRef/>
      </w:r>
      <w:r>
        <w:t xml:space="preserve"> </w:t>
      </w:r>
      <w:r>
        <w:tab/>
        <w:t xml:space="preserve">AER, </w:t>
      </w:r>
      <w:r w:rsidRPr="00F775B5">
        <w:rPr>
          <w:rStyle w:val="AERtextitalic"/>
        </w:rPr>
        <w:t>Better Regulation: Explanatory statement—Rate of return guideline</w:t>
      </w:r>
      <w:r>
        <w:t xml:space="preserve">, December 2013, pp. 23–24;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xml:space="preserve">, April 2015, p. 197pp. 320–322 ; CEG, </w:t>
      </w:r>
      <w:r w:rsidRPr="00E31FE5">
        <w:rPr>
          <w:rStyle w:val="AERtextitalic"/>
        </w:rPr>
        <w:t>Criteria for assessing fair value curves</w:t>
      </w:r>
      <w:r>
        <w:t>, January 2016, p. 17.</w:t>
      </w:r>
    </w:p>
  </w:footnote>
  <w:footnote w:id="1294">
    <w:p w:rsidR="006345FD" w:rsidRDefault="006345FD" w:rsidP="007D0518">
      <w:pPr>
        <w:pStyle w:val="FootnoteText"/>
      </w:pPr>
      <w:r>
        <w:rPr>
          <w:rStyle w:val="FootnoteReference"/>
        </w:rPr>
        <w:footnoteRef/>
      </w:r>
      <w:r>
        <w:t xml:space="preserve"> </w:t>
      </w:r>
      <w:r>
        <w:tab/>
        <w:t xml:space="preserve">Australian Competition Tribunal, </w:t>
      </w:r>
      <w:r w:rsidRPr="00582F11">
        <w:rPr>
          <w:rStyle w:val="AERtextitalic"/>
        </w:rPr>
        <w:t>Applications by Public Interest Advocacy Centre Ltd and Ausgrid  [2016] ACompT 1</w:t>
      </w:r>
      <w:r>
        <w:t>, February 2016, para. 983.</w:t>
      </w:r>
    </w:p>
  </w:footnote>
  <w:footnote w:id="1295">
    <w:p w:rsidR="006345FD" w:rsidRDefault="006345FD" w:rsidP="007D0518">
      <w:pPr>
        <w:pStyle w:val="FootnoteText"/>
      </w:pPr>
      <w:r>
        <w:rPr>
          <w:rStyle w:val="FootnoteReference"/>
        </w:rPr>
        <w:footnoteRef/>
      </w:r>
      <w:r>
        <w:t xml:space="preserve">  </w:t>
      </w:r>
      <w:r>
        <w:tab/>
        <w:t xml:space="preserve">See for example: AER, </w:t>
      </w:r>
      <w:r w:rsidRPr="00E31FE5">
        <w:rPr>
          <w:rStyle w:val="AERtextitalic"/>
        </w:rPr>
        <w:t>Preliminary decision—AusNet Services</w:t>
      </w:r>
      <w:r>
        <w:t xml:space="preserve">, October 2015, p. 224. </w:t>
      </w:r>
    </w:p>
  </w:footnote>
  <w:footnote w:id="1296">
    <w:p w:rsidR="006345FD" w:rsidRDefault="006345FD" w:rsidP="007D0518">
      <w:pPr>
        <w:pStyle w:val="FootnoteText"/>
      </w:pPr>
      <w:r>
        <w:rPr>
          <w:rStyle w:val="FootnoteReference"/>
        </w:rPr>
        <w:footnoteRef/>
      </w:r>
      <w:r>
        <w:t xml:space="preserve"> </w:t>
      </w:r>
      <w:r>
        <w:tab/>
      </w:r>
      <w:r w:rsidRPr="0073565F">
        <w:t xml:space="preserve">Lally, </w:t>
      </w:r>
      <w:r w:rsidRPr="00E31FE5">
        <w:rPr>
          <w:rStyle w:val="AERtextitalic"/>
        </w:rPr>
        <w:t>Implementation issues for the cost of debt</w:t>
      </w:r>
      <w:r w:rsidRPr="0073565F">
        <w:t>, 20 November 2014, p. 5.</w:t>
      </w:r>
    </w:p>
  </w:footnote>
  <w:footnote w:id="1297">
    <w:p w:rsidR="006345FD" w:rsidRDefault="006345FD" w:rsidP="007D0518">
      <w:pPr>
        <w:pStyle w:val="FootnoteText"/>
      </w:pPr>
      <w:r>
        <w:rPr>
          <w:rStyle w:val="FootnoteReference"/>
        </w:rPr>
        <w:footnoteRef/>
      </w:r>
      <w:r>
        <w:t xml:space="preserve"> </w:t>
      </w:r>
      <w:r>
        <w:tab/>
        <w:t xml:space="preserve">CEG, </w:t>
      </w:r>
      <w:r w:rsidRPr="00E31FE5">
        <w:rPr>
          <w:rStyle w:val="AERtextitalic"/>
        </w:rPr>
        <w:t>Criteria for assessing fair value curves</w:t>
      </w:r>
      <w:r>
        <w:t>, January 2016, pp. 59–61.</w:t>
      </w:r>
    </w:p>
  </w:footnote>
  <w:footnote w:id="1298">
    <w:p w:rsidR="006345FD" w:rsidRDefault="006345FD" w:rsidP="007D0518">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 60.</w:t>
      </w:r>
    </w:p>
  </w:footnote>
  <w:footnote w:id="1299">
    <w:p w:rsidR="006345FD" w:rsidRDefault="006345FD" w:rsidP="007D0518">
      <w:pPr>
        <w:pStyle w:val="FootnoteText"/>
      </w:pPr>
      <w:r>
        <w:rPr>
          <w:rStyle w:val="FootnoteReference"/>
        </w:rPr>
        <w:footnoteRef/>
      </w:r>
      <w:r>
        <w:t xml:space="preserve"> </w:t>
      </w:r>
      <w:r>
        <w:tab/>
        <w:t xml:space="preserve">CEG, </w:t>
      </w:r>
      <w:r w:rsidRPr="00F775B5">
        <w:rPr>
          <w:rStyle w:val="AERtextitalic"/>
        </w:rPr>
        <w:t>Criteria for assessing fair value curves</w:t>
      </w:r>
      <w:r>
        <w:t>, January 2016, pp. 61.</w:t>
      </w:r>
    </w:p>
  </w:footnote>
  <w:footnote w:id="1300">
    <w:p w:rsidR="006345FD" w:rsidRDefault="006345FD" w:rsidP="007D0518">
      <w:pPr>
        <w:pStyle w:val="FootnoteText"/>
      </w:pPr>
      <w:r>
        <w:rPr>
          <w:rStyle w:val="FootnoteReference"/>
        </w:rPr>
        <w:footnoteRef/>
      </w:r>
      <w:r>
        <w:t xml:space="preserve"> </w:t>
      </w:r>
      <w:r>
        <w:tab/>
        <w:t xml:space="preserve">We discuss this in section </w:t>
      </w:r>
      <w:r>
        <w:fldChar w:fldCharType="begin"/>
      </w:r>
      <w:r>
        <w:instrText xml:space="preserve"> REF _Ref451334128 \r \h </w:instrText>
      </w:r>
      <w:r>
        <w:fldChar w:fldCharType="separate"/>
      </w:r>
      <w:r>
        <w:t>0</w:t>
      </w:r>
      <w:r>
        <w:fldChar w:fldCharType="end"/>
      </w:r>
      <w:r>
        <w:t xml:space="preserve"> and in previous decisions. For example, </w:t>
      </w:r>
      <w:r w:rsidRPr="00C50D37">
        <w:t>AER</w:t>
      </w:r>
      <w:r>
        <w:t xml:space="preserve">, </w:t>
      </w:r>
      <w:r w:rsidRPr="00C50D37">
        <w:t xml:space="preserve"> </w:t>
      </w:r>
      <w:r>
        <w:rPr>
          <w:rStyle w:val="AERtextitalic"/>
        </w:rPr>
        <w:t>Preliminary decision— Ausgrid</w:t>
      </w:r>
      <w:r w:rsidRPr="00B96D23">
        <w:rPr>
          <w:rStyle w:val="AERtextitalic"/>
        </w:rPr>
        <w:t xml:space="preserve"> </w:t>
      </w:r>
      <w:r>
        <w:rPr>
          <w:rStyle w:val="AERtextitalic"/>
        </w:rPr>
        <w:t>—</w:t>
      </w:r>
      <w:r w:rsidRPr="00B96D23">
        <w:rPr>
          <w:rStyle w:val="AERtextitalic"/>
        </w:rPr>
        <w:t>Attachment 3</w:t>
      </w:r>
      <w:r>
        <w:rPr>
          <w:rStyle w:val="AERtextitalic"/>
        </w:rPr>
        <w:t>—</w:t>
      </w:r>
      <w:r w:rsidRPr="00B96D23">
        <w:rPr>
          <w:rStyle w:val="AERtextitalic"/>
        </w:rPr>
        <w:t>Rate of return</w:t>
      </w:r>
      <w:r>
        <w:t>, April 2015, pp. 230</w:t>
      </w:r>
      <w:r>
        <w:softHyphen/>
        <w:t>–236.</w:t>
      </w:r>
    </w:p>
  </w:footnote>
  <w:footnote w:id="1301">
    <w:p w:rsidR="006345FD" w:rsidRDefault="006345FD" w:rsidP="007D0518">
      <w:pPr>
        <w:pStyle w:val="FootnoteText"/>
      </w:pPr>
      <w:r>
        <w:rPr>
          <w:rStyle w:val="FootnoteReference"/>
        </w:rPr>
        <w:footnoteRef/>
      </w:r>
      <w:r>
        <w:t xml:space="preserve"> </w:t>
      </w:r>
      <w:r>
        <w:tab/>
        <w:t xml:space="preserve">For example: CEG, </w:t>
      </w:r>
      <w:r w:rsidRPr="00142A80">
        <w:rPr>
          <w:rStyle w:val="AERtextitalic"/>
        </w:rPr>
        <w:t>Critique of the AER's JGN draft decision on the cost of debt</w:t>
      </w:r>
      <w:r>
        <w:t xml:space="preserve">, April 2015, p. 64.  </w:t>
      </w:r>
    </w:p>
  </w:footnote>
  <w:footnote w:id="1302">
    <w:p w:rsidR="006345FD" w:rsidRDefault="006345FD" w:rsidP="007C2935">
      <w:pPr>
        <w:pStyle w:val="FootnoteText"/>
      </w:pPr>
      <w:r>
        <w:rPr>
          <w:rStyle w:val="FootnoteReference"/>
        </w:rPr>
        <w:footnoteRef/>
      </w:r>
      <w:r>
        <w:t xml:space="preserve"> </w:t>
      </w:r>
      <w:r>
        <w:tab/>
        <w:t xml:space="preserve">CCP3, </w:t>
      </w:r>
      <w:r w:rsidRPr="00406182">
        <w:rPr>
          <w:rStyle w:val="AERtextitalic"/>
        </w:rPr>
        <w:t>Response to proposals from Victorian electricity distribution network service providers for a revenue reset for the 2016–2020 regulatory period</w:t>
      </w:r>
      <w:r>
        <w:rPr>
          <w:rStyle w:val="AERtextitalic"/>
        </w:rPr>
        <w:t>: Attachment 1</w:t>
      </w:r>
      <w:r>
        <w:t>, August 2015, p. 86.</w:t>
      </w:r>
    </w:p>
  </w:footnote>
  <w:footnote w:id="1303">
    <w:p w:rsidR="006345FD" w:rsidRDefault="006345FD" w:rsidP="007C2935">
      <w:pPr>
        <w:pStyle w:val="FootnoteText"/>
      </w:pPr>
      <w:r>
        <w:rPr>
          <w:rStyle w:val="FootnoteReference"/>
        </w:rPr>
        <w:footnoteRef/>
      </w:r>
      <w:r>
        <w:t xml:space="preserve"> </w:t>
      </w:r>
      <w:r>
        <w:tab/>
        <w:t xml:space="preserve">All these service providers nominated an averaging period for their first regulatory year (except for United Energy, who nominated averaging periods for its first and second regulatory years). They proposed an annual process to nominate averaging periods for the subsequent regulatory years. See: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04">
    <w:p w:rsidR="006345FD" w:rsidRDefault="006345FD" w:rsidP="007C29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05">
    <w:p w:rsidR="006345FD" w:rsidRDefault="006345FD" w:rsidP="007C2935">
      <w:pPr>
        <w:pStyle w:val="FootnoteText"/>
      </w:pPr>
      <w:r>
        <w:rPr>
          <w:rStyle w:val="FootnoteReference"/>
        </w:rPr>
        <w:footnoteRef/>
      </w:r>
      <w:r>
        <w:t xml:space="preserve"> </w:t>
      </w:r>
      <w:r>
        <w:tab/>
        <w:t xml:space="preserve">CitiPower, </w:t>
      </w:r>
      <w:r w:rsidRPr="004D1E24">
        <w:rPr>
          <w:rStyle w:val="AERtextitalic"/>
        </w:rPr>
        <w:t>R</w:t>
      </w:r>
      <w:r>
        <w:rPr>
          <w:rStyle w:val="AERtextitalic"/>
        </w:rPr>
        <w:t>evised r</w:t>
      </w:r>
      <w:r w:rsidRPr="004D1E24">
        <w:rPr>
          <w:rStyle w:val="AERtextitalic"/>
        </w:rPr>
        <w:t>egulatory proposal</w:t>
      </w:r>
      <w:r>
        <w:t xml:space="preserve">, 6 January 2016, p. 349; Powercor, </w:t>
      </w:r>
      <w:r w:rsidRPr="004D1E24">
        <w:rPr>
          <w:rStyle w:val="AERtextitalic"/>
        </w:rPr>
        <w:t>R</w:t>
      </w:r>
      <w:r>
        <w:rPr>
          <w:rStyle w:val="AERtextitalic"/>
        </w:rPr>
        <w:t>evised r</w:t>
      </w:r>
      <w:r w:rsidRPr="004D1E24">
        <w:rPr>
          <w:rStyle w:val="AERtextitalic"/>
        </w:rPr>
        <w:t>egulatory proposal</w:t>
      </w:r>
      <w:r>
        <w:t xml:space="preserve">, 6 January 2016, p. 343; United Energy, </w:t>
      </w:r>
      <w:r w:rsidRPr="004D1E24">
        <w:rPr>
          <w:rStyle w:val="AERtextitalic"/>
        </w:rPr>
        <w:t>R</w:t>
      </w:r>
      <w:r>
        <w:rPr>
          <w:rStyle w:val="AERtextitalic"/>
        </w:rPr>
        <w:t>evised r</w:t>
      </w:r>
      <w:r w:rsidRPr="004D1E24">
        <w:rPr>
          <w:rStyle w:val="AERtextitalic"/>
        </w:rPr>
        <w:t>egulatory proposal</w:t>
      </w:r>
      <w:r>
        <w:t>, 6 January 2016, p. 75</w:t>
      </w:r>
      <w:r>
        <w:rPr>
          <w:rStyle w:val="AERtextitalic"/>
        </w:rPr>
        <w:t>.</w:t>
      </w:r>
    </w:p>
  </w:footnote>
  <w:footnote w:id="1306">
    <w:p w:rsidR="006345FD" w:rsidRDefault="006345FD" w:rsidP="007C2935">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07">
    <w:p w:rsidR="006345FD" w:rsidRDefault="006345FD" w:rsidP="007C2935">
      <w:pPr>
        <w:pStyle w:val="FootnoteText"/>
      </w:pPr>
      <w:r>
        <w:rPr>
          <w:rStyle w:val="FootnoteReference"/>
        </w:rPr>
        <w:footnoteRef/>
      </w:r>
      <w:r>
        <w:t xml:space="preserve"> </w:t>
      </w:r>
      <w:r>
        <w:tab/>
        <w:t xml:space="preserve">The service providers also considered this approach </w:t>
      </w:r>
      <w:r w:rsidRPr="009446C8">
        <w:t xml:space="preserve">reduces the risk of the </w:t>
      </w:r>
      <w:r>
        <w:t xml:space="preserve">confidential </w:t>
      </w:r>
      <w:r w:rsidRPr="009446C8">
        <w:t>averaging periods becoming known to third parties</w:t>
      </w:r>
      <w:r>
        <w:t xml:space="preserve">. We are satisfied that our approach to handling confidential material minimises the risk of confidential averaging periods becoming known to third parties. 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1 July 2015, pp. 15–17.</w:t>
      </w:r>
    </w:p>
  </w:footnote>
  <w:footnote w:id="1308">
    <w:p w:rsidR="006345FD" w:rsidRDefault="006345FD" w:rsidP="007C2935">
      <w:pPr>
        <w:pStyle w:val="FootnoteText"/>
      </w:pPr>
      <w:r>
        <w:rPr>
          <w:rStyle w:val="FootnoteReference"/>
        </w:rPr>
        <w:footnoteRef/>
      </w:r>
      <w:r>
        <w:t xml:space="preserve"> </w:t>
      </w:r>
      <w:r>
        <w:tab/>
        <w:t>NER, cl. 6.5.2(k</w:t>
      </w:r>
      <w:r w:rsidRPr="005F1830">
        <w:t>)</w:t>
      </w:r>
      <w:r>
        <w:t>(1) and 6A.6.2(k)(1); NGR, r. 87(11)(1)</w:t>
      </w:r>
      <w:r w:rsidRPr="005F1830">
        <w:t>.</w:t>
      </w:r>
    </w:p>
  </w:footnote>
  <w:footnote w:id="1309">
    <w:p w:rsidR="006345FD" w:rsidRDefault="006345FD" w:rsidP="007C2935">
      <w:pPr>
        <w:pStyle w:val="FootnoteText"/>
      </w:pPr>
      <w:r>
        <w:rPr>
          <w:rStyle w:val="FootnoteReference"/>
        </w:rPr>
        <w:footnoteRef/>
      </w:r>
      <w:r>
        <w:t xml:space="preserve"> </w:t>
      </w:r>
      <w:r>
        <w:tab/>
        <w:t>NER, cl.</w:t>
      </w:r>
      <w:r w:rsidRPr="005F1830">
        <w:t xml:space="preserve"> 6.5.2(l)</w:t>
      </w:r>
      <w:r>
        <w:t xml:space="preserve"> and 6A.6.2(l); NGR, r. 87(12)</w:t>
      </w:r>
      <w:r w:rsidRPr="005F1830">
        <w:t>.</w:t>
      </w:r>
    </w:p>
  </w:footnote>
  <w:footnote w:id="1310">
    <w:p w:rsidR="006345FD" w:rsidRDefault="006345FD" w:rsidP="007C29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11">
    <w:p w:rsidR="006345FD" w:rsidRDefault="006345FD" w:rsidP="007C2935">
      <w:pPr>
        <w:pStyle w:val="FootnoteText"/>
      </w:pPr>
      <w:r>
        <w:rPr>
          <w:rStyle w:val="FootnoteReference"/>
        </w:rPr>
        <w:footnoteRef/>
      </w:r>
      <w:r>
        <w:t xml:space="preserve"> </w:t>
      </w:r>
      <w:r>
        <w:tab/>
        <w:t>NER, cl. 6.5.2(h</w:t>
      </w:r>
      <w:r w:rsidRPr="005F1830">
        <w:t>)</w:t>
      </w:r>
      <w:r>
        <w:t xml:space="preserve"> and 6A.6.2(h); NGR, r. 87(8)</w:t>
      </w:r>
      <w:r w:rsidRPr="005F1830">
        <w:t>.</w:t>
      </w:r>
    </w:p>
  </w:footnote>
  <w:footnote w:id="1312">
    <w:p w:rsidR="006345FD" w:rsidRDefault="006345FD" w:rsidP="007C2935">
      <w:pPr>
        <w:pStyle w:val="FootnoteText"/>
      </w:pPr>
      <w:r>
        <w:rPr>
          <w:rStyle w:val="FootnoteReference"/>
        </w:rPr>
        <w:footnoteRef/>
      </w:r>
      <w:r>
        <w:t xml:space="preserve"> </w:t>
      </w:r>
      <w:r>
        <w:tab/>
        <w:t>Lally observed that if</w:t>
      </w:r>
      <w:r w:rsidRPr="00B60748">
        <w:t xml:space="preserve"> a regulated business can select an averaging period by looking at historical yields, it </w:t>
      </w:r>
      <w:r>
        <w:t>may introduce an upward bias. Lally</w:t>
      </w:r>
      <w:r w:rsidRPr="00B60748">
        <w:t xml:space="preserve">, </w:t>
      </w:r>
      <w:r w:rsidRPr="0033179F">
        <w:rPr>
          <w:rStyle w:val="AERtextitalic"/>
        </w:rPr>
        <w:t>Expert Report of Martin Thomas Lally</w:t>
      </w:r>
      <w:r>
        <w:t>, 13 February 2011, pp. 9</w:t>
      </w:r>
      <w:r>
        <w:rPr>
          <w:rFonts w:cs="Gautami"/>
        </w:rPr>
        <w:t>–</w:t>
      </w:r>
      <w:r w:rsidRPr="00B60748">
        <w:t>10.</w:t>
      </w:r>
    </w:p>
  </w:footnote>
  <w:footnote w:id="1313">
    <w:p w:rsidR="006345FD" w:rsidRDefault="006345FD" w:rsidP="007C2935">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7B70AB">
        <w:rPr>
          <w:rStyle w:val="AERtextitalic"/>
        </w:rPr>
        <w:t>ActewAGL Distribution v The Australian Energy Regulator [2011] FCA 639</w:t>
      </w:r>
      <w:r>
        <w:t>, 8 June 2011, para 39.</w:t>
      </w:r>
    </w:p>
  </w:footnote>
  <w:footnote w:id="1314">
    <w:p w:rsidR="006345FD" w:rsidRDefault="006345FD" w:rsidP="007C2935">
      <w:pPr>
        <w:pStyle w:val="FootnoteText"/>
      </w:pPr>
      <w:r>
        <w:rPr>
          <w:rStyle w:val="FootnoteReference"/>
        </w:rPr>
        <w:footnoteRef/>
      </w:r>
      <w:r>
        <w:t xml:space="preserve"> </w:t>
      </w:r>
      <w:r>
        <w:tab/>
        <w:t xml:space="preserve">Similar considerations apply when setting averaging periods in advance for estimating both the return on debt and the risk free rate to inform the return on equity.  See AER, </w:t>
      </w:r>
      <w:r w:rsidRPr="00A92047">
        <w:rPr>
          <w:rStyle w:val="AERtextitalic"/>
        </w:rPr>
        <w:t>Explanatory statement to the rate of return guideline</w:t>
      </w:r>
      <w:r>
        <w:t>, December 2013, pp. 79</w:t>
      </w:r>
      <w:r>
        <w:rPr>
          <w:rFonts w:cs="Arial"/>
        </w:rPr>
        <w:t>–</w:t>
      </w:r>
      <w:r>
        <w:t xml:space="preserve">80; </w:t>
      </w:r>
      <w:r w:rsidRPr="00586A00">
        <w:t xml:space="preserve">Lally, M., </w:t>
      </w:r>
      <w:r w:rsidRPr="00586A00">
        <w:rPr>
          <w:rStyle w:val="AERtextitalic"/>
        </w:rPr>
        <w:t>Expert Report of Martin Thomas Lally</w:t>
      </w:r>
      <w:r w:rsidRPr="00586A00">
        <w:t>, 13 February 2011, pp. 9-10</w:t>
      </w:r>
      <w:r>
        <w:t xml:space="preserve">. See the Federal Court of Australia's observations of the views expressed by Houston and Lally in Federal Court of Australia, </w:t>
      </w:r>
      <w:r w:rsidRPr="007826AB">
        <w:rPr>
          <w:rStyle w:val="AERtextitalic"/>
        </w:rPr>
        <w:t>ActewAGL Distribution v The Australian Energy Regulator [2011] FCA 639</w:t>
      </w:r>
      <w:r>
        <w:t xml:space="preserve">, 8 June 2011, para 145. </w:t>
      </w:r>
    </w:p>
  </w:footnote>
  <w:footnote w:id="1315">
    <w:p w:rsidR="006345FD" w:rsidRDefault="006345FD" w:rsidP="007C2935">
      <w:pPr>
        <w:pStyle w:val="FootnoteText"/>
      </w:pPr>
      <w:r>
        <w:rPr>
          <w:rStyle w:val="FootnoteReference"/>
        </w:rPr>
        <w:footnoteRef/>
      </w:r>
      <w:r>
        <w:t xml:space="preserve"> </w:t>
      </w:r>
      <w:r>
        <w:tab/>
        <w:t xml:space="preserve">Ausgrid, </w:t>
      </w:r>
      <w:r w:rsidRPr="00DE4ADB">
        <w:rPr>
          <w:rStyle w:val="AERtextitalic"/>
        </w:rPr>
        <w:t>Revised regulatory proposal and preliminary submission</w:t>
      </w:r>
      <w:r>
        <w:t>, January 2015, pp. 175, 189;</w:t>
      </w:r>
      <w:r w:rsidRPr="00A13612">
        <w:t xml:space="preserve"> </w:t>
      </w:r>
      <w:r>
        <w:t xml:space="preserve">Endeavour Energy, </w:t>
      </w:r>
      <w:r w:rsidRPr="007D1684">
        <w:rPr>
          <w:rStyle w:val="AERtextitalic"/>
        </w:rPr>
        <w:t>Revised regulatory proposal</w:t>
      </w:r>
      <w:r>
        <w:t>, January 2015, pp. 205, 214;</w:t>
      </w:r>
      <w:r w:rsidRPr="00A13612">
        <w:t xml:space="preserve"> </w:t>
      </w:r>
      <w:r>
        <w:t xml:space="preserve">Essential Energy, </w:t>
      </w:r>
      <w:r w:rsidRPr="007D1684">
        <w:rPr>
          <w:rStyle w:val="AERtextitalic"/>
        </w:rPr>
        <w:t>Revised regulatory proposal</w:t>
      </w:r>
      <w:r>
        <w:t>, January 2015, pp. 215, 232.</w:t>
      </w:r>
    </w:p>
  </w:footnote>
  <w:footnote w:id="1316">
    <w:p w:rsidR="006345FD" w:rsidRDefault="006345FD" w:rsidP="007C2935">
      <w:pPr>
        <w:pStyle w:val="FootnoteText"/>
      </w:pPr>
      <w:r>
        <w:rPr>
          <w:rStyle w:val="FootnoteReference"/>
        </w:rPr>
        <w:footnoteRef/>
      </w:r>
      <w:r>
        <w:t xml:space="preserve"> </w:t>
      </w:r>
      <w:r>
        <w:tab/>
      </w:r>
      <w:r w:rsidRPr="00352395">
        <w:t xml:space="preserve">Australian Competition Tribunal, </w:t>
      </w:r>
      <w:r w:rsidRPr="00DE4ADB">
        <w:rPr>
          <w:rStyle w:val="AERtextitalic"/>
        </w:rPr>
        <w:t>Application by Energy</w:t>
      </w:r>
      <w:r>
        <w:rPr>
          <w:rStyle w:val="AERtextitalic"/>
        </w:rPr>
        <w:t xml:space="preserve"> </w:t>
      </w:r>
      <w:r w:rsidRPr="00DE4ADB">
        <w:rPr>
          <w:rStyle w:val="AERtextitalic"/>
        </w:rPr>
        <w:t>Australia and Others [2009] ACompT 8</w:t>
      </w:r>
      <w:r w:rsidRPr="00352395">
        <w:t>, 12 November 2009</w:t>
      </w:r>
      <w:r>
        <w:t xml:space="preserve">; Federal Court of Australia, </w:t>
      </w:r>
      <w:r w:rsidRPr="00DE4ADB">
        <w:rPr>
          <w:rStyle w:val="AERtextitalic"/>
        </w:rPr>
        <w:t>ActewAGL Distribution v The Australian Energy Regulator [2011] FCA 639</w:t>
      </w:r>
      <w:r>
        <w:t>, 8 June 2011.</w:t>
      </w:r>
    </w:p>
  </w:footnote>
  <w:footnote w:id="1317">
    <w:p w:rsidR="006345FD" w:rsidRDefault="006345FD" w:rsidP="007C2935">
      <w:pPr>
        <w:pStyle w:val="FootnoteText"/>
      </w:pPr>
      <w:r>
        <w:rPr>
          <w:rStyle w:val="FootnoteReference"/>
        </w:rPr>
        <w:footnoteRef/>
      </w:r>
      <w:r>
        <w:t xml:space="preserve"> </w:t>
      </w:r>
      <w:r>
        <w:tab/>
        <w:t xml:space="preserve">For example see, AER, </w:t>
      </w:r>
      <w:r w:rsidRPr="00DE4ADB">
        <w:rPr>
          <w:rStyle w:val="AERtextitalic"/>
        </w:rPr>
        <w:t>distribution determination, Aurora 2012–13 to 2016–17</w:t>
      </w:r>
      <w:r>
        <w:t>, pp. 192</w:t>
      </w:r>
      <w:r>
        <w:rPr>
          <w:rFonts w:cs="Arial"/>
        </w:rPr>
        <w:t>–</w:t>
      </w:r>
      <w:r>
        <w:t xml:space="preserve">209; AER, </w:t>
      </w:r>
      <w:r w:rsidRPr="00DE4ADB">
        <w:rPr>
          <w:rStyle w:val="AERtextitalic"/>
        </w:rPr>
        <w:t>SP AusNet final decision part 2: Attachments</w:t>
      </w:r>
      <w:r>
        <w:t xml:space="preserve">, March 2013, p. 75; AER, </w:t>
      </w:r>
      <w:r w:rsidRPr="00DE4ADB">
        <w:rPr>
          <w:rStyle w:val="AERtextitalic"/>
        </w:rPr>
        <w:t>SP AusNet final decision part 2: Attachments</w:t>
      </w:r>
      <w:r>
        <w:t xml:space="preserve">, March 2013, p. 114; AER, </w:t>
      </w:r>
      <w:r w:rsidRPr="00DE4ADB">
        <w:rPr>
          <w:rStyle w:val="AERtextitalic"/>
        </w:rPr>
        <w:t>Multinet final decision part 2: Attachments</w:t>
      </w:r>
      <w:r>
        <w:t>, March 2013, p. 97.</w:t>
      </w:r>
    </w:p>
  </w:footnote>
  <w:footnote w:id="1318">
    <w:p w:rsidR="006345FD" w:rsidRDefault="006345FD" w:rsidP="007C2935">
      <w:pPr>
        <w:pStyle w:val="FootnoteText"/>
      </w:pPr>
      <w:r>
        <w:rPr>
          <w:rStyle w:val="FootnoteReference"/>
        </w:rPr>
        <w:footnoteRef/>
      </w:r>
      <w:r>
        <w:t xml:space="preserve"> </w:t>
      </w:r>
      <w:r>
        <w:tab/>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 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 46.</w:t>
      </w:r>
    </w:p>
  </w:footnote>
  <w:footnote w:id="1319">
    <w:p w:rsidR="006345FD" w:rsidRDefault="006345FD" w:rsidP="007C2935">
      <w:pPr>
        <w:pStyle w:val="FootnoteText"/>
      </w:pPr>
      <w:r>
        <w:rPr>
          <w:rStyle w:val="FootnoteReference"/>
        </w:rPr>
        <w:footnoteRef/>
      </w:r>
      <w:r>
        <w:t xml:space="preserve"> </w:t>
      </w:r>
      <w:r>
        <w:tab/>
        <w:t xml:space="preserve">AER, </w:t>
      </w:r>
      <w:r w:rsidRPr="0033179F">
        <w:rPr>
          <w:rStyle w:val="AERtextitalic"/>
        </w:rPr>
        <w:t>Explanatory statement to the rate of return guideline</w:t>
      </w:r>
      <w:r>
        <w:t>, 17 December 2013, p. 112.</w:t>
      </w:r>
    </w:p>
  </w:footnote>
  <w:footnote w:id="1320">
    <w:p w:rsidR="006345FD" w:rsidRDefault="006345FD" w:rsidP="007C2935">
      <w:pPr>
        <w:pStyle w:val="FootnoteText"/>
      </w:pPr>
      <w:r>
        <w:rPr>
          <w:rStyle w:val="FootnoteReference"/>
        </w:rPr>
        <w:footnoteRef/>
      </w:r>
      <w:r>
        <w:t xml:space="preserve"> </w:t>
      </w:r>
      <w:r>
        <w:tab/>
      </w:r>
      <w:r w:rsidRPr="00F201AD">
        <w:t xml:space="preserve">JEN, </w:t>
      </w:r>
      <w:r w:rsidRPr="00284B88">
        <w:rPr>
          <w:rStyle w:val="AERtextitalic"/>
        </w:rPr>
        <w:t>Regulatory proposal—Attachment 9-2: Rate of return proposal</w:t>
      </w:r>
      <w:r w:rsidRPr="00F201AD">
        <w:t>, 30 April 2015</w:t>
      </w:r>
      <w:r>
        <w:t xml:space="preserve">, pp. 101–102; </w:t>
      </w:r>
      <w:r w:rsidRPr="00F201AD">
        <w:t xml:space="preserve">ActewAGL, </w:t>
      </w:r>
      <w:r w:rsidRPr="00284B88">
        <w:rPr>
          <w:rStyle w:val="AERtextitalic"/>
        </w:rPr>
        <w:t>Access arrangement proposal—Appendix 8.01: Detailed return on debt proposal</w:t>
      </w:r>
      <w:r w:rsidRPr="00F201AD">
        <w:t>, 1 July 2015, pp. 15–17</w:t>
      </w:r>
      <w:r>
        <w:t xml:space="preserv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21">
    <w:p w:rsidR="006345FD" w:rsidRDefault="006345FD" w:rsidP="007C2935">
      <w:pPr>
        <w:pStyle w:val="FootnoteText"/>
      </w:pPr>
      <w:r>
        <w:rPr>
          <w:rStyle w:val="FootnoteReference"/>
        </w:rPr>
        <w:footnoteRef/>
      </w:r>
      <w:r>
        <w:t xml:space="preserve"> </w:t>
      </w:r>
      <w:r>
        <w:tab/>
        <w:t xml:space="preserve">See Chairmont, </w:t>
      </w:r>
      <w:r w:rsidRPr="0037727B">
        <w:rPr>
          <w:rStyle w:val="AERtextitalic"/>
        </w:rPr>
        <w:t>Cost of debt: Transitional analysis</w:t>
      </w:r>
      <w:r>
        <w:t>, April 2015.</w:t>
      </w:r>
    </w:p>
  </w:footnote>
  <w:footnote w:id="1322">
    <w:p w:rsidR="006345FD" w:rsidRDefault="006345FD" w:rsidP="007C2935">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23">
    <w:p w:rsidR="006345FD" w:rsidRDefault="006345FD" w:rsidP="007C2935">
      <w:pPr>
        <w:pStyle w:val="FootnoteText"/>
      </w:pPr>
      <w:r>
        <w:rPr>
          <w:rStyle w:val="FootnoteReference"/>
        </w:rPr>
        <w:footnoteRef/>
      </w:r>
      <w:r>
        <w:t xml:space="preserve"> </w:t>
      </w:r>
      <w:r>
        <w:tab/>
        <w:t xml:space="preserve">That is, service providers could nominate a long averaging period, and issue debt sometime within that period. Or they could issue debt around the averaging period. </w:t>
      </w:r>
      <w:r w:rsidRPr="00BF61B5">
        <w:t xml:space="preserve"> </w:t>
      </w:r>
      <w:r>
        <w:t xml:space="preserve">We do not consider it is necessary for a benchmark efficient entity to issue or hedge all debt perfectly within the averaging period for it to receive significant risk reduction benefits. For example, in relation to the NSW service providers, we considered that during the global financing crisis, even if a benchmark efficient entity in their circumstances required 90 business days to hedge their debt, and the averaging periods was 15 or 40 businesses days, this would still be efficient and significantly reduce their interest rate risk relative to not hedging at all. This position is supported by expert advice we received from Chairmont and Lally. AER, </w:t>
      </w:r>
      <w:r w:rsidRPr="00484916">
        <w:rPr>
          <w:rStyle w:val="AERtextitalic"/>
        </w:rPr>
        <w:t>Final decision—TransGrid</w:t>
      </w:r>
      <w:r>
        <w:rPr>
          <w:rStyle w:val="AERtextitalic"/>
        </w:rPr>
        <w:t>–Transmission determination</w:t>
      </w:r>
      <w:r>
        <w:t xml:space="preserve">, April 2015, Attachment 3; Chairmont, </w:t>
      </w:r>
      <w:r w:rsidRPr="00821C3F">
        <w:rPr>
          <w:rStyle w:val="AERtextitalic"/>
        </w:rPr>
        <w:t>Cost of debt: Transitional analysis</w:t>
      </w:r>
      <w:r>
        <w:t xml:space="preserve">, April 2015; Lally, </w:t>
      </w:r>
      <w:r w:rsidRPr="00821C3F">
        <w:rPr>
          <w:rStyle w:val="AERtextitalic"/>
        </w:rPr>
        <w:t>Review of submissions on the cost of debt</w:t>
      </w:r>
      <w:r>
        <w:t>, April 2015.</w:t>
      </w:r>
    </w:p>
  </w:footnote>
  <w:footnote w:id="1324">
    <w:p w:rsidR="006345FD" w:rsidRDefault="006345FD" w:rsidP="007C2935">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pp. 41–42.</w:t>
      </w:r>
    </w:p>
  </w:footnote>
  <w:footnote w:id="1325">
    <w:p w:rsidR="006345FD" w:rsidRDefault="006345FD" w:rsidP="007C2935">
      <w:pPr>
        <w:pStyle w:val="FootnoteText"/>
      </w:pPr>
      <w:r>
        <w:rPr>
          <w:rStyle w:val="FootnoteReference"/>
        </w:rPr>
        <w:footnoteRef/>
      </w:r>
      <w:r>
        <w:t xml:space="preserve"> </w:t>
      </w:r>
      <w:r>
        <w:tab/>
        <w:t xml:space="preserve">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26">
    <w:p w:rsidR="006345FD" w:rsidRDefault="006345FD" w:rsidP="007C2935">
      <w:pPr>
        <w:pStyle w:val="FootnoteText"/>
      </w:pPr>
      <w:r>
        <w:rPr>
          <w:rStyle w:val="FootnoteReference"/>
        </w:rPr>
        <w:footnoteRef/>
      </w:r>
      <w:r>
        <w:t xml:space="preserve"> </w:t>
      </w:r>
      <w:r>
        <w:tab/>
        <w:t xml:space="preserve">AGN, </w:t>
      </w:r>
      <w:r w:rsidRPr="004D1E24">
        <w:rPr>
          <w:rStyle w:val="AERtextitalic"/>
        </w:rPr>
        <w:t>Access arrangement proposal—Attachment 10.1: Rate of return</w:t>
      </w:r>
      <w:r>
        <w:t xml:space="preserve">, 1 July 2015, pp. 56–57; </w:t>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pp. 41–42; CEG, </w:t>
      </w:r>
      <w:r w:rsidRPr="00E50BD0">
        <w:rPr>
          <w:rStyle w:val="AERtextitalic"/>
        </w:rPr>
        <w:t>The hybrid method for the transition to the trailing average rate of return on debt: Assessment and calculations for AGN</w:t>
      </w:r>
      <w:r>
        <w:t xml:space="preserve">, June 2015, pp. 83–84; CEG, </w:t>
      </w:r>
      <w:r>
        <w:rPr>
          <w:rStyle w:val="AERtextitalic"/>
        </w:rPr>
        <w:t>Curve testing and selecting averaging periods: A report for AGN</w:t>
      </w:r>
      <w:r>
        <w:t>, January 2016, pp. 11–14.</w:t>
      </w:r>
    </w:p>
  </w:footnote>
  <w:footnote w:id="1327">
    <w:p w:rsidR="006345FD" w:rsidRDefault="006345FD" w:rsidP="007C2935">
      <w:pPr>
        <w:pStyle w:val="FootnoteText"/>
      </w:pPr>
      <w:r>
        <w:rPr>
          <w:rStyle w:val="FootnoteReference"/>
        </w:rPr>
        <w:footnoteRef/>
      </w:r>
      <w:r>
        <w:t xml:space="preserve"> </w:t>
      </w:r>
      <w:r>
        <w:tab/>
        <w:t xml:space="preserve">See AER, </w:t>
      </w:r>
      <w:r w:rsidRPr="00284B88">
        <w:rPr>
          <w:rStyle w:val="AERtextitalic"/>
        </w:rPr>
        <w:t>Draft decision: Australian Gas Networks access arrangement 2016 to 2021: Attachment 3—Rate of return</w:t>
      </w:r>
      <w:r>
        <w:t xml:space="preserve">, November 2015, pp. 609–611. </w:t>
      </w:r>
    </w:p>
  </w:footnote>
  <w:footnote w:id="1328">
    <w:p w:rsidR="006345FD" w:rsidRDefault="006345FD" w:rsidP="007C2935">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29">
    <w:p w:rsidR="006345FD" w:rsidRDefault="006345FD" w:rsidP="007C2935">
      <w:pPr>
        <w:pStyle w:val="FootnoteText"/>
      </w:pPr>
      <w:r>
        <w:rPr>
          <w:rStyle w:val="FootnoteReference"/>
        </w:rPr>
        <w:footnoteRef/>
      </w:r>
      <w:r>
        <w:t xml:space="preserve"> </w:t>
      </w:r>
      <w:r>
        <w:tab/>
        <w:t xml:space="preserve">Partington, G., Satchell, S., </w:t>
      </w:r>
      <w:r w:rsidRPr="00D001FE">
        <w:rPr>
          <w:rStyle w:val="AERtextitalic"/>
        </w:rPr>
        <w:t>Report to the AER: Discussion of the allowed cost of</w:t>
      </w:r>
      <w:r>
        <w:t xml:space="preserve"> </w:t>
      </w:r>
      <w:r w:rsidRPr="00D001FE">
        <w:rPr>
          <w:rStyle w:val="AERtextitalic"/>
        </w:rPr>
        <w:t>debt</w:t>
      </w:r>
      <w:r>
        <w:t>, 5 May 2016, pp. 15–16, 22–23</w:t>
      </w:r>
    </w:p>
  </w:footnote>
  <w:footnote w:id="1330">
    <w:p w:rsidR="006345FD" w:rsidRDefault="006345FD" w:rsidP="007C2935">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42; CEG, </w:t>
      </w:r>
      <w:r>
        <w:rPr>
          <w:rStyle w:val="AERtextitalic"/>
        </w:rPr>
        <w:t>Curve testing and selecting averaging periods: A report for AGN</w:t>
      </w:r>
      <w:r>
        <w:t>, January 2016, pp. 12–14.</w:t>
      </w:r>
    </w:p>
  </w:footnote>
  <w:footnote w:id="1331">
    <w:p w:rsidR="006345FD" w:rsidRDefault="006345FD" w:rsidP="007C2935">
      <w:pPr>
        <w:pStyle w:val="FootnoteText"/>
      </w:pPr>
      <w:r>
        <w:rPr>
          <w:rStyle w:val="FootnoteReference"/>
        </w:rPr>
        <w:footnoteRef/>
      </w:r>
      <w:r>
        <w:t xml:space="preserve"> </w:t>
      </w:r>
      <w:r>
        <w:tab/>
        <w:t xml:space="preserve">AER, </w:t>
      </w:r>
      <w:r w:rsidRPr="0052137B">
        <w:rPr>
          <w:rStyle w:val="AERtextitalic"/>
        </w:rPr>
        <w:t>Rate of return guideline</w:t>
      </w:r>
      <w:r>
        <w:t>, December 2013, p. 21.</w:t>
      </w:r>
    </w:p>
  </w:footnote>
  <w:footnote w:id="1332">
    <w:p w:rsidR="006345FD" w:rsidRDefault="006345FD" w:rsidP="007C2935">
      <w:pPr>
        <w:pStyle w:val="FootnoteText"/>
      </w:pPr>
      <w:r>
        <w:rPr>
          <w:rStyle w:val="FootnoteReference"/>
        </w:rPr>
        <w:footnoteRef/>
      </w:r>
      <w:r>
        <w:t xml:space="preserve"> </w:t>
      </w:r>
      <w:r>
        <w:tab/>
      </w:r>
      <w:r w:rsidRPr="00E761F9">
        <w:t xml:space="preserve">AGN, </w:t>
      </w:r>
      <w:r w:rsidRPr="00E761F9">
        <w:rPr>
          <w:rStyle w:val="AERtextitalic"/>
        </w:rPr>
        <w:t>Revised access arrangement proposal—Attachment 10.2</w:t>
      </w:r>
      <w:r>
        <w:rPr>
          <w:rStyle w:val="AERtextitalic"/>
        </w:rPr>
        <w:t>6</w:t>
      </w:r>
      <w:r w:rsidRPr="00E761F9">
        <w:rPr>
          <w:rStyle w:val="AERtextitalic"/>
        </w:rPr>
        <w:t xml:space="preserve"> Response to </w:t>
      </w:r>
      <w:r>
        <w:rPr>
          <w:rStyle w:val="AERtextitalic"/>
        </w:rPr>
        <w:t>d</w:t>
      </w:r>
      <w:r w:rsidRPr="00E761F9">
        <w:rPr>
          <w:rStyle w:val="AERtextitalic"/>
        </w:rPr>
        <w:t xml:space="preserve">raft </w:t>
      </w:r>
      <w:r>
        <w:rPr>
          <w:rStyle w:val="AERtextitalic"/>
        </w:rPr>
        <w:t>d</w:t>
      </w:r>
      <w:r w:rsidRPr="00E761F9">
        <w:rPr>
          <w:rStyle w:val="AERtextitalic"/>
        </w:rPr>
        <w:t xml:space="preserve">ecision: </w:t>
      </w:r>
      <w:r>
        <w:rPr>
          <w:rStyle w:val="AERtextitalic"/>
        </w:rPr>
        <w:t>Rate of return</w:t>
      </w:r>
      <w:r w:rsidRPr="00E761F9">
        <w:t>, 6 January 2016</w:t>
      </w:r>
      <w:r>
        <w:t xml:space="preserve">, p. 41; CEG, </w:t>
      </w:r>
      <w:r>
        <w:rPr>
          <w:rStyle w:val="AERtextitalic"/>
        </w:rPr>
        <w:t>Curve testing and selecting averaging periods: A report for AGN</w:t>
      </w:r>
      <w:r>
        <w:t>, January 2016, pp. 13–14.</w:t>
      </w:r>
    </w:p>
  </w:footnote>
  <w:footnote w:id="1333">
    <w:p w:rsidR="006345FD" w:rsidRDefault="006345FD" w:rsidP="007C2935">
      <w:pPr>
        <w:pStyle w:val="FootnoteText"/>
      </w:pPr>
      <w:r>
        <w:rPr>
          <w:rStyle w:val="FootnoteReference"/>
        </w:rPr>
        <w:footnoteRef/>
      </w:r>
      <w:r>
        <w:t xml:space="preserve"> </w:t>
      </w:r>
      <w:r>
        <w:tab/>
        <w:t xml:space="preserve">AER, </w:t>
      </w:r>
      <w:r w:rsidRPr="00D5478D">
        <w:rPr>
          <w:rStyle w:val="AERtextitalic"/>
        </w:rPr>
        <w:t>Draft decision: Australian Gas Networks access arrangement 2016 to 2021: Attachment 3—Rate of return</w:t>
      </w:r>
      <w:r>
        <w:t xml:space="preserve">, November 2015, </w:t>
      </w:r>
      <w:r w:rsidRPr="00694B70">
        <w:t>section G.8.1</w:t>
      </w:r>
      <w:r>
        <w:t xml:space="preserve">. </w:t>
      </w:r>
    </w:p>
  </w:footnote>
  <w:footnote w:id="1334">
    <w:p w:rsidR="006345FD" w:rsidRDefault="006345FD" w:rsidP="007C2935">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335">
    <w:p w:rsidR="006345FD" w:rsidRDefault="006345FD" w:rsidP="007C2935">
      <w:pPr>
        <w:pStyle w:val="FootnoteText"/>
      </w:pPr>
      <w:r>
        <w:rPr>
          <w:rStyle w:val="FootnoteReference"/>
        </w:rPr>
        <w:footnoteRef/>
      </w:r>
      <w:r>
        <w:t xml:space="preserve"> </w:t>
      </w:r>
      <w:r>
        <w:tab/>
      </w:r>
      <w:r w:rsidRPr="00986B6E">
        <w:t xml:space="preserve">AusNet, </w:t>
      </w:r>
      <w:r w:rsidRPr="00986B6E">
        <w:rPr>
          <w:rStyle w:val="AERtextitalic"/>
        </w:rPr>
        <w:t>R</w:t>
      </w:r>
      <w:r>
        <w:rPr>
          <w:rStyle w:val="AERtextitalic"/>
        </w:rPr>
        <w:t>evised r</w:t>
      </w:r>
      <w:r w:rsidRPr="00986B6E">
        <w:rPr>
          <w:rStyle w:val="AERtextitalic"/>
        </w:rPr>
        <w:t>egulatory proposal</w:t>
      </w:r>
      <w:r w:rsidRPr="00986B6E">
        <w:t xml:space="preserve">, </w:t>
      </w:r>
      <w:r>
        <w:t>6 January 2016</w:t>
      </w:r>
      <w:r w:rsidRPr="00986B6E">
        <w:t xml:space="preserve">, p. </w:t>
      </w:r>
      <w:r>
        <w:t>177.</w:t>
      </w:r>
    </w:p>
  </w:footnote>
  <w:footnote w:id="1336">
    <w:p w:rsidR="006345FD" w:rsidRDefault="006345FD" w:rsidP="007C2935">
      <w:pPr>
        <w:pStyle w:val="FootnoteText"/>
      </w:pPr>
      <w:r>
        <w:rPr>
          <w:rStyle w:val="FootnoteReference"/>
        </w:rPr>
        <w:footnoteRef/>
      </w:r>
      <w:r>
        <w:t xml:space="preserve"> </w:t>
      </w:r>
      <w:r>
        <w:tab/>
        <w:t xml:space="preserve">United Energy, </w:t>
      </w:r>
      <w:r w:rsidRPr="004D1E24">
        <w:rPr>
          <w:rStyle w:val="AERtextitalic"/>
        </w:rPr>
        <w:t>Regulatory proposal—Rate of return on debt attachment</w:t>
      </w:r>
      <w:r>
        <w:t>, 30 April 2015, pp. 31–36; JEN</w:t>
      </w:r>
      <w:r w:rsidRPr="004D1E24">
        <w:rPr>
          <w:rStyle w:val="AERtextitalic"/>
        </w:rPr>
        <w:t>, Regulatory proposal—Attachment 9-2: Rate of return proposal</w:t>
      </w:r>
      <w:r>
        <w:t xml:space="preserve">, 30 April 2015, pp. 101–102; CitiPower, </w:t>
      </w:r>
      <w:r w:rsidRPr="004D1E24">
        <w:rPr>
          <w:rStyle w:val="AERtextitalic"/>
        </w:rPr>
        <w:t>Regulatory proposal</w:t>
      </w:r>
      <w:r>
        <w:t xml:space="preserve">, 30 April 2015, pp. 235–238; Powercor, </w:t>
      </w:r>
      <w:r w:rsidRPr="004D1E24">
        <w:rPr>
          <w:rStyle w:val="AERtextitalic"/>
        </w:rPr>
        <w:t>Regulatory proposal</w:t>
      </w:r>
      <w:r>
        <w:t xml:space="preserve">, 30 April 2015, pp. 243–246; ActewAGL, </w:t>
      </w:r>
      <w:r w:rsidRPr="004D1E24">
        <w:rPr>
          <w:rStyle w:val="AERtextitalic"/>
        </w:rPr>
        <w:t>Access arrangement proposal—Appendix 8.01: Detailed return on debt proposal</w:t>
      </w:r>
      <w:r>
        <w:t xml:space="preserve">, 1 July 2015, pp. 15–17. Also see </w:t>
      </w:r>
      <w:r w:rsidRPr="00986B6E">
        <w:t>JEN</w:t>
      </w:r>
      <w:r w:rsidRPr="00986B6E">
        <w:rPr>
          <w:rStyle w:val="AERtextitalic"/>
        </w:rPr>
        <w:t xml:space="preserve">, </w:t>
      </w:r>
      <w:r>
        <w:rPr>
          <w:rStyle w:val="AERtextitalic"/>
        </w:rPr>
        <w:t xml:space="preserve">Revised regulatory </w:t>
      </w:r>
      <w:r w:rsidRPr="00986B6E">
        <w:rPr>
          <w:rStyle w:val="AERtextitalic"/>
        </w:rPr>
        <w:t xml:space="preserve">proposal—Attachment </w:t>
      </w:r>
      <w:r>
        <w:rPr>
          <w:rStyle w:val="AERtextitalic"/>
        </w:rPr>
        <w:t>6</w:t>
      </w:r>
      <w:r w:rsidRPr="00986B6E">
        <w:rPr>
          <w:rStyle w:val="AERtextitalic"/>
        </w:rPr>
        <w:t>-</w:t>
      </w:r>
      <w:r>
        <w:rPr>
          <w:rStyle w:val="AERtextitalic"/>
        </w:rPr>
        <w:t>1</w:t>
      </w:r>
      <w:r w:rsidRPr="00986B6E">
        <w:rPr>
          <w:rStyle w:val="AERtextitalic"/>
        </w:rPr>
        <w:t xml:space="preserve">: </w:t>
      </w:r>
      <w:r>
        <w:rPr>
          <w:rStyle w:val="AERtextitalic"/>
        </w:rPr>
        <w:t>Rate of return, gamma, forecast inflation, and debt and equity raising costs</w:t>
      </w:r>
      <w:r w:rsidRPr="00986B6E">
        <w:t xml:space="preserve">, </w:t>
      </w:r>
      <w:r>
        <w:t xml:space="preserve">January 2016, pp. 36–37; </w:t>
      </w:r>
      <w:r w:rsidRPr="00986B6E">
        <w:t xml:space="preserve">ActewAGL, </w:t>
      </w:r>
      <w:r>
        <w:rPr>
          <w:rStyle w:val="AERtextitalic"/>
        </w:rPr>
        <w:t xml:space="preserve">Revised access arrangement proposal: </w:t>
      </w:r>
      <w:r w:rsidRPr="00986B6E">
        <w:rPr>
          <w:rStyle w:val="AERtextitalic"/>
        </w:rPr>
        <w:t xml:space="preserve">Appendix </w:t>
      </w:r>
      <w:r>
        <w:rPr>
          <w:rStyle w:val="AERtextitalic"/>
        </w:rPr>
        <w:t>5.01—Detailed response to rate of return, gamma and inflation</w:t>
      </w:r>
      <w:r w:rsidRPr="00986B6E">
        <w:t xml:space="preserve">, </w:t>
      </w:r>
      <w:r>
        <w:t>January 2016, pp. 46–47.</w:t>
      </w:r>
    </w:p>
  </w:footnote>
  <w:footnote w:id="1337">
    <w:p w:rsidR="006345FD" w:rsidRDefault="006345FD" w:rsidP="007C2935">
      <w:pPr>
        <w:pStyle w:val="FootnoteText"/>
      </w:pPr>
      <w:r>
        <w:rPr>
          <w:rStyle w:val="FootnoteReference"/>
        </w:rPr>
        <w:footnoteRef/>
      </w:r>
      <w:r>
        <w:t xml:space="preserve"> </w:t>
      </w:r>
      <w:r>
        <w:tab/>
        <w:t xml:space="preserve">See AER, </w:t>
      </w:r>
      <w:r w:rsidRPr="00284B88">
        <w:rPr>
          <w:rStyle w:val="AERtextitalic"/>
        </w:rPr>
        <w:t>Preliminary decision: AusNet Services determination 2016 to 2020—Attachment 3: Rate of return</w:t>
      </w:r>
      <w:r>
        <w:t>, October 2015, pp. 601–602.</w:t>
      </w:r>
    </w:p>
  </w:footnote>
  <w:footnote w:id="1338">
    <w:p w:rsidR="006345FD" w:rsidRDefault="006345FD" w:rsidP="007C2935">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104.</w:t>
      </w:r>
    </w:p>
  </w:footnote>
  <w:footnote w:id="1339">
    <w:p w:rsidR="006345FD" w:rsidRDefault="006345FD" w:rsidP="007C2935">
      <w:pPr>
        <w:pStyle w:val="FootnoteText"/>
      </w:pPr>
      <w:r>
        <w:rPr>
          <w:rStyle w:val="FootnoteReference"/>
        </w:rPr>
        <w:footnoteRef/>
      </w:r>
      <w:r>
        <w:t xml:space="preserve"> </w:t>
      </w:r>
      <w:r>
        <w:tab/>
        <w:t>We have also proposed and adopted a full transition into the trailing average approach. This s</w:t>
      </w:r>
      <w:r w:rsidRPr="00553558">
        <w:t>tart</w:t>
      </w:r>
      <w:r>
        <w:t>s</w:t>
      </w:r>
      <w:r w:rsidRPr="00553558">
        <w:t xml:space="preserve"> with an on-the-day rate for the first regulatory year and gradually transition</w:t>
      </w:r>
      <w:r>
        <w:t>s</w:t>
      </w:r>
      <w:r w:rsidRPr="00553558">
        <w:t xml:space="preserve"> into a trailing average approach over 10 years</w:t>
      </w:r>
      <w:r>
        <w:t>.</w:t>
      </w:r>
      <w:r w:rsidRPr="00553558">
        <w:t xml:space="preserve"> </w:t>
      </w:r>
    </w:p>
  </w:footnote>
  <w:footnote w:id="1340">
    <w:p w:rsidR="006345FD" w:rsidRDefault="006345FD" w:rsidP="007C2935">
      <w:pPr>
        <w:pStyle w:val="FootnoteText"/>
      </w:pPr>
      <w:r>
        <w:rPr>
          <w:rStyle w:val="FootnoteReference"/>
        </w:rPr>
        <w:footnoteRef/>
      </w:r>
      <w:r>
        <w:t xml:space="preserve"> </w:t>
      </w:r>
      <w:r>
        <w:tab/>
        <w:t xml:space="preserve">AER, </w:t>
      </w:r>
      <w:r>
        <w:rPr>
          <w:rStyle w:val="AERtextitalic"/>
        </w:rPr>
        <w:t>Explanatory statement to the r</w:t>
      </w:r>
      <w:r w:rsidRPr="0052137B">
        <w:rPr>
          <w:rStyle w:val="AERtextitalic"/>
        </w:rPr>
        <w:t>ate of return guideline</w:t>
      </w:r>
      <w:r>
        <w:t>, December 2013, p. 108.</w:t>
      </w:r>
    </w:p>
  </w:footnote>
  <w:footnote w:id="1341">
    <w:p w:rsidR="006345FD" w:rsidRDefault="006345FD" w:rsidP="007C2935">
      <w:pPr>
        <w:pStyle w:val="FootnoteText"/>
      </w:pPr>
      <w:r>
        <w:rPr>
          <w:rStyle w:val="FootnoteReference"/>
        </w:rPr>
        <w:footnoteRef/>
      </w:r>
      <w:r>
        <w:t xml:space="preserve"> </w:t>
      </w:r>
      <w:r>
        <w:tab/>
        <w:t xml:space="preserve">AusNet, </w:t>
      </w:r>
      <w:r w:rsidRPr="004D1E24">
        <w:rPr>
          <w:rStyle w:val="AERtextitalic"/>
        </w:rPr>
        <w:t>Regulatory proposal</w:t>
      </w:r>
      <w:r>
        <w:t>, 30 April 2015, p. 346.</w:t>
      </w:r>
    </w:p>
  </w:footnote>
  <w:footnote w:id="1342">
    <w:p w:rsidR="006345FD" w:rsidRDefault="006345FD" w:rsidP="007C2935">
      <w:pPr>
        <w:pStyle w:val="FootnoteText"/>
      </w:pPr>
      <w:r>
        <w:rPr>
          <w:rStyle w:val="FootnoteReference"/>
        </w:rPr>
        <w:footnoteRef/>
      </w:r>
      <w:r>
        <w:t xml:space="preserve"> </w:t>
      </w:r>
      <w:r>
        <w:tab/>
        <w:t>NER, cl. 6.5.2(k</w:t>
      </w:r>
      <w:r w:rsidRPr="005F1830">
        <w:t>)</w:t>
      </w:r>
      <w:r>
        <w:t>(1) and 6A.6.2(k)(1); NGR, r. 87(11)(1)</w:t>
      </w:r>
      <w:r w:rsidRPr="005F1830">
        <w:t>.</w:t>
      </w:r>
    </w:p>
  </w:footnote>
  <w:footnote w:id="1343">
    <w:p w:rsidR="006345FD" w:rsidRDefault="006345FD" w:rsidP="00AA4D01">
      <w:pPr>
        <w:pStyle w:val="FootnoteText"/>
      </w:pPr>
      <w:r>
        <w:rPr>
          <w:rStyle w:val="FootnoteReference"/>
        </w:rPr>
        <w:footnoteRef/>
      </w:r>
      <w:r>
        <w:t xml:space="preserve"> </w:t>
      </w:r>
      <w:r>
        <w:tab/>
        <w:t>This final decision determines the return on debt methodology for the 2016–20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344">
    <w:p w:rsidR="006345FD" w:rsidRDefault="006345FD" w:rsidP="00AA4D01">
      <w:pPr>
        <w:pStyle w:val="FootnoteText"/>
      </w:pPr>
      <w:r>
        <w:rPr>
          <w:rStyle w:val="FootnoteReference"/>
        </w:rPr>
        <w:footnoteRef/>
      </w:r>
      <w:r>
        <w:t xml:space="preserve"> </w:t>
      </w:r>
      <w:r>
        <w:tab/>
        <w:t>NER, cl.6.5.2(i) and cl.6A.6.2(i); NGR r. 87(9)</w:t>
      </w:r>
    </w:p>
  </w:footnote>
  <w:footnote w:id="1345">
    <w:p w:rsidR="006345FD" w:rsidRDefault="006345FD" w:rsidP="00AA4D01">
      <w:pPr>
        <w:pStyle w:val="FootnoteText"/>
      </w:pPr>
      <w:r>
        <w:rPr>
          <w:rStyle w:val="FootnoteReference"/>
        </w:rPr>
        <w:footnoteRef/>
      </w:r>
      <w:r>
        <w:t xml:space="preserve"> </w:t>
      </w:r>
      <w:r>
        <w:tab/>
        <w:t>NER, cl.6.5.2(l) and cl. 6A.6.2(l);</w:t>
      </w:r>
      <w:r w:rsidRPr="00543B6D">
        <w:t xml:space="preserve"> </w:t>
      </w:r>
      <w:r>
        <w:t>NGR r. 87(12)</w:t>
      </w:r>
    </w:p>
  </w:footnote>
  <w:footnote w:id="1346">
    <w:p w:rsidR="006345FD" w:rsidRDefault="006345FD" w:rsidP="00AA4D01">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1347">
    <w:p w:rsidR="006345FD" w:rsidRDefault="006345FD" w:rsidP="00AA4D01">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1348">
    <w:p w:rsidR="006345FD" w:rsidRDefault="006345FD" w:rsidP="00AA4D01">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1349">
    <w:p w:rsidR="006345FD" w:rsidRDefault="006345FD" w:rsidP="00AA4D01">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1350">
    <w:p w:rsidR="006345FD" w:rsidRDefault="006345FD" w:rsidP="00AA4D01">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17"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1351">
    <w:p w:rsidR="006345FD" w:rsidRDefault="006345FD" w:rsidP="00AA4D01">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1352">
    <w:p w:rsidR="006345FD" w:rsidRDefault="006345FD" w:rsidP="00AA4D01">
      <w:pPr>
        <w:pStyle w:val="FootnoteText"/>
      </w:pPr>
      <w:r>
        <w:rPr>
          <w:rStyle w:val="FootnoteReference"/>
        </w:rPr>
        <w:footnoteRef/>
      </w:r>
      <w:r>
        <w:t xml:space="preserve"> </w:t>
      </w:r>
      <w:r>
        <w:tab/>
        <w:t>Specifically, from 15 September 2014 to 3 November 2014.</w:t>
      </w:r>
    </w:p>
  </w:footnote>
  <w:footnote w:id="1353">
    <w:p w:rsidR="006345FD" w:rsidRDefault="006345FD" w:rsidP="00AA4D01">
      <w:pPr>
        <w:pStyle w:val="FootnoteText"/>
      </w:pPr>
      <w:r>
        <w:rPr>
          <w:rStyle w:val="FootnoteReference"/>
        </w:rPr>
        <w:footnoteRef/>
      </w:r>
      <w:r>
        <w:t xml:space="preserve"> </w:t>
      </w:r>
      <w:r>
        <w:tab/>
        <w:t>Specifically, 14 April 2015.</w:t>
      </w:r>
    </w:p>
  </w:footnote>
  <w:footnote w:id="1354">
    <w:p w:rsidR="006345FD" w:rsidRDefault="006345FD" w:rsidP="00AA4D01">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1355">
    <w:p w:rsidR="006345FD" w:rsidRDefault="006345FD" w:rsidP="00AA4D01">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1356">
    <w:p w:rsidR="006345FD" w:rsidRDefault="006345FD" w:rsidP="00AA4D01">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1357">
    <w:p w:rsidR="006345FD" w:rsidRDefault="006345FD" w:rsidP="00AA4D01">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1358">
    <w:p w:rsidR="006345FD" w:rsidRDefault="006345FD" w:rsidP="00AA4D0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59">
    <w:p w:rsidR="006345FD" w:rsidRDefault="006345FD" w:rsidP="00AA4D01">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1360">
    <w:p w:rsidR="006345FD" w:rsidRDefault="006345FD" w:rsidP="00AA4D01">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1361">
    <w:p w:rsidR="006345FD" w:rsidRDefault="006345FD" w:rsidP="00AA4D01">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1362">
    <w:p w:rsidR="006345FD" w:rsidRDefault="006345FD" w:rsidP="00AA4D01">
      <w:pPr>
        <w:pStyle w:val="FootnoteText"/>
      </w:pPr>
      <w:r>
        <w:rPr>
          <w:rStyle w:val="FootnoteReference"/>
        </w:rPr>
        <w:footnoteRef/>
      </w:r>
      <w:r>
        <w:t xml:space="preserve"> </w:t>
      </w:r>
      <w:r>
        <w:tab/>
        <w:t>Subject to the availability of the Bloomberg BVAL curve. For other contingencies, see section J.2.4.</w:t>
      </w:r>
    </w:p>
  </w:footnote>
  <w:footnote w:id="1363">
    <w:p w:rsidR="006345FD" w:rsidRDefault="006345FD" w:rsidP="00AA4D01">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1364">
    <w:p w:rsidR="006345FD" w:rsidRDefault="006345FD" w:rsidP="00AA4D01">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w:t>
      </w:r>
      <w:r>
        <w:t xml:space="preserve">d estimate. </w:t>
      </w:r>
    </w:p>
  </w:footnote>
  <w:footnote w:id="1365">
    <w:p w:rsidR="006345FD" w:rsidRDefault="006345FD" w:rsidP="00AA4D01">
      <w:pPr>
        <w:pStyle w:val="FootnoteText"/>
      </w:pPr>
      <w:r>
        <w:rPr>
          <w:rStyle w:val="FootnoteReference"/>
        </w:rPr>
        <w:footnoteRef/>
      </w:r>
      <w:r>
        <w:t xml:space="preserve"> </w:t>
      </w:r>
      <w:r>
        <w:tab/>
        <w:t>Thompson Reuters publishes a BBB par yield curve to 10 years from 25 May 2015 (</w:t>
      </w:r>
      <w:r w:rsidRPr="00392E44">
        <w:t>BBBAUDBMK Par Yield</w:t>
      </w:r>
      <w:r>
        <w:t xml:space="preserve">). However, we have had limited opportunity to review and consult on f this information  as this was first put before us with the revised regulatory proposals in  January 2016. Nevertheless, we have performed a preliminary assessment of this information (see appendix H). This indicates that the Reuters curve would </w:t>
      </w:r>
      <w:r w:rsidRPr="009A2F59">
        <w:t xml:space="preserve">produce comparable </w:t>
      </w:r>
      <w:r>
        <w:t xml:space="preserve">estimates </w:t>
      </w:r>
      <w:r w:rsidRPr="009A2F59">
        <w:t>to the existing combination</w:t>
      </w:r>
      <w:r>
        <w:t>. We do not rule out including the</w:t>
      </w:r>
      <w:r w:rsidRPr="009A2F59">
        <w:t xml:space="preserve"> Reuters curve in future determinations following a proper period of consultation.</w:t>
      </w:r>
    </w:p>
  </w:footnote>
  <w:footnote w:id="1366">
    <w:p w:rsidR="006345FD" w:rsidRDefault="006345FD" w:rsidP="00AA4D01">
      <w:pPr>
        <w:pStyle w:val="FootnoteText"/>
      </w:pPr>
      <w:r>
        <w:rPr>
          <w:rStyle w:val="FootnoteReference"/>
        </w:rPr>
        <w:footnoteRef/>
      </w:r>
      <w:r>
        <w:t xml:space="preserve"> </w:t>
      </w:r>
      <w:r>
        <w:tab/>
        <w:t>NER cl. 6.5.2(l) and cl. 6A.6.2(l), NGR, r.87(12).</w:t>
      </w:r>
    </w:p>
  </w:footnote>
  <w:footnote w:id="1367">
    <w:p w:rsidR="006345FD" w:rsidRDefault="006345FD" w:rsidP="00AA4D01">
      <w:pPr>
        <w:pStyle w:val="FootnoteText"/>
      </w:pPr>
      <w:r>
        <w:rPr>
          <w:rStyle w:val="FootnoteReference"/>
        </w:rPr>
        <w:footnoteRef/>
      </w:r>
      <w:r>
        <w:t xml:space="preserve"> </w:t>
      </w:r>
      <w:r>
        <w:tab/>
        <w:t xml:space="preserve">Or we determine it is open to us to use the Reuters curve, following </w:t>
      </w:r>
      <w:r w:rsidRPr="003001DC">
        <w:t xml:space="preserve">a proper </w:t>
      </w:r>
      <w:r>
        <w:t xml:space="preserve">assessment and </w:t>
      </w:r>
      <w:r w:rsidRPr="003001DC">
        <w:t>period of consultation</w:t>
      </w:r>
      <w:r>
        <w:t xml:space="preserve">  on this information.</w:t>
      </w:r>
    </w:p>
  </w:footnote>
  <w:footnote w:id="1368">
    <w:p w:rsidR="006345FD" w:rsidRDefault="006345FD" w:rsidP="00AA4D01">
      <w:pPr>
        <w:pStyle w:val="FootnoteText"/>
      </w:pPr>
      <w:r>
        <w:rPr>
          <w:rStyle w:val="FootnoteReference"/>
        </w:rPr>
        <w:footnoteRef/>
      </w:r>
      <w:r>
        <w:t xml:space="preserve"> </w:t>
      </w:r>
      <w:r>
        <w:tab/>
        <w:t>For example, for the current decisions we downloaded the RBA monthly data observation for August 2015 shortly after it was published (in September), and incorporated this data point into our prevailing return on debt estimates. After the RBA published its monthly observation for September (in October), we downloaded this data point too. This final data point is only relevant for estimation of AusNet's placeholder averaging period. In doing so, we noticed that it appears the RBA has revised its methodology (though does not appear to have explained this change), and has backcast its monthly observations for the entire data series which starts in January 2005. However, we have not incorporated this backcasted RBA data into our return on debt estimates. Instead, we have continued to use the data we downloaded at the time of estimation. We note that if we had incorporated the backdated RBA data this would have decreased the allowed return on debt for the Queensland, SA and Victorian electricity distributors by between approximately 1-2 basis points. Accordingly, in this instance, our approach of not using the backdated data is in this group of service providers' interests. Our approach will be symmetrical and consistent over time, so we will not use backcast data that results from a change in the RBA or Bloomberg's methodology regardless of whether it is in or against the interests of particular groups of service providers or particular groups of consumers.</w:t>
      </w:r>
    </w:p>
  </w:footnote>
  <w:footnote w:id="1369">
    <w:p w:rsidR="006345FD" w:rsidRDefault="006345FD" w:rsidP="00AA4D01">
      <w:pPr>
        <w:pStyle w:val="FootnoteText"/>
      </w:pPr>
      <w:r>
        <w:rPr>
          <w:rStyle w:val="FootnoteReference"/>
        </w:rPr>
        <w:footnoteRef/>
      </w:r>
      <w:r>
        <w:t xml:space="preserve"> </w:t>
      </w:r>
      <w:r>
        <w:tab/>
        <w:t>Specifically, the spread to CGS.</w:t>
      </w:r>
    </w:p>
  </w:footnote>
  <w:footnote w:id="1370">
    <w:p w:rsidR="006345FD" w:rsidRDefault="006345FD" w:rsidP="00AA4D01">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1371">
    <w:p w:rsidR="006345FD" w:rsidRDefault="006345FD" w:rsidP="00AA4D01">
      <w:pPr>
        <w:pStyle w:val="FootnoteText"/>
      </w:pPr>
      <w:r>
        <w:rPr>
          <w:rStyle w:val="FootnoteReference"/>
        </w:rPr>
        <w:footnoteRef/>
      </w:r>
      <w:r>
        <w:t xml:space="preserve"> </w:t>
      </w:r>
      <w:r>
        <w:tab/>
        <w:t xml:space="preserve">AER, </w:t>
      </w:r>
      <w:r w:rsidRPr="002C65E6">
        <w:rPr>
          <w:rStyle w:val="AERtextitalic"/>
        </w:rPr>
        <w:t>Better regulation—</w:t>
      </w:r>
      <w:r w:rsidRPr="0052137B">
        <w:rPr>
          <w:rStyle w:val="AERtextitalic"/>
        </w:rPr>
        <w:t>Rate of return guideline</w:t>
      </w:r>
      <w:r>
        <w:t>, December 2013, p. 21.</w:t>
      </w:r>
    </w:p>
  </w:footnote>
  <w:footnote w:id="1372">
    <w:p w:rsidR="006345FD" w:rsidRDefault="006345FD" w:rsidP="00AA4D01">
      <w:pPr>
        <w:pStyle w:val="FootnoteText"/>
      </w:pPr>
      <w:r>
        <w:rPr>
          <w:rStyle w:val="FootnoteReference"/>
        </w:rPr>
        <w:footnoteRef/>
      </w:r>
      <w:r>
        <w:t xml:space="preserve"> </w:t>
      </w:r>
      <w:r>
        <w:tab/>
      </w:r>
      <w:r w:rsidRPr="00E8691B">
        <w:t>The electricity distribution service providers are required to submit to the AER a pricing proposal for each regulatory year of the regulatory control period. The gas distribution and transmission service providers are also required to submit to us an annual reference tariff variation proposal to meet the requirements of their specific access arrangements. As we are proposing to update service providers' allowed return on debt estimates on an annual basis, the updated annual return on debt estimates should be submitted and approved by us in advance of a service providers' annual pricing/tariff proposals.</w:t>
      </w:r>
      <w:r>
        <w:t xml:space="preserve"> See: </w:t>
      </w:r>
      <w:r w:rsidRPr="00E8691B">
        <w:t xml:space="preserve">AER, </w:t>
      </w:r>
      <w:r w:rsidRPr="00E8691B">
        <w:rPr>
          <w:rStyle w:val="AERtextitalic"/>
        </w:rPr>
        <w:t>Explanatory statement to the draft rate of return guideline</w:t>
      </w:r>
      <w:r w:rsidRPr="00E8691B">
        <w:t xml:space="preserve">, August 2013, </w:t>
      </w:r>
      <w:r>
        <w:t>p. 1</w:t>
      </w:r>
      <w:r w:rsidRPr="00E8691B">
        <w:t>03</w:t>
      </w:r>
      <w:r>
        <w:t>.</w:t>
      </w:r>
    </w:p>
  </w:footnote>
  <w:footnote w:id="1373">
    <w:p w:rsidR="006345FD" w:rsidRDefault="006345FD" w:rsidP="00AA4D01">
      <w:pPr>
        <w:pStyle w:val="FootnoteText"/>
      </w:pPr>
      <w:r>
        <w:rPr>
          <w:rStyle w:val="FootnoteReference"/>
        </w:rPr>
        <w:footnoteRef/>
      </w:r>
      <w:r>
        <w:t xml:space="preserve"> </w:t>
      </w:r>
      <w:r>
        <w:tab/>
      </w:r>
      <w:r w:rsidRPr="00827C64">
        <w:t>We note that a longer (or shorter) time period would move back (or forward) the maximum practical end date of the averaging period by the same timeframe.</w:t>
      </w:r>
    </w:p>
  </w:footnote>
  <w:footnote w:id="1374">
    <w:p w:rsidR="006345FD" w:rsidRDefault="006345FD" w:rsidP="00AA4D01">
      <w:pPr>
        <w:pStyle w:val="FootnoteText"/>
      </w:pPr>
      <w:r>
        <w:rPr>
          <w:rStyle w:val="FootnoteReference"/>
        </w:rPr>
        <w:footnoteRef/>
      </w:r>
      <w:r>
        <w:t xml:space="preserve"> </w:t>
      </w:r>
      <w:r>
        <w:tab/>
        <w:t>A further possible constraint on the start date is</w:t>
      </w:r>
      <w:r w:rsidRPr="00D76D56">
        <w:t>, as set out in the previous section, one of our conditions is at the time it is nominated all dates in the averaging period must take place in the future.</w:t>
      </w:r>
    </w:p>
  </w:footnote>
  <w:footnote w:id="1375">
    <w:p w:rsidR="006345FD" w:rsidRDefault="006345FD" w:rsidP="00AA4D01">
      <w:pPr>
        <w:pStyle w:val="FootnoteText"/>
      </w:pPr>
      <w:r>
        <w:rPr>
          <w:rStyle w:val="FootnoteReference"/>
        </w:rPr>
        <w:footnoteRef/>
      </w:r>
      <w:r>
        <w:t xml:space="preserve"> </w:t>
      </w:r>
      <w:r>
        <w:tab/>
        <w:t xml:space="preserve">Clause </w:t>
      </w:r>
      <w:r w:rsidRPr="00827C64">
        <w:t xml:space="preserve">6.18.2(a)(2) </w:t>
      </w:r>
      <w:r>
        <w:t xml:space="preserve">of the NER </w:t>
      </w:r>
      <w:r w:rsidRPr="00827C64">
        <w:t xml:space="preserve">requires </w:t>
      </w:r>
      <w:r>
        <w:t>electricity distributors</w:t>
      </w:r>
      <w:r w:rsidRPr="00827C64">
        <w:t xml:space="preserve"> to submit their annual pricing proposals to us at least 2 months before the commencement of the second and each subsequent regulatory year of the regulatory control period. </w:t>
      </w:r>
      <w:r>
        <w:t xml:space="preserve">For the Victorian distributors, each regulatory year commences at the start of the calendar year (1 January). </w:t>
      </w:r>
      <w:r w:rsidRPr="00827C64">
        <w:t xml:space="preserve">For non-Victorian </w:t>
      </w:r>
      <w:r>
        <w:t>distributors</w:t>
      </w:r>
      <w:r w:rsidRPr="00827C64">
        <w:t>, each regulatory year commences at the start of the financial year</w:t>
      </w:r>
      <w:r>
        <w:t xml:space="preserve"> (1 July)</w:t>
      </w:r>
      <w:r w:rsidRPr="00827C64">
        <w:t>.</w:t>
      </w:r>
    </w:p>
  </w:footnote>
  <w:footnote w:id="1376">
    <w:p w:rsidR="006345FD" w:rsidRDefault="006345FD" w:rsidP="00AA4D01">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1377">
    <w:p w:rsidR="006345FD" w:rsidRDefault="006345FD" w:rsidP="00AA4D01">
      <w:pPr>
        <w:pStyle w:val="FootnoteText"/>
      </w:pPr>
      <w:r>
        <w:rPr>
          <w:rStyle w:val="FootnoteReference"/>
        </w:rPr>
        <w:footnoteRef/>
      </w:r>
      <w:r>
        <w:t xml:space="preserve"> </w:t>
      </w:r>
      <w:r>
        <w:tab/>
      </w:r>
      <w:r w:rsidRPr="00827C64">
        <w:t xml:space="preserve">See </w:t>
      </w:r>
      <w:r w:rsidRPr="000B49EB">
        <w:t xml:space="preserve">AEMC, </w:t>
      </w:r>
      <w:r w:rsidRPr="000B49EB">
        <w:rPr>
          <w:rStyle w:val="AERtextitalic"/>
        </w:rPr>
        <w:t>Distribution network pricing arrangements, rule determination</w:t>
      </w:r>
      <w:r>
        <w:t>, 27 November 2014, pp</w:t>
      </w:r>
      <w:r w:rsidRPr="00827C64">
        <w:t xml:space="preserve">. </w:t>
      </w:r>
      <w:r>
        <w:t xml:space="preserve">57, 95, 103. </w:t>
      </w:r>
      <w:r w:rsidRPr="00827C64">
        <w:t xml:space="preserve">Victorian </w:t>
      </w:r>
      <w:r>
        <w:t>distributors</w:t>
      </w:r>
      <w:r w:rsidRPr="00827C64">
        <w:t xml:space="preserve"> will be required to submit their annual pricing proposals to us no later than 30 September. This is because the pricing process in Victoria operates on calendar years, rather than financial years.</w:t>
      </w:r>
    </w:p>
  </w:footnote>
  <w:footnote w:id="1378">
    <w:p w:rsidR="006345FD" w:rsidRDefault="006345FD" w:rsidP="00AA4D01">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27 November 2014, p. 103</w:t>
      </w:r>
      <w:r w:rsidRPr="00827C64">
        <w:t>.</w:t>
      </w:r>
    </w:p>
  </w:footnote>
  <w:footnote w:id="1379">
    <w:p w:rsidR="006345FD" w:rsidRDefault="006345FD" w:rsidP="00AA4D01">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t xml:space="preserve">, 27 November 2014, pp. 103, 110–112 (transitional arrangements for Victorian distributors), 112–113 (transitional arrangements for non-Victorian distributors). </w:t>
      </w:r>
    </w:p>
  </w:footnote>
  <w:footnote w:id="1380">
    <w:p w:rsidR="006345FD" w:rsidRDefault="006345FD" w:rsidP="00AA4D01">
      <w:pPr>
        <w:pStyle w:val="FootnoteText"/>
      </w:pPr>
      <w:r>
        <w:rPr>
          <w:rStyle w:val="FootnoteReference"/>
        </w:rPr>
        <w:footnoteRef/>
      </w:r>
      <w:r>
        <w:t xml:space="preserve"> </w:t>
      </w:r>
      <w:r>
        <w:tab/>
        <w:t>NER, transitional clause 11.76.1(c).</w:t>
      </w:r>
    </w:p>
  </w:footnote>
  <w:footnote w:id="1381">
    <w:p w:rsidR="006345FD" w:rsidRDefault="006345FD" w:rsidP="00DD5CC6">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1382">
    <w:p w:rsidR="006345FD" w:rsidRDefault="006345FD" w:rsidP="00DD5CC6">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1383">
    <w:p w:rsidR="006345FD" w:rsidRDefault="006345FD" w:rsidP="00DD5CC6">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1384">
    <w:p w:rsidR="006345FD" w:rsidRDefault="006345FD" w:rsidP="00DD5CC6">
      <w:pPr>
        <w:pStyle w:val="FootnoteText"/>
      </w:pPr>
      <w:r>
        <w:rPr>
          <w:rStyle w:val="FootnoteReference"/>
        </w:rPr>
        <w:footnoteRef/>
      </w:r>
      <w:r>
        <w:t xml:space="preserve"> </w:t>
      </w:r>
      <w:r>
        <w:tab/>
      </w:r>
      <w:r w:rsidRPr="003525AB">
        <w:t>CitiPower</w:t>
      </w:r>
      <w:r>
        <w:t>,</w:t>
      </w:r>
      <w:r w:rsidRPr="003525AB">
        <w:t xml:space="preserve"> </w:t>
      </w:r>
      <w:r w:rsidRPr="006469E2">
        <w:rPr>
          <w:i/>
        </w:rPr>
        <w:t>Revised Regulatory Proposal 2016–2020</w:t>
      </w:r>
      <w:r>
        <w:t>, January 2016, p.225</w:t>
      </w:r>
    </w:p>
  </w:footnote>
  <w:footnote w:id="1385">
    <w:p w:rsidR="006345FD" w:rsidRDefault="006345FD" w:rsidP="00DD5CC6">
      <w:pPr>
        <w:pStyle w:val="FootnoteText"/>
      </w:pPr>
      <w:r>
        <w:rPr>
          <w:rStyle w:val="FootnoteReference"/>
        </w:rPr>
        <w:footnoteRef/>
      </w:r>
      <w:r>
        <w:t xml:space="preserve"> </w:t>
      </w:r>
      <w:r>
        <w:tab/>
      </w:r>
      <w:r w:rsidRPr="003525AB">
        <w:t>CitiPower</w:t>
      </w:r>
      <w:r w:rsidR="006469E2">
        <w:t>,</w:t>
      </w:r>
      <w:r w:rsidRPr="003525AB">
        <w:t xml:space="preserve"> </w:t>
      </w:r>
      <w:r w:rsidRPr="006469E2">
        <w:rPr>
          <w:i/>
        </w:rPr>
        <w:t>Revised Regulatory Proposal 2016–</w:t>
      </w:r>
      <w:r w:rsidR="006469E2" w:rsidRPr="006469E2">
        <w:rPr>
          <w:i/>
        </w:rPr>
        <w:t>2020</w:t>
      </w:r>
      <w:r>
        <w:t>, January 2016, p.225.</w:t>
      </w:r>
    </w:p>
  </w:footnote>
  <w:footnote w:id="1386">
    <w:p w:rsidR="006345FD" w:rsidRDefault="006345FD" w:rsidP="00DD5CC6">
      <w:pPr>
        <w:pStyle w:val="FootnoteText"/>
      </w:pPr>
      <w:r>
        <w:rPr>
          <w:rStyle w:val="FootnoteReference"/>
        </w:rPr>
        <w:footnoteRef/>
      </w:r>
      <w:r>
        <w:t xml:space="preserve"> </w:t>
      </w:r>
      <w:r>
        <w:tab/>
      </w:r>
      <w:r w:rsidRPr="004537AA">
        <w:t xml:space="preserve">Incenta, Economic Consulting, </w:t>
      </w:r>
      <w:r w:rsidRPr="004537AA">
        <w:rPr>
          <w:rStyle w:val="AERtextitalic"/>
        </w:rPr>
        <w:t>Debt raising transaction costs: updated report–TransGrid</w:t>
      </w:r>
      <w:r w:rsidRPr="004537AA">
        <w:t>, January 2015</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345FD" w:rsidRDefault="006345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0">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1">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3">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4">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5">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7">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8">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9">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AF336BC"/>
    <w:multiLevelType w:val="hybridMultilevel"/>
    <w:tmpl w:val="955A02CC"/>
    <w:lvl w:ilvl="0" w:tplc="C90C7928">
      <w:start w:val="1"/>
      <w:numFmt w:val="bullet"/>
      <w:lvlText w:val=""/>
      <w:lvlJc w:val="left"/>
      <w:pPr>
        <w:ind w:left="786"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CF07D5F"/>
    <w:multiLevelType w:val="hybridMultilevel"/>
    <w:tmpl w:val="D6DC675A"/>
    <w:lvl w:ilvl="0" w:tplc="6C6CF7F2">
      <w:start w:val="1"/>
      <w:numFmt w:val="lowerLetter"/>
      <w:lvlText w:val="(%1)"/>
      <w:lvlJc w:val="left"/>
      <w:pPr>
        <w:ind w:left="1361" w:hanging="340"/>
      </w:pPr>
      <w:rPr>
        <w:rFonts w:hint="default"/>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3">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6">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8">
    <w:nsid w:val="5ECE4384"/>
    <w:multiLevelType w:val="multilevel"/>
    <w:tmpl w:val="B414D6F4"/>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1004"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30">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7A5A23DF"/>
    <w:multiLevelType w:val="hybridMultilevel"/>
    <w:tmpl w:val="440CFCC4"/>
    <w:lvl w:ilvl="0" w:tplc="D6DAED3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7AAC6DD7"/>
    <w:multiLevelType w:val="multilevel"/>
    <w:tmpl w:val="950A1C52"/>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3">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2"/>
  </w:num>
  <w:num w:numId="2">
    <w:abstractNumId w:val="34"/>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9"/>
  </w:num>
  <w:num w:numId="13">
    <w:abstractNumId w:val="20"/>
  </w:num>
  <w:num w:numId="14">
    <w:abstractNumId w:val="11"/>
  </w:num>
  <w:num w:numId="15">
    <w:abstractNumId w:val="14"/>
  </w:num>
  <w:num w:numId="16">
    <w:abstractNumId w:val="23"/>
  </w:num>
  <w:num w:numId="17">
    <w:abstractNumId w:val="10"/>
  </w:num>
  <w:num w:numId="18">
    <w:abstractNumId w:val="16"/>
  </w:num>
  <w:num w:numId="19">
    <w:abstractNumId w:val="24"/>
  </w:num>
  <w:num w:numId="20">
    <w:abstractNumId w:val="30"/>
  </w:num>
  <w:num w:numId="21">
    <w:abstractNumId w:val="27"/>
  </w:num>
  <w:num w:numId="22">
    <w:abstractNumId w:val="25"/>
  </w:num>
  <w:num w:numId="23">
    <w:abstractNumId w:val="17"/>
  </w:num>
  <w:num w:numId="24">
    <w:abstractNumId w:val="26"/>
  </w:num>
  <w:num w:numId="25">
    <w:abstractNumId w:val="28"/>
  </w:num>
  <w:num w:numId="26">
    <w:abstractNumId w:val="19"/>
  </w:num>
  <w:num w:numId="27">
    <w:abstractNumId w:val="15"/>
  </w:num>
  <w:num w:numId="28">
    <w:abstractNumId w:val="33"/>
  </w:num>
  <w:num w:numId="29">
    <w:abstractNumId w:val="21"/>
  </w:num>
  <w:num w:numId="30">
    <w:abstractNumId w:val="9"/>
  </w:num>
  <w:num w:numId="31">
    <w:abstractNumId w:val="32"/>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2.%3.%4"/>
        <w:lvlJc w:val="left"/>
        <w:pPr>
          <w:tabs>
            <w:tab w:val="num" w:pos="0"/>
          </w:tabs>
          <w:ind w:left="0" w:hanging="851"/>
        </w:pPr>
        <w:rPr>
          <w:rFonts w:cs="Times New Roman"/>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2">
    <w:abstractNumId w:val="17"/>
    <w:lvlOverride w:ilvl="3">
      <w:lvl w:ilvl="3">
        <w:start w:val="1"/>
        <w:numFmt w:val="decimal"/>
        <w:lvlText w:val="%2.%3.%4"/>
        <w:lvlJc w:val="left"/>
        <w:pPr>
          <w:tabs>
            <w:tab w:val="num" w:pos="0"/>
          </w:tabs>
          <w:ind w:left="0" w:hanging="851"/>
        </w:pPr>
        <w:rPr>
          <w:rFonts w:hint="default"/>
        </w:rPr>
      </w:lvl>
    </w:lvlOverride>
  </w:num>
  <w:num w:numId="33">
    <w:abstractNumId w:val="13"/>
  </w:num>
  <w:num w:numId="34">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9"/>
  </w:num>
  <w:num w:numId="3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2">
      <w:lvl w:ilvl="2">
        <w:start w:val="1"/>
        <w:numFmt w:val="lowerLetter"/>
        <w:lvlText w:val="%3."/>
        <w:lvlJc w:val="left"/>
        <w:pPr>
          <w:tabs>
            <w:tab w:val="num" w:pos="720"/>
          </w:tabs>
          <w:ind w:left="720" w:hanging="363"/>
        </w:pPr>
        <w:rPr>
          <w:rFonts w:hint="default"/>
        </w:rPr>
      </w:lvl>
    </w:lvlOverride>
  </w:num>
  <w:num w:numId="38">
    <w:abstractNumId w:val="22"/>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num>
  <w:num w:numId="46">
    <w:abstractNumId w:val="31"/>
  </w:num>
  <w:num w:numId="47">
    <w:abstractNumId w:val="18"/>
  </w:num>
  <w:num w:numId="4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8"/>
  </w:num>
  <w:num w:numId="54">
    <w:abstractNumId w:val="28"/>
  </w:num>
  <w:num w:numId="55">
    <w:abstractNumId w:val="28"/>
  </w:num>
  <w:num w:numId="56">
    <w:abstractNumId w:val="28"/>
  </w:num>
  <w:num w:numId="57">
    <w:abstractNumId w:val="28"/>
  </w:num>
  <w:num w:numId="58">
    <w:abstractNumId w:val="28"/>
  </w:num>
  <w:num w:numId="59">
    <w:abstractNumId w:val="28"/>
  </w:num>
  <w:num w:numId="60">
    <w:abstractNumId w:val="28"/>
  </w:num>
  <w:num w:numId="61">
    <w:abstractNumId w:val="28"/>
  </w:num>
  <w:num w:numId="62">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4403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9576\AER15 4379  AER - Final decision AusNet distribution determination - Attachment 3 - Rate of return - April 2016.DOCX"/>
  </w:docVars>
  <w:rsids>
    <w:rsidRoot w:val="00961A4A"/>
    <w:rsid w:val="00001011"/>
    <w:rsid w:val="000051DC"/>
    <w:rsid w:val="0000658F"/>
    <w:rsid w:val="000109EA"/>
    <w:rsid w:val="0001507B"/>
    <w:rsid w:val="00020016"/>
    <w:rsid w:val="00021202"/>
    <w:rsid w:val="00021C2B"/>
    <w:rsid w:val="0002498B"/>
    <w:rsid w:val="00024C1E"/>
    <w:rsid w:val="0002517F"/>
    <w:rsid w:val="00026187"/>
    <w:rsid w:val="000266FC"/>
    <w:rsid w:val="000273B3"/>
    <w:rsid w:val="000273D3"/>
    <w:rsid w:val="00027E2D"/>
    <w:rsid w:val="0003578C"/>
    <w:rsid w:val="00044DA3"/>
    <w:rsid w:val="000474DF"/>
    <w:rsid w:val="00055A67"/>
    <w:rsid w:val="000564B5"/>
    <w:rsid w:val="00063247"/>
    <w:rsid w:val="0006478D"/>
    <w:rsid w:val="0006624E"/>
    <w:rsid w:val="00070F9F"/>
    <w:rsid w:val="0007137B"/>
    <w:rsid w:val="00073B74"/>
    <w:rsid w:val="00076416"/>
    <w:rsid w:val="00077383"/>
    <w:rsid w:val="000805A8"/>
    <w:rsid w:val="0008190B"/>
    <w:rsid w:val="00081F8E"/>
    <w:rsid w:val="000836D9"/>
    <w:rsid w:val="00085663"/>
    <w:rsid w:val="00085EBF"/>
    <w:rsid w:val="00091B15"/>
    <w:rsid w:val="00095186"/>
    <w:rsid w:val="000A0E71"/>
    <w:rsid w:val="000A179B"/>
    <w:rsid w:val="000A1C0C"/>
    <w:rsid w:val="000A3020"/>
    <w:rsid w:val="000A4840"/>
    <w:rsid w:val="000A52D1"/>
    <w:rsid w:val="000A62C1"/>
    <w:rsid w:val="000A6A79"/>
    <w:rsid w:val="000A6C7B"/>
    <w:rsid w:val="000A799E"/>
    <w:rsid w:val="000B0A7B"/>
    <w:rsid w:val="000B1173"/>
    <w:rsid w:val="000B4C65"/>
    <w:rsid w:val="000B5827"/>
    <w:rsid w:val="000B7037"/>
    <w:rsid w:val="000C02D1"/>
    <w:rsid w:val="000C0C63"/>
    <w:rsid w:val="000C2B40"/>
    <w:rsid w:val="000C5255"/>
    <w:rsid w:val="000D07A7"/>
    <w:rsid w:val="000D122C"/>
    <w:rsid w:val="000D32D3"/>
    <w:rsid w:val="000D46AE"/>
    <w:rsid w:val="000D4D0F"/>
    <w:rsid w:val="000D75B0"/>
    <w:rsid w:val="000E1819"/>
    <w:rsid w:val="000E44EF"/>
    <w:rsid w:val="000E4821"/>
    <w:rsid w:val="000E4AA9"/>
    <w:rsid w:val="000E4B88"/>
    <w:rsid w:val="000E6C72"/>
    <w:rsid w:val="000E7F39"/>
    <w:rsid w:val="000F0F0A"/>
    <w:rsid w:val="000F36CD"/>
    <w:rsid w:val="000F4BC3"/>
    <w:rsid w:val="000F65B0"/>
    <w:rsid w:val="00100EA2"/>
    <w:rsid w:val="00101AA1"/>
    <w:rsid w:val="00102338"/>
    <w:rsid w:val="00104566"/>
    <w:rsid w:val="00104FF6"/>
    <w:rsid w:val="001114AA"/>
    <w:rsid w:val="00115090"/>
    <w:rsid w:val="00115743"/>
    <w:rsid w:val="00115FF6"/>
    <w:rsid w:val="00116EB2"/>
    <w:rsid w:val="00117328"/>
    <w:rsid w:val="0012132C"/>
    <w:rsid w:val="00124609"/>
    <w:rsid w:val="001254F0"/>
    <w:rsid w:val="00126A4C"/>
    <w:rsid w:val="001270E3"/>
    <w:rsid w:val="00127882"/>
    <w:rsid w:val="00127BC7"/>
    <w:rsid w:val="00132A4C"/>
    <w:rsid w:val="00132D43"/>
    <w:rsid w:val="00133366"/>
    <w:rsid w:val="00133F47"/>
    <w:rsid w:val="00134029"/>
    <w:rsid w:val="001345A1"/>
    <w:rsid w:val="001355DE"/>
    <w:rsid w:val="00136F07"/>
    <w:rsid w:val="0014104C"/>
    <w:rsid w:val="00142C2D"/>
    <w:rsid w:val="0014400B"/>
    <w:rsid w:val="001443C0"/>
    <w:rsid w:val="00144C96"/>
    <w:rsid w:val="0014573B"/>
    <w:rsid w:val="001463A3"/>
    <w:rsid w:val="0015073A"/>
    <w:rsid w:val="00156087"/>
    <w:rsid w:val="001573E4"/>
    <w:rsid w:val="00160756"/>
    <w:rsid w:val="00161DC8"/>
    <w:rsid w:val="00166760"/>
    <w:rsid w:val="00170917"/>
    <w:rsid w:val="001715C1"/>
    <w:rsid w:val="0017232E"/>
    <w:rsid w:val="00174102"/>
    <w:rsid w:val="00174A6B"/>
    <w:rsid w:val="001754EE"/>
    <w:rsid w:val="00180157"/>
    <w:rsid w:val="001801E4"/>
    <w:rsid w:val="001809BC"/>
    <w:rsid w:val="00180E97"/>
    <w:rsid w:val="00181E64"/>
    <w:rsid w:val="001820B4"/>
    <w:rsid w:val="001823A6"/>
    <w:rsid w:val="00184351"/>
    <w:rsid w:val="00184AC8"/>
    <w:rsid w:val="00185BA5"/>
    <w:rsid w:val="00185CB9"/>
    <w:rsid w:val="00185DBE"/>
    <w:rsid w:val="00186ADC"/>
    <w:rsid w:val="00186F77"/>
    <w:rsid w:val="001877A4"/>
    <w:rsid w:val="00191F67"/>
    <w:rsid w:val="001926A4"/>
    <w:rsid w:val="00192AD5"/>
    <w:rsid w:val="00194597"/>
    <w:rsid w:val="00194E00"/>
    <w:rsid w:val="00196747"/>
    <w:rsid w:val="0019745E"/>
    <w:rsid w:val="00197B16"/>
    <w:rsid w:val="001A0787"/>
    <w:rsid w:val="001A348B"/>
    <w:rsid w:val="001A4F7D"/>
    <w:rsid w:val="001A530D"/>
    <w:rsid w:val="001A5B75"/>
    <w:rsid w:val="001A5FB3"/>
    <w:rsid w:val="001A7155"/>
    <w:rsid w:val="001B14B6"/>
    <w:rsid w:val="001B231A"/>
    <w:rsid w:val="001B4217"/>
    <w:rsid w:val="001B45A0"/>
    <w:rsid w:val="001B680E"/>
    <w:rsid w:val="001B6CF5"/>
    <w:rsid w:val="001D055E"/>
    <w:rsid w:val="001E1B3F"/>
    <w:rsid w:val="001E66E6"/>
    <w:rsid w:val="001E7161"/>
    <w:rsid w:val="001F05A4"/>
    <w:rsid w:val="001F22C7"/>
    <w:rsid w:val="001F39D9"/>
    <w:rsid w:val="001F3D4A"/>
    <w:rsid w:val="001F492E"/>
    <w:rsid w:val="001F59D7"/>
    <w:rsid w:val="001F64EF"/>
    <w:rsid w:val="001F6DA3"/>
    <w:rsid w:val="002010BC"/>
    <w:rsid w:val="002016E7"/>
    <w:rsid w:val="00202E03"/>
    <w:rsid w:val="002033B9"/>
    <w:rsid w:val="002043D0"/>
    <w:rsid w:val="0020492C"/>
    <w:rsid w:val="00204EC9"/>
    <w:rsid w:val="00206505"/>
    <w:rsid w:val="0020743F"/>
    <w:rsid w:val="00216C93"/>
    <w:rsid w:val="002211EB"/>
    <w:rsid w:val="00223025"/>
    <w:rsid w:val="00223051"/>
    <w:rsid w:val="00224DB9"/>
    <w:rsid w:val="0022569A"/>
    <w:rsid w:val="0023005C"/>
    <w:rsid w:val="00231012"/>
    <w:rsid w:val="00233775"/>
    <w:rsid w:val="0023414B"/>
    <w:rsid w:val="00237A86"/>
    <w:rsid w:val="00242E90"/>
    <w:rsid w:val="00243635"/>
    <w:rsid w:val="00247079"/>
    <w:rsid w:val="00251745"/>
    <w:rsid w:val="00253C11"/>
    <w:rsid w:val="002552BA"/>
    <w:rsid w:val="00260016"/>
    <w:rsid w:val="00262F70"/>
    <w:rsid w:val="00263AC0"/>
    <w:rsid w:val="00264264"/>
    <w:rsid w:val="0026689B"/>
    <w:rsid w:val="0026772D"/>
    <w:rsid w:val="00272C02"/>
    <w:rsid w:val="002730B2"/>
    <w:rsid w:val="00273355"/>
    <w:rsid w:val="002734D3"/>
    <w:rsid w:val="00274C7E"/>
    <w:rsid w:val="002777CF"/>
    <w:rsid w:val="002810F2"/>
    <w:rsid w:val="002837AC"/>
    <w:rsid w:val="00284B88"/>
    <w:rsid w:val="00286874"/>
    <w:rsid w:val="00290C63"/>
    <w:rsid w:val="00290F66"/>
    <w:rsid w:val="00291A99"/>
    <w:rsid w:val="00293B6D"/>
    <w:rsid w:val="00294B08"/>
    <w:rsid w:val="0029518C"/>
    <w:rsid w:val="002963DD"/>
    <w:rsid w:val="00296B65"/>
    <w:rsid w:val="00297474"/>
    <w:rsid w:val="002A2264"/>
    <w:rsid w:val="002A5C40"/>
    <w:rsid w:val="002A699D"/>
    <w:rsid w:val="002A7DEF"/>
    <w:rsid w:val="002B0696"/>
    <w:rsid w:val="002B4449"/>
    <w:rsid w:val="002B641F"/>
    <w:rsid w:val="002C0222"/>
    <w:rsid w:val="002C1499"/>
    <w:rsid w:val="002C233C"/>
    <w:rsid w:val="002C517B"/>
    <w:rsid w:val="002C7AAB"/>
    <w:rsid w:val="002D12CF"/>
    <w:rsid w:val="002D2307"/>
    <w:rsid w:val="002D3509"/>
    <w:rsid w:val="002D5457"/>
    <w:rsid w:val="002D581C"/>
    <w:rsid w:val="002D72E8"/>
    <w:rsid w:val="002D79AD"/>
    <w:rsid w:val="002E0B3D"/>
    <w:rsid w:val="002E268F"/>
    <w:rsid w:val="002E412C"/>
    <w:rsid w:val="002E78DD"/>
    <w:rsid w:val="002E7B22"/>
    <w:rsid w:val="002F12EC"/>
    <w:rsid w:val="002F5A99"/>
    <w:rsid w:val="002F7710"/>
    <w:rsid w:val="002F7986"/>
    <w:rsid w:val="00301B40"/>
    <w:rsid w:val="00301C82"/>
    <w:rsid w:val="003029EE"/>
    <w:rsid w:val="00304D38"/>
    <w:rsid w:val="00305CC8"/>
    <w:rsid w:val="00306A94"/>
    <w:rsid w:val="00307F6D"/>
    <w:rsid w:val="00311AEE"/>
    <w:rsid w:val="00314D83"/>
    <w:rsid w:val="0031571F"/>
    <w:rsid w:val="003177A2"/>
    <w:rsid w:val="00317E02"/>
    <w:rsid w:val="003260F0"/>
    <w:rsid w:val="003271B5"/>
    <w:rsid w:val="00327A1E"/>
    <w:rsid w:val="00327E28"/>
    <w:rsid w:val="00331264"/>
    <w:rsid w:val="00332F19"/>
    <w:rsid w:val="003338EB"/>
    <w:rsid w:val="00334C8D"/>
    <w:rsid w:val="00337511"/>
    <w:rsid w:val="003378BD"/>
    <w:rsid w:val="003424EA"/>
    <w:rsid w:val="00342C2F"/>
    <w:rsid w:val="003436EB"/>
    <w:rsid w:val="00343A18"/>
    <w:rsid w:val="00345744"/>
    <w:rsid w:val="003518B3"/>
    <w:rsid w:val="00353E79"/>
    <w:rsid w:val="0035762C"/>
    <w:rsid w:val="00364EA0"/>
    <w:rsid w:val="00366981"/>
    <w:rsid w:val="00370678"/>
    <w:rsid w:val="0037214E"/>
    <w:rsid w:val="00372C85"/>
    <w:rsid w:val="00373845"/>
    <w:rsid w:val="003744E3"/>
    <w:rsid w:val="00375F71"/>
    <w:rsid w:val="00376219"/>
    <w:rsid w:val="003764E8"/>
    <w:rsid w:val="0037663E"/>
    <w:rsid w:val="0037699E"/>
    <w:rsid w:val="00377A29"/>
    <w:rsid w:val="00377C69"/>
    <w:rsid w:val="0038415D"/>
    <w:rsid w:val="0038461C"/>
    <w:rsid w:val="003846F1"/>
    <w:rsid w:val="0039019C"/>
    <w:rsid w:val="00390E6A"/>
    <w:rsid w:val="00393ABE"/>
    <w:rsid w:val="00394D00"/>
    <w:rsid w:val="00395B67"/>
    <w:rsid w:val="00395DB6"/>
    <w:rsid w:val="00397398"/>
    <w:rsid w:val="00397922"/>
    <w:rsid w:val="003A371A"/>
    <w:rsid w:val="003A59CD"/>
    <w:rsid w:val="003A6B00"/>
    <w:rsid w:val="003B1414"/>
    <w:rsid w:val="003B30B2"/>
    <w:rsid w:val="003B484F"/>
    <w:rsid w:val="003B504B"/>
    <w:rsid w:val="003B5179"/>
    <w:rsid w:val="003B685C"/>
    <w:rsid w:val="003B7FBA"/>
    <w:rsid w:val="003C5A87"/>
    <w:rsid w:val="003C6537"/>
    <w:rsid w:val="003C6A13"/>
    <w:rsid w:val="003C764A"/>
    <w:rsid w:val="003C78BA"/>
    <w:rsid w:val="003D165E"/>
    <w:rsid w:val="003D41F1"/>
    <w:rsid w:val="003D42AB"/>
    <w:rsid w:val="003D5B94"/>
    <w:rsid w:val="003E0D3A"/>
    <w:rsid w:val="003E2D23"/>
    <w:rsid w:val="003E3AAB"/>
    <w:rsid w:val="003E7FE9"/>
    <w:rsid w:val="003F07D4"/>
    <w:rsid w:val="003F174D"/>
    <w:rsid w:val="003F2329"/>
    <w:rsid w:val="003F4804"/>
    <w:rsid w:val="00400FD2"/>
    <w:rsid w:val="004013F3"/>
    <w:rsid w:val="0040258B"/>
    <w:rsid w:val="00403711"/>
    <w:rsid w:val="00403720"/>
    <w:rsid w:val="00404C52"/>
    <w:rsid w:val="004156D5"/>
    <w:rsid w:val="00415BA9"/>
    <w:rsid w:val="00415F31"/>
    <w:rsid w:val="0041691D"/>
    <w:rsid w:val="0042000C"/>
    <w:rsid w:val="0042090E"/>
    <w:rsid w:val="004212BE"/>
    <w:rsid w:val="00421F27"/>
    <w:rsid w:val="00423487"/>
    <w:rsid w:val="004238D8"/>
    <w:rsid w:val="00423A77"/>
    <w:rsid w:val="00425950"/>
    <w:rsid w:val="004324F4"/>
    <w:rsid w:val="00434544"/>
    <w:rsid w:val="004400FE"/>
    <w:rsid w:val="00441F4E"/>
    <w:rsid w:val="00445C3E"/>
    <w:rsid w:val="00445D43"/>
    <w:rsid w:val="00446CD2"/>
    <w:rsid w:val="004523B2"/>
    <w:rsid w:val="004533F5"/>
    <w:rsid w:val="00455FA8"/>
    <w:rsid w:val="00456D7B"/>
    <w:rsid w:val="0045777E"/>
    <w:rsid w:val="00460BF1"/>
    <w:rsid w:val="00465258"/>
    <w:rsid w:val="00471BC6"/>
    <w:rsid w:val="00473C12"/>
    <w:rsid w:val="00475D3A"/>
    <w:rsid w:val="00476221"/>
    <w:rsid w:val="004766F5"/>
    <w:rsid w:val="00480B4B"/>
    <w:rsid w:val="004838D8"/>
    <w:rsid w:val="00485DC4"/>
    <w:rsid w:val="004918DD"/>
    <w:rsid w:val="00494D04"/>
    <w:rsid w:val="004A40BA"/>
    <w:rsid w:val="004A43D1"/>
    <w:rsid w:val="004A492B"/>
    <w:rsid w:val="004B2D40"/>
    <w:rsid w:val="004B4412"/>
    <w:rsid w:val="004B6269"/>
    <w:rsid w:val="004B65BF"/>
    <w:rsid w:val="004C348C"/>
    <w:rsid w:val="004C462E"/>
    <w:rsid w:val="004C5210"/>
    <w:rsid w:val="004C6CA3"/>
    <w:rsid w:val="004C7F5E"/>
    <w:rsid w:val="004D343C"/>
    <w:rsid w:val="004D372A"/>
    <w:rsid w:val="004D55BA"/>
    <w:rsid w:val="004D720C"/>
    <w:rsid w:val="004E0FA7"/>
    <w:rsid w:val="004E22EC"/>
    <w:rsid w:val="004F058A"/>
    <w:rsid w:val="004F0BFA"/>
    <w:rsid w:val="004F13DA"/>
    <w:rsid w:val="004F4D69"/>
    <w:rsid w:val="004F6883"/>
    <w:rsid w:val="004F6A0E"/>
    <w:rsid w:val="004F6BB3"/>
    <w:rsid w:val="005009CD"/>
    <w:rsid w:val="00504E5F"/>
    <w:rsid w:val="0051337E"/>
    <w:rsid w:val="00513D66"/>
    <w:rsid w:val="00513FA7"/>
    <w:rsid w:val="0051768F"/>
    <w:rsid w:val="00520CEF"/>
    <w:rsid w:val="00522DC2"/>
    <w:rsid w:val="00530128"/>
    <w:rsid w:val="0053117B"/>
    <w:rsid w:val="00532467"/>
    <w:rsid w:val="005332A9"/>
    <w:rsid w:val="00533C91"/>
    <w:rsid w:val="0053493E"/>
    <w:rsid w:val="0053603C"/>
    <w:rsid w:val="00537871"/>
    <w:rsid w:val="00542077"/>
    <w:rsid w:val="0054232F"/>
    <w:rsid w:val="00542FE9"/>
    <w:rsid w:val="00544598"/>
    <w:rsid w:val="00544C8D"/>
    <w:rsid w:val="00544DFD"/>
    <w:rsid w:val="00556B1E"/>
    <w:rsid w:val="0056045B"/>
    <w:rsid w:val="00564A4D"/>
    <w:rsid w:val="0056598C"/>
    <w:rsid w:val="00566E0B"/>
    <w:rsid w:val="00567BA5"/>
    <w:rsid w:val="00571B35"/>
    <w:rsid w:val="00571B43"/>
    <w:rsid w:val="00571D57"/>
    <w:rsid w:val="00573A3B"/>
    <w:rsid w:val="00577716"/>
    <w:rsid w:val="00577A09"/>
    <w:rsid w:val="005815CA"/>
    <w:rsid w:val="005829C2"/>
    <w:rsid w:val="00582F11"/>
    <w:rsid w:val="00584D8F"/>
    <w:rsid w:val="00587A18"/>
    <w:rsid w:val="00587ADE"/>
    <w:rsid w:val="005A0351"/>
    <w:rsid w:val="005A0BEC"/>
    <w:rsid w:val="005A404D"/>
    <w:rsid w:val="005A6B51"/>
    <w:rsid w:val="005B08F8"/>
    <w:rsid w:val="005B1E3C"/>
    <w:rsid w:val="005B6518"/>
    <w:rsid w:val="005B704A"/>
    <w:rsid w:val="005B72D7"/>
    <w:rsid w:val="005C045F"/>
    <w:rsid w:val="005C16FE"/>
    <w:rsid w:val="005C1FAB"/>
    <w:rsid w:val="005C21A4"/>
    <w:rsid w:val="005C26CC"/>
    <w:rsid w:val="005C4463"/>
    <w:rsid w:val="005D3D88"/>
    <w:rsid w:val="005D4692"/>
    <w:rsid w:val="005D48C4"/>
    <w:rsid w:val="005D6208"/>
    <w:rsid w:val="005D6366"/>
    <w:rsid w:val="005D7BA2"/>
    <w:rsid w:val="005E36C2"/>
    <w:rsid w:val="005E4AF4"/>
    <w:rsid w:val="005F0101"/>
    <w:rsid w:val="005F387E"/>
    <w:rsid w:val="005F73CF"/>
    <w:rsid w:val="00601E0B"/>
    <w:rsid w:val="0060258B"/>
    <w:rsid w:val="00603E97"/>
    <w:rsid w:val="00610EF9"/>
    <w:rsid w:val="00611B0E"/>
    <w:rsid w:val="00612F4F"/>
    <w:rsid w:val="00614EA0"/>
    <w:rsid w:val="00615C6B"/>
    <w:rsid w:val="006177A6"/>
    <w:rsid w:val="00617D4C"/>
    <w:rsid w:val="00621DCE"/>
    <w:rsid w:val="00621FC5"/>
    <w:rsid w:val="00624D57"/>
    <w:rsid w:val="00624F2C"/>
    <w:rsid w:val="00626480"/>
    <w:rsid w:val="00631CFA"/>
    <w:rsid w:val="00632D6D"/>
    <w:rsid w:val="006345FD"/>
    <w:rsid w:val="00636569"/>
    <w:rsid w:val="00636E1B"/>
    <w:rsid w:val="00636E1F"/>
    <w:rsid w:val="00636EF9"/>
    <w:rsid w:val="0064261A"/>
    <w:rsid w:val="00642C3E"/>
    <w:rsid w:val="00644A01"/>
    <w:rsid w:val="006469E2"/>
    <w:rsid w:val="00646E62"/>
    <w:rsid w:val="006507A9"/>
    <w:rsid w:val="00651E2D"/>
    <w:rsid w:val="00652324"/>
    <w:rsid w:val="006577FB"/>
    <w:rsid w:val="0066104A"/>
    <w:rsid w:val="00663066"/>
    <w:rsid w:val="00663DAD"/>
    <w:rsid w:val="00664206"/>
    <w:rsid w:val="006649E7"/>
    <w:rsid w:val="00666634"/>
    <w:rsid w:val="00671692"/>
    <w:rsid w:val="00675E20"/>
    <w:rsid w:val="00676679"/>
    <w:rsid w:val="00682F2E"/>
    <w:rsid w:val="00683C89"/>
    <w:rsid w:val="00691B53"/>
    <w:rsid w:val="00693E77"/>
    <w:rsid w:val="00697D0B"/>
    <w:rsid w:val="006A12BA"/>
    <w:rsid w:val="006A4739"/>
    <w:rsid w:val="006A66A1"/>
    <w:rsid w:val="006B032D"/>
    <w:rsid w:val="006B2395"/>
    <w:rsid w:val="006B2D44"/>
    <w:rsid w:val="006B40AC"/>
    <w:rsid w:val="006B4CF9"/>
    <w:rsid w:val="006B797C"/>
    <w:rsid w:val="006B7AC8"/>
    <w:rsid w:val="006C1736"/>
    <w:rsid w:val="006C2768"/>
    <w:rsid w:val="006C2BCD"/>
    <w:rsid w:val="006C329B"/>
    <w:rsid w:val="006C5BEA"/>
    <w:rsid w:val="006C6303"/>
    <w:rsid w:val="006D550F"/>
    <w:rsid w:val="006D6146"/>
    <w:rsid w:val="006D7F7E"/>
    <w:rsid w:val="006E0CFF"/>
    <w:rsid w:val="006E33D8"/>
    <w:rsid w:val="006F0D92"/>
    <w:rsid w:val="006F267D"/>
    <w:rsid w:val="0070011E"/>
    <w:rsid w:val="00701CAB"/>
    <w:rsid w:val="007022DC"/>
    <w:rsid w:val="007023BB"/>
    <w:rsid w:val="00703105"/>
    <w:rsid w:val="0070344D"/>
    <w:rsid w:val="00704DD7"/>
    <w:rsid w:val="00707563"/>
    <w:rsid w:val="007114CA"/>
    <w:rsid w:val="00715F61"/>
    <w:rsid w:val="007201E8"/>
    <w:rsid w:val="00722132"/>
    <w:rsid w:val="007228F7"/>
    <w:rsid w:val="0072348C"/>
    <w:rsid w:val="00724A37"/>
    <w:rsid w:val="007303C3"/>
    <w:rsid w:val="0073092B"/>
    <w:rsid w:val="00731188"/>
    <w:rsid w:val="007356CC"/>
    <w:rsid w:val="007368E6"/>
    <w:rsid w:val="007375DF"/>
    <w:rsid w:val="0073791E"/>
    <w:rsid w:val="007429BE"/>
    <w:rsid w:val="00743223"/>
    <w:rsid w:val="00743349"/>
    <w:rsid w:val="0074403A"/>
    <w:rsid w:val="00746E01"/>
    <w:rsid w:val="0075017A"/>
    <w:rsid w:val="00751DCD"/>
    <w:rsid w:val="00755084"/>
    <w:rsid w:val="00757364"/>
    <w:rsid w:val="00757A77"/>
    <w:rsid w:val="00757BDF"/>
    <w:rsid w:val="007609D0"/>
    <w:rsid w:val="00761454"/>
    <w:rsid w:val="0076193D"/>
    <w:rsid w:val="00763E5D"/>
    <w:rsid w:val="00767740"/>
    <w:rsid w:val="00767B5E"/>
    <w:rsid w:val="00770064"/>
    <w:rsid w:val="00770A8A"/>
    <w:rsid w:val="00775460"/>
    <w:rsid w:val="00777EE6"/>
    <w:rsid w:val="00780B07"/>
    <w:rsid w:val="00782EEA"/>
    <w:rsid w:val="00785B45"/>
    <w:rsid w:val="00786CA4"/>
    <w:rsid w:val="007878F6"/>
    <w:rsid w:val="007909B4"/>
    <w:rsid w:val="00790E86"/>
    <w:rsid w:val="007949D7"/>
    <w:rsid w:val="0079769A"/>
    <w:rsid w:val="007A0143"/>
    <w:rsid w:val="007A3345"/>
    <w:rsid w:val="007A34C2"/>
    <w:rsid w:val="007A396C"/>
    <w:rsid w:val="007A4B02"/>
    <w:rsid w:val="007B0BE3"/>
    <w:rsid w:val="007B1816"/>
    <w:rsid w:val="007B186E"/>
    <w:rsid w:val="007B1C84"/>
    <w:rsid w:val="007B25DC"/>
    <w:rsid w:val="007B2C72"/>
    <w:rsid w:val="007B3789"/>
    <w:rsid w:val="007B5B26"/>
    <w:rsid w:val="007B651F"/>
    <w:rsid w:val="007B7BB5"/>
    <w:rsid w:val="007C07B4"/>
    <w:rsid w:val="007C1C53"/>
    <w:rsid w:val="007C284C"/>
    <w:rsid w:val="007C2935"/>
    <w:rsid w:val="007C4B82"/>
    <w:rsid w:val="007C74BB"/>
    <w:rsid w:val="007C7F64"/>
    <w:rsid w:val="007D0518"/>
    <w:rsid w:val="007D069E"/>
    <w:rsid w:val="007D0A95"/>
    <w:rsid w:val="007D0EB5"/>
    <w:rsid w:val="007D456E"/>
    <w:rsid w:val="007D5837"/>
    <w:rsid w:val="007D6D75"/>
    <w:rsid w:val="007D79AD"/>
    <w:rsid w:val="007D7AB7"/>
    <w:rsid w:val="007E4904"/>
    <w:rsid w:val="007E4CB5"/>
    <w:rsid w:val="007E4DAE"/>
    <w:rsid w:val="007F066B"/>
    <w:rsid w:val="007F4EAB"/>
    <w:rsid w:val="007F5B16"/>
    <w:rsid w:val="007F7C9D"/>
    <w:rsid w:val="008033C4"/>
    <w:rsid w:val="00806731"/>
    <w:rsid w:val="00806C88"/>
    <w:rsid w:val="0081034E"/>
    <w:rsid w:val="00810806"/>
    <w:rsid w:val="00815882"/>
    <w:rsid w:val="00820454"/>
    <w:rsid w:val="0082094E"/>
    <w:rsid w:val="00822AC7"/>
    <w:rsid w:val="00822E86"/>
    <w:rsid w:val="008344F6"/>
    <w:rsid w:val="0083510F"/>
    <w:rsid w:val="00837BF3"/>
    <w:rsid w:val="008415DE"/>
    <w:rsid w:val="008420DE"/>
    <w:rsid w:val="00845865"/>
    <w:rsid w:val="00846DE7"/>
    <w:rsid w:val="0084799B"/>
    <w:rsid w:val="00847B36"/>
    <w:rsid w:val="00850C90"/>
    <w:rsid w:val="00851209"/>
    <w:rsid w:val="0085171F"/>
    <w:rsid w:val="0085372E"/>
    <w:rsid w:val="00856A10"/>
    <w:rsid w:val="008575D5"/>
    <w:rsid w:val="008658A1"/>
    <w:rsid w:val="0086716A"/>
    <w:rsid w:val="00870613"/>
    <w:rsid w:val="0087380F"/>
    <w:rsid w:val="00875B40"/>
    <w:rsid w:val="0087648F"/>
    <w:rsid w:val="00876612"/>
    <w:rsid w:val="0087718C"/>
    <w:rsid w:val="00882BB1"/>
    <w:rsid w:val="008837AC"/>
    <w:rsid w:val="00885799"/>
    <w:rsid w:val="008909DC"/>
    <w:rsid w:val="00894255"/>
    <w:rsid w:val="008945AD"/>
    <w:rsid w:val="00896D92"/>
    <w:rsid w:val="008A0645"/>
    <w:rsid w:val="008A1C02"/>
    <w:rsid w:val="008A370D"/>
    <w:rsid w:val="008A4057"/>
    <w:rsid w:val="008A587D"/>
    <w:rsid w:val="008B1646"/>
    <w:rsid w:val="008B16B0"/>
    <w:rsid w:val="008B1BD5"/>
    <w:rsid w:val="008B35CD"/>
    <w:rsid w:val="008B4093"/>
    <w:rsid w:val="008B5FCC"/>
    <w:rsid w:val="008B6A2F"/>
    <w:rsid w:val="008B7F36"/>
    <w:rsid w:val="008C357F"/>
    <w:rsid w:val="008C5486"/>
    <w:rsid w:val="008D02F0"/>
    <w:rsid w:val="008D1661"/>
    <w:rsid w:val="008D27E0"/>
    <w:rsid w:val="008D5F90"/>
    <w:rsid w:val="008D609E"/>
    <w:rsid w:val="008D6800"/>
    <w:rsid w:val="008D72F1"/>
    <w:rsid w:val="008E1691"/>
    <w:rsid w:val="008E4089"/>
    <w:rsid w:val="008E5AFF"/>
    <w:rsid w:val="008E7031"/>
    <w:rsid w:val="008E77DE"/>
    <w:rsid w:val="008F040C"/>
    <w:rsid w:val="008F07A3"/>
    <w:rsid w:val="008F271D"/>
    <w:rsid w:val="008F3322"/>
    <w:rsid w:val="008F3519"/>
    <w:rsid w:val="008F3A0D"/>
    <w:rsid w:val="008F78AD"/>
    <w:rsid w:val="009001B6"/>
    <w:rsid w:val="00900E1B"/>
    <w:rsid w:val="00900E51"/>
    <w:rsid w:val="0090131F"/>
    <w:rsid w:val="00902A60"/>
    <w:rsid w:val="009069BD"/>
    <w:rsid w:val="00907683"/>
    <w:rsid w:val="0091035C"/>
    <w:rsid w:val="009132B7"/>
    <w:rsid w:val="009164B9"/>
    <w:rsid w:val="00916A2C"/>
    <w:rsid w:val="009233EE"/>
    <w:rsid w:val="00925C1E"/>
    <w:rsid w:val="00927147"/>
    <w:rsid w:val="00930B1A"/>
    <w:rsid w:val="00932612"/>
    <w:rsid w:val="009327DC"/>
    <w:rsid w:val="009338D9"/>
    <w:rsid w:val="009339BD"/>
    <w:rsid w:val="0093426A"/>
    <w:rsid w:val="009356CF"/>
    <w:rsid w:val="009419AE"/>
    <w:rsid w:val="00945E53"/>
    <w:rsid w:val="009460AA"/>
    <w:rsid w:val="00951978"/>
    <w:rsid w:val="00952C8B"/>
    <w:rsid w:val="009577C6"/>
    <w:rsid w:val="009609E4"/>
    <w:rsid w:val="00961A4A"/>
    <w:rsid w:val="00961F79"/>
    <w:rsid w:val="00964FD6"/>
    <w:rsid w:val="00965241"/>
    <w:rsid w:val="009661DE"/>
    <w:rsid w:val="00972C7C"/>
    <w:rsid w:val="009776F4"/>
    <w:rsid w:val="0098240E"/>
    <w:rsid w:val="00982DA2"/>
    <w:rsid w:val="00983C25"/>
    <w:rsid w:val="0098466D"/>
    <w:rsid w:val="00984E43"/>
    <w:rsid w:val="009856B7"/>
    <w:rsid w:val="009859D6"/>
    <w:rsid w:val="00985C86"/>
    <w:rsid w:val="009A5FC3"/>
    <w:rsid w:val="009A7FE9"/>
    <w:rsid w:val="009B6F84"/>
    <w:rsid w:val="009B74B0"/>
    <w:rsid w:val="009C0152"/>
    <w:rsid w:val="009C1A74"/>
    <w:rsid w:val="009C3D42"/>
    <w:rsid w:val="009C491E"/>
    <w:rsid w:val="009C74CF"/>
    <w:rsid w:val="009D0DF1"/>
    <w:rsid w:val="009D22D6"/>
    <w:rsid w:val="009D2C84"/>
    <w:rsid w:val="009D3906"/>
    <w:rsid w:val="009D3AFA"/>
    <w:rsid w:val="009D5E35"/>
    <w:rsid w:val="009D677D"/>
    <w:rsid w:val="009D6B46"/>
    <w:rsid w:val="009D769E"/>
    <w:rsid w:val="009E35B6"/>
    <w:rsid w:val="009E492A"/>
    <w:rsid w:val="009E5ABC"/>
    <w:rsid w:val="009F3BBA"/>
    <w:rsid w:val="009F43B4"/>
    <w:rsid w:val="009F4940"/>
    <w:rsid w:val="009F5BA1"/>
    <w:rsid w:val="00A02A88"/>
    <w:rsid w:val="00A04012"/>
    <w:rsid w:val="00A046FA"/>
    <w:rsid w:val="00A0562E"/>
    <w:rsid w:val="00A0726D"/>
    <w:rsid w:val="00A07369"/>
    <w:rsid w:val="00A073AE"/>
    <w:rsid w:val="00A12204"/>
    <w:rsid w:val="00A12750"/>
    <w:rsid w:val="00A13CB0"/>
    <w:rsid w:val="00A1561F"/>
    <w:rsid w:val="00A16544"/>
    <w:rsid w:val="00A2503A"/>
    <w:rsid w:val="00A30BF5"/>
    <w:rsid w:val="00A31BE6"/>
    <w:rsid w:val="00A32FBB"/>
    <w:rsid w:val="00A3548E"/>
    <w:rsid w:val="00A40068"/>
    <w:rsid w:val="00A40BE9"/>
    <w:rsid w:val="00A428EE"/>
    <w:rsid w:val="00A443C2"/>
    <w:rsid w:val="00A4478A"/>
    <w:rsid w:val="00A44852"/>
    <w:rsid w:val="00A50502"/>
    <w:rsid w:val="00A5087B"/>
    <w:rsid w:val="00A53409"/>
    <w:rsid w:val="00A53796"/>
    <w:rsid w:val="00A53848"/>
    <w:rsid w:val="00A55151"/>
    <w:rsid w:val="00A56945"/>
    <w:rsid w:val="00A56A6E"/>
    <w:rsid w:val="00A57D04"/>
    <w:rsid w:val="00A60A26"/>
    <w:rsid w:val="00A61598"/>
    <w:rsid w:val="00A61777"/>
    <w:rsid w:val="00A6197A"/>
    <w:rsid w:val="00A61C07"/>
    <w:rsid w:val="00A63646"/>
    <w:rsid w:val="00A63914"/>
    <w:rsid w:val="00A72499"/>
    <w:rsid w:val="00A735CF"/>
    <w:rsid w:val="00A7391F"/>
    <w:rsid w:val="00A742C3"/>
    <w:rsid w:val="00A75782"/>
    <w:rsid w:val="00A81D60"/>
    <w:rsid w:val="00A81F8C"/>
    <w:rsid w:val="00A83127"/>
    <w:rsid w:val="00A84A99"/>
    <w:rsid w:val="00A84F46"/>
    <w:rsid w:val="00A85649"/>
    <w:rsid w:val="00A85E87"/>
    <w:rsid w:val="00A86842"/>
    <w:rsid w:val="00A86AEA"/>
    <w:rsid w:val="00A871F4"/>
    <w:rsid w:val="00A9431A"/>
    <w:rsid w:val="00A95988"/>
    <w:rsid w:val="00A959DF"/>
    <w:rsid w:val="00A97A1B"/>
    <w:rsid w:val="00A97F34"/>
    <w:rsid w:val="00AA2927"/>
    <w:rsid w:val="00AA4D01"/>
    <w:rsid w:val="00AA5870"/>
    <w:rsid w:val="00AB2CB8"/>
    <w:rsid w:val="00AB4617"/>
    <w:rsid w:val="00AC0460"/>
    <w:rsid w:val="00AC1B2C"/>
    <w:rsid w:val="00AC3264"/>
    <w:rsid w:val="00AC3F76"/>
    <w:rsid w:val="00AC46AD"/>
    <w:rsid w:val="00AC4D2D"/>
    <w:rsid w:val="00AC58EC"/>
    <w:rsid w:val="00AC7282"/>
    <w:rsid w:val="00AC7961"/>
    <w:rsid w:val="00AD2172"/>
    <w:rsid w:val="00AD314E"/>
    <w:rsid w:val="00AD55C1"/>
    <w:rsid w:val="00AD5FCD"/>
    <w:rsid w:val="00AD6B48"/>
    <w:rsid w:val="00AD7A3A"/>
    <w:rsid w:val="00AE1BF1"/>
    <w:rsid w:val="00AE23AB"/>
    <w:rsid w:val="00AE3070"/>
    <w:rsid w:val="00AE58FB"/>
    <w:rsid w:val="00AE5AF0"/>
    <w:rsid w:val="00AE663D"/>
    <w:rsid w:val="00AE73B3"/>
    <w:rsid w:val="00AF07E7"/>
    <w:rsid w:val="00AF0DD2"/>
    <w:rsid w:val="00AF31E1"/>
    <w:rsid w:val="00AF3BBA"/>
    <w:rsid w:val="00AF4231"/>
    <w:rsid w:val="00B00752"/>
    <w:rsid w:val="00B00B0E"/>
    <w:rsid w:val="00B00B26"/>
    <w:rsid w:val="00B02385"/>
    <w:rsid w:val="00B02F9D"/>
    <w:rsid w:val="00B05766"/>
    <w:rsid w:val="00B13048"/>
    <w:rsid w:val="00B13883"/>
    <w:rsid w:val="00B1716D"/>
    <w:rsid w:val="00B17A1D"/>
    <w:rsid w:val="00B207A0"/>
    <w:rsid w:val="00B21C21"/>
    <w:rsid w:val="00B22F54"/>
    <w:rsid w:val="00B23918"/>
    <w:rsid w:val="00B24A7E"/>
    <w:rsid w:val="00B25C0C"/>
    <w:rsid w:val="00B304B5"/>
    <w:rsid w:val="00B308A9"/>
    <w:rsid w:val="00B30B34"/>
    <w:rsid w:val="00B31047"/>
    <w:rsid w:val="00B33148"/>
    <w:rsid w:val="00B34173"/>
    <w:rsid w:val="00B35CDF"/>
    <w:rsid w:val="00B36519"/>
    <w:rsid w:val="00B403C2"/>
    <w:rsid w:val="00B405A1"/>
    <w:rsid w:val="00B42AC6"/>
    <w:rsid w:val="00B4438A"/>
    <w:rsid w:val="00B45AA2"/>
    <w:rsid w:val="00B479CA"/>
    <w:rsid w:val="00B5084F"/>
    <w:rsid w:val="00B514DD"/>
    <w:rsid w:val="00B52359"/>
    <w:rsid w:val="00B52AF0"/>
    <w:rsid w:val="00B53D5F"/>
    <w:rsid w:val="00B54051"/>
    <w:rsid w:val="00B561BD"/>
    <w:rsid w:val="00B56E03"/>
    <w:rsid w:val="00B62765"/>
    <w:rsid w:val="00B65DF5"/>
    <w:rsid w:val="00B75657"/>
    <w:rsid w:val="00B75A29"/>
    <w:rsid w:val="00B7679F"/>
    <w:rsid w:val="00B77159"/>
    <w:rsid w:val="00B8080B"/>
    <w:rsid w:val="00B82223"/>
    <w:rsid w:val="00B85289"/>
    <w:rsid w:val="00B85B7A"/>
    <w:rsid w:val="00B86BB4"/>
    <w:rsid w:val="00B87BA5"/>
    <w:rsid w:val="00B87C39"/>
    <w:rsid w:val="00B93891"/>
    <w:rsid w:val="00B9562D"/>
    <w:rsid w:val="00BA21DA"/>
    <w:rsid w:val="00BA2B60"/>
    <w:rsid w:val="00BA2E8E"/>
    <w:rsid w:val="00BA3C93"/>
    <w:rsid w:val="00BA4665"/>
    <w:rsid w:val="00BA7C23"/>
    <w:rsid w:val="00BA7FD7"/>
    <w:rsid w:val="00BB07DF"/>
    <w:rsid w:val="00BB1681"/>
    <w:rsid w:val="00BB2FB2"/>
    <w:rsid w:val="00BB3304"/>
    <w:rsid w:val="00BB6551"/>
    <w:rsid w:val="00BC2BDA"/>
    <w:rsid w:val="00BC3ED9"/>
    <w:rsid w:val="00BC4A10"/>
    <w:rsid w:val="00BD30F4"/>
    <w:rsid w:val="00BD3446"/>
    <w:rsid w:val="00BD59CF"/>
    <w:rsid w:val="00BD619A"/>
    <w:rsid w:val="00BE1312"/>
    <w:rsid w:val="00BE1F1B"/>
    <w:rsid w:val="00BE3F89"/>
    <w:rsid w:val="00BE47B5"/>
    <w:rsid w:val="00BE5FCE"/>
    <w:rsid w:val="00BE7C02"/>
    <w:rsid w:val="00BF7C8D"/>
    <w:rsid w:val="00C0079E"/>
    <w:rsid w:val="00C0572A"/>
    <w:rsid w:val="00C13EBD"/>
    <w:rsid w:val="00C1631B"/>
    <w:rsid w:val="00C163AB"/>
    <w:rsid w:val="00C170F0"/>
    <w:rsid w:val="00C25962"/>
    <w:rsid w:val="00C25FA6"/>
    <w:rsid w:val="00C27F06"/>
    <w:rsid w:val="00C3099D"/>
    <w:rsid w:val="00C33011"/>
    <w:rsid w:val="00C343A2"/>
    <w:rsid w:val="00C362C1"/>
    <w:rsid w:val="00C41950"/>
    <w:rsid w:val="00C41A59"/>
    <w:rsid w:val="00C42C3B"/>
    <w:rsid w:val="00C42C9A"/>
    <w:rsid w:val="00C51672"/>
    <w:rsid w:val="00C53161"/>
    <w:rsid w:val="00C538A9"/>
    <w:rsid w:val="00C53B5A"/>
    <w:rsid w:val="00C53CB4"/>
    <w:rsid w:val="00C53E41"/>
    <w:rsid w:val="00C54909"/>
    <w:rsid w:val="00C54AF3"/>
    <w:rsid w:val="00C54F5A"/>
    <w:rsid w:val="00C55B20"/>
    <w:rsid w:val="00C569B4"/>
    <w:rsid w:val="00C57DDE"/>
    <w:rsid w:val="00C61468"/>
    <w:rsid w:val="00C61A97"/>
    <w:rsid w:val="00C61E44"/>
    <w:rsid w:val="00C64FF3"/>
    <w:rsid w:val="00C659DF"/>
    <w:rsid w:val="00C662AD"/>
    <w:rsid w:val="00C666BF"/>
    <w:rsid w:val="00C67A92"/>
    <w:rsid w:val="00C71280"/>
    <w:rsid w:val="00C717BF"/>
    <w:rsid w:val="00C74F7B"/>
    <w:rsid w:val="00C75E3E"/>
    <w:rsid w:val="00C76178"/>
    <w:rsid w:val="00C819A5"/>
    <w:rsid w:val="00C84560"/>
    <w:rsid w:val="00C86679"/>
    <w:rsid w:val="00C8792F"/>
    <w:rsid w:val="00C90472"/>
    <w:rsid w:val="00C91D6E"/>
    <w:rsid w:val="00C9679C"/>
    <w:rsid w:val="00CA489E"/>
    <w:rsid w:val="00CB0279"/>
    <w:rsid w:val="00CB666B"/>
    <w:rsid w:val="00CB734B"/>
    <w:rsid w:val="00CC0110"/>
    <w:rsid w:val="00CC058C"/>
    <w:rsid w:val="00CC1A68"/>
    <w:rsid w:val="00CC3760"/>
    <w:rsid w:val="00CC41B6"/>
    <w:rsid w:val="00CC4D73"/>
    <w:rsid w:val="00CC7ADA"/>
    <w:rsid w:val="00CC7F1D"/>
    <w:rsid w:val="00CD0A88"/>
    <w:rsid w:val="00CD125D"/>
    <w:rsid w:val="00CD283C"/>
    <w:rsid w:val="00CD3641"/>
    <w:rsid w:val="00CD66EA"/>
    <w:rsid w:val="00CD7432"/>
    <w:rsid w:val="00CE0FA5"/>
    <w:rsid w:val="00CE2A23"/>
    <w:rsid w:val="00CE31C8"/>
    <w:rsid w:val="00CE35D2"/>
    <w:rsid w:val="00CE484B"/>
    <w:rsid w:val="00CE7CBA"/>
    <w:rsid w:val="00CF0DEE"/>
    <w:rsid w:val="00CF2333"/>
    <w:rsid w:val="00CF42AA"/>
    <w:rsid w:val="00CF5EAA"/>
    <w:rsid w:val="00CF6AE3"/>
    <w:rsid w:val="00CF77BB"/>
    <w:rsid w:val="00CF7A90"/>
    <w:rsid w:val="00D006AE"/>
    <w:rsid w:val="00D00905"/>
    <w:rsid w:val="00D00EEF"/>
    <w:rsid w:val="00D010C1"/>
    <w:rsid w:val="00D01CF0"/>
    <w:rsid w:val="00D0247E"/>
    <w:rsid w:val="00D0442A"/>
    <w:rsid w:val="00D07840"/>
    <w:rsid w:val="00D1027A"/>
    <w:rsid w:val="00D12A7B"/>
    <w:rsid w:val="00D12ADB"/>
    <w:rsid w:val="00D13C04"/>
    <w:rsid w:val="00D15E63"/>
    <w:rsid w:val="00D22F03"/>
    <w:rsid w:val="00D25A39"/>
    <w:rsid w:val="00D27CFA"/>
    <w:rsid w:val="00D310FA"/>
    <w:rsid w:val="00D325C6"/>
    <w:rsid w:val="00D3455A"/>
    <w:rsid w:val="00D37213"/>
    <w:rsid w:val="00D4360D"/>
    <w:rsid w:val="00D51D30"/>
    <w:rsid w:val="00D5607F"/>
    <w:rsid w:val="00D61388"/>
    <w:rsid w:val="00D61A54"/>
    <w:rsid w:val="00D62108"/>
    <w:rsid w:val="00D64AA4"/>
    <w:rsid w:val="00D64DEA"/>
    <w:rsid w:val="00D64F84"/>
    <w:rsid w:val="00D663CD"/>
    <w:rsid w:val="00D6726A"/>
    <w:rsid w:val="00D7001B"/>
    <w:rsid w:val="00D7160D"/>
    <w:rsid w:val="00D7168E"/>
    <w:rsid w:val="00D71E57"/>
    <w:rsid w:val="00D72D27"/>
    <w:rsid w:val="00D7786B"/>
    <w:rsid w:val="00D80893"/>
    <w:rsid w:val="00D82519"/>
    <w:rsid w:val="00D84854"/>
    <w:rsid w:val="00D875C3"/>
    <w:rsid w:val="00D924AE"/>
    <w:rsid w:val="00D92CF1"/>
    <w:rsid w:val="00D92D38"/>
    <w:rsid w:val="00D9309B"/>
    <w:rsid w:val="00D950F5"/>
    <w:rsid w:val="00D97379"/>
    <w:rsid w:val="00DA4752"/>
    <w:rsid w:val="00DA4C09"/>
    <w:rsid w:val="00DA61F3"/>
    <w:rsid w:val="00DA739B"/>
    <w:rsid w:val="00DA74DC"/>
    <w:rsid w:val="00DA7CB3"/>
    <w:rsid w:val="00DB0499"/>
    <w:rsid w:val="00DB0D00"/>
    <w:rsid w:val="00DB0F93"/>
    <w:rsid w:val="00DB1A67"/>
    <w:rsid w:val="00DB3721"/>
    <w:rsid w:val="00DB4E34"/>
    <w:rsid w:val="00DB5074"/>
    <w:rsid w:val="00DC0281"/>
    <w:rsid w:val="00DC1930"/>
    <w:rsid w:val="00DC1C76"/>
    <w:rsid w:val="00DC4DBF"/>
    <w:rsid w:val="00DC4E19"/>
    <w:rsid w:val="00DC65FE"/>
    <w:rsid w:val="00DC7981"/>
    <w:rsid w:val="00DD2550"/>
    <w:rsid w:val="00DD2E09"/>
    <w:rsid w:val="00DD32A1"/>
    <w:rsid w:val="00DD4C07"/>
    <w:rsid w:val="00DD577D"/>
    <w:rsid w:val="00DD5ADC"/>
    <w:rsid w:val="00DD5CC6"/>
    <w:rsid w:val="00DE1093"/>
    <w:rsid w:val="00DE15BA"/>
    <w:rsid w:val="00DE4EFA"/>
    <w:rsid w:val="00DE5520"/>
    <w:rsid w:val="00DE563D"/>
    <w:rsid w:val="00DE7AB5"/>
    <w:rsid w:val="00DF0152"/>
    <w:rsid w:val="00DF1958"/>
    <w:rsid w:val="00DF4FBE"/>
    <w:rsid w:val="00E04818"/>
    <w:rsid w:val="00E06442"/>
    <w:rsid w:val="00E06952"/>
    <w:rsid w:val="00E11E61"/>
    <w:rsid w:val="00E157B2"/>
    <w:rsid w:val="00E15ACC"/>
    <w:rsid w:val="00E16055"/>
    <w:rsid w:val="00E2025D"/>
    <w:rsid w:val="00E2332D"/>
    <w:rsid w:val="00E23993"/>
    <w:rsid w:val="00E2574F"/>
    <w:rsid w:val="00E25951"/>
    <w:rsid w:val="00E25B8C"/>
    <w:rsid w:val="00E26DA3"/>
    <w:rsid w:val="00E30BB4"/>
    <w:rsid w:val="00E31CF6"/>
    <w:rsid w:val="00E34A4A"/>
    <w:rsid w:val="00E35AFC"/>
    <w:rsid w:val="00E41D39"/>
    <w:rsid w:val="00E44852"/>
    <w:rsid w:val="00E50A02"/>
    <w:rsid w:val="00E54106"/>
    <w:rsid w:val="00E54697"/>
    <w:rsid w:val="00E56AD3"/>
    <w:rsid w:val="00E57A08"/>
    <w:rsid w:val="00E613F0"/>
    <w:rsid w:val="00E63631"/>
    <w:rsid w:val="00E64C2A"/>
    <w:rsid w:val="00E65C85"/>
    <w:rsid w:val="00E66199"/>
    <w:rsid w:val="00E70526"/>
    <w:rsid w:val="00E754B4"/>
    <w:rsid w:val="00E755EC"/>
    <w:rsid w:val="00E7624D"/>
    <w:rsid w:val="00E81605"/>
    <w:rsid w:val="00E81724"/>
    <w:rsid w:val="00E819A4"/>
    <w:rsid w:val="00E833FA"/>
    <w:rsid w:val="00E84313"/>
    <w:rsid w:val="00E84B74"/>
    <w:rsid w:val="00E87066"/>
    <w:rsid w:val="00E935D3"/>
    <w:rsid w:val="00E966BF"/>
    <w:rsid w:val="00EA0381"/>
    <w:rsid w:val="00EA0C04"/>
    <w:rsid w:val="00EA3D42"/>
    <w:rsid w:val="00EA6B1B"/>
    <w:rsid w:val="00EB1CBD"/>
    <w:rsid w:val="00EB3A34"/>
    <w:rsid w:val="00EB3C3F"/>
    <w:rsid w:val="00EB795B"/>
    <w:rsid w:val="00EC005C"/>
    <w:rsid w:val="00EC04F1"/>
    <w:rsid w:val="00EC237F"/>
    <w:rsid w:val="00EC573A"/>
    <w:rsid w:val="00ED04D5"/>
    <w:rsid w:val="00ED35C8"/>
    <w:rsid w:val="00ED3968"/>
    <w:rsid w:val="00ED426B"/>
    <w:rsid w:val="00ED5F44"/>
    <w:rsid w:val="00ED69AC"/>
    <w:rsid w:val="00ED7323"/>
    <w:rsid w:val="00ED7F10"/>
    <w:rsid w:val="00EE28F3"/>
    <w:rsid w:val="00EE50D1"/>
    <w:rsid w:val="00EE7614"/>
    <w:rsid w:val="00EF35CC"/>
    <w:rsid w:val="00EF429B"/>
    <w:rsid w:val="00EF5110"/>
    <w:rsid w:val="00EF5890"/>
    <w:rsid w:val="00EF76BA"/>
    <w:rsid w:val="00F0231A"/>
    <w:rsid w:val="00F03463"/>
    <w:rsid w:val="00F036B7"/>
    <w:rsid w:val="00F046A7"/>
    <w:rsid w:val="00F0700F"/>
    <w:rsid w:val="00F07F1F"/>
    <w:rsid w:val="00F10411"/>
    <w:rsid w:val="00F10A9A"/>
    <w:rsid w:val="00F11B2D"/>
    <w:rsid w:val="00F121C2"/>
    <w:rsid w:val="00F1424A"/>
    <w:rsid w:val="00F1485B"/>
    <w:rsid w:val="00F15882"/>
    <w:rsid w:val="00F170C7"/>
    <w:rsid w:val="00F171E0"/>
    <w:rsid w:val="00F20BD3"/>
    <w:rsid w:val="00F2722C"/>
    <w:rsid w:val="00F322E9"/>
    <w:rsid w:val="00F3231B"/>
    <w:rsid w:val="00F33808"/>
    <w:rsid w:val="00F366FC"/>
    <w:rsid w:val="00F373A5"/>
    <w:rsid w:val="00F37864"/>
    <w:rsid w:val="00F404F9"/>
    <w:rsid w:val="00F44B0A"/>
    <w:rsid w:val="00F47559"/>
    <w:rsid w:val="00F478B9"/>
    <w:rsid w:val="00F50B30"/>
    <w:rsid w:val="00F51F5F"/>
    <w:rsid w:val="00F52D75"/>
    <w:rsid w:val="00F55582"/>
    <w:rsid w:val="00F57647"/>
    <w:rsid w:val="00F62A14"/>
    <w:rsid w:val="00F644AB"/>
    <w:rsid w:val="00F64C7B"/>
    <w:rsid w:val="00F67558"/>
    <w:rsid w:val="00F676DD"/>
    <w:rsid w:val="00F67AB6"/>
    <w:rsid w:val="00F70028"/>
    <w:rsid w:val="00F70434"/>
    <w:rsid w:val="00F75189"/>
    <w:rsid w:val="00F75A26"/>
    <w:rsid w:val="00F76706"/>
    <w:rsid w:val="00F77D6D"/>
    <w:rsid w:val="00F80179"/>
    <w:rsid w:val="00F80206"/>
    <w:rsid w:val="00F83034"/>
    <w:rsid w:val="00F83FAD"/>
    <w:rsid w:val="00F844C6"/>
    <w:rsid w:val="00F85E40"/>
    <w:rsid w:val="00F92FA6"/>
    <w:rsid w:val="00F9353B"/>
    <w:rsid w:val="00F937F1"/>
    <w:rsid w:val="00F93F63"/>
    <w:rsid w:val="00F952A0"/>
    <w:rsid w:val="00F95ABA"/>
    <w:rsid w:val="00FA31B1"/>
    <w:rsid w:val="00FA3320"/>
    <w:rsid w:val="00FA3C7F"/>
    <w:rsid w:val="00FA6246"/>
    <w:rsid w:val="00FB24ED"/>
    <w:rsid w:val="00FB3304"/>
    <w:rsid w:val="00FB5005"/>
    <w:rsid w:val="00FB60FE"/>
    <w:rsid w:val="00FB74E2"/>
    <w:rsid w:val="00FB778B"/>
    <w:rsid w:val="00FB7EFB"/>
    <w:rsid w:val="00FD16E9"/>
    <w:rsid w:val="00FD23FD"/>
    <w:rsid w:val="00FD5614"/>
    <w:rsid w:val="00FD5E78"/>
    <w:rsid w:val="00FE0BE1"/>
    <w:rsid w:val="00FE11BB"/>
    <w:rsid w:val="00FE1DE9"/>
    <w:rsid w:val="00FE36AF"/>
    <w:rsid w:val="00FE3907"/>
    <w:rsid w:val="00FE39C2"/>
    <w:rsid w:val="00FE3C32"/>
    <w:rsid w:val="00FE64AE"/>
    <w:rsid w:val="00FF5216"/>
    <w:rsid w:val="00FF63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403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MessageHeader">
    <w:name w:val="Message Header"/>
    <w:basedOn w:val="Normal"/>
    <w:link w:val="MessageHeaderChar"/>
    <w:uiPriority w:val="99"/>
    <w:unhideWhenUsed/>
    <w:rsid w:val="00DB0499"/>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B0499"/>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70344D"/>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70344D"/>
    <w:rPr>
      <w:rFonts w:ascii="Arial Narrow" w:eastAsia="Times New Roman" w:hAnsi="Arial Narrow" w:cs="Times New Roman"/>
      <w:sz w:val="24"/>
      <w:szCs w:val="20"/>
      <w:lang w:val="en-US"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footnote reference"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uiPriority="0" w:qFormat="1"/>
    <w:lsdException w:name="List Continue 2" w:uiPriority="0" w:qFormat="1"/>
    <w:lsdException w:name="List Continue 3" w:uiPriority="0" w:qFormat="1"/>
    <w:lsdException w:name="Subtitle" w:semiHidden="0" w:uiPriority="11" w:unhideWhenUsed="0"/>
    <w:lsdException w:name="Body Text Indent 3" w:uiPriority="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aliases w:val="(Alt +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aliases w:val="Appendix 1"/>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aliases w:val="Appendix 2"/>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aliases w:val="(Appen),t,Appendix 3"/>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lt +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aliases w:val="Appendix 1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aliases w:val="Appendix 2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uiPriority w:val="99"/>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aliases w:val="Footer Base"/>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aliases w:val="Footer Base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aliases w:val="(Appen) Char,t Char,Appendix 3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qFormat/>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nhideWhenUsed/>
    <w:qFormat/>
    <w:rsid w:val="00DB5074"/>
    <w:pPr>
      <w:tabs>
        <w:tab w:val="left" w:pos="340"/>
      </w:tabs>
      <w:spacing w:before="120"/>
      <w:ind w:left="340"/>
    </w:pPr>
  </w:style>
  <w:style w:type="paragraph" w:styleId="ListContinue2">
    <w:name w:val="List Continue 2"/>
    <w:aliases w:val="AER body text (indent 2)"/>
    <w:basedOn w:val="Normal"/>
    <w:unhideWhenUsed/>
    <w:qFormat/>
    <w:rsid w:val="00567BA5"/>
    <w:pPr>
      <w:tabs>
        <w:tab w:val="left" w:pos="680"/>
      </w:tabs>
      <w:spacing w:before="120"/>
      <w:ind w:left="680"/>
    </w:pPr>
  </w:style>
  <w:style w:type="paragraph" w:styleId="ListContinue3">
    <w:name w:val="List Continue 3"/>
    <w:aliases w:val="AER body text (indent 3)"/>
    <w:basedOn w:val="Normal"/>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NormalWeb">
    <w:name w:val="Normal (Web)"/>
    <w:basedOn w:val="Normal"/>
    <w:uiPriority w:val="99"/>
    <w:semiHidden/>
    <w:unhideWhenUsed/>
    <w:rsid w:val="00AD7A3A"/>
    <w:pPr>
      <w:spacing w:before="0" w:after="240" w:line="288" w:lineRule="auto"/>
      <w:jc w:val="both"/>
    </w:pPr>
    <w:rPr>
      <w:rFonts w:ascii="Times New Roman" w:eastAsia="Calibri" w:hAnsi="Times New Roman" w:cs="Times New Roman"/>
      <w:sz w:val="24"/>
      <w:szCs w:val="24"/>
    </w:rPr>
  </w:style>
  <w:style w:type="paragraph" w:styleId="PlainText">
    <w:name w:val="Plain Text"/>
    <w:basedOn w:val="Normal"/>
    <w:link w:val="PlainTextChar"/>
    <w:uiPriority w:val="99"/>
    <w:unhideWhenUsed/>
    <w:rsid w:val="00AD7A3A"/>
    <w:pPr>
      <w:spacing w:before="0" w:after="100" w:afterAutospacing="1" w:line="240" w:lineRule="auto"/>
    </w:pPr>
    <w:rPr>
      <w:rFonts w:ascii="Verdana" w:eastAsia="Times New Roman" w:hAnsi="Verdana" w:cs="Times New Roman"/>
      <w:sz w:val="24"/>
      <w:szCs w:val="24"/>
      <w:lang w:eastAsia="en-AU"/>
    </w:rPr>
  </w:style>
  <w:style w:type="character" w:customStyle="1" w:styleId="PlainTextChar">
    <w:name w:val="Plain Text Char"/>
    <w:basedOn w:val="DefaultParagraphFont"/>
    <w:link w:val="PlainText"/>
    <w:uiPriority w:val="99"/>
    <w:rsid w:val="00AD7A3A"/>
    <w:rPr>
      <w:rFonts w:ascii="Verdana" w:eastAsia="Times New Roman" w:hAnsi="Verdana" w:cs="Times New Roman"/>
      <w:sz w:val="24"/>
      <w:szCs w:val="24"/>
      <w:lang w:eastAsia="en-AU"/>
    </w:rPr>
  </w:style>
  <w:style w:type="paragraph" w:styleId="BodyText">
    <w:name w:val="Body Text"/>
    <w:basedOn w:val="Normal"/>
    <w:link w:val="BodyTextChar"/>
    <w:uiPriority w:val="99"/>
    <w:unhideWhenUsed/>
    <w:rsid w:val="00AD7A3A"/>
    <w:pPr>
      <w:spacing w:before="0" w:after="120" w:line="288" w:lineRule="auto"/>
      <w:jc w:val="both"/>
    </w:pPr>
    <w:rPr>
      <w:rFonts w:ascii="Gautami" w:eastAsia="Calibri" w:hAnsi="Gautami" w:cs="Times New Roman"/>
      <w:sz w:val="20"/>
      <w:szCs w:val="20"/>
    </w:rPr>
  </w:style>
  <w:style w:type="character" w:customStyle="1" w:styleId="BodyTextChar">
    <w:name w:val="Body Text Char"/>
    <w:basedOn w:val="DefaultParagraphFont"/>
    <w:link w:val="BodyText"/>
    <w:uiPriority w:val="99"/>
    <w:semiHidden/>
    <w:rsid w:val="00AD7A3A"/>
    <w:rPr>
      <w:rFonts w:ascii="Gautami" w:eastAsia="Calibri" w:hAnsi="Gautami" w:cs="Times New Roman"/>
      <w:sz w:val="20"/>
      <w:szCs w:val="20"/>
    </w:rPr>
  </w:style>
  <w:style w:type="paragraph" w:styleId="MessageHeader">
    <w:name w:val="Message Header"/>
    <w:basedOn w:val="Normal"/>
    <w:link w:val="MessageHeaderChar"/>
    <w:uiPriority w:val="99"/>
    <w:unhideWhenUsed/>
    <w:rsid w:val="00DB0499"/>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rsid w:val="00DB0499"/>
    <w:rPr>
      <w:rFonts w:asciiTheme="majorHAnsi" w:eastAsiaTheme="majorEastAsia" w:hAnsiTheme="majorHAnsi" w:cstheme="majorBidi"/>
      <w:sz w:val="24"/>
      <w:szCs w:val="24"/>
      <w:shd w:val="pct20" w:color="auto" w:fill="auto"/>
    </w:rPr>
  </w:style>
  <w:style w:type="paragraph" w:styleId="BodyTextIndent3">
    <w:name w:val="Body Text Indent 3"/>
    <w:basedOn w:val="Normal"/>
    <w:link w:val="BodyTextIndent3Char"/>
    <w:rsid w:val="0070344D"/>
    <w:pPr>
      <w:tabs>
        <w:tab w:val="num" w:pos="284"/>
        <w:tab w:val="left" w:pos="1418"/>
      </w:tabs>
      <w:spacing w:before="0" w:line="240" w:lineRule="auto"/>
      <w:ind w:left="426"/>
    </w:pPr>
    <w:rPr>
      <w:rFonts w:ascii="Arial Narrow" w:eastAsia="Times New Roman" w:hAnsi="Arial Narrow" w:cs="Times New Roman"/>
      <w:sz w:val="24"/>
      <w:szCs w:val="20"/>
      <w:lang w:val="en-US" w:eastAsia="en-AU"/>
    </w:rPr>
  </w:style>
  <w:style w:type="character" w:customStyle="1" w:styleId="BodyTextIndent3Char">
    <w:name w:val="Body Text Indent 3 Char"/>
    <w:basedOn w:val="DefaultParagraphFont"/>
    <w:link w:val="BodyTextIndent3"/>
    <w:rsid w:val="0070344D"/>
    <w:rPr>
      <w:rFonts w:ascii="Arial Narrow" w:eastAsia="Times New Roman" w:hAnsi="Arial Narrow" w:cs="Times New Roman"/>
      <w:sz w:val="24"/>
      <w:szCs w:val="20"/>
      <w:lang w:val="en-US"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5823670">
      <w:bodyDiv w:val="1"/>
      <w:marLeft w:val="0"/>
      <w:marRight w:val="0"/>
      <w:marTop w:val="0"/>
      <w:marBottom w:val="0"/>
      <w:divBdr>
        <w:top w:val="none" w:sz="0" w:space="0" w:color="auto"/>
        <w:left w:val="none" w:sz="0" w:space="0" w:color="auto"/>
        <w:bottom w:val="none" w:sz="0" w:space="0" w:color="auto"/>
        <w:right w:val="none" w:sz="0" w:space="0" w:color="auto"/>
      </w:divBdr>
    </w:div>
    <w:div w:id="456605257">
      <w:bodyDiv w:val="1"/>
      <w:marLeft w:val="0"/>
      <w:marRight w:val="0"/>
      <w:marTop w:val="0"/>
      <w:marBottom w:val="0"/>
      <w:divBdr>
        <w:top w:val="none" w:sz="0" w:space="0" w:color="auto"/>
        <w:left w:val="none" w:sz="0" w:space="0" w:color="auto"/>
        <w:bottom w:val="none" w:sz="0" w:space="0" w:color="auto"/>
        <w:right w:val="none" w:sz="0" w:space="0" w:color="auto"/>
      </w:divBdr>
    </w:div>
    <w:div w:id="488448612">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804002818">
      <w:bodyDiv w:val="1"/>
      <w:marLeft w:val="0"/>
      <w:marRight w:val="0"/>
      <w:marTop w:val="0"/>
      <w:marBottom w:val="0"/>
      <w:divBdr>
        <w:top w:val="none" w:sz="0" w:space="0" w:color="auto"/>
        <w:left w:val="none" w:sz="0" w:space="0" w:color="auto"/>
        <w:bottom w:val="none" w:sz="0" w:space="0" w:color="auto"/>
        <w:right w:val="none" w:sz="0" w:space="0" w:color="auto"/>
      </w:divBdr>
    </w:div>
    <w:div w:id="834535643">
      <w:bodyDiv w:val="1"/>
      <w:marLeft w:val="0"/>
      <w:marRight w:val="0"/>
      <w:marTop w:val="0"/>
      <w:marBottom w:val="0"/>
      <w:divBdr>
        <w:top w:val="none" w:sz="0" w:space="0" w:color="auto"/>
        <w:left w:val="none" w:sz="0" w:space="0" w:color="auto"/>
        <w:bottom w:val="none" w:sz="0" w:space="0" w:color="auto"/>
        <w:right w:val="none" w:sz="0" w:space="0" w:color="auto"/>
      </w:divBdr>
    </w:div>
    <w:div w:id="983241265">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065756363">
      <w:bodyDiv w:val="1"/>
      <w:marLeft w:val="0"/>
      <w:marRight w:val="0"/>
      <w:marTop w:val="0"/>
      <w:marBottom w:val="0"/>
      <w:divBdr>
        <w:top w:val="none" w:sz="0" w:space="0" w:color="auto"/>
        <w:left w:val="none" w:sz="0" w:space="0" w:color="auto"/>
        <w:bottom w:val="none" w:sz="0" w:space="0" w:color="auto"/>
        <w:right w:val="none" w:sz="0" w:space="0" w:color="auto"/>
      </w:divBdr>
    </w:div>
    <w:div w:id="1667829873">
      <w:bodyDiv w:val="1"/>
      <w:marLeft w:val="0"/>
      <w:marRight w:val="0"/>
      <w:marTop w:val="0"/>
      <w:marBottom w:val="0"/>
      <w:divBdr>
        <w:top w:val="none" w:sz="0" w:space="0" w:color="auto"/>
        <w:left w:val="none" w:sz="0" w:space="0" w:color="auto"/>
        <w:bottom w:val="none" w:sz="0" w:space="0" w:color="auto"/>
        <w:right w:val="none" w:sz="0" w:space="0" w:color="auto"/>
      </w:divBdr>
    </w:div>
    <w:div w:id="1974406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image" Target="media/image26.png"/><Relationship Id="rId3" Type="http://schemas.openxmlformats.org/officeDocument/2006/relationships/numbering" Target="numbering.xml"/><Relationship Id="rId21" Type="http://schemas.openxmlformats.org/officeDocument/2006/relationships/image" Target="media/image8.emf"/><Relationship Id="rId34" Type="http://schemas.openxmlformats.org/officeDocument/2006/relationships/image" Target="media/image21.emf"/><Relationship Id="rId42"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mailto:AERInquiry@aer.gov.au" TargetMode="Externa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emf"/><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1.PNG"/><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footer" Target="footer3.xml"/><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png"/><Relationship Id="rId10" Type="http://schemas.openxmlformats.org/officeDocument/2006/relationships/image" Target="media/image1.jpg"/><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www.aer.gov.au/networks-pipelines/determinations-access-arrangements/transgrid-determination-2014-18" TargetMode="External"/><Relationship Id="rId13" Type="http://schemas.openxmlformats.org/officeDocument/2006/relationships/hyperlink" Target="http://www.aemc.gov.au/Energy-Rules/National-gas-rules/Gas-scheme-register/WA-Pilbara-Pipeline-System" TargetMode="External"/><Relationship Id="rId3" Type="http://schemas.openxmlformats.org/officeDocument/2006/relationships/hyperlink" Target="http://www.aer.gov.au/node/18859" TargetMode="External"/><Relationship Id="rId7" Type="http://schemas.openxmlformats.org/officeDocument/2006/relationships/hyperlink" Target="https://www.aer.gov.au/networks-pipelines/determinations-access-arrangements/energex-determination-2015-2020/final-decision"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rba.gov.au/statistics/tables/xls/f03hist.xls" TargetMode="External"/><Relationship Id="rId2" Type="http://schemas.openxmlformats.org/officeDocument/2006/relationships/hyperlink" Target="http://www.aer.gov.au/node/18859" TargetMode="External"/><Relationship Id="rId16" Type="http://schemas.openxmlformats.org/officeDocument/2006/relationships/hyperlink" Target="https://infrastructure.gov.au/aviation/airport/airport_economic_regulation/economic_regulation.aspx" TargetMode="External"/><Relationship Id="rId1" Type="http://schemas.openxmlformats.org/officeDocument/2006/relationships/hyperlink" Target="http://www.aer.gov.au/node/18859" TargetMode="External"/><Relationship Id="rId6" Type="http://schemas.openxmlformats.org/officeDocument/2006/relationships/hyperlink" Target="https://www.aer.gov.au/networks-pipelines/determinations-access-arrangements/transgrid-determination-2014-18" TargetMode="External"/><Relationship Id="rId11" Type="http://schemas.openxmlformats.org/officeDocument/2006/relationships/hyperlink" Target="http://www.rba.gov.au/statistics/tables/xls/f03hist.xls"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219" TargetMode="External"/><Relationship Id="rId10" Type="http://schemas.openxmlformats.org/officeDocument/2006/relationships/hyperlink" Target="http://www.rba.gov.au/statistics/tables/index.html" TargetMode="External"/><Relationship Id="rId4" Type="http://schemas.openxmlformats.org/officeDocument/2006/relationships/hyperlink" Target="http://www.aer.gov.au/node/18859" TargetMode="External"/><Relationship Id="rId9" Type="http://schemas.openxmlformats.org/officeDocument/2006/relationships/hyperlink" Target="https://www.aer.gov.au/networks-pipelines/determinations-access-arrangements/energex-determination-2015-2020/final-decision" TargetMode="External"/><Relationship Id="rId14" Type="http://schemas.openxmlformats.org/officeDocument/2006/relationships/hyperlink" Target="http://www.aer.gov.au/node/5453"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427692-8E8A-45F0-B015-657F95548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B187F9E0</Template>
  <TotalTime>0</TotalTime>
  <Pages>369</Pages>
  <Words>111341</Words>
  <Characters>634646</Characters>
  <Application>Microsoft Office Word</Application>
  <DocSecurity>0</DocSecurity>
  <Lines>5288</Lines>
  <Paragraphs>1488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744499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2015-12-02T00:49:00Z</dcterms:created>
  <dcterms:modified xsi:type="dcterms:W3CDTF">2016-05-25T03:39:00Z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