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9A20F4">
            <w:t>.</w:t>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1 </w:t>
          </w:r>
          <w:r>
            <w:rPr>
              <w:rFonts w:cs="Arial"/>
            </w:rPr>
            <w:t>−</w:t>
          </w:r>
          <w:r>
            <w:t xml:space="preserve"> </w:t>
          </w:r>
          <w:r w:rsidR="007B49E1">
            <w:t>Maximum allowed revenue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638887"/>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1B3122">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638888"/>
      <w:r>
        <w:lastRenderedPageBreak/>
        <w:t>Contents</w:t>
      </w:r>
      <w:bookmarkEnd w:id="6"/>
      <w:bookmarkEnd w:id="7"/>
    </w:p>
    <w:p w:rsidR="005D7BA2" w:rsidRDefault="005D7BA2">
      <w:pPr>
        <w:spacing w:line="240" w:lineRule="auto"/>
      </w:pPr>
    </w:p>
    <w:sdt>
      <w:sdtPr>
        <w:rPr>
          <w:b w:val="0"/>
          <w:noProof w:val="0"/>
          <w:color w:val="auto"/>
          <w:sz w:val="22"/>
          <w:lang w:val="en-AU" w:eastAsia="en-US"/>
        </w:rPr>
        <w:id w:val="-35133580"/>
        <w:docPartObj>
          <w:docPartGallery w:val="Table of Contents"/>
          <w:docPartUnique/>
        </w:docPartObj>
      </w:sdtPr>
      <w:sdtEndPr/>
      <w:sdtContent>
        <w:p w:rsidR="00690365" w:rsidRPr="00690365" w:rsidRDefault="00690365">
          <w:pPr>
            <w:pStyle w:val="TOC1"/>
          </w:pPr>
          <w:r>
            <w:fldChar w:fldCharType="begin"/>
          </w:r>
          <w:r w:rsidRPr="00690365">
            <w:instrText xml:space="preserve"> TOC \o \h \z \u </w:instrText>
          </w:r>
          <w:r>
            <w:fldChar w:fldCharType="separate"/>
          </w:r>
          <w:hyperlink w:anchor="_Toc417638887" w:history="1">
            <w:r w:rsidRPr="00690365">
              <w:rPr>
                <w:rStyle w:val="Hyperlink"/>
              </w:rPr>
              <w:t>Note</w:t>
            </w:r>
            <w:r w:rsidRPr="00690365">
              <w:rPr>
                <w:webHidden/>
              </w:rPr>
              <w:tab/>
            </w:r>
            <w:r>
              <w:rPr>
                <w:webHidden/>
              </w:rPr>
              <w:fldChar w:fldCharType="begin"/>
            </w:r>
            <w:r w:rsidRPr="00690365">
              <w:rPr>
                <w:webHidden/>
              </w:rPr>
              <w:instrText xml:space="preserve"> PAGEREF _Toc417638887 \h </w:instrText>
            </w:r>
            <w:r>
              <w:rPr>
                <w:webHidden/>
              </w:rPr>
            </w:r>
            <w:r>
              <w:rPr>
                <w:webHidden/>
              </w:rPr>
              <w:fldChar w:fldCharType="separate"/>
            </w:r>
            <w:r w:rsidRPr="00690365">
              <w:rPr>
                <w:webHidden/>
              </w:rPr>
              <w:t>1-2</w:t>
            </w:r>
            <w:r>
              <w:rPr>
                <w:webHidden/>
              </w:rPr>
              <w:fldChar w:fldCharType="end"/>
            </w:r>
          </w:hyperlink>
        </w:p>
        <w:p w:rsidR="00690365" w:rsidRPr="00690365" w:rsidRDefault="001A1B16">
          <w:pPr>
            <w:pStyle w:val="TOC1"/>
          </w:pPr>
          <w:hyperlink w:anchor="_Toc417638888" w:history="1">
            <w:r w:rsidR="00690365" w:rsidRPr="00690365">
              <w:rPr>
                <w:rStyle w:val="Hyperlink"/>
              </w:rPr>
              <w:t>Contents</w:t>
            </w:r>
            <w:r w:rsidR="00690365" w:rsidRPr="00690365">
              <w:rPr>
                <w:webHidden/>
              </w:rPr>
              <w:tab/>
            </w:r>
            <w:r w:rsidR="00690365">
              <w:rPr>
                <w:webHidden/>
              </w:rPr>
              <w:fldChar w:fldCharType="begin"/>
            </w:r>
            <w:r w:rsidR="00690365" w:rsidRPr="00690365">
              <w:rPr>
                <w:webHidden/>
              </w:rPr>
              <w:instrText xml:space="preserve"> PAGEREF _Toc417638888 \h </w:instrText>
            </w:r>
            <w:r w:rsidR="00690365">
              <w:rPr>
                <w:webHidden/>
              </w:rPr>
            </w:r>
            <w:r w:rsidR="00690365">
              <w:rPr>
                <w:webHidden/>
              </w:rPr>
              <w:fldChar w:fldCharType="separate"/>
            </w:r>
            <w:r w:rsidR="00690365" w:rsidRPr="00690365">
              <w:rPr>
                <w:webHidden/>
              </w:rPr>
              <w:t>1-3</w:t>
            </w:r>
            <w:r w:rsidR="00690365">
              <w:rPr>
                <w:webHidden/>
              </w:rPr>
              <w:fldChar w:fldCharType="end"/>
            </w:r>
          </w:hyperlink>
        </w:p>
        <w:p w:rsidR="00690365" w:rsidRPr="00690365" w:rsidRDefault="001A1B16">
          <w:pPr>
            <w:pStyle w:val="TOC1"/>
          </w:pPr>
          <w:hyperlink w:anchor="_Toc417638889" w:history="1">
            <w:r w:rsidR="00690365" w:rsidRPr="00690365">
              <w:rPr>
                <w:rStyle w:val="Hyperlink"/>
              </w:rPr>
              <w:t>Shortened forms</w:t>
            </w:r>
            <w:r w:rsidR="00690365" w:rsidRPr="00690365">
              <w:rPr>
                <w:webHidden/>
              </w:rPr>
              <w:tab/>
            </w:r>
            <w:r w:rsidR="00690365">
              <w:rPr>
                <w:webHidden/>
              </w:rPr>
              <w:fldChar w:fldCharType="begin"/>
            </w:r>
            <w:r w:rsidR="00690365" w:rsidRPr="00690365">
              <w:rPr>
                <w:webHidden/>
              </w:rPr>
              <w:instrText xml:space="preserve"> PAGEREF _Toc417638889 \h </w:instrText>
            </w:r>
            <w:r w:rsidR="00690365">
              <w:rPr>
                <w:webHidden/>
              </w:rPr>
            </w:r>
            <w:r w:rsidR="00690365">
              <w:rPr>
                <w:webHidden/>
              </w:rPr>
              <w:fldChar w:fldCharType="separate"/>
            </w:r>
            <w:r w:rsidR="00690365" w:rsidRPr="00690365">
              <w:rPr>
                <w:webHidden/>
              </w:rPr>
              <w:t>1-4</w:t>
            </w:r>
            <w:r w:rsidR="00690365">
              <w:rPr>
                <w:webHidden/>
              </w:rPr>
              <w:fldChar w:fldCharType="end"/>
            </w:r>
          </w:hyperlink>
        </w:p>
        <w:p w:rsidR="00690365" w:rsidRPr="00690365" w:rsidRDefault="001A1B16">
          <w:pPr>
            <w:pStyle w:val="TOC1"/>
          </w:pPr>
          <w:hyperlink w:anchor="_Toc417638890" w:history="1">
            <w:r w:rsidR="00690365" w:rsidRPr="00690365">
              <w:rPr>
                <w:rStyle w:val="Hyperlink"/>
              </w:rPr>
              <w:t>1</w:t>
            </w:r>
            <w:r w:rsidR="00690365" w:rsidRPr="00690365">
              <w:tab/>
            </w:r>
            <w:r w:rsidR="00690365" w:rsidRPr="00690365">
              <w:rPr>
                <w:rStyle w:val="Hyperlink"/>
              </w:rPr>
              <w:t>Maximum allowed revenue</w:t>
            </w:r>
            <w:r w:rsidR="00690365" w:rsidRPr="00690365">
              <w:rPr>
                <w:webHidden/>
              </w:rPr>
              <w:tab/>
            </w:r>
            <w:r w:rsidR="00690365">
              <w:rPr>
                <w:webHidden/>
              </w:rPr>
              <w:fldChar w:fldCharType="begin"/>
            </w:r>
            <w:r w:rsidR="00690365" w:rsidRPr="00690365">
              <w:rPr>
                <w:webHidden/>
              </w:rPr>
              <w:instrText xml:space="preserve"> PAGEREF _Toc417638890 \h </w:instrText>
            </w:r>
            <w:r w:rsidR="00690365">
              <w:rPr>
                <w:webHidden/>
              </w:rPr>
            </w:r>
            <w:r w:rsidR="00690365">
              <w:rPr>
                <w:webHidden/>
              </w:rPr>
              <w:fldChar w:fldCharType="separate"/>
            </w:r>
            <w:r w:rsidR="00690365" w:rsidRPr="00690365">
              <w:rPr>
                <w:webHidden/>
              </w:rPr>
              <w:t>1-6</w:t>
            </w:r>
            <w:r w:rsidR="00690365">
              <w:rPr>
                <w:webHidden/>
              </w:rPr>
              <w:fldChar w:fldCharType="end"/>
            </w:r>
          </w:hyperlink>
        </w:p>
        <w:p w:rsidR="00690365" w:rsidRPr="00690365" w:rsidRDefault="001A1B16">
          <w:pPr>
            <w:pStyle w:val="TOC2"/>
          </w:pPr>
          <w:hyperlink w:anchor="_Toc417638891" w:history="1">
            <w:r w:rsidR="00690365" w:rsidRPr="00690365">
              <w:rPr>
                <w:rStyle w:val="Hyperlink"/>
              </w:rPr>
              <w:t>1.1</w:t>
            </w:r>
            <w:r w:rsidR="00690365" w:rsidRPr="00690365">
              <w:tab/>
            </w:r>
            <w:r w:rsidR="00690365" w:rsidRPr="00690365">
              <w:rPr>
                <w:rStyle w:val="Hyperlink"/>
              </w:rPr>
              <w:t>Final decision</w:t>
            </w:r>
            <w:r w:rsidR="00690365" w:rsidRPr="00690365">
              <w:rPr>
                <w:webHidden/>
              </w:rPr>
              <w:tab/>
            </w:r>
            <w:r w:rsidR="00690365">
              <w:rPr>
                <w:webHidden/>
              </w:rPr>
              <w:fldChar w:fldCharType="begin"/>
            </w:r>
            <w:r w:rsidR="00690365" w:rsidRPr="00690365">
              <w:rPr>
                <w:webHidden/>
              </w:rPr>
              <w:instrText xml:space="preserve"> PAGEREF _Toc417638891 \h </w:instrText>
            </w:r>
            <w:r w:rsidR="00690365">
              <w:rPr>
                <w:webHidden/>
              </w:rPr>
            </w:r>
            <w:r w:rsidR="00690365">
              <w:rPr>
                <w:webHidden/>
              </w:rPr>
              <w:fldChar w:fldCharType="separate"/>
            </w:r>
            <w:r w:rsidR="00690365" w:rsidRPr="00690365">
              <w:rPr>
                <w:webHidden/>
              </w:rPr>
              <w:t>1-6</w:t>
            </w:r>
            <w:r w:rsidR="00690365">
              <w:rPr>
                <w:webHidden/>
              </w:rPr>
              <w:fldChar w:fldCharType="end"/>
            </w:r>
          </w:hyperlink>
        </w:p>
        <w:p w:rsidR="00690365" w:rsidRPr="00690365" w:rsidRDefault="001A1B16">
          <w:pPr>
            <w:pStyle w:val="TOC2"/>
          </w:pPr>
          <w:hyperlink w:anchor="_Toc417638892" w:history="1">
            <w:r w:rsidR="00690365" w:rsidRPr="00690365">
              <w:rPr>
                <w:rStyle w:val="Hyperlink"/>
              </w:rPr>
              <w:t>1.2</w:t>
            </w:r>
            <w:r w:rsidR="00690365" w:rsidRPr="00690365">
              <w:tab/>
            </w:r>
            <w:r w:rsidR="00690365" w:rsidRPr="00690365">
              <w:rPr>
                <w:rStyle w:val="Hyperlink"/>
              </w:rPr>
              <w:t>Directlink’s revised proposal</w:t>
            </w:r>
            <w:r w:rsidR="00690365" w:rsidRPr="00690365">
              <w:rPr>
                <w:webHidden/>
              </w:rPr>
              <w:tab/>
            </w:r>
            <w:r w:rsidR="00690365">
              <w:rPr>
                <w:webHidden/>
              </w:rPr>
              <w:fldChar w:fldCharType="begin"/>
            </w:r>
            <w:r w:rsidR="00690365" w:rsidRPr="00690365">
              <w:rPr>
                <w:webHidden/>
              </w:rPr>
              <w:instrText xml:space="preserve"> PAGEREF _Toc417638892 \h </w:instrText>
            </w:r>
            <w:r w:rsidR="00690365">
              <w:rPr>
                <w:webHidden/>
              </w:rPr>
            </w:r>
            <w:r w:rsidR="00690365">
              <w:rPr>
                <w:webHidden/>
              </w:rPr>
              <w:fldChar w:fldCharType="separate"/>
            </w:r>
            <w:r w:rsidR="00690365" w:rsidRPr="00690365">
              <w:rPr>
                <w:webHidden/>
              </w:rPr>
              <w:t>1-7</w:t>
            </w:r>
            <w:r w:rsidR="00690365">
              <w:rPr>
                <w:webHidden/>
              </w:rPr>
              <w:fldChar w:fldCharType="end"/>
            </w:r>
          </w:hyperlink>
        </w:p>
        <w:p w:rsidR="00690365" w:rsidRPr="00690365" w:rsidRDefault="001A1B16">
          <w:pPr>
            <w:pStyle w:val="TOC2"/>
          </w:pPr>
          <w:hyperlink w:anchor="_Toc417638893" w:history="1">
            <w:r w:rsidR="00690365" w:rsidRPr="00690365">
              <w:rPr>
                <w:rStyle w:val="Hyperlink"/>
              </w:rPr>
              <w:t>1.3</w:t>
            </w:r>
            <w:r w:rsidR="00690365" w:rsidRPr="00690365">
              <w:tab/>
            </w:r>
            <w:r w:rsidR="00690365" w:rsidRPr="00690365">
              <w:rPr>
                <w:rStyle w:val="Hyperlink"/>
              </w:rPr>
              <w:t>AER’s assessment approach</w:t>
            </w:r>
            <w:r w:rsidR="00690365" w:rsidRPr="00690365">
              <w:rPr>
                <w:webHidden/>
              </w:rPr>
              <w:tab/>
            </w:r>
            <w:r w:rsidR="00690365">
              <w:rPr>
                <w:webHidden/>
              </w:rPr>
              <w:fldChar w:fldCharType="begin"/>
            </w:r>
            <w:r w:rsidR="00690365" w:rsidRPr="00690365">
              <w:rPr>
                <w:webHidden/>
              </w:rPr>
              <w:instrText xml:space="preserve"> PAGEREF _Toc417638893 \h </w:instrText>
            </w:r>
            <w:r w:rsidR="00690365">
              <w:rPr>
                <w:webHidden/>
              </w:rPr>
            </w:r>
            <w:r w:rsidR="00690365">
              <w:rPr>
                <w:webHidden/>
              </w:rPr>
              <w:fldChar w:fldCharType="separate"/>
            </w:r>
            <w:r w:rsidR="00690365" w:rsidRPr="00690365">
              <w:rPr>
                <w:webHidden/>
              </w:rPr>
              <w:t>1-8</w:t>
            </w:r>
            <w:r w:rsidR="00690365">
              <w:rPr>
                <w:webHidden/>
              </w:rPr>
              <w:fldChar w:fldCharType="end"/>
            </w:r>
          </w:hyperlink>
        </w:p>
        <w:p w:rsidR="00690365" w:rsidRPr="00690365" w:rsidRDefault="001A1B16">
          <w:pPr>
            <w:pStyle w:val="TOC2"/>
          </w:pPr>
          <w:hyperlink w:anchor="_Toc417638894" w:history="1">
            <w:r w:rsidR="00690365" w:rsidRPr="00690365">
              <w:rPr>
                <w:rStyle w:val="Hyperlink"/>
              </w:rPr>
              <w:t>1.4</w:t>
            </w:r>
            <w:r w:rsidR="00690365" w:rsidRPr="00690365">
              <w:tab/>
            </w:r>
            <w:r w:rsidR="00690365" w:rsidRPr="00690365">
              <w:rPr>
                <w:rStyle w:val="Hyperlink"/>
              </w:rPr>
              <w:t>Reasons for final decision</w:t>
            </w:r>
            <w:r w:rsidR="00690365" w:rsidRPr="00690365">
              <w:rPr>
                <w:webHidden/>
              </w:rPr>
              <w:tab/>
            </w:r>
            <w:r w:rsidR="00690365">
              <w:rPr>
                <w:webHidden/>
              </w:rPr>
              <w:fldChar w:fldCharType="begin"/>
            </w:r>
            <w:r w:rsidR="00690365" w:rsidRPr="00690365">
              <w:rPr>
                <w:webHidden/>
              </w:rPr>
              <w:instrText xml:space="preserve"> PAGEREF _Toc417638894 \h </w:instrText>
            </w:r>
            <w:r w:rsidR="00690365">
              <w:rPr>
                <w:webHidden/>
              </w:rPr>
            </w:r>
            <w:r w:rsidR="00690365">
              <w:rPr>
                <w:webHidden/>
              </w:rPr>
              <w:fldChar w:fldCharType="separate"/>
            </w:r>
            <w:r w:rsidR="00690365" w:rsidRPr="00690365">
              <w:rPr>
                <w:webHidden/>
              </w:rPr>
              <w:t>1-8</w:t>
            </w:r>
            <w:r w:rsidR="00690365">
              <w:rPr>
                <w:webHidden/>
              </w:rPr>
              <w:fldChar w:fldCharType="end"/>
            </w:r>
          </w:hyperlink>
        </w:p>
        <w:p w:rsidR="00690365" w:rsidRPr="00690365" w:rsidRDefault="001A1B16">
          <w:pPr>
            <w:pStyle w:val="TOC3"/>
          </w:pPr>
          <w:hyperlink w:anchor="_Toc417638895" w:history="1">
            <w:r w:rsidR="00690365" w:rsidRPr="00690365">
              <w:rPr>
                <w:rStyle w:val="Hyperlink"/>
              </w:rPr>
              <w:t>1.4.1</w:t>
            </w:r>
            <w:r w:rsidR="00690365" w:rsidRPr="00690365">
              <w:tab/>
            </w:r>
            <w:r w:rsidR="00690365" w:rsidRPr="00690365">
              <w:rPr>
                <w:rStyle w:val="Hyperlink"/>
              </w:rPr>
              <w:t>X factor, annual expected MAR and estimated total revenue cap</w:t>
            </w:r>
            <w:r w:rsidR="00690365" w:rsidRPr="00690365">
              <w:rPr>
                <w:webHidden/>
              </w:rPr>
              <w:tab/>
            </w:r>
            <w:r w:rsidR="00690365">
              <w:rPr>
                <w:webHidden/>
              </w:rPr>
              <w:fldChar w:fldCharType="begin"/>
            </w:r>
            <w:r w:rsidR="00690365" w:rsidRPr="00690365">
              <w:rPr>
                <w:webHidden/>
              </w:rPr>
              <w:instrText xml:space="preserve"> PAGEREF _Toc417638895 \h </w:instrText>
            </w:r>
            <w:r w:rsidR="00690365">
              <w:rPr>
                <w:webHidden/>
              </w:rPr>
            </w:r>
            <w:r w:rsidR="00690365">
              <w:rPr>
                <w:webHidden/>
              </w:rPr>
              <w:fldChar w:fldCharType="separate"/>
            </w:r>
            <w:r w:rsidR="00690365" w:rsidRPr="00690365">
              <w:rPr>
                <w:webHidden/>
              </w:rPr>
              <w:t>1-9</w:t>
            </w:r>
            <w:r w:rsidR="00690365">
              <w:rPr>
                <w:webHidden/>
              </w:rPr>
              <w:fldChar w:fldCharType="end"/>
            </w:r>
          </w:hyperlink>
        </w:p>
        <w:p w:rsidR="00690365" w:rsidRPr="00690365" w:rsidRDefault="001A1B16">
          <w:pPr>
            <w:pStyle w:val="TOC3"/>
          </w:pPr>
          <w:hyperlink w:anchor="_Toc417638896" w:history="1">
            <w:r w:rsidR="00690365" w:rsidRPr="00690365">
              <w:rPr>
                <w:rStyle w:val="Hyperlink"/>
              </w:rPr>
              <w:t>1.4.2</w:t>
            </w:r>
            <w:r w:rsidR="00690365" w:rsidRPr="00690365">
              <w:tab/>
            </w:r>
            <w:r w:rsidR="00690365" w:rsidRPr="00690365">
              <w:rPr>
                <w:rStyle w:val="Hyperlink"/>
              </w:rPr>
              <w:t>Shared assets</w:t>
            </w:r>
            <w:r w:rsidR="00690365" w:rsidRPr="00690365">
              <w:rPr>
                <w:webHidden/>
              </w:rPr>
              <w:tab/>
            </w:r>
            <w:r w:rsidR="00690365">
              <w:rPr>
                <w:webHidden/>
              </w:rPr>
              <w:fldChar w:fldCharType="begin"/>
            </w:r>
            <w:r w:rsidR="00690365" w:rsidRPr="00690365">
              <w:rPr>
                <w:webHidden/>
              </w:rPr>
              <w:instrText xml:space="preserve"> PAGEREF _Toc417638896 \h </w:instrText>
            </w:r>
            <w:r w:rsidR="00690365">
              <w:rPr>
                <w:webHidden/>
              </w:rPr>
            </w:r>
            <w:r w:rsidR="00690365">
              <w:rPr>
                <w:webHidden/>
              </w:rPr>
              <w:fldChar w:fldCharType="separate"/>
            </w:r>
            <w:r w:rsidR="00690365" w:rsidRPr="00690365">
              <w:rPr>
                <w:webHidden/>
              </w:rPr>
              <w:t>1-11</w:t>
            </w:r>
            <w:r w:rsidR="00690365">
              <w:rPr>
                <w:webHidden/>
              </w:rPr>
              <w:fldChar w:fldCharType="end"/>
            </w:r>
          </w:hyperlink>
        </w:p>
        <w:p w:rsidR="00690365" w:rsidRPr="00690365" w:rsidRDefault="001A1B16">
          <w:pPr>
            <w:pStyle w:val="TOC3"/>
          </w:pPr>
          <w:hyperlink w:anchor="_Toc417638897" w:history="1">
            <w:r w:rsidR="00690365" w:rsidRPr="00690365">
              <w:rPr>
                <w:rStyle w:val="Hyperlink"/>
              </w:rPr>
              <w:t>1.4.3</w:t>
            </w:r>
            <w:r w:rsidR="00690365" w:rsidRPr="00690365">
              <w:tab/>
            </w:r>
            <w:r w:rsidR="00690365" w:rsidRPr="00690365">
              <w:rPr>
                <w:rStyle w:val="Hyperlink"/>
              </w:rPr>
              <w:t>Indicative average transmission charges</w:t>
            </w:r>
            <w:r w:rsidR="00690365" w:rsidRPr="00690365">
              <w:rPr>
                <w:webHidden/>
              </w:rPr>
              <w:tab/>
            </w:r>
            <w:r w:rsidR="00690365">
              <w:rPr>
                <w:webHidden/>
              </w:rPr>
              <w:fldChar w:fldCharType="begin"/>
            </w:r>
            <w:r w:rsidR="00690365" w:rsidRPr="00690365">
              <w:rPr>
                <w:webHidden/>
              </w:rPr>
              <w:instrText xml:space="preserve"> PAGEREF _Toc417638897 \h </w:instrText>
            </w:r>
            <w:r w:rsidR="00690365">
              <w:rPr>
                <w:webHidden/>
              </w:rPr>
            </w:r>
            <w:r w:rsidR="00690365">
              <w:rPr>
                <w:webHidden/>
              </w:rPr>
              <w:fldChar w:fldCharType="separate"/>
            </w:r>
            <w:r w:rsidR="00690365" w:rsidRPr="00690365">
              <w:rPr>
                <w:webHidden/>
              </w:rPr>
              <w:t>1-12</w:t>
            </w:r>
            <w:r w:rsidR="00690365">
              <w:rPr>
                <w:webHidden/>
              </w:rPr>
              <w:fldChar w:fldCharType="end"/>
            </w:r>
          </w:hyperlink>
        </w:p>
        <w:p w:rsidR="00690365" w:rsidRDefault="00690365">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638889"/>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6E7D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B57C7A"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B57C7A">
              <w:t xml:space="preserve">and </w:t>
            </w:r>
            <w:r w:rsidRPr="00307E24">
              <w:t>pricing principles</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6E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6E7D3F">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7B49E1" w:rsidP="007B49E1">
      <w:pPr>
        <w:pStyle w:val="Heading1"/>
      </w:pPr>
      <w:bookmarkStart w:id="10" w:name="_Toc417638890"/>
      <w:r>
        <w:lastRenderedPageBreak/>
        <w:t>Maximum allowed revenue</w:t>
      </w:r>
      <w:bookmarkEnd w:id="10"/>
    </w:p>
    <w:p w:rsidR="00925ED1" w:rsidRPr="00C10597" w:rsidRDefault="00925ED1" w:rsidP="00925ED1">
      <w:pPr>
        <w:numPr>
          <w:ilvl w:val="0"/>
          <w:numId w:val="25"/>
        </w:numPr>
      </w:pPr>
      <w:r w:rsidRPr="00C10597">
        <w:t xml:space="preserve">This attachment sets out the AER's </w:t>
      </w:r>
      <w:r>
        <w:t>final</w:t>
      </w:r>
      <w:r w:rsidRPr="00C10597">
        <w:t xml:space="preserve"> decision on </w:t>
      </w:r>
      <w:r>
        <w:t>the</w:t>
      </w:r>
      <w:r w:rsidRPr="00C10597">
        <w:t xml:space="preserve"> maximum allowed revenue (MAR) for the provision of prescribed transmission services </w:t>
      </w:r>
      <w:r>
        <w:t>for each year of Directlink</w:t>
      </w:r>
      <w:r w:rsidRPr="00245B0B">
        <w:t xml:space="preserve">'s </w:t>
      </w:r>
      <w:r>
        <w:t>2015–20</w:t>
      </w:r>
      <w:r w:rsidRPr="00245B0B">
        <w:t xml:space="preserve"> </w:t>
      </w:r>
      <w:r>
        <w:t>regulatory control period.</w:t>
      </w:r>
      <w:r w:rsidRPr="00C10597">
        <w:t xml:space="preserve"> Specifically, the attachment addresses:</w:t>
      </w:r>
      <w:r w:rsidRPr="00C10597">
        <w:rPr>
          <w:rStyle w:val="FootnoteReference"/>
        </w:rPr>
        <w:footnoteReference w:id="1"/>
      </w:r>
    </w:p>
    <w:p w:rsidR="00925ED1" w:rsidRPr="00925ED1" w:rsidRDefault="00925ED1" w:rsidP="00925ED1">
      <w:pPr>
        <w:pStyle w:val="AERbulletlistfirststyle"/>
      </w:pPr>
      <w:r w:rsidRPr="00C10597">
        <w:t>the estimated total revenue cap, which is the sum of the annual expected MAR.</w:t>
      </w:r>
    </w:p>
    <w:p w:rsidR="00925ED1" w:rsidRPr="00925ED1" w:rsidRDefault="00925ED1" w:rsidP="00925ED1">
      <w:pPr>
        <w:pStyle w:val="AERbulletlistfirststyle"/>
      </w:pPr>
      <w:r w:rsidRPr="00C10597">
        <w:t>the annual building block revenue requirement</w:t>
      </w:r>
    </w:p>
    <w:p w:rsidR="00925ED1" w:rsidRPr="00925ED1" w:rsidRDefault="00925ED1" w:rsidP="00925ED1">
      <w:pPr>
        <w:pStyle w:val="AERbulletlistfirststyle"/>
      </w:pPr>
      <w:r w:rsidRPr="00C10597">
        <w:t>the annual expected MAR</w:t>
      </w:r>
    </w:p>
    <w:p w:rsidR="00925ED1" w:rsidRPr="00925ED1" w:rsidRDefault="00925ED1" w:rsidP="00925ED1">
      <w:pPr>
        <w:pStyle w:val="AERbulletlistfirststyle"/>
      </w:pPr>
      <w:r w:rsidRPr="00C10597">
        <w:t>the X factor</w:t>
      </w:r>
      <w:r w:rsidRPr="00925ED1">
        <w:t>.</w:t>
      </w:r>
    </w:p>
    <w:p w:rsidR="00DE563D" w:rsidRPr="00AF1F9E" w:rsidRDefault="00925ED1" w:rsidP="00AF1F9E">
      <w:pPr>
        <w:numPr>
          <w:ilvl w:val="0"/>
          <w:numId w:val="25"/>
        </w:numPr>
      </w:pPr>
      <w:r w:rsidRPr="00C10597">
        <w:t xml:space="preserve">We determine </w:t>
      </w:r>
      <w:r>
        <w:t>the TNSP's</w:t>
      </w:r>
      <w:r w:rsidRPr="00C10597">
        <w:t xml:space="preserve"> annual building block revenue requirement using a building block approach</w:t>
      </w:r>
      <w:r>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DE563D" w:rsidRPr="00AF1F9E" w:rsidRDefault="00AF1F9E" w:rsidP="00AF1F9E">
      <w:pPr>
        <w:pStyle w:val="Heading2"/>
      </w:pPr>
      <w:bookmarkStart w:id="11" w:name="_Toc403144136"/>
      <w:bookmarkStart w:id="12" w:name="_Toc417638891"/>
      <w:r>
        <w:t>Final</w:t>
      </w:r>
      <w:r w:rsidR="00DE563D" w:rsidRPr="00AF1F9E">
        <w:t xml:space="preserve"> decision</w:t>
      </w:r>
      <w:bookmarkEnd w:id="11"/>
      <w:bookmarkEnd w:id="12"/>
    </w:p>
    <w:p w:rsidR="00925ED1" w:rsidRDefault="00925ED1" w:rsidP="00925ED1">
      <w:pPr>
        <w:numPr>
          <w:ilvl w:val="0"/>
          <w:numId w:val="25"/>
        </w:numPr>
      </w:pPr>
      <w:r>
        <w:t>W</w:t>
      </w:r>
      <w:r w:rsidRPr="00D56E27">
        <w:t xml:space="preserve">e do not accept </w:t>
      </w:r>
      <w:r>
        <w:t>Directlink's</w:t>
      </w:r>
      <w:r w:rsidRPr="00D56E27">
        <w:t xml:space="preserve"> </w:t>
      </w:r>
      <w:r>
        <w:t xml:space="preserve">revised </w:t>
      </w:r>
      <w:r w:rsidRPr="00D56E27">
        <w:t>proposed annual building block revenue requirement, annual expected MAR and total revenue cap.</w:t>
      </w:r>
      <w:r>
        <w:t xml:space="preserve"> </w:t>
      </w:r>
      <w:r w:rsidR="001B335C">
        <w:t>This is because we have not accepted the building block costs that Directlink proposed in its revised proposal</w:t>
      </w:r>
      <w:r w:rsidR="001B335C" w:rsidRPr="00C10597">
        <w:t>.</w:t>
      </w:r>
      <w:r w:rsidR="001B335C">
        <w:t xml:space="preserve"> </w:t>
      </w:r>
      <w:r w:rsidRPr="005F7F99">
        <w:t xml:space="preserve">We have calculated the X factor and the annual expected MAR (smoothed) to reflect our </w:t>
      </w:r>
      <w:r w:rsidR="00513033">
        <w:t xml:space="preserve">final </w:t>
      </w:r>
      <w:r w:rsidRPr="005F7F99">
        <w:t xml:space="preserve">decisions on </w:t>
      </w:r>
      <w:r>
        <w:t>Directlink</w:t>
      </w:r>
      <w:r w:rsidRPr="005F7F99">
        <w:t>'s annual building block revenue requirement.</w:t>
      </w:r>
      <w:r>
        <w:t xml:space="preserve"> </w:t>
      </w:r>
    </w:p>
    <w:p w:rsidR="00925ED1" w:rsidRDefault="00925ED1" w:rsidP="00513033">
      <w:pPr>
        <w:numPr>
          <w:ilvl w:val="0"/>
          <w:numId w:val="25"/>
        </w:numPr>
      </w:pPr>
      <w:r>
        <w:t>We determine a total annual building block revenue requirement for Directlink of $</w:t>
      </w:r>
      <w:r w:rsidR="003162FF">
        <w:t>68.7</w:t>
      </w:r>
      <w:r w:rsidR="00513033">
        <w:t> </w:t>
      </w:r>
      <w:r>
        <w:t>million ($ nominal) for the 2015–20 regulatory control period. As a result of our smoothing of the annual building block revenue requirement, w</w:t>
      </w:r>
      <w:r w:rsidRPr="00C10597">
        <w:t>e approve an estimated total revenue cap of</w:t>
      </w:r>
      <w:r>
        <w:t xml:space="preserve"> </w:t>
      </w:r>
      <w:r w:rsidRPr="00C10597">
        <w:t>$</w:t>
      </w:r>
      <w:r w:rsidR="003162FF">
        <w:t>68.7</w:t>
      </w:r>
      <w:r w:rsidRPr="00C10597">
        <w:t xml:space="preserve"> million ($ nominal) for </w:t>
      </w:r>
      <w:r>
        <w:t>Directlink</w:t>
      </w:r>
      <w:r w:rsidRPr="00C10597">
        <w:t xml:space="preserve"> for the </w:t>
      </w:r>
      <w:r>
        <w:t>2015–20</w:t>
      </w:r>
      <w:r w:rsidRPr="00C10597">
        <w:t xml:space="preserve"> regulatory control period. Our approved X factor is</w:t>
      </w:r>
      <w:r>
        <w:t xml:space="preserve"> zero</w:t>
      </w:r>
      <w:r w:rsidRPr="00C10597">
        <w:t xml:space="preserve"> per cent per annum for 201</w:t>
      </w:r>
      <w:r>
        <w:t>6</w:t>
      </w:r>
      <w:r w:rsidRPr="00C10597">
        <w:t>–1</w:t>
      </w:r>
      <w:r>
        <w:t>7</w:t>
      </w:r>
      <w:r w:rsidRPr="00C10597">
        <w:t xml:space="preserve"> </w:t>
      </w:r>
      <w:r>
        <w:t>to</w:t>
      </w:r>
      <w:r w:rsidRPr="00C10597">
        <w:t xml:space="preserve"> </w:t>
      </w:r>
      <w:r w:rsidR="00513033">
        <w:br/>
      </w:r>
      <w:r>
        <w:t xml:space="preserve">2019–20. </w:t>
      </w:r>
    </w:p>
    <w:p w:rsidR="00925ED1" w:rsidRDefault="00925ED1" w:rsidP="00925ED1">
      <w:pPr>
        <w:numPr>
          <w:ilvl w:val="0"/>
          <w:numId w:val="25"/>
        </w:numPr>
      </w:pPr>
      <w:r>
        <w:fldChar w:fldCharType="begin"/>
      </w:r>
      <w:r>
        <w:instrText xml:space="preserve"> REF _Ref402785567 \h </w:instrText>
      </w:r>
      <w:r>
        <w:fldChar w:fldCharType="separate"/>
      </w:r>
      <w:r>
        <w:t xml:space="preserve">Table </w:t>
      </w:r>
      <w:r w:rsidRPr="00925ED1">
        <w:t>1</w:t>
      </w:r>
      <w:r>
        <w:noBreakHyphen/>
      </w:r>
      <w:r w:rsidRPr="00925ED1">
        <w:t>1</w:t>
      </w:r>
      <w:r>
        <w:fldChar w:fldCharType="end"/>
      </w:r>
      <w:r>
        <w:t xml:space="preserve"> </w:t>
      </w:r>
      <w:r w:rsidRPr="00C10597">
        <w:t>set</w:t>
      </w:r>
      <w:r>
        <w:t>s</w:t>
      </w:r>
      <w:r w:rsidR="00513033">
        <w:t xml:space="preserve"> out our final</w:t>
      </w:r>
      <w:r w:rsidRPr="00C10597">
        <w:t xml:space="preserve"> decision on </w:t>
      </w:r>
      <w:r>
        <w:t xml:space="preserve">Directlink's </w:t>
      </w:r>
      <w:r w:rsidRPr="00C10597">
        <w:t xml:space="preserve">annual building block revenue requirement, the X factor, the annual expected MAR and the estimated total revenue cap </w:t>
      </w:r>
      <w:r>
        <w:t>for the 2015–20 regulatory control period</w:t>
      </w:r>
      <w:r w:rsidRPr="00C10597">
        <w:t>.</w:t>
      </w:r>
    </w:p>
    <w:p w:rsidR="00905459" w:rsidRDefault="00905459" w:rsidP="00905459"/>
    <w:p w:rsidR="00905459" w:rsidRPr="00C10597" w:rsidRDefault="00905459" w:rsidP="00905459"/>
    <w:p w:rsidR="00925ED1" w:rsidRPr="00C10597" w:rsidRDefault="00925ED1" w:rsidP="00925ED1">
      <w:pPr>
        <w:pStyle w:val="Caption"/>
      </w:pPr>
      <w:bookmarkStart w:id="13" w:name="_Ref402785567"/>
      <w:r>
        <w:lastRenderedPageBreak/>
        <w:t xml:space="preserve">Table </w:t>
      </w:r>
      <w:r w:rsidRPr="00925ED1">
        <w:fldChar w:fldCharType="begin"/>
      </w:r>
      <w:r>
        <w:instrText xml:space="preserve"> STYLEREF 1 \s </w:instrText>
      </w:r>
      <w:r w:rsidRPr="00925ED1">
        <w:fldChar w:fldCharType="separate"/>
      </w:r>
      <w:r w:rsidRPr="00925ED1">
        <w:t>1</w:t>
      </w:r>
      <w:r w:rsidRPr="00925ED1">
        <w:fldChar w:fldCharType="end"/>
      </w:r>
      <w:r>
        <w:noBreakHyphen/>
      </w:r>
      <w:r w:rsidRPr="00925ED1">
        <w:fldChar w:fldCharType="begin"/>
      </w:r>
      <w:r>
        <w:instrText xml:space="preserve"> SEQ Table \* ARABIC \s 1 </w:instrText>
      </w:r>
      <w:r w:rsidRPr="00925ED1">
        <w:fldChar w:fldCharType="separate"/>
      </w:r>
      <w:r w:rsidRPr="00925ED1">
        <w:t>1</w:t>
      </w:r>
      <w:r w:rsidRPr="00925ED1">
        <w:fldChar w:fldCharType="end"/>
      </w:r>
      <w:bookmarkEnd w:id="13"/>
      <w:r>
        <w:tab/>
      </w:r>
      <w:r w:rsidRPr="00C10597">
        <w:t xml:space="preserve">AER's </w:t>
      </w:r>
      <w:r w:rsidR="00513033">
        <w:t>final</w:t>
      </w:r>
      <w:r w:rsidRPr="00C10597">
        <w:t xml:space="preserve"> decision on </w:t>
      </w:r>
      <w:r>
        <w:t>Directlink</w:t>
      </w:r>
      <w:r w:rsidRPr="00C10597">
        <w:t>'s annual building block revenue requirement, annual expected MAR, estimated total revenue cap and X factor ($ million, nominal)</w:t>
      </w:r>
    </w:p>
    <w:tbl>
      <w:tblPr>
        <w:tblStyle w:val="AERtable-numbers"/>
        <w:tblW w:w="5000" w:type="pct"/>
        <w:tblLook w:val="04A0" w:firstRow="1" w:lastRow="0" w:firstColumn="1" w:lastColumn="0" w:noHBand="0" w:noVBand="1"/>
      </w:tblPr>
      <w:tblGrid>
        <w:gridCol w:w="2941"/>
        <w:gridCol w:w="958"/>
        <w:gridCol w:w="960"/>
        <w:gridCol w:w="958"/>
        <w:gridCol w:w="960"/>
        <w:gridCol w:w="958"/>
        <w:gridCol w:w="958"/>
      </w:tblGrid>
      <w:tr w:rsidR="00925ED1" w:rsidRPr="00C014FA" w:rsidTr="00FB4346">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692" w:type="pct"/>
          </w:tcPr>
          <w:p w:rsidR="00925ED1" w:rsidRPr="00C014FA" w:rsidRDefault="00925ED1" w:rsidP="00C014FA"/>
        </w:tc>
        <w:tc>
          <w:tcPr>
            <w:tcW w:w="551" w:type="pct"/>
          </w:tcPr>
          <w:p w:rsidR="00925ED1" w:rsidRPr="00C014FA" w:rsidRDefault="00925ED1" w:rsidP="00C014FA">
            <w:pPr>
              <w:cnfStyle w:val="100000000000" w:firstRow="1" w:lastRow="0" w:firstColumn="0" w:lastColumn="0" w:oddVBand="0" w:evenVBand="0" w:oddHBand="0" w:evenHBand="0" w:firstRowFirstColumn="0" w:firstRowLastColumn="0" w:lastRowFirstColumn="0" w:lastRowLastColumn="0"/>
            </w:pPr>
            <w:r w:rsidRPr="00C014FA">
              <w:t>2015–16</w:t>
            </w:r>
          </w:p>
        </w:tc>
        <w:tc>
          <w:tcPr>
            <w:tcW w:w="552" w:type="pct"/>
          </w:tcPr>
          <w:p w:rsidR="00925ED1" w:rsidRPr="00C014FA" w:rsidRDefault="00925ED1" w:rsidP="00C014FA">
            <w:pPr>
              <w:cnfStyle w:val="100000000000" w:firstRow="1" w:lastRow="0" w:firstColumn="0" w:lastColumn="0" w:oddVBand="0" w:evenVBand="0" w:oddHBand="0" w:evenHBand="0" w:firstRowFirstColumn="0" w:firstRowLastColumn="0" w:lastRowFirstColumn="0" w:lastRowLastColumn="0"/>
            </w:pPr>
            <w:r w:rsidRPr="00C014FA">
              <w:t>2016–17</w:t>
            </w:r>
          </w:p>
        </w:tc>
        <w:tc>
          <w:tcPr>
            <w:tcW w:w="551" w:type="pct"/>
          </w:tcPr>
          <w:p w:rsidR="00925ED1" w:rsidRPr="00C014FA" w:rsidRDefault="00925ED1" w:rsidP="00C014FA">
            <w:pPr>
              <w:cnfStyle w:val="100000000000" w:firstRow="1" w:lastRow="0" w:firstColumn="0" w:lastColumn="0" w:oddVBand="0" w:evenVBand="0" w:oddHBand="0" w:evenHBand="0" w:firstRowFirstColumn="0" w:firstRowLastColumn="0" w:lastRowFirstColumn="0" w:lastRowLastColumn="0"/>
            </w:pPr>
            <w:r w:rsidRPr="00C014FA">
              <w:t>2017–18</w:t>
            </w:r>
          </w:p>
        </w:tc>
        <w:tc>
          <w:tcPr>
            <w:tcW w:w="552" w:type="pct"/>
          </w:tcPr>
          <w:p w:rsidR="00925ED1" w:rsidRPr="00C014FA" w:rsidRDefault="00925ED1" w:rsidP="00C014FA">
            <w:pPr>
              <w:cnfStyle w:val="100000000000" w:firstRow="1" w:lastRow="0" w:firstColumn="0" w:lastColumn="0" w:oddVBand="0" w:evenVBand="0" w:oddHBand="0" w:evenHBand="0" w:firstRowFirstColumn="0" w:firstRowLastColumn="0" w:lastRowFirstColumn="0" w:lastRowLastColumn="0"/>
            </w:pPr>
            <w:r w:rsidRPr="00C014FA">
              <w:t>2018–19</w:t>
            </w:r>
          </w:p>
        </w:tc>
        <w:tc>
          <w:tcPr>
            <w:tcW w:w="551" w:type="pct"/>
          </w:tcPr>
          <w:p w:rsidR="00925ED1" w:rsidRPr="00C014FA" w:rsidRDefault="00925ED1" w:rsidP="00C014FA">
            <w:pPr>
              <w:cnfStyle w:val="100000000000" w:firstRow="1" w:lastRow="0" w:firstColumn="0" w:lastColumn="0" w:oddVBand="0" w:evenVBand="0" w:oddHBand="0" w:evenHBand="0" w:firstRowFirstColumn="0" w:firstRowLastColumn="0" w:lastRowFirstColumn="0" w:lastRowLastColumn="0"/>
            </w:pPr>
            <w:r w:rsidRPr="00C014FA">
              <w:t>2019–20</w:t>
            </w:r>
          </w:p>
        </w:tc>
        <w:tc>
          <w:tcPr>
            <w:tcW w:w="551" w:type="pct"/>
          </w:tcPr>
          <w:p w:rsidR="00925ED1" w:rsidRPr="00C014FA" w:rsidRDefault="00925ED1" w:rsidP="00C014FA">
            <w:pPr>
              <w:cnfStyle w:val="100000000000" w:firstRow="1" w:lastRow="0" w:firstColumn="0" w:lastColumn="0" w:oddVBand="0" w:evenVBand="0" w:oddHBand="0" w:evenHBand="0" w:firstRowFirstColumn="0" w:firstRowLastColumn="0" w:lastRowFirstColumn="0" w:lastRowLastColumn="0"/>
            </w:pPr>
            <w:r w:rsidRPr="00C014FA">
              <w:t>Total</w:t>
            </w:r>
          </w:p>
        </w:tc>
      </w:tr>
      <w:tr w:rsidR="00FB4346" w:rsidRPr="00C014FA" w:rsidTr="00FB4346">
        <w:trPr>
          <w:trHeight w:val="437"/>
        </w:trPr>
        <w:tc>
          <w:tcPr>
            <w:cnfStyle w:val="001000000000" w:firstRow="0" w:lastRow="0" w:firstColumn="1" w:lastColumn="0" w:oddVBand="0" w:evenVBand="0" w:oddHBand="0" w:evenHBand="0" w:firstRowFirstColumn="0" w:firstRowLastColumn="0" w:lastRowFirstColumn="0" w:lastRowLastColumn="0"/>
            <w:tcW w:w="1692" w:type="pct"/>
          </w:tcPr>
          <w:p w:rsidR="00FB4346" w:rsidRPr="00FB4346" w:rsidRDefault="00FB4346" w:rsidP="00FB4346">
            <w:r w:rsidRPr="00C014FA">
              <w:t>Return on capital</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7.1</w:t>
            </w:r>
          </w:p>
        </w:tc>
        <w:tc>
          <w:tcPr>
            <w:tcW w:w="552"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7.4</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7.4</w:t>
            </w:r>
          </w:p>
        </w:tc>
        <w:tc>
          <w:tcPr>
            <w:tcW w:w="552" w:type="pct"/>
          </w:tcPr>
          <w:p w:rsidR="00FB4346" w:rsidRPr="00FB4346" w:rsidRDefault="00FB4346" w:rsidP="00C058D7">
            <w:pPr>
              <w:cnfStyle w:val="000000000000" w:firstRow="0" w:lastRow="0" w:firstColumn="0" w:lastColumn="0" w:oddVBand="0" w:evenVBand="0" w:oddHBand="0" w:evenHBand="0" w:firstRowFirstColumn="0" w:firstRowLastColumn="0" w:lastRowFirstColumn="0" w:lastRowLastColumn="0"/>
            </w:pPr>
            <w:r>
              <w:t>7.</w:t>
            </w:r>
            <w:r w:rsidR="00C058D7">
              <w:t>3</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7.4</w:t>
            </w:r>
          </w:p>
        </w:tc>
        <w:tc>
          <w:tcPr>
            <w:tcW w:w="551" w:type="pct"/>
          </w:tcPr>
          <w:p w:rsidR="00FB4346" w:rsidRPr="00FB4346" w:rsidRDefault="00FB4346" w:rsidP="00C058D7">
            <w:pPr>
              <w:cnfStyle w:val="000000000000" w:firstRow="0" w:lastRow="0" w:firstColumn="0" w:lastColumn="0" w:oddVBand="0" w:evenVBand="0" w:oddHBand="0" w:evenHBand="0" w:firstRowFirstColumn="0" w:firstRowLastColumn="0" w:lastRowFirstColumn="0" w:lastRowLastColumn="0"/>
            </w:pPr>
            <w:r>
              <w:t>36.</w:t>
            </w:r>
            <w:r w:rsidR="00C058D7">
              <w:t>5</w:t>
            </w:r>
          </w:p>
        </w:tc>
      </w:tr>
      <w:tr w:rsidR="00FB4346" w:rsidRPr="00C014FA" w:rsidTr="00FB4346">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692" w:type="pct"/>
          </w:tcPr>
          <w:p w:rsidR="00FB4346" w:rsidRPr="00FB4346" w:rsidRDefault="00FB4346" w:rsidP="00FB4346">
            <w:r w:rsidRPr="00C014FA">
              <w:t>Regulatory depreciation</w:t>
            </w:r>
            <w:r w:rsidRPr="00FB4346">
              <w:rPr>
                <w:rStyle w:val="AERsuperscript"/>
              </w:rPr>
              <w:t>a</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1.7</w:t>
            </w:r>
          </w:p>
        </w:tc>
        <w:tc>
          <w:tcPr>
            <w:tcW w:w="552"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1.9</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2.1</w:t>
            </w:r>
          </w:p>
        </w:tc>
        <w:tc>
          <w:tcPr>
            <w:tcW w:w="552"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2.4</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2.6</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10.7</w:t>
            </w:r>
          </w:p>
        </w:tc>
      </w:tr>
      <w:tr w:rsidR="00FB4346" w:rsidRPr="00C014FA" w:rsidTr="00FB4346">
        <w:trPr>
          <w:trHeight w:val="437"/>
        </w:trPr>
        <w:tc>
          <w:tcPr>
            <w:cnfStyle w:val="001000000000" w:firstRow="0" w:lastRow="0" w:firstColumn="1" w:lastColumn="0" w:oddVBand="0" w:evenVBand="0" w:oddHBand="0" w:evenHBand="0" w:firstRowFirstColumn="0" w:firstRowLastColumn="0" w:lastRowFirstColumn="0" w:lastRowLastColumn="0"/>
            <w:tcW w:w="1692" w:type="pct"/>
          </w:tcPr>
          <w:p w:rsidR="00FB4346" w:rsidRPr="00FB4346" w:rsidRDefault="00FB4346" w:rsidP="00FB4346">
            <w:r w:rsidRPr="00C014FA">
              <w:t>Operating expenditure</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4.3</w:t>
            </w:r>
          </w:p>
        </w:tc>
        <w:tc>
          <w:tcPr>
            <w:tcW w:w="552"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3.6</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3.8</w:t>
            </w:r>
          </w:p>
        </w:tc>
        <w:tc>
          <w:tcPr>
            <w:tcW w:w="552"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3.8</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4.0</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19.5</w:t>
            </w:r>
          </w:p>
        </w:tc>
      </w:tr>
      <w:tr w:rsidR="00FB4346" w:rsidRPr="00C014FA" w:rsidTr="00FB4346">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692" w:type="pct"/>
          </w:tcPr>
          <w:p w:rsidR="00FB4346" w:rsidRPr="00FB4346" w:rsidRDefault="00FB4346" w:rsidP="00FB4346">
            <w:r w:rsidRPr="00C014FA">
              <w:t>Net tax allowance</w:t>
            </w:r>
          </w:p>
        </w:tc>
        <w:tc>
          <w:tcPr>
            <w:tcW w:w="551" w:type="pct"/>
          </w:tcPr>
          <w:p w:rsidR="00FB4346" w:rsidRPr="00FB4346" w:rsidRDefault="00FB4346" w:rsidP="00C058D7">
            <w:pPr>
              <w:cnfStyle w:val="000000010000" w:firstRow="0" w:lastRow="0" w:firstColumn="0" w:lastColumn="0" w:oddVBand="0" w:evenVBand="0" w:oddHBand="0" w:evenHBand="1" w:firstRowFirstColumn="0" w:firstRowLastColumn="0" w:lastRowFirstColumn="0" w:lastRowLastColumn="0"/>
            </w:pPr>
            <w:r>
              <w:t>0.</w:t>
            </w:r>
            <w:r w:rsidR="00C058D7">
              <w:t>3</w:t>
            </w:r>
          </w:p>
        </w:tc>
        <w:tc>
          <w:tcPr>
            <w:tcW w:w="552"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0.4</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0.4</w:t>
            </w:r>
          </w:p>
        </w:tc>
        <w:tc>
          <w:tcPr>
            <w:tcW w:w="552"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0.4</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0.5</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pPr>
            <w:r>
              <w:t>2.1</w:t>
            </w:r>
          </w:p>
        </w:tc>
      </w:tr>
      <w:tr w:rsidR="00FB4346" w:rsidRPr="00C014FA" w:rsidTr="00FB4346">
        <w:trPr>
          <w:trHeight w:val="660"/>
        </w:trPr>
        <w:tc>
          <w:tcPr>
            <w:cnfStyle w:val="001000000000" w:firstRow="0" w:lastRow="0" w:firstColumn="1" w:lastColumn="0" w:oddVBand="0" w:evenVBand="0" w:oddHBand="0" w:evenHBand="0" w:firstRowFirstColumn="0" w:firstRowLastColumn="0" w:lastRowFirstColumn="0" w:lastRowLastColumn="0"/>
            <w:tcW w:w="1692" w:type="pct"/>
          </w:tcPr>
          <w:p w:rsidR="00FB4346" w:rsidRPr="00FB4346" w:rsidRDefault="00FB4346" w:rsidP="00FB4346">
            <w:r w:rsidRPr="00C014FA">
              <w:t>Annual building block revenue requirement (unsmoothed)</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13.3</w:t>
            </w:r>
          </w:p>
        </w:tc>
        <w:tc>
          <w:tcPr>
            <w:tcW w:w="552"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13.3</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13.7</w:t>
            </w:r>
          </w:p>
        </w:tc>
        <w:tc>
          <w:tcPr>
            <w:tcW w:w="552"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14.0</w:t>
            </w:r>
          </w:p>
        </w:tc>
        <w:tc>
          <w:tcPr>
            <w:tcW w:w="551" w:type="pct"/>
          </w:tcPr>
          <w:p w:rsidR="00FB4346" w:rsidRPr="00FB4346" w:rsidRDefault="00FB4346" w:rsidP="00FB4346">
            <w:pPr>
              <w:cnfStyle w:val="000000000000" w:firstRow="0" w:lastRow="0" w:firstColumn="0" w:lastColumn="0" w:oddVBand="0" w:evenVBand="0" w:oddHBand="0" w:evenHBand="0" w:firstRowFirstColumn="0" w:firstRowLastColumn="0" w:lastRowFirstColumn="0" w:lastRowLastColumn="0"/>
            </w:pPr>
            <w:r>
              <w:t>14.4</w:t>
            </w:r>
          </w:p>
        </w:tc>
        <w:tc>
          <w:tcPr>
            <w:tcW w:w="551" w:type="pct"/>
          </w:tcPr>
          <w:p w:rsidR="00FB4346" w:rsidRPr="00FB4346" w:rsidRDefault="00FB4346" w:rsidP="00C058D7">
            <w:pPr>
              <w:cnfStyle w:val="000000000000" w:firstRow="0" w:lastRow="0" w:firstColumn="0" w:lastColumn="0" w:oddVBand="0" w:evenVBand="0" w:oddHBand="0" w:evenHBand="0" w:firstRowFirstColumn="0" w:firstRowLastColumn="0" w:lastRowFirstColumn="0" w:lastRowLastColumn="0"/>
            </w:pPr>
            <w:r>
              <w:t>6</w:t>
            </w:r>
            <w:r w:rsidR="00C058D7">
              <w:t>8</w:t>
            </w:r>
            <w:r>
              <w:t>.7</w:t>
            </w:r>
          </w:p>
        </w:tc>
      </w:tr>
      <w:tr w:rsidR="00FB4346" w:rsidRPr="00C014FA" w:rsidTr="00FB4346">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92" w:type="pct"/>
          </w:tcPr>
          <w:p w:rsidR="00FB4346" w:rsidRPr="00FB4346" w:rsidRDefault="00FB4346" w:rsidP="00FB4346">
            <w:pPr>
              <w:rPr>
                <w:rStyle w:val="Strong"/>
              </w:rPr>
            </w:pPr>
            <w:r w:rsidRPr="00C014FA">
              <w:rPr>
                <w:rStyle w:val="Strong"/>
              </w:rPr>
              <w:t xml:space="preserve">Annual expected MAR </w:t>
            </w:r>
            <w:r w:rsidRPr="00FB4346">
              <w:rPr>
                <w:rStyle w:val="Strong"/>
              </w:rPr>
              <w:t>(smoothed)</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13.1</w:t>
            </w:r>
          </w:p>
        </w:tc>
        <w:tc>
          <w:tcPr>
            <w:tcW w:w="552"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13.4</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13.7</w:t>
            </w:r>
          </w:p>
        </w:tc>
        <w:tc>
          <w:tcPr>
            <w:tcW w:w="552"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14.1</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14.4</w:t>
            </w:r>
          </w:p>
        </w:tc>
        <w:tc>
          <w:tcPr>
            <w:tcW w:w="551" w:type="pct"/>
          </w:tcPr>
          <w:p w:rsidR="00FB4346" w:rsidRPr="00FB4346" w:rsidRDefault="00FB4346" w:rsidP="00FB4346">
            <w:pPr>
              <w:cnfStyle w:val="000000010000" w:firstRow="0" w:lastRow="0" w:firstColumn="0" w:lastColumn="0" w:oddVBand="0" w:evenVBand="0" w:oddHBand="0" w:evenHBand="1" w:firstRowFirstColumn="0" w:firstRowLastColumn="0" w:lastRowFirstColumn="0" w:lastRowLastColumn="0"/>
              <w:rPr>
                <w:rStyle w:val="AERbody"/>
              </w:rPr>
            </w:pPr>
            <w:r>
              <w:rPr>
                <w:rStyle w:val="Strong"/>
              </w:rPr>
              <w:t>68.7</w:t>
            </w:r>
            <w:r w:rsidRPr="00FB4346">
              <w:rPr>
                <w:rStyle w:val="AERsuperscript"/>
              </w:rPr>
              <w:t>b</w:t>
            </w:r>
          </w:p>
        </w:tc>
      </w:tr>
      <w:tr w:rsidR="00925ED1" w:rsidRPr="00C014FA" w:rsidTr="00FB4346">
        <w:trPr>
          <w:trHeight w:val="460"/>
        </w:trPr>
        <w:tc>
          <w:tcPr>
            <w:cnfStyle w:val="001000000000" w:firstRow="0" w:lastRow="0" w:firstColumn="1" w:lastColumn="0" w:oddVBand="0" w:evenVBand="0" w:oddHBand="0" w:evenHBand="0" w:firstRowFirstColumn="0" w:firstRowLastColumn="0" w:lastRowFirstColumn="0" w:lastRowLastColumn="0"/>
            <w:tcW w:w="1692" w:type="pct"/>
          </w:tcPr>
          <w:p w:rsidR="00925ED1" w:rsidRPr="00C014FA" w:rsidRDefault="00925ED1" w:rsidP="00C014FA">
            <w:r w:rsidRPr="00C014FA">
              <w:t>X factor (%)</w:t>
            </w:r>
            <w:r w:rsidR="006B3DAA" w:rsidRPr="006B3DAA">
              <w:rPr>
                <w:rStyle w:val="AERsuperscript"/>
              </w:rPr>
              <w:t>c</w:t>
            </w:r>
          </w:p>
        </w:tc>
        <w:tc>
          <w:tcPr>
            <w:tcW w:w="551" w:type="pct"/>
          </w:tcPr>
          <w:p w:rsidR="00925ED1" w:rsidRPr="00C014FA" w:rsidRDefault="00925ED1" w:rsidP="00C014FA">
            <w:pPr>
              <w:cnfStyle w:val="000000000000" w:firstRow="0" w:lastRow="0" w:firstColumn="0" w:lastColumn="0" w:oddVBand="0" w:evenVBand="0" w:oddHBand="0" w:evenHBand="0" w:firstRowFirstColumn="0" w:firstRowLastColumn="0" w:lastRowFirstColumn="0" w:lastRowLastColumn="0"/>
            </w:pPr>
            <w:r w:rsidRPr="00C014FA">
              <w:t>n/a</w:t>
            </w:r>
            <w:r w:rsidR="006B3DAA">
              <w:rPr>
                <w:rStyle w:val="AERsuperscript"/>
              </w:rPr>
              <w:t>d</w:t>
            </w:r>
          </w:p>
        </w:tc>
        <w:tc>
          <w:tcPr>
            <w:tcW w:w="552" w:type="pct"/>
          </w:tcPr>
          <w:p w:rsidR="00925ED1" w:rsidRPr="00C014FA" w:rsidRDefault="00925ED1" w:rsidP="00C014FA">
            <w:pPr>
              <w:cnfStyle w:val="000000000000" w:firstRow="0" w:lastRow="0" w:firstColumn="0" w:lastColumn="0" w:oddVBand="0" w:evenVBand="0" w:oddHBand="0" w:evenHBand="0" w:firstRowFirstColumn="0" w:firstRowLastColumn="0" w:lastRowFirstColumn="0" w:lastRowLastColumn="0"/>
            </w:pPr>
            <w:r w:rsidRPr="00C014FA">
              <w:t>0.0%</w:t>
            </w:r>
          </w:p>
        </w:tc>
        <w:tc>
          <w:tcPr>
            <w:tcW w:w="551" w:type="pct"/>
          </w:tcPr>
          <w:p w:rsidR="00925ED1" w:rsidRPr="00C014FA" w:rsidRDefault="00925ED1" w:rsidP="006B3DAA">
            <w:pPr>
              <w:cnfStyle w:val="000000000000" w:firstRow="0" w:lastRow="0" w:firstColumn="0" w:lastColumn="0" w:oddVBand="0" w:evenVBand="0" w:oddHBand="0" w:evenHBand="0" w:firstRowFirstColumn="0" w:firstRowLastColumn="0" w:lastRowFirstColumn="0" w:lastRowLastColumn="0"/>
            </w:pPr>
            <w:r w:rsidRPr="00C014FA">
              <w:t>0.0%</w:t>
            </w:r>
          </w:p>
        </w:tc>
        <w:tc>
          <w:tcPr>
            <w:tcW w:w="552" w:type="pct"/>
          </w:tcPr>
          <w:p w:rsidR="00925ED1" w:rsidRPr="00C014FA" w:rsidRDefault="00925ED1" w:rsidP="006B3DAA">
            <w:pPr>
              <w:cnfStyle w:val="000000000000" w:firstRow="0" w:lastRow="0" w:firstColumn="0" w:lastColumn="0" w:oddVBand="0" w:evenVBand="0" w:oddHBand="0" w:evenHBand="0" w:firstRowFirstColumn="0" w:firstRowLastColumn="0" w:lastRowFirstColumn="0" w:lastRowLastColumn="0"/>
            </w:pPr>
            <w:r w:rsidRPr="00C014FA">
              <w:t>0.0%</w:t>
            </w:r>
          </w:p>
        </w:tc>
        <w:tc>
          <w:tcPr>
            <w:tcW w:w="551" w:type="pct"/>
          </w:tcPr>
          <w:p w:rsidR="00925ED1" w:rsidRPr="00C014FA" w:rsidRDefault="00925ED1" w:rsidP="006B3DAA">
            <w:pPr>
              <w:cnfStyle w:val="000000000000" w:firstRow="0" w:lastRow="0" w:firstColumn="0" w:lastColumn="0" w:oddVBand="0" w:evenVBand="0" w:oddHBand="0" w:evenHBand="0" w:firstRowFirstColumn="0" w:firstRowLastColumn="0" w:lastRowFirstColumn="0" w:lastRowLastColumn="0"/>
            </w:pPr>
            <w:r w:rsidRPr="00C014FA">
              <w:t>0.0%</w:t>
            </w:r>
          </w:p>
        </w:tc>
        <w:tc>
          <w:tcPr>
            <w:tcW w:w="551" w:type="pct"/>
          </w:tcPr>
          <w:p w:rsidR="00925ED1" w:rsidRPr="00C014FA" w:rsidRDefault="00925ED1" w:rsidP="00C014FA">
            <w:pPr>
              <w:cnfStyle w:val="000000000000" w:firstRow="0" w:lastRow="0" w:firstColumn="0" w:lastColumn="0" w:oddVBand="0" w:evenVBand="0" w:oddHBand="0" w:evenHBand="0" w:firstRowFirstColumn="0" w:firstRowLastColumn="0" w:lastRowFirstColumn="0" w:lastRowLastColumn="0"/>
            </w:pPr>
            <w:r w:rsidRPr="00C014FA">
              <w:t>n/a</w:t>
            </w:r>
          </w:p>
        </w:tc>
      </w:tr>
    </w:tbl>
    <w:p w:rsidR="00925ED1" w:rsidRPr="00C10597" w:rsidRDefault="00925ED1" w:rsidP="00925ED1">
      <w:pPr>
        <w:pStyle w:val="AERtablesource"/>
      </w:pPr>
      <w:r w:rsidRPr="00C10597">
        <w:t>Source:</w:t>
      </w:r>
      <w:r w:rsidRPr="00C10597">
        <w:tab/>
        <w:t>AER analysis.</w:t>
      </w:r>
    </w:p>
    <w:p w:rsidR="00925ED1" w:rsidRPr="00C10597" w:rsidRDefault="00925ED1" w:rsidP="00925ED1">
      <w:pPr>
        <w:pStyle w:val="AERtablesource"/>
      </w:pPr>
      <w:r w:rsidRPr="00C10597">
        <w:t>(a)</w:t>
      </w:r>
      <w:r w:rsidRPr="00C10597">
        <w:tab/>
        <w:t>Regulatory depreciation is straight-line depreciation net of the inflation indexation on the opening RAB.</w:t>
      </w:r>
    </w:p>
    <w:p w:rsidR="00925ED1" w:rsidRPr="00C10597" w:rsidRDefault="00925ED1" w:rsidP="00925ED1">
      <w:pPr>
        <w:pStyle w:val="AERtablesource"/>
      </w:pPr>
      <w:r w:rsidRPr="00C10597">
        <w:t>(b)</w:t>
      </w:r>
      <w:r w:rsidRPr="00C10597">
        <w:tab/>
        <w:t>The estimated total revenue cap is equal to the total annual expected MAR.</w:t>
      </w:r>
    </w:p>
    <w:p w:rsidR="00F03EB0" w:rsidRDefault="00925ED1" w:rsidP="00925ED1">
      <w:pPr>
        <w:pStyle w:val="AERtablesource"/>
      </w:pPr>
      <w:r w:rsidRPr="00C10597">
        <w:t>(c)</w:t>
      </w:r>
      <w:r w:rsidRPr="00C10597">
        <w:tab/>
      </w:r>
      <w:r w:rsidR="00F03EB0">
        <w:t>The X factor from 2016–17 to 2019–20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925ED1" w:rsidRDefault="00F03EB0" w:rsidP="00925ED1">
      <w:pPr>
        <w:pStyle w:val="AERtablesource"/>
      </w:pPr>
      <w:r>
        <w:t>(d)</w:t>
      </w:r>
      <w:r>
        <w:tab/>
      </w:r>
      <w:r w:rsidR="00925ED1">
        <w:t>Directlink</w:t>
      </w:r>
      <w:r w:rsidR="00925ED1" w:rsidRPr="00C10597">
        <w:t xml:space="preserve"> is not required to apply an X factor for 201</w:t>
      </w:r>
      <w:r w:rsidR="00925ED1">
        <w:t>5</w:t>
      </w:r>
      <w:r w:rsidR="00925ED1" w:rsidRPr="00C10597">
        <w:t>–1</w:t>
      </w:r>
      <w:r w:rsidR="00925ED1">
        <w:t>6</w:t>
      </w:r>
      <w:r w:rsidR="00925ED1" w:rsidRPr="00C10597">
        <w:t xml:space="preserve"> because </w:t>
      </w:r>
      <w:r w:rsidR="00925ED1">
        <w:t>the MAR is set in this decision</w:t>
      </w:r>
      <w:r w:rsidR="00925ED1" w:rsidRPr="00C10597">
        <w:t>. The MAR for 201</w:t>
      </w:r>
      <w:r w:rsidR="00925ED1">
        <w:t>5</w:t>
      </w:r>
      <w:r w:rsidR="00925ED1" w:rsidRPr="00C10597">
        <w:t>–1</w:t>
      </w:r>
      <w:r w:rsidR="00925ED1">
        <w:t>6</w:t>
      </w:r>
      <w:r w:rsidR="00925ED1" w:rsidRPr="00C10597">
        <w:t xml:space="preserve"> is around </w:t>
      </w:r>
      <w:r w:rsidR="003162FF">
        <w:t>10.1</w:t>
      </w:r>
      <w:r w:rsidR="00925ED1" w:rsidRPr="00C10597">
        <w:t xml:space="preserve"> per cent lower than the </w:t>
      </w:r>
      <w:r w:rsidR="00925ED1">
        <w:t xml:space="preserve">approved </w:t>
      </w:r>
      <w:r w:rsidR="00925ED1" w:rsidRPr="00C10597">
        <w:t xml:space="preserve">MAR </w:t>
      </w:r>
      <w:r w:rsidR="00925ED1">
        <w:t xml:space="preserve">($14.2 million) </w:t>
      </w:r>
      <w:r w:rsidR="00925ED1" w:rsidRPr="00C10597">
        <w:t>in the final year of the 200</w:t>
      </w:r>
      <w:r w:rsidR="00925ED1">
        <w:t>5</w:t>
      </w:r>
      <w:r w:rsidR="00925ED1" w:rsidRPr="00C10597">
        <w:t>–1</w:t>
      </w:r>
      <w:r w:rsidR="00925ED1">
        <w:t>5</w:t>
      </w:r>
      <w:r w:rsidR="00925ED1" w:rsidRPr="00C10597">
        <w:t xml:space="preserve"> regulatory control period (201</w:t>
      </w:r>
      <w:r w:rsidR="00925ED1">
        <w:t>4</w:t>
      </w:r>
      <w:r w:rsidR="00925ED1" w:rsidRPr="00C10597">
        <w:t>–1</w:t>
      </w:r>
      <w:r w:rsidR="00925ED1">
        <w:t>5</w:t>
      </w:r>
      <w:r w:rsidR="00925ED1" w:rsidRPr="00C10597">
        <w:t xml:space="preserve">) in real terms, or </w:t>
      </w:r>
      <w:r w:rsidR="003162FF">
        <w:t xml:space="preserve">7.8 </w:t>
      </w:r>
      <w:r w:rsidR="00925ED1" w:rsidRPr="00C10597">
        <w:t>p</w:t>
      </w:r>
      <w:r w:rsidR="00925ED1">
        <w:t xml:space="preserve">er cent </w:t>
      </w:r>
      <w:r w:rsidR="003162FF">
        <w:t>lower</w:t>
      </w:r>
      <w:r w:rsidR="00925ED1">
        <w:t xml:space="preserve"> in nominal terms.</w:t>
      </w:r>
    </w:p>
    <w:p w:rsidR="00DE563D" w:rsidRPr="00AF1F9E" w:rsidRDefault="00AF1F9E" w:rsidP="00AF1F9E">
      <w:pPr>
        <w:pStyle w:val="Heading2"/>
      </w:pPr>
      <w:bookmarkStart w:id="14" w:name="_Toc403144137"/>
      <w:bookmarkStart w:id="15" w:name="_Toc417638892"/>
      <w:r>
        <w:t>Directlink’s revised</w:t>
      </w:r>
      <w:r w:rsidR="00DE563D" w:rsidRPr="00AF1F9E">
        <w:t xml:space="preserve"> proposal</w:t>
      </w:r>
      <w:bookmarkEnd w:id="14"/>
      <w:bookmarkEnd w:id="15"/>
    </w:p>
    <w:p w:rsidR="00513033" w:rsidRDefault="00513033" w:rsidP="00513033">
      <w:pPr>
        <w:numPr>
          <w:ilvl w:val="0"/>
          <w:numId w:val="25"/>
        </w:numPr>
      </w:pPr>
      <w:bookmarkStart w:id="16" w:name="_Toc403144138"/>
      <w:r>
        <w:t>Directlink's revised proposal included a total (smoothed) revenue cap of $78.5 million ($ nominal) for the 2015</w:t>
      </w:r>
      <w:r w:rsidRPr="002F2286">
        <w:t>–</w:t>
      </w:r>
      <w:r>
        <w:t>20</w:t>
      </w:r>
      <w:r w:rsidRPr="002F2286">
        <w:t xml:space="preserve"> regulatory control period.</w:t>
      </w:r>
      <w:r>
        <w:t xml:space="preserve"> </w:t>
      </w:r>
    </w:p>
    <w:p w:rsidR="00513033" w:rsidRDefault="00513033" w:rsidP="00905459">
      <w:r>
        <w:fldChar w:fldCharType="begin"/>
      </w:r>
      <w:r>
        <w:instrText xml:space="preserve"> REF _Ref402785585 \h </w:instrText>
      </w:r>
      <w:r>
        <w:fldChar w:fldCharType="separate"/>
      </w:r>
      <w:r w:rsidRPr="00C10597">
        <w:t xml:space="preserve">Table </w:t>
      </w:r>
      <w:r w:rsidRPr="00513033">
        <w:t>1</w:t>
      </w:r>
      <w:r>
        <w:noBreakHyphen/>
      </w:r>
      <w:r w:rsidRPr="00513033">
        <w:t>2</w:t>
      </w:r>
      <w:r>
        <w:fldChar w:fldCharType="end"/>
      </w:r>
      <w:r>
        <w:t xml:space="preserve"> </w:t>
      </w:r>
      <w:r w:rsidRPr="00C10597">
        <w:t>set</w:t>
      </w:r>
      <w:r>
        <w:t>s</w:t>
      </w:r>
      <w:r w:rsidRPr="00C10597">
        <w:t xml:space="preserve"> out </w:t>
      </w:r>
      <w:proofErr w:type="spellStart"/>
      <w:r>
        <w:t>Directlink's</w:t>
      </w:r>
      <w:proofErr w:type="spellEnd"/>
      <w:r>
        <w:t xml:space="preserve"> revised</w:t>
      </w:r>
      <w:r w:rsidRPr="00C10597">
        <w:t xml:space="preserve"> proposed annual building block revenue requirement, the X factor, the annual expected MAR and the estimated total revenue cap</w:t>
      </w:r>
      <w:r>
        <w:t>.</w:t>
      </w:r>
    </w:p>
    <w:p w:rsidR="00905459" w:rsidRDefault="00905459">
      <w:pPr>
        <w:spacing w:line="240" w:lineRule="auto"/>
        <w:rPr>
          <w:b/>
          <w:bCs/>
          <w:color w:val="076A92" w:themeColor="text1"/>
          <w:sz w:val="24"/>
          <w:szCs w:val="18"/>
        </w:rPr>
      </w:pPr>
      <w:bookmarkStart w:id="17" w:name="_Ref402785585"/>
      <w:r>
        <w:br w:type="page"/>
      </w:r>
    </w:p>
    <w:p w:rsidR="00513033" w:rsidRPr="00C10597" w:rsidRDefault="00513033" w:rsidP="00513033">
      <w:pPr>
        <w:pStyle w:val="Caption"/>
      </w:pPr>
      <w:r w:rsidRPr="00C10597">
        <w:lastRenderedPageBreak/>
        <w:t xml:space="preserve">Table </w:t>
      </w:r>
      <w:r w:rsidRPr="00513033">
        <w:fldChar w:fldCharType="begin"/>
      </w:r>
      <w:r>
        <w:instrText xml:space="preserve"> STYLEREF 1 \s </w:instrText>
      </w:r>
      <w:r w:rsidRPr="00513033">
        <w:fldChar w:fldCharType="separate"/>
      </w:r>
      <w:r w:rsidRPr="00513033">
        <w:t>1</w:t>
      </w:r>
      <w:r w:rsidRPr="00513033">
        <w:fldChar w:fldCharType="end"/>
      </w:r>
      <w:r>
        <w:noBreakHyphen/>
      </w:r>
      <w:r w:rsidRPr="00513033">
        <w:fldChar w:fldCharType="begin"/>
      </w:r>
      <w:r>
        <w:instrText xml:space="preserve"> SEQ Table \* ARABIC \s 1 </w:instrText>
      </w:r>
      <w:r w:rsidRPr="00513033">
        <w:fldChar w:fldCharType="separate"/>
      </w:r>
      <w:r w:rsidRPr="00513033">
        <w:t>2</w:t>
      </w:r>
      <w:r w:rsidRPr="00513033">
        <w:fldChar w:fldCharType="end"/>
      </w:r>
      <w:bookmarkEnd w:id="17"/>
      <w:r w:rsidRPr="00C10597">
        <w:tab/>
      </w:r>
      <w:r>
        <w:t>Directlink</w:t>
      </w:r>
      <w:r w:rsidRPr="00C10597">
        <w:t xml:space="preserve">'s </w:t>
      </w:r>
      <w:r w:rsidR="00752117">
        <w:t xml:space="preserve">revised </w:t>
      </w:r>
      <w:r w:rsidRPr="00C10597">
        <w:t>proposed annual building block revenue requirement, annual expected MAR, estimated total revenue cap and X factor ($ million, nominal)</w:t>
      </w:r>
    </w:p>
    <w:tbl>
      <w:tblPr>
        <w:tblStyle w:val="AERtable-numbers"/>
        <w:tblW w:w="5000" w:type="pct"/>
        <w:tblLook w:val="04A0" w:firstRow="1" w:lastRow="0" w:firstColumn="1" w:lastColumn="0" w:noHBand="0" w:noVBand="1"/>
      </w:tblPr>
      <w:tblGrid>
        <w:gridCol w:w="2943"/>
        <w:gridCol w:w="958"/>
        <w:gridCol w:w="958"/>
        <w:gridCol w:w="958"/>
        <w:gridCol w:w="958"/>
        <w:gridCol w:w="958"/>
        <w:gridCol w:w="960"/>
      </w:tblGrid>
      <w:tr w:rsidR="00C014FA" w:rsidRPr="00C014FA" w:rsidTr="00C014FA">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tc>
        <w:tc>
          <w:tcPr>
            <w:tcW w:w="551" w:type="pct"/>
          </w:tcPr>
          <w:p w:rsidR="00513033" w:rsidRPr="00C014FA" w:rsidRDefault="00513033" w:rsidP="00C014FA">
            <w:pPr>
              <w:cnfStyle w:val="100000000000" w:firstRow="1" w:lastRow="0" w:firstColumn="0" w:lastColumn="0" w:oddVBand="0" w:evenVBand="0" w:oddHBand="0" w:evenHBand="0" w:firstRowFirstColumn="0" w:firstRowLastColumn="0" w:lastRowFirstColumn="0" w:lastRowLastColumn="0"/>
            </w:pPr>
            <w:r w:rsidRPr="00C014FA">
              <w:t>2015–16</w:t>
            </w:r>
          </w:p>
        </w:tc>
        <w:tc>
          <w:tcPr>
            <w:tcW w:w="551" w:type="pct"/>
          </w:tcPr>
          <w:p w:rsidR="00513033" w:rsidRPr="00C014FA" w:rsidRDefault="00513033" w:rsidP="00C014FA">
            <w:pPr>
              <w:cnfStyle w:val="100000000000" w:firstRow="1" w:lastRow="0" w:firstColumn="0" w:lastColumn="0" w:oddVBand="0" w:evenVBand="0" w:oddHBand="0" w:evenHBand="0" w:firstRowFirstColumn="0" w:firstRowLastColumn="0" w:lastRowFirstColumn="0" w:lastRowLastColumn="0"/>
            </w:pPr>
            <w:r w:rsidRPr="00C014FA">
              <w:t>2016–17</w:t>
            </w:r>
          </w:p>
        </w:tc>
        <w:tc>
          <w:tcPr>
            <w:tcW w:w="551" w:type="pct"/>
          </w:tcPr>
          <w:p w:rsidR="00513033" w:rsidRPr="00C014FA" w:rsidRDefault="00513033" w:rsidP="00C014FA">
            <w:pPr>
              <w:cnfStyle w:val="100000000000" w:firstRow="1" w:lastRow="0" w:firstColumn="0" w:lastColumn="0" w:oddVBand="0" w:evenVBand="0" w:oddHBand="0" w:evenHBand="0" w:firstRowFirstColumn="0" w:firstRowLastColumn="0" w:lastRowFirstColumn="0" w:lastRowLastColumn="0"/>
            </w:pPr>
            <w:r w:rsidRPr="00C014FA">
              <w:t>2017–18</w:t>
            </w:r>
          </w:p>
        </w:tc>
        <w:tc>
          <w:tcPr>
            <w:tcW w:w="551" w:type="pct"/>
          </w:tcPr>
          <w:p w:rsidR="00513033" w:rsidRPr="00C014FA" w:rsidRDefault="00513033" w:rsidP="00C014FA">
            <w:pPr>
              <w:cnfStyle w:val="100000000000" w:firstRow="1" w:lastRow="0" w:firstColumn="0" w:lastColumn="0" w:oddVBand="0" w:evenVBand="0" w:oddHBand="0" w:evenHBand="0" w:firstRowFirstColumn="0" w:firstRowLastColumn="0" w:lastRowFirstColumn="0" w:lastRowLastColumn="0"/>
            </w:pPr>
            <w:r w:rsidRPr="00C014FA">
              <w:t>2018–19</w:t>
            </w:r>
          </w:p>
        </w:tc>
        <w:tc>
          <w:tcPr>
            <w:tcW w:w="551" w:type="pct"/>
          </w:tcPr>
          <w:p w:rsidR="00513033" w:rsidRPr="00C014FA" w:rsidRDefault="00513033" w:rsidP="00C014FA">
            <w:pPr>
              <w:cnfStyle w:val="100000000000" w:firstRow="1" w:lastRow="0" w:firstColumn="0" w:lastColumn="0" w:oddVBand="0" w:evenVBand="0" w:oddHBand="0" w:evenHBand="0" w:firstRowFirstColumn="0" w:firstRowLastColumn="0" w:lastRowFirstColumn="0" w:lastRowLastColumn="0"/>
            </w:pPr>
            <w:r w:rsidRPr="00C014FA">
              <w:t>2019–20</w:t>
            </w:r>
          </w:p>
        </w:tc>
        <w:tc>
          <w:tcPr>
            <w:tcW w:w="552" w:type="pct"/>
          </w:tcPr>
          <w:p w:rsidR="00513033" w:rsidRPr="00C014FA" w:rsidRDefault="00513033" w:rsidP="00C014FA">
            <w:pPr>
              <w:cnfStyle w:val="100000000000" w:firstRow="1" w:lastRow="0" w:firstColumn="0" w:lastColumn="0" w:oddVBand="0" w:evenVBand="0" w:oddHBand="0" w:evenHBand="0" w:firstRowFirstColumn="0" w:firstRowLastColumn="0" w:lastRowFirstColumn="0" w:lastRowLastColumn="0"/>
            </w:pPr>
            <w:r w:rsidRPr="00C014FA">
              <w:t>Total</w:t>
            </w:r>
          </w:p>
        </w:tc>
      </w:tr>
      <w:tr w:rsidR="00EF0903" w:rsidRPr="00C014FA" w:rsidTr="00C014FA">
        <w:trPr>
          <w:trHeight w:val="431"/>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r w:rsidRPr="00C014FA">
              <w:t>Return on capital</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8.1</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8.7</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8.9</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9.0</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9.1</w:t>
            </w:r>
          </w:p>
        </w:tc>
        <w:tc>
          <w:tcPr>
            <w:tcW w:w="552"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43.8</w:t>
            </w:r>
          </w:p>
        </w:tc>
      </w:tr>
      <w:tr w:rsidR="00C014FA" w:rsidRPr="00C014FA" w:rsidTr="00C014F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r w:rsidRPr="00C014FA">
              <w:t>Regulatory depreciation</w:t>
            </w:r>
            <w:r w:rsidRPr="00C014FA">
              <w:rPr>
                <w:rStyle w:val="AERsuperscript"/>
              </w:rPr>
              <w:t>a</w:t>
            </w:r>
          </w:p>
        </w:tc>
        <w:tc>
          <w:tcPr>
            <w:tcW w:w="551" w:type="pct"/>
          </w:tcPr>
          <w:p w:rsidR="00513033" w:rsidRPr="00C014FA" w:rsidRDefault="00A51411" w:rsidP="00C014FA">
            <w:pPr>
              <w:cnfStyle w:val="000000010000" w:firstRow="0" w:lastRow="0" w:firstColumn="0" w:lastColumn="0" w:oddVBand="0" w:evenVBand="0" w:oddHBand="0" w:evenHBand="1" w:firstRowFirstColumn="0" w:firstRowLastColumn="0" w:lastRowFirstColumn="0" w:lastRowLastColumn="0"/>
            </w:pPr>
            <w:r>
              <w:t>1.7</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pPr>
            <w:r>
              <w:t>2.01</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pPr>
            <w:r>
              <w:t>2.3</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pPr>
            <w:r>
              <w:t>2.5</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pPr>
            <w:r>
              <w:t>2.8</w:t>
            </w:r>
          </w:p>
        </w:tc>
        <w:tc>
          <w:tcPr>
            <w:tcW w:w="552"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pPr>
            <w:r>
              <w:t>11.3</w:t>
            </w:r>
          </w:p>
        </w:tc>
      </w:tr>
      <w:tr w:rsidR="00EF0903" w:rsidRPr="00C014FA" w:rsidTr="00C014FA">
        <w:trPr>
          <w:trHeight w:val="431"/>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r w:rsidRPr="00C014FA">
              <w:t>Operating expenditure</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4.5</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3.8</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4.0</w:t>
            </w:r>
          </w:p>
        </w:tc>
        <w:tc>
          <w:tcPr>
            <w:tcW w:w="551" w:type="pct"/>
          </w:tcPr>
          <w:p w:rsidR="00513033" w:rsidRPr="00C014FA" w:rsidRDefault="00FB4346" w:rsidP="00FB4346">
            <w:pPr>
              <w:cnfStyle w:val="000000000000" w:firstRow="0" w:lastRow="0" w:firstColumn="0" w:lastColumn="0" w:oddVBand="0" w:evenVBand="0" w:oddHBand="0" w:evenHBand="0" w:firstRowFirstColumn="0" w:firstRowLastColumn="0" w:lastRowFirstColumn="0" w:lastRowLastColumn="0"/>
            </w:pPr>
            <w:r>
              <w:t>4.0</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4.1</w:t>
            </w:r>
          </w:p>
        </w:tc>
        <w:tc>
          <w:tcPr>
            <w:tcW w:w="552"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20.4</w:t>
            </w:r>
          </w:p>
        </w:tc>
      </w:tr>
      <w:tr w:rsidR="00C014FA" w:rsidRPr="00C014FA" w:rsidTr="00C014F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r w:rsidRPr="00C014FA">
              <w:t>Net tax allowance</w:t>
            </w:r>
          </w:p>
        </w:tc>
        <w:tc>
          <w:tcPr>
            <w:tcW w:w="551" w:type="pct"/>
          </w:tcPr>
          <w:p w:rsidR="00513033" w:rsidRPr="00C014FA" w:rsidRDefault="00A51411" w:rsidP="00FB4346">
            <w:pPr>
              <w:cnfStyle w:val="000000010000" w:firstRow="0" w:lastRow="0" w:firstColumn="0" w:lastColumn="0" w:oddVBand="0" w:evenVBand="0" w:oddHBand="0" w:evenHBand="1" w:firstRowFirstColumn="0" w:firstRowLastColumn="0" w:lastRowFirstColumn="0" w:lastRowLastColumn="0"/>
            </w:pPr>
            <w:r>
              <w:t>0.</w:t>
            </w:r>
            <w:r w:rsidR="00FB4346">
              <w:t>5</w:t>
            </w:r>
          </w:p>
        </w:tc>
        <w:tc>
          <w:tcPr>
            <w:tcW w:w="551" w:type="pct"/>
          </w:tcPr>
          <w:p w:rsidR="00513033" w:rsidRPr="00C014FA" w:rsidRDefault="00A51411" w:rsidP="00FB4346">
            <w:pPr>
              <w:cnfStyle w:val="000000010000" w:firstRow="0" w:lastRow="0" w:firstColumn="0" w:lastColumn="0" w:oddVBand="0" w:evenVBand="0" w:oddHBand="0" w:evenHBand="1" w:firstRowFirstColumn="0" w:firstRowLastColumn="0" w:lastRowFirstColumn="0" w:lastRowLastColumn="0"/>
            </w:pPr>
            <w:r>
              <w:t>0.</w:t>
            </w:r>
            <w:r w:rsidR="00FB4346">
              <w:t>6</w:t>
            </w:r>
          </w:p>
        </w:tc>
        <w:tc>
          <w:tcPr>
            <w:tcW w:w="551" w:type="pct"/>
          </w:tcPr>
          <w:p w:rsidR="00513033" w:rsidRPr="00C014FA" w:rsidRDefault="00A51411" w:rsidP="00FB4346">
            <w:pPr>
              <w:cnfStyle w:val="000000010000" w:firstRow="0" w:lastRow="0" w:firstColumn="0" w:lastColumn="0" w:oddVBand="0" w:evenVBand="0" w:oddHBand="0" w:evenHBand="1" w:firstRowFirstColumn="0" w:firstRowLastColumn="0" w:lastRowFirstColumn="0" w:lastRowLastColumn="0"/>
            </w:pPr>
            <w:r>
              <w:t>0.</w:t>
            </w:r>
            <w:r w:rsidR="00FB4346">
              <w:t>6</w:t>
            </w:r>
          </w:p>
        </w:tc>
        <w:tc>
          <w:tcPr>
            <w:tcW w:w="551" w:type="pct"/>
          </w:tcPr>
          <w:p w:rsidR="00513033" w:rsidRPr="00C014FA" w:rsidRDefault="00A51411" w:rsidP="00FB4346">
            <w:pPr>
              <w:cnfStyle w:val="000000010000" w:firstRow="0" w:lastRow="0" w:firstColumn="0" w:lastColumn="0" w:oddVBand="0" w:evenVBand="0" w:oddHBand="0" w:evenHBand="1" w:firstRowFirstColumn="0" w:firstRowLastColumn="0" w:lastRowFirstColumn="0" w:lastRowLastColumn="0"/>
            </w:pPr>
            <w:r>
              <w:t>0.</w:t>
            </w:r>
            <w:r w:rsidR="00FB4346">
              <w:t>7</w:t>
            </w:r>
          </w:p>
        </w:tc>
        <w:tc>
          <w:tcPr>
            <w:tcW w:w="551" w:type="pct"/>
          </w:tcPr>
          <w:p w:rsidR="00513033" w:rsidRPr="00C014FA" w:rsidRDefault="00A51411" w:rsidP="00FB4346">
            <w:pPr>
              <w:cnfStyle w:val="000000010000" w:firstRow="0" w:lastRow="0" w:firstColumn="0" w:lastColumn="0" w:oddVBand="0" w:evenVBand="0" w:oddHBand="0" w:evenHBand="1" w:firstRowFirstColumn="0" w:firstRowLastColumn="0" w:lastRowFirstColumn="0" w:lastRowLastColumn="0"/>
            </w:pPr>
            <w:r>
              <w:t>0.</w:t>
            </w:r>
            <w:r w:rsidR="00FB4346">
              <w:t>7</w:t>
            </w:r>
          </w:p>
        </w:tc>
        <w:tc>
          <w:tcPr>
            <w:tcW w:w="552"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pPr>
            <w:r>
              <w:t>3.2</w:t>
            </w:r>
          </w:p>
        </w:tc>
      </w:tr>
      <w:tr w:rsidR="00EF0903" w:rsidRPr="00C014FA" w:rsidTr="00C014FA">
        <w:trPr>
          <w:trHeight w:val="653"/>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r w:rsidRPr="00C014FA">
              <w:t>Annual building block revenue requirement (unsmoothed)</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14.8</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15.1</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15.7</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16.2</w:t>
            </w:r>
          </w:p>
        </w:tc>
        <w:tc>
          <w:tcPr>
            <w:tcW w:w="551"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16.8</w:t>
            </w:r>
          </w:p>
        </w:tc>
        <w:tc>
          <w:tcPr>
            <w:tcW w:w="552" w:type="pct"/>
          </w:tcPr>
          <w:p w:rsidR="00513033" w:rsidRPr="00C014FA" w:rsidRDefault="00FB4346" w:rsidP="00C014FA">
            <w:pPr>
              <w:cnfStyle w:val="000000000000" w:firstRow="0" w:lastRow="0" w:firstColumn="0" w:lastColumn="0" w:oddVBand="0" w:evenVBand="0" w:oddHBand="0" w:evenHBand="0" w:firstRowFirstColumn="0" w:firstRowLastColumn="0" w:lastRowFirstColumn="0" w:lastRowLastColumn="0"/>
            </w:pPr>
            <w:r>
              <w:t>78.6</w:t>
            </w:r>
          </w:p>
        </w:tc>
      </w:tr>
      <w:tr w:rsidR="00C014FA" w:rsidRPr="00C014FA" w:rsidTr="00C014FA">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pPr>
              <w:rPr>
                <w:rStyle w:val="Strong"/>
              </w:rPr>
            </w:pPr>
            <w:r w:rsidRPr="00C014FA">
              <w:rPr>
                <w:rStyle w:val="Strong"/>
              </w:rPr>
              <w:t>Annual expected MAR (smoothed)</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14.9</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15.3</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15.7</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16.1</w:t>
            </w:r>
          </w:p>
        </w:tc>
        <w:tc>
          <w:tcPr>
            <w:tcW w:w="551" w:type="pct"/>
          </w:tcPr>
          <w:p w:rsidR="00513033" w:rsidRPr="00C014FA" w:rsidRDefault="00FB4346" w:rsidP="00C014F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16.5</w:t>
            </w:r>
          </w:p>
        </w:tc>
        <w:tc>
          <w:tcPr>
            <w:tcW w:w="552" w:type="pct"/>
          </w:tcPr>
          <w:p w:rsidR="00513033" w:rsidRPr="00A51411" w:rsidRDefault="00FB4346" w:rsidP="00A51411">
            <w:pPr>
              <w:cnfStyle w:val="000000010000" w:firstRow="0" w:lastRow="0" w:firstColumn="0" w:lastColumn="0" w:oddVBand="0" w:evenVBand="0" w:oddHBand="0" w:evenHBand="1" w:firstRowFirstColumn="0" w:firstRowLastColumn="0" w:lastRowFirstColumn="0" w:lastRowLastColumn="0"/>
              <w:rPr>
                <w:rStyle w:val="AERbody"/>
              </w:rPr>
            </w:pPr>
            <w:r>
              <w:rPr>
                <w:rStyle w:val="Strong"/>
              </w:rPr>
              <w:t>78.5</w:t>
            </w:r>
            <w:r w:rsidR="00A51411" w:rsidRPr="00A51411">
              <w:rPr>
                <w:rStyle w:val="AERsuperscript"/>
              </w:rPr>
              <w:t>b</w:t>
            </w:r>
          </w:p>
        </w:tc>
      </w:tr>
      <w:tr w:rsidR="00EF0903" w:rsidRPr="00C014FA" w:rsidTr="00C014FA">
        <w:trPr>
          <w:trHeight w:val="431"/>
        </w:trPr>
        <w:tc>
          <w:tcPr>
            <w:cnfStyle w:val="001000000000" w:firstRow="0" w:lastRow="0" w:firstColumn="1" w:lastColumn="0" w:oddVBand="0" w:evenVBand="0" w:oddHBand="0" w:evenHBand="0" w:firstRowFirstColumn="0" w:firstRowLastColumn="0" w:lastRowFirstColumn="0" w:lastRowLastColumn="0"/>
            <w:tcW w:w="1693" w:type="pct"/>
          </w:tcPr>
          <w:p w:rsidR="00513033" w:rsidRPr="00C014FA" w:rsidRDefault="00513033" w:rsidP="00C014FA">
            <w:r w:rsidRPr="00C014FA">
              <w:t>X factor (%)</w:t>
            </w:r>
          </w:p>
        </w:tc>
        <w:tc>
          <w:tcPr>
            <w:tcW w:w="551" w:type="pct"/>
          </w:tcPr>
          <w:p w:rsidR="00513033" w:rsidRPr="00A51411" w:rsidRDefault="00513033" w:rsidP="00C014FA">
            <w:pPr>
              <w:cnfStyle w:val="000000000000" w:firstRow="0" w:lastRow="0" w:firstColumn="0" w:lastColumn="0" w:oddVBand="0" w:evenVBand="0" w:oddHBand="0" w:evenHBand="0" w:firstRowFirstColumn="0" w:firstRowLastColumn="0" w:lastRowFirstColumn="0" w:lastRowLastColumn="0"/>
              <w:rPr>
                <w:rStyle w:val="AERsuperscript"/>
              </w:rPr>
            </w:pPr>
            <w:r w:rsidRPr="00C014FA">
              <w:t>n/a</w:t>
            </w:r>
            <w:r w:rsidR="00A51411">
              <w:rPr>
                <w:rStyle w:val="AERsuperscript"/>
              </w:rPr>
              <w:t>a</w:t>
            </w:r>
          </w:p>
        </w:tc>
        <w:tc>
          <w:tcPr>
            <w:tcW w:w="551" w:type="pct"/>
          </w:tcPr>
          <w:p w:rsidR="00513033" w:rsidRPr="00C014FA" w:rsidRDefault="00EF0903" w:rsidP="00C014FA">
            <w:pPr>
              <w:cnfStyle w:val="000000000000" w:firstRow="0" w:lastRow="0" w:firstColumn="0" w:lastColumn="0" w:oddVBand="0" w:evenVBand="0" w:oddHBand="0" w:evenHBand="0" w:firstRowFirstColumn="0" w:firstRowLastColumn="0" w:lastRowFirstColumn="0" w:lastRowLastColumn="0"/>
            </w:pPr>
            <w:r w:rsidRPr="00C014FA">
              <w:t>0</w:t>
            </w:r>
            <w:r w:rsidR="00513033" w:rsidRPr="00C014FA">
              <w:t>.0</w:t>
            </w:r>
            <w:r w:rsidR="00752117" w:rsidRPr="00C014FA">
              <w:t>%</w:t>
            </w:r>
          </w:p>
        </w:tc>
        <w:tc>
          <w:tcPr>
            <w:tcW w:w="551" w:type="pct"/>
          </w:tcPr>
          <w:p w:rsidR="00513033" w:rsidRPr="00C014FA" w:rsidRDefault="00EF0903" w:rsidP="00C014FA">
            <w:pPr>
              <w:cnfStyle w:val="000000000000" w:firstRow="0" w:lastRow="0" w:firstColumn="0" w:lastColumn="0" w:oddVBand="0" w:evenVBand="0" w:oddHBand="0" w:evenHBand="0" w:firstRowFirstColumn="0" w:firstRowLastColumn="0" w:lastRowFirstColumn="0" w:lastRowLastColumn="0"/>
            </w:pPr>
            <w:r w:rsidRPr="00C014FA">
              <w:t>0</w:t>
            </w:r>
            <w:r w:rsidR="00513033" w:rsidRPr="00C014FA">
              <w:t>.0</w:t>
            </w:r>
            <w:r w:rsidR="00752117" w:rsidRPr="00C014FA">
              <w:t>%</w:t>
            </w:r>
          </w:p>
        </w:tc>
        <w:tc>
          <w:tcPr>
            <w:tcW w:w="551" w:type="pct"/>
          </w:tcPr>
          <w:p w:rsidR="00513033" w:rsidRPr="00C014FA" w:rsidRDefault="00EF0903" w:rsidP="00C014FA">
            <w:pPr>
              <w:cnfStyle w:val="000000000000" w:firstRow="0" w:lastRow="0" w:firstColumn="0" w:lastColumn="0" w:oddVBand="0" w:evenVBand="0" w:oddHBand="0" w:evenHBand="0" w:firstRowFirstColumn="0" w:firstRowLastColumn="0" w:lastRowFirstColumn="0" w:lastRowLastColumn="0"/>
            </w:pPr>
            <w:r w:rsidRPr="00C014FA">
              <w:t>0</w:t>
            </w:r>
            <w:r w:rsidR="00513033" w:rsidRPr="00C014FA">
              <w:t>.0</w:t>
            </w:r>
            <w:r w:rsidR="00752117" w:rsidRPr="00C014FA">
              <w:t>%</w:t>
            </w:r>
          </w:p>
        </w:tc>
        <w:tc>
          <w:tcPr>
            <w:tcW w:w="551" w:type="pct"/>
          </w:tcPr>
          <w:p w:rsidR="00513033" w:rsidRPr="00C014FA" w:rsidRDefault="00EF0903" w:rsidP="00C014FA">
            <w:pPr>
              <w:cnfStyle w:val="000000000000" w:firstRow="0" w:lastRow="0" w:firstColumn="0" w:lastColumn="0" w:oddVBand="0" w:evenVBand="0" w:oddHBand="0" w:evenHBand="0" w:firstRowFirstColumn="0" w:firstRowLastColumn="0" w:lastRowFirstColumn="0" w:lastRowLastColumn="0"/>
            </w:pPr>
            <w:r w:rsidRPr="00C014FA">
              <w:t>0</w:t>
            </w:r>
            <w:r w:rsidR="00513033" w:rsidRPr="00C014FA">
              <w:t>.0</w:t>
            </w:r>
            <w:r w:rsidR="00752117" w:rsidRPr="00C014FA">
              <w:t>%</w:t>
            </w:r>
          </w:p>
        </w:tc>
        <w:tc>
          <w:tcPr>
            <w:tcW w:w="552" w:type="pct"/>
          </w:tcPr>
          <w:p w:rsidR="00513033" w:rsidRPr="00C014FA" w:rsidRDefault="00513033" w:rsidP="00C014FA">
            <w:pPr>
              <w:cnfStyle w:val="000000000000" w:firstRow="0" w:lastRow="0" w:firstColumn="0" w:lastColumn="0" w:oddVBand="0" w:evenVBand="0" w:oddHBand="0" w:evenHBand="0" w:firstRowFirstColumn="0" w:firstRowLastColumn="0" w:lastRowFirstColumn="0" w:lastRowLastColumn="0"/>
            </w:pPr>
            <w:r w:rsidRPr="00C014FA">
              <w:t>n/a</w:t>
            </w:r>
          </w:p>
        </w:tc>
      </w:tr>
    </w:tbl>
    <w:p w:rsidR="00513033" w:rsidRPr="00C10597" w:rsidRDefault="00513033" w:rsidP="00513033">
      <w:pPr>
        <w:pStyle w:val="AERtablesource"/>
      </w:pPr>
      <w:r w:rsidRPr="00C10597">
        <w:t>Source:</w:t>
      </w:r>
      <w:r w:rsidRPr="00C10597">
        <w:tab/>
      </w:r>
      <w:r>
        <w:t>Directlink</w:t>
      </w:r>
      <w:r w:rsidRPr="00C10597">
        <w:t xml:space="preserve">, </w:t>
      </w:r>
      <w:r>
        <w:rPr>
          <w:rStyle w:val="AERtextitalic"/>
        </w:rPr>
        <w:t>Revised proposed p</w:t>
      </w:r>
      <w:r w:rsidRPr="00C10597">
        <w:rPr>
          <w:rStyle w:val="AERtextitalic"/>
        </w:rPr>
        <w:t>ost</w:t>
      </w:r>
      <w:r>
        <w:rPr>
          <w:rStyle w:val="AERtextitalic"/>
        </w:rPr>
        <w:t>-</w:t>
      </w:r>
      <w:r w:rsidRPr="00C10597">
        <w:rPr>
          <w:rStyle w:val="AERtextitalic"/>
        </w:rPr>
        <w:t>tax revenue model</w:t>
      </w:r>
      <w:r w:rsidRPr="00C10597">
        <w:t xml:space="preserve">, </w:t>
      </w:r>
      <w:r>
        <w:t>January</w:t>
      </w:r>
      <w:r w:rsidRPr="00C10597">
        <w:t xml:space="preserve"> 201</w:t>
      </w:r>
      <w:r>
        <w:t>5</w:t>
      </w:r>
      <w:r w:rsidRPr="00C10597">
        <w:t>.</w:t>
      </w:r>
    </w:p>
    <w:p w:rsidR="00513033" w:rsidRPr="00C10597" w:rsidRDefault="00513033" w:rsidP="00513033">
      <w:pPr>
        <w:pStyle w:val="AERtablesource"/>
      </w:pPr>
      <w:r w:rsidRPr="00C10597">
        <w:t>(a)</w:t>
      </w:r>
      <w:r w:rsidRPr="00C10597">
        <w:tab/>
        <w:t>Regulatory depreciation is straight-line depreciation net of the inflation indexation on the opening RAB.</w:t>
      </w:r>
    </w:p>
    <w:p w:rsidR="00513033" w:rsidRPr="00C10597" w:rsidRDefault="00513033" w:rsidP="00513033">
      <w:pPr>
        <w:pStyle w:val="AERtablesource"/>
      </w:pPr>
      <w:r w:rsidRPr="00C10597">
        <w:t>(b)</w:t>
      </w:r>
      <w:r w:rsidRPr="00C10597">
        <w:tab/>
        <w:t>The estimated total revenue cap is equal to the total annual expected MAR.</w:t>
      </w:r>
    </w:p>
    <w:p w:rsidR="00DE563D" w:rsidRPr="00AF1F9E" w:rsidRDefault="00DE563D" w:rsidP="00AF1F9E">
      <w:pPr>
        <w:pStyle w:val="Heading2"/>
      </w:pPr>
      <w:bookmarkStart w:id="18" w:name="_Toc417638893"/>
      <w:r w:rsidRPr="00AF1F9E">
        <w:t>AER’s assessment approach</w:t>
      </w:r>
      <w:bookmarkEnd w:id="16"/>
      <w:bookmarkEnd w:id="18"/>
    </w:p>
    <w:p w:rsidR="00DE563D" w:rsidRPr="00AF1F9E" w:rsidRDefault="00EF0903" w:rsidP="00AF1F9E">
      <w:r w:rsidRPr="00EF0903">
        <w:t>We did not change our assessment approach for the MAR from our</w:t>
      </w:r>
      <w:r>
        <w:t xml:space="preserve"> draft decision. Section 1</w:t>
      </w:r>
      <w:r w:rsidRPr="00EF0903">
        <w:t>.3 of our draft decision details that approach.</w:t>
      </w:r>
    </w:p>
    <w:p w:rsidR="00DE563D" w:rsidRDefault="00DE563D" w:rsidP="00AF1F9E">
      <w:pPr>
        <w:pStyle w:val="Heading2"/>
      </w:pPr>
      <w:bookmarkStart w:id="19" w:name="_Toc403144140"/>
      <w:bookmarkStart w:id="20" w:name="_Toc417638894"/>
      <w:r w:rsidRPr="00AF1F9E">
        <w:t xml:space="preserve">Reasons for </w:t>
      </w:r>
      <w:r w:rsidR="00AF1F9E">
        <w:t>final</w:t>
      </w:r>
      <w:r w:rsidRPr="00AF1F9E">
        <w:t xml:space="preserve"> decision</w:t>
      </w:r>
      <w:bookmarkEnd w:id="19"/>
      <w:bookmarkEnd w:id="20"/>
      <w:r w:rsidRPr="00AF1F9E">
        <w:t xml:space="preserve"> </w:t>
      </w:r>
    </w:p>
    <w:p w:rsidR="006E7D3F" w:rsidRPr="006E7D3F" w:rsidRDefault="006E7D3F" w:rsidP="006E7D3F">
      <w:pPr>
        <w:numPr>
          <w:ilvl w:val="0"/>
          <w:numId w:val="25"/>
        </w:numPr>
        <w:rPr>
          <w:rStyle w:val="AERbody"/>
        </w:rPr>
      </w:pPr>
      <w:r>
        <w:rPr>
          <w:rStyle w:val="AERbody"/>
        </w:rPr>
        <w:t>W</w:t>
      </w:r>
      <w:r w:rsidRPr="00C729DC">
        <w:rPr>
          <w:rStyle w:val="AERbody"/>
        </w:rPr>
        <w:t>e determine a total annual building block revenue requirement of</w:t>
      </w:r>
      <w:r>
        <w:rPr>
          <w:rStyle w:val="AERbody"/>
        </w:rPr>
        <w:t xml:space="preserve"> </w:t>
      </w:r>
      <w:r w:rsidRPr="00C729DC">
        <w:rPr>
          <w:rStyle w:val="AERbody"/>
        </w:rPr>
        <w:t>$</w:t>
      </w:r>
      <w:r w:rsidR="00A51411">
        <w:rPr>
          <w:rStyle w:val="AERbody"/>
        </w:rPr>
        <w:t>68.7</w:t>
      </w:r>
      <w:r w:rsidRPr="00C729DC">
        <w:rPr>
          <w:rStyle w:val="AERbody"/>
        </w:rPr>
        <w:t> million ($</w:t>
      </w:r>
      <w:r>
        <w:rPr>
          <w:rStyle w:val="AERbody"/>
        </w:rPr>
        <w:t> </w:t>
      </w:r>
      <w:r w:rsidRPr="00C729DC">
        <w:rPr>
          <w:rStyle w:val="AERbody"/>
        </w:rPr>
        <w:t xml:space="preserve">nominal) for </w:t>
      </w:r>
      <w:r>
        <w:rPr>
          <w:rStyle w:val="AERbody"/>
        </w:rPr>
        <w:t xml:space="preserve">Directlink for the 2015–20 </w:t>
      </w:r>
      <w:r w:rsidRPr="00C729DC">
        <w:rPr>
          <w:rStyle w:val="AERbody"/>
        </w:rPr>
        <w:t xml:space="preserve">regulatory control period. This compares to </w:t>
      </w:r>
      <w:r>
        <w:rPr>
          <w:rStyle w:val="AERbody"/>
        </w:rPr>
        <w:t>Directlink</w:t>
      </w:r>
      <w:r w:rsidRPr="00C729DC">
        <w:rPr>
          <w:rStyle w:val="AERbody"/>
        </w:rPr>
        <w:t>'s</w:t>
      </w:r>
      <w:r>
        <w:rPr>
          <w:rStyle w:val="AERbody"/>
        </w:rPr>
        <w:t xml:space="preserve"> revised</w:t>
      </w:r>
      <w:r w:rsidRPr="00C729DC">
        <w:rPr>
          <w:rStyle w:val="AERbody"/>
        </w:rPr>
        <w:t xml:space="preserve"> proposed total annual building block revenue requirement of $</w:t>
      </w:r>
      <w:r>
        <w:rPr>
          <w:rStyle w:val="AERbody"/>
        </w:rPr>
        <w:t>78.</w:t>
      </w:r>
      <w:r w:rsidR="00C6617A">
        <w:rPr>
          <w:rStyle w:val="AERbody"/>
        </w:rPr>
        <w:t>6</w:t>
      </w:r>
      <w:r w:rsidR="00D43B36">
        <w:rPr>
          <w:rStyle w:val="AERbody"/>
        </w:rPr>
        <w:t> </w:t>
      </w:r>
      <w:r w:rsidRPr="00C729DC">
        <w:rPr>
          <w:rStyle w:val="AERbody"/>
        </w:rPr>
        <w:t xml:space="preserve">million ($ nominal) for this period. </w:t>
      </w:r>
    </w:p>
    <w:p w:rsidR="006E7D3F" w:rsidRPr="00C729DC" w:rsidRDefault="006E7D3F" w:rsidP="006E7D3F">
      <w:pPr>
        <w:numPr>
          <w:ilvl w:val="0"/>
          <w:numId w:val="25"/>
        </w:numPr>
        <w:rPr>
          <w:rStyle w:val="AERbody"/>
        </w:rPr>
      </w:pPr>
      <w:r>
        <w:rPr>
          <w:rStyle w:val="AERbody"/>
        </w:rPr>
        <w:fldChar w:fldCharType="begin"/>
      </w:r>
      <w:r>
        <w:rPr>
          <w:rStyle w:val="AERbody"/>
        </w:rPr>
        <w:instrText xml:space="preserve"> REF _Ref402785674 \h </w:instrText>
      </w:r>
      <w:r>
        <w:rPr>
          <w:rStyle w:val="AERbody"/>
        </w:rPr>
      </w:r>
      <w:r>
        <w:rPr>
          <w:rStyle w:val="AERbody"/>
        </w:rPr>
        <w:fldChar w:fldCharType="separate"/>
      </w:r>
      <w:r>
        <w:t xml:space="preserve">Figure </w:t>
      </w:r>
      <w:r w:rsidRPr="006E7D3F">
        <w:t>1</w:t>
      </w:r>
      <w:r>
        <w:noBreakHyphen/>
      </w:r>
      <w:r w:rsidRPr="006E7D3F">
        <w:t>1</w:t>
      </w:r>
      <w:r>
        <w:rPr>
          <w:rStyle w:val="AERbody"/>
        </w:rPr>
        <w:fldChar w:fldCharType="end"/>
      </w:r>
      <w:r>
        <w:rPr>
          <w:rStyle w:val="AERbody"/>
        </w:rPr>
        <w:t xml:space="preserve"> </w:t>
      </w:r>
      <w:r w:rsidRPr="00C729DC">
        <w:rPr>
          <w:rStyle w:val="AERbody"/>
        </w:rPr>
        <w:t>show</w:t>
      </w:r>
      <w:r>
        <w:rPr>
          <w:rStyle w:val="AERbody"/>
        </w:rPr>
        <w:t>s</w:t>
      </w:r>
      <w:r w:rsidRPr="00C729DC">
        <w:rPr>
          <w:rStyle w:val="AERbody"/>
        </w:rPr>
        <w:t xml:space="preserve"> </w:t>
      </w:r>
      <w:r w:rsidRPr="00C729DC">
        <w:t xml:space="preserve">the building block components from our determination that make up the annual </w:t>
      </w:r>
      <w:r w:rsidRPr="00C729DC">
        <w:rPr>
          <w:rStyle w:val="AERbody"/>
        </w:rPr>
        <w:t xml:space="preserve">building block revenue requirement </w:t>
      </w:r>
      <w:r>
        <w:t xml:space="preserve">for Directlink, </w:t>
      </w:r>
      <w:r w:rsidRPr="00C729DC">
        <w:rPr>
          <w:rStyle w:val="AERbody"/>
        </w:rPr>
        <w:t xml:space="preserve">and the corresponding components from </w:t>
      </w:r>
      <w:r>
        <w:rPr>
          <w:rStyle w:val="AERbody"/>
        </w:rPr>
        <w:t xml:space="preserve">its revised </w:t>
      </w:r>
      <w:r w:rsidRPr="00C729DC">
        <w:rPr>
          <w:rStyle w:val="AERbody"/>
        </w:rPr>
        <w:t>proposal.</w:t>
      </w:r>
    </w:p>
    <w:p w:rsidR="006E7D3F" w:rsidRPr="00C729DC" w:rsidRDefault="006E7D3F" w:rsidP="006E7D3F">
      <w:pPr>
        <w:numPr>
          <w:ilvl w:val="0"/>
          <w:numId w:val="25"/>
        </w:numPr>
      </w:pPr>
      <w:r w:rsidRPr="00C729DC">
        <w:t xml:space="preserve">We have calculated the annual building block revenue requirement for </w:t>
      </w:r>
      <w:r>
        <w:t>Directlink based on our final</w:t>
      </w:r>
      <w:r w:rsidRPr="00C729DC">
        <w:t xml:space="preserve"> decision on</w:t>
      </w:r>
      <w:r>
        <w:t xml:space="preserve"> each of</w:t>
      </w:r>
      <w:r w:rsidRPr="00C729DC">
        <w:t xml:space="preserve"> these building block components. The revenues </w:t>
      </w:r>
      <w:r>
        <w:t>a</w:t>
      </w:r>
      <w:r w:rsidRPr="00C729DC">
        <w:t xml:space="preserve">re affected by our changes to </w:t>
      </w:r>
      <w:r>
        <w:t>Directlink's revised</w:t>
      </w:r>
      <w:r w:rsidRPr="00C729DC">
        <w:t xml:space="preserve"> proposed building blocks. These changes include:</w:t>
      </w:r>
    </w:p>
    <w:p w:rsidR="006E7D3F" w:rsidRPr="006E7D3F" w:rsidRDefault="006E7D3F" w:rsidP="006E7D3F">
      <w:pPr>
        <w:pStyle w:val="AERbulletlistfirststyle"/>
      </w:pPr>
      <w:r w:rsidRPr="00C729DC">
        <w:t xml:space="preserve">forecast operating expenditure (attachment </w:t>
      </w:r>
      <w:r w:rsidRPr="006E7D3F">
        <w:t>7)</w:t>
      </w:r>
    </w:p>
    <w:p w:rsidR="006E7D3F" w:rsidRPr="006E7D3F" w:rsidRDefault="006E7D3F" w:rsidP="006E7D3F">
      <w:pPr>
        <w:pStyle w:val="AERbulletlistfirststyle"/>
      </w:pPr>
      <w:r w:rsidRPr="00C729DC">
        <w:t xml:space="preserve">the </w:t>
      </w:r>
      <w:r w:rsidRPr="006E7D3F">
        <w:t>rate of return (attachment 3)</w:t>
      </w:r>
    </w:p>
    <w:p w:rsidR="006E7D3F" w:rsidRPr="006E7D3F" w:rsidRDefault="006E7D3F" w:rsidP="006E7D3F">
      <w:pPr>
        <w:pStyle w:val="AERbulletlistfirststyle"/>
      </w:pPr>
      <w:r w:rsidRPr="00C729DC">
        <w:t xml:space="preserve">the opening RAB (attachment </w:t>
      </w:r>
      <w:r w:rsidRPr="006E7D3F">
        <w:t>2) and forecast capital expenditure (attachment 6)</w:t>
      </w:r>
    </w:p>
    <w:p w:rsidR="006E7D3F" w:rsidRPr="006E7D3F" w:rsidRDefault="006E7D3F" w:rsidP="006E7D3F">
      <w:pPr>
        <w:pStyle w:val="AERbulletlistfirststyle"/>
      </w:pPr>
      <w:r w:rsidRPr="00C729DC">
        <w:t xml:space="preserve">forecast regulatory depreciation (attachment </w:t>
      </w:r>
      <w:r w:rsidRPr="006E7D3F">
        <w:t>5)</w:t>
      </w:r>
    </w:p>
    <w:p w:rsidR="006E7D3F" w:rsidRPr="006E7D3F" w:rsidRDefault="006E7D3F" w:rsidP="006E7D3F">
      <w:pPr>
        <w:pStyle w:val="AERbulletlistfirststyle"/>
      </w:pPr>
      <w:r w:rsidRPr="00C729DC">
        <w:lastRenderedPageBreak/>
        <w:t xml:space="preserve">the estimated cost of corporate income tax (attachment </w:t>
      </w:r>
      <w:r w:rsidRPr="006E7D3F">
        <w:t>8).</w:t>
      </w:r>
    </w:p>
    <w:p w:rsidR="006E7D3F" w:rsidRPr="00C729DC" w:rsidRDefault="006E7D3F" w:rsidP="006E7D3F">
      <w:pPr>
        <w:pStyle w:val="Caption"/>
      </w:pPr>
      <w:bookmarkStart w:id="21" w:name="_Ref402785674"/>
      <w:r>
        <w:t xml:space="preserve">Figure </w:t>
      </w:r>
      <w:r w:rsidRPr="006E7D3F">
        <w:fldChar w:fldCharType="begin"/>
      </w:r>
      <w:r>
        <w:instrText xml:space="preserve"> STYLEREF 1 \s </w:instrText>
      </w:r>
      <w:r w:rsidRPr="006E7D3F">
        <w:fldChar w:fldCharType="separate"/>
      </w:r>
      <w:r w:rsidRPr="006E7D3F">
        <w:t>1</w:t>
      </w:r>
      <w:r w:rsidRPr="006E7D3F">
        <w:fldChar w:fldCharType="end"/>
      </w:r>
      <w:r>
        <w:noBreakHyphen/>
      </w:r>
      <w:r w:rsidRPr="006E7D3F">
        <w:fldChar w:fldCharType="begin"/>
      </w:r>
      <w:r>
        <w:instrText xml:space="preserve"> SEQ Figure \* ARABIC \s 1 </w:instrText>
      </w:r>
      <w:r w:rsidRPr="006E7D3F">
        <w:fldChar w:fldCharType="separate"/>
      </w:r>
      <w:r w:rsidRPr="006E7D3F">
        <w:t>1</w:t>
      </w:r>
      <w:r w:rsidRPr="006E7D3F">
        <w:fldChar w:fldCharType="end"/>
      </w:r>
      <w:bookmarkEnd w:id="21"/>
      <w:r>
        <w:tab/>
      </w:r>
      <w:r w:rsidRPr="00C729DC">
        <w:t xml:space="preserve">AER's </w:t>
      </w:r>
      <w:r>
        <w:t>final</w:t>
      </w:r>
      <w:r w:rsidRPr="00C729DC">
        <w:t xml:space="preserve"> decision and </w:t>
      </w:r>
      <w:r>
        <w:t>Directlink's</w:t>
      </w:r>
      <w:r w:rsidRPr="00C729DC">
        <w:t xml:space="preserve"> </w:t>
      </w:r>
      <w:r>
        <w:t xml:space="preserve">revised </w:t>
      </w:r>
      <w:r w:rsidRPr="00C729DC">
        <w:t>proposed annual building block revenue requirement ($ million, nominal)</w:t>
      </w:r>
    </w:p>
    <w:p w:rsidR="006E7D3F" w:rsidRDefault="00A51411" w:rsidP="006E7D3F">
      <w:pPr>
        <w:pStyle w:val="AERtablesource"/>
      </w:pPr>
      <w:r w:rsidRPr="00A51411">
        <w:rPr>
          <w:noProof/>
          <w:lang w:eastAsia="en-AU"/>
        </w:rPr>
        <w:drawing>
          <wp:inline distT="0" distB="0" distL="0" distR="0" wp14:anchorId="36E23105" wp14:editId="1E7F4E9B">
            <wp:extent cx="5382895" cy="3748157"/>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748157"/>
                    </a:xfrm>
                    <a:prstGeom prst="rect">
                      <a:avLst/>
                    </a:prstGeom>
                    <a:noFill/>
                    <a:ln>
                      <a:noFill/>
                    </a:ln>
                  </pic:spPr>
                </pic:pic>
              </a:graphicData>
            </a:graphic>
          </wp:inline>
        </w:drawing>
      </w:r>
    </w:p>
    <w:p w:rsidR="006E7D3F" w:rsidRPr="00C729DC" w:rsidRDefault="006E7D3F" w:rsidP="006E7D3F">
      <w:pPr>
        <w:pStyle w:val="AERtablesource"/>
      </w:pPr>
      <w:r w:rsidRPr="00C729DC">
        <w:t xml:space="preserve">Source: </w:t>
      </w:r>
      <w:r w:rsidRPr="00C729DC">
        <w:tab/>
        <w:t>AER analysis.</w:t>
      </w:r>
    </w:p>
    <w:p w:rsidR="00AF1F9E" w:rsidRDefault="006E7D3F" w:rsidP="00AF1F9E">
      <w:pPr>
        <w:pStyle w:val="Heading3"/>
      </w:pPr>
      <w:bookmarkStart w:id="22" w:name="_Toc417638895"/>
      <w:r>
        <w:t>X factor, annual expected MAR and estimated total revenue cap</w:t>
      </w:r>
      <w:bookmarkEnd w:id="22"/>
    </w:p>
    <w:p w:rsidR="006E7D3F" w:rsidRDefault="006E7D3F" w:rsidP="006E7D3F">
      <w:pPr>
        <w:numPr>
          <w:ilvl w:val="0"/>
          <w:numId w:val="25"/>
        </w:numPr>
        <w:rPr>
          <w:rStyle w:val="AERbody"/>
        </w:rPr>
      </w:pPr>
      <w:r>
        <w:t>For this final decision, w</w:t>
      </w:r>
      <w:r w:rsidRPr="00C729DC">
        <w:t xml:space="preserve">e determine an X factor of </w:t>
      </w:r>
      <w:r>
        <w:t>zero</w:t>
      </w:r>
      <w:r w:rsidRPr="00C729DC">
        <w:t xml:space="preserve"> per cent per annum for </w:t>
      </w:r>
      <w:r>
        <w:t xml:space="preserve">the years </w:t>
      </w:r>
      <w:r w:rsidRPr="00C729DC">
        <w:t>201</w:t>
      </w:r>
      <w:r>
        <w:t>6</w:t>
      </w:r>
      <w:r w:rsidRPr="00C729DC">
        <w:t>–1</w:t>
      </w:r>
      <w:r>
        <w:t>7</w:t>
      </w:r>
      <w:r w:rsidRPr="00C729DC">
        <w:t xml:space="preserve"> </w:t>
      </w:r>
      <w:r>
        <w:t>to</w:t>
      </w:r>
      <w:r w:rsidRPr="00C729DC">
        <w:t xml:space="preserve"> 201</w:t>
      </w:r>
      <w:r>
        <w:t>9–20 for Directlink.</w:t>
      </w:r>
      <w:r w:rsidR="00912E31">
        <w:rPr>
          <w:rStyle w:val="FootnoteReference"/>
        </w:rPr>
        <w:footnoteReference w:id="2"/>
      </w:r>
      <w:r>
        <w:t xml:space="preserve"> </w:t>
      </w:r>
      <w:r w:rsidRPr="00C729DC">
        <w:t xml:space="preserve">The </w:t>
      </w:r>
      <w:r>
        <w:t>net present value (NPV)</w:t>
      </w:r>
      <w:r w:rsidRPr="00C729DC">
        <w:t xml:space="preserve"> of the annual building block revenue requirement is $</w:t>
      </w:r>
      <w:r w:rsidR="00A51411">
        <w:t>58.6</w:t>
      </w:r>
      <w:r w:rsidRPr="00C729DC">
        <w:t xml:space="preserve"> million ($</w:t>
      </w:r>
      <w:r>
        <w:t> </w:t>
      </w:r>
      <w:r w:rsidRPr="00C729DC">
        <w:t xml:space="preserve">nominal) </w:t>
      </w:r>
      <w:r>
        <w:t>as at 1 July 2015.</w:t>
      </w:r>
      <w:r w:rsidRPr="00C729DC">
        <w:t xml:space="preserve"> Based on </w:t>
      </w:r>
      <w:r>
        <w:t>this</w:t>
      </w:r>
      <w:r w:rsidRPr="00C729DC">
        <w:t xml:space="preserve"> </w:t>
      </w:r>
      <w:r>
        <w:t xml:space="preserve">NPV </w:t>
      </w:r>
      <w:r w:rsidRPr="00C729DC">
        <w:t>and applying the CPI–X method, we determine that</w:t>
      </w:r>
      <w:r>
        <w:t xml:space="preserve"> t</w:t>
      </w:r>
      <w:r w:rsidRPr="00C729DC">
        <w:t xml:space="preserve">he annual expected MAR (smoothed) for </w:t>
      </w:r>
      <w:r>
        <w:t>Directlink</w:t>
      </w:r>
      <w:r w:rsidRPr="00C729DC">
        <w:t xml:space="preserve"> </w:t>
      </w:r>
      <w:r>
        <w:t>increases</w:t>
      </w:r>
      <w:r w:rsidRPr="00C729DC">
        <w:t xml:space="preserve"> from $</w:t>
      </w:r>
      <w:r w:rsidR="00A51411">
        <w:t>13.1</w:t>
      </w:r>
      <w:r w:rsidRPr="00C729DC">
        <w:t xml:space="preserve"> million in 201</w:t>
      </w:r>
      <w:r>
        <w:t>5</w:t>
      </w:r>
      <w:r w:rsidRPr="00C729DC">
        <w:t>–1</w:t>
      </w:r>
      <w:r>
        <w:t>6</w:t>
      </w:r>
      <w:r w:rsidRPr="00C729DC">
        <w:t xml:space="preserve"> to $</w:t>
      </w:r>
      <w:r w:rsidR="00A51411">
        <w:t>14.4</w:t>
      </w:r>
      <w:r>
        <w:t> </w:t>
      </w:r>
      <w:r w:rsidRPr="00C729DC">
        <w:t>million in 201</w:t>
      </w:r>
      <w:r>
        <w:t>9</w:t>
      </w:r>
      <w:r w:rsidRPr="00C729DC">
        <w:t>–</w:t>
      </w:r>
      <w:r>
        <w:t>20</w:t>
      </w:r>
      <w:r w:rsidRPr="00C729DC">
        <w:t xml:space="preserve"> ($ nominal). The resulting</w:t>
      </w:r>
      <w:r w:rsidRPr="00C729DC">
        <w:rPr>
          <w:rStyle w:val="AERbody"/>
        </w:rPr>
        <w:t xml:space="preserve"> estimated total revenue cap for </w:t>
      </w:r>
      <w:r>
        <w:rPr>
          <w:rStyle w:val="AERbody"/>
        </w:rPr>
        <w:t>Directlink</w:t>
      </w:r>
      <w:r w:rsidRPr="00C729DC">
        <w:rPr>
          <w:rStyle w:val="AERbody"/>
        </w:rPr>
        <w:t xml:space="preserve"> is $</w:t>
      </w:r>
      <w:r w:rsidR="00A51411">
        <w:rPr>
          <w:rStyle w:val="AERbody"/>
        </w:rPr>
        <w:t>68.7</w:t>
      </w:r>
      <w:r>
        <w:rPr>
          <w:rStyle w:val="AERbody"/>
        </w:rPr>
        <w:t> </w:t>
      </w:r>
      <w:r w:rsidRPr="00C729DC">
        <w:rPr>
          <w:rStyle w:val="AERbody"/>
        </w:rPr>
        <w:t>million ($ nominal) for the 201</w:t>
      </w:r>
      <w:r>
        <w:rPr>
          <w:rStyle w:val="AERbody"/>
        </w:rPr>
        <w:t>5</w:t>
      </w:r>
      <w:r w:rsidRPr="00C729DC">
        <w:rPr>
          <w:rStyle w:val="AERbody"/>
        </w:rPr>
        <w:t>–</w:t>
      </w:r>
      <w:r>
        <w:rPr>
          <w:rStyle w:val="AERbody"/>
        </w:rPr>
        <w:t>20</w:t>
      </w:r>
      <w:r w:rsidRPr="00C729DC">
        <w:rPr>
          <w:rStyle w:val="AERbody"/>
        </w:rPr>
        <w:t xml:space="preserve"> regulatory control period. </w:t>
      </w:r>
    </w:p>
    <w:p w:rsidR="006E7D3F" w:rsidRPr="00AF25B2" w:rsidRDefault="006E7D3F" w:rsidP="006E7D3F">
      <w:pPr>
        <w:numPr>
          <w:ilvl w:val="0"/>
          <w:numId w:val="25"/>
        </w:numPr>
      </w:pPr>
      <w:r>
        <w:fldChar w:fldCharType="begin"/>
      </w:r>
      <w:r>
        <w:instrText xml:space="preserve"> REF _Ref402785690 \h </w:instrText>
      </w:r>
      <w:r>
        <w:fldChar w:fldCharType="separate"/>
      </w:r>
      <w:r w:rsidRPr="00C729DC">
        <w:t xml:space="preserve">Figure </w:t>
      </w:r>
      <w:r w:rsidRPr="006E7D3F">
        <w:t>1</w:t>
      </w:r>
      <w:r>
        <w:noBreakHyphen/>
      </w:r>
      <w:r w:rsidRPr="006E7D3F">
        <w:t>2</w:t>
      </w:r>
      <w:r>
        <w:fldChar w:fldCharType="end"/>
      </w:r>
      <w:r>
        <w:t xml:space="preserve"> </w:t>
      </w:r>
      <w:r w:rsidRPr="00C729DC">
        <w:t>show</w:t>
      </w:r>
      <w:r>
        <w:t>s</w:t>
      </w:r>
      <w:r w:rsidRPr="00C729DC">
        <w:t xml:space="preserve"> our </w:t>
      </w:r>
      <w:r>
        <w:t>final</w:t>
      </w:r>
      <w:r w:rsidRPr="00C729DC">
        <w:t xml:space="preserve"> decision on </w:t>
      </w:r>
      <w:r>
        <w:t>Directlink</w:t>
      </w:r>
      <w:r w:rsidRPr="00C729DC">
        <w:t>'s annual expected MAR (smoothed revenue) and the annual building block revenue requirement (uns</w:t>
      </w:r>
      <w:r>
        <w:t xml:space="preserve">moothed revenue) for the 2015–20 regulatory control </w:t>
      </w:r>
      <w:proofErr w:type="gramStart"/>
      <w:r w:rsidR="003162FF">
        <w:t>period</w:t>
      </w:r>
      <w:proofErr w:type="gramEnd"/>
      <w:r w:rsidRPr="00C729DC">
        <w:t>.</w:t>
      </w:r>
    </w:p>
    <w:p w:rsidR="006E7D3F" w:rsidRPr="00C729DC" w:rsidRDefault="006E7D3F" w:rsidP="006E7D3F">
      <w:pPr>
        <w:pStyle w:val="Caption"/>
      </w:pPr>
      <w:bookmarkStart w:id="23" w:name="_Ref402785690"/>
      <w:r w:rsidRPr="00C729DC">
        <w:lastRenderedPageBreak/>
        <w:t xml:space="preserve">Figure </w:t>
      </w:r>
      <w:r w:rsidRPr="006E7D3F">
        <w:fldChar w:fldCharType="begin"/>
      </w:r>
      <w:r>
        <w:instrText xml:space="preserve"> STYLEREF 1 \s </w:instrText>
      </w:r>
      <w:r w:rsidRPr="006E7D3F">
        <w:fldChar w:fldCharType="separate"/>
      </w:r>
      <w:r w:rsidRPr="006E7D3F">
        <w:t>1</w:t>
      </w:r>
      <w:r w:rsidRPr="006E7D3F">
        <w:fldChar w:fldCharType="end"/>
      </w:r>
      <w:r>
        <w:noBreakHyphen/>
      </w:r>
      <w:r w:rsidRPr="006E7D3F">
        <w:fldChar w:fldCharType="begin"/>
      </w:r>
      <w:r>
        <w:instrText xml:space="preserve"> SEQ Figure \* ARABIC \s 1 </w:instrText>
      </w:r>
      <w:r w:rsidRPr="006E7D3F">
        <w:fldChar w:fldCharType="separate"/>
      </w:r>
      <w:r w:rsidRPr="006E7D3F">
        <w:t>2</w:t>
      </w:r>
      <w:r w:rsidRPr="006E7D3F">
        <w:fldChar w:fldCharType="end"/>
      </w:r>
      <w:bookmarkEnd w:id="23"/>
      <w:r w:rsidRPr="00C729DC">
        <w:tab/>
        <w:t xml:space="preserve">AER's </w:t>
      </w:r>
      <w:r>
        <w:t>final</w:t>
      </w:r>
      <w:r w:rsidRPr="00C729DC">
        <w:t xml:space="preserve"> decision on </w:t>
      </w:r>
      <w:r>
        <w:t>Directlink</w:t>
      </w:r>
      <w:r w:rsidRPr="00C729DC">
        <w:t>'s annual expected MAR (smoothed) and annual building block revenue requirement (unsmoothed) ($ million, nominal)</w:t>
      </w:r>
    </w:p>
    <w:p w:rsidR="006E7D3F" w:rsidRPr="00C729DC" w:rsidRDefault="007A2424" w:rsidP="007A2424">
      <w:pPr>
        <w:numPr>
          <w:ilvl w:val="0"/>
          <w:numId w:val="25"/>
        </w:numPr>
      </w:pPr>
      <w:r w:rsidRPr="007A2424">
        <w:rPr>
          <w:noProof/>
          <w:lang w:eastAsia="en-AU"/>
        </w:rPr>
        <w:drawing>
          <wp:inline distT="0" distB="0" distL="0" distR="0" wp14:anchorId="68262C41" wp14:editId="1B7CAE81">
            <wp:extent cx="5382895" cy="3579103"/>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579103"/>
                    </a:xfrm>
                    <a:prstGeom prst="rect">
                      <a:avLst/>
                    </a:prstGeom>
                    <a:noFill/>
                    <a:ln>
                      <a:noFill/>
                    </a:ln>
                  </pic:spPr>
                </pic:pic>
              </a:graphicData>
            </a:graphic>
          </wp:inline>
        </w:drawing>
      </w:r>
    </w:p>
    <w:p w:rsidR="006E7D3F" w:rsidRPr="00C729DC" w:rsidRDefault="006E7D3F" w:rsidP="006E7D3F">
      <w:pPr>
        <w:pStyle w:val="AERtablesource"/>
      </w:pPr>
      <w:r w:rsidRPr="00C729DC">
        <w:t xml:space="preserve">Source: </w:t>
      </w:r>
      <w:r w:rsidRPr="00C729DC">
        <w:tab/>
        <w:t>AER analysis.</w:t>
      </w:r>
    </w:p>
    <w:p w:rsidR="006E7D3F" w:rsidRPr="00C729DC" w:rsidRDefault="006E7D3F" w:rsidP="006E7D3F">
      <w:pPr>
        <w:numPr>
          <w:ilvl w:val="0"/>
          <w:numId w:val="25"/>
        </w:numPr>
      </w:pPr>
      <w:r w:rsidRPr="00C729DC">
        <w:t>To determine t</w:t>
      </w:r>
      <w:r>
        <w:t>he expected MAR for Directlink</w:t>
      </w:r>
      <w:r w:rsidRPr="00C729DC">
        <w:t xml:space="preserve">, </w:t>
      </w:r>
      <w:r>
        <w:t>we have set the MAR for the first regulatory year at $</w:t>
      </w:r>
      <w:r w:rsidR="003162FF">
        <w:t>13.1</w:t>
      </w:r>
      <w:r>
        <w:t xml:space="preserve"> million ($</w:t>
      </w:r>
      <w:r w:rsidR="003162FF">
        <w:t xml:space="preserve"> </w:t>
      </w:r>
      <w:r>
        <w:t>nominal) which is $0</w:t>
      </w:r>
      <w:r w:rsidR="003162FF">
        <w:t>.3</w:t>
      </w:r>
      <w:r>
        <w:t xml:space="preserve"> million lower than the annual building block revenue requirement. W</w:t>
      </w:r>
      <w:r w:rsidRPr="00C729DC">
        <w:t xml:space="preserve">e </w:t>
      </w:r>
      <w:r>
        <w:t xml:space="preserve">then </w:t>
      </w:r>
      <w:r w:rsidRPr="00C729DC">
        <w:t xml:space="preserve">applied an X factor of </w:t>
      </w:r>
      <w:r>
        <w:t>zero</w:t>
      </w:r>
      <w:r w:rsidRPr="00C729DC">
        <w:t xml:space="preserve"> per cent per annum</w:t>
      </w:r>
      <w:r>
        <w:t xml:space="preserve"> t</w:t>
      </w:r>
      <w:r w:rsidRPr="00C729DC">
        <w:t>o determine the expected MAR in subsequent years.</w:t>
      </w:r>
      <w:r w:rsidRPr="00C729DC">
        <w:rPr>
          <w:rStyle w:val="FootnoteReference"/>
        </w:rPr>
        <w:footnoteReference w:id="3"/>
      </w:r>
      <w:r w:rsidRPr="00C729DC">
        <w:t xml:space="preserve"> We consider that </w:t>
      </w:r>
      <w:r>
        <w:t xml:space="preserve">our </w:t>
      </w:r>
      <w:r w:rsidRPr="00C729DC">
        <w:t>profile of X factors</w:t>
      </w:r>
      <w:r>
        <w:t xml:space="preserve"> </w:t>
      </w:r>
      <w:r w:rsidRPr="00C729DC">
        <w:t>result</w:t>
      </w:r>
      <w:r>
        <w:t>s</w:t>
      </w:r>
      <w:r w:rsidRPr="00C729DC">
        <w:t xml:space="preserve"> in an expected MAR in the last year of the regulatory control period that is as close as reasonably possible to the annual building block revenue requirement for that year</w:t>
      </w:r>
      <w:r>
        <w:t xml:space="preserve"> as required under</w:t>
      </w:r>
      <w:r w:rsidRPr="00FC276A">
        <w:t xml:space="preserve"> the NER</w:t>
      </w:r>
      <w:r>
        <w:t>.</w:t>
      </w:r>
      <w:r>
        <w:rPr>
          <w:rStyle w:val="FootnoteReference"/>
        </w:rPr>
        <w:footnoteReference w:id="4"/>
      </w:r>
      <w:r>
        <w:t xml:space="preserve"> </w:t>
      </w:r>
    </w:p>
    <w:p w:rsidR="006E7D3F" w:rsidRDefault="006E7D3F" w:rsidP="006E7D3F">
      <w:pPr>
        <w:numPr>
          <w:ilvl w:val="0"/>
          <w:numId w:val="25"/>
        </w:numPr>
      </w:pPr>
      <w:r>
        <w:t>T</w:t>
      </w:r>
      <w:r w:rsidRPr="0030529E">
        <w:t xml:space="preserve">he average </w:t>
      </w:r>
      <w:r>
        <w:t>increase</w:t>
      </w:r>
      <w:r w:rsidRPr="0030529E">
        <w:t xml:space="preserve"> in our approved expected MAR is </w:t>
      </w:r>
      <w:r>
        <w:t>2</w:t>
      </w:r>
      <w:r w:rsidR="003162FF">
        <w:t>.6</w:t>
      </w:r>
      <w:r w:rsidRPr="0030529E">
        <w:t xml:space="preserve"> per cent per annum ($ nominal) over the 201</w:t>
      </w:r>
      <w:r>
        <w:t>5–20</w:t>
      </w:r>
      <w:r w:rsidRPr="0030529E">
        <w:t xml:space="preserve"> regulatory control period.</w:t>
      </w:r>
      <w:r w:rsidRPr="0030529E">
        <w:rPr>
          <w:rStyle w:val="FootnoteReference"/>
        </w:rPr>
        <w:footnoteReference w:id="5"/>
      </w:r>
      <w:r w:rsidRPr="0030529E">
        <w:t xml:space="preserve"> Our</w:t>
      </w:r>
      <w:r w:rsidR="00BD7A01">
        <w:t xml:space="preserve"> final</w:t>
      </w:r>
      <w:r w:rsidRPr="0030529E">
        <w:t xml:space="preserve"> decision results in </w:t>
      </w:r>
      <w:r w:rsidR="00D61856">
        <w:t xml:space="preserve">a </w:t>
      </w:r>
      <w:r w:rsidR="00D61856">
        <w:lastRenderedPageBreak/>
        <w:t>decrease of 9.5 per cent</w:t>
      </w:r>
      <w:r w:rsidRPr="0030529E">
        <w:t xml:space="preserve"> in real terms ($201</w:t>
      </w:r>
      <w:r w:rsidR="00BD7A01">
        <w:t>4</w:t>
      </w:r>
      <w:r w:rsidRPr="0030529E">
        <w:t>–1</w:t>
      </w:r>
      <w:r w:rsidR="00BD7A01">
        <w:t>5</w:t>
      </w:r>
      <w:r w:rsidRPr="0030529E">
        <w:t xml:space="preserve">) to </w:t>
      </w:r>
      <w:r>
        <w:t>Directlink</w:t>
      </w:r>
      <w:r w:rsidRPr="0030529E">
        <w:t xml:space="preserve">'s </w:t>
      </w:r>
      <w:r>
        <w:t>average annual</w:t>
      </w:r>
      <w:r w:rsidRPr="0030529E">
        <w:t xml:space="preserve"> revenue relative to that in the 200</w:t>
      </w:r>
      <w:r>
        <w:t>5</w:t>
      </w:r>
      <w:r w:rsidRPr="0030529E">
        <w:t>–1</w:t>
      </w:r>
      <w:r>
        <w:t>5</w:t>
      </w:r>
      <w:r w:rsidRPr="0030529E">
        <w:t xml:space="preserve"> regulatory control period.</w:t>
      </w:r>
      <w:r w:rsidRPr="0030529E">
        <w:rPr>
          <w:rStyle w:val="FootnoteReference"/>
        </w:rPr>
        <w:footnoteReference w:id="6"/>
      </w:r>
      <w:r w:rsidRPr="0030529E">
        <w:t xml:space="preserve"> </w:t>
      </w:r>
    </w:p>
    <w:bookmarkStart w:id="24" w:name="_Ref365384758"/>
    <w:p w:rsidR="006E7D3F" w:rsidRPr="0080478C" w:rsidRDefault="006E7D3F" w:rsidP="006E7D3F">
      <w:pPr>
        <w:numPr>
          <w:ilvl w:val="0"/>
          <w:numId w:val="25"/>
        </w:numPr>
      </w:pPr>
      <w:r>
        <w:fldChar w:fldCharType="begin"/>
      </w:r>
      <w:r>
        <w:instrText xml:space="preserve"> REF _Ref402785706 \h </w:instrText>
      </w:r>
      <w:r>
        <w:fldChar w:fldCharType="separate"/>
      </w:r>
      <w:r w:rsidRPr="00C729DC">
        <w:t xml:space="preserve">Figure </w:t>
      </w:r>
      <w:r w:rsidRPr="006E7D3F">
        <w:t>1</w:t>
      </w:r>
      <w:r>
        <w:noBreakHyphen/>
      </w:r>
      <w:r w:rsidRPr="006E7D3F">
        <w:t>3</w:t>
      </w:r>
      <w:r>
        <w:fldChar w:fldCharType="end"/>
      </w:r>
      <w:r>
        <w:t xml:space="preserve"> </w:t>
      </w:r>
      <w:r w:rsidRPr="0080478C">
        <w:t>compare</w:t>
      </w:r>
      <w:r>
        <w:t>s</w:t>
      </w:r>
      <w:r w:rsidRPr="0080478C">
        <w:t xml:space="preserve"> our </w:t>
      </w:r>
      <w:r w:rsidR="00C6617A">
        <w:t>final and draft</w:t>
      </w:r>
      <w:r w:rsidRPr="0080478C">
        <w:t xml:space="preserve"> decision building blocks </w:t>
      </w:r>
      <w:r>
        <w:t xml:space="preserve">for Directlink's </w:t>
      </w:r>
      <w:r w:rsidR="00C6617A">
        <w:br/>
      </w:r>
      <w:r>
        <w:t xml:space="preserve">2015–20 regulatory control </w:t>
      </w:r>
      <w:proofErr w:type="gramStart"/>
      <w:r>
        <w:t>period</w:t>
      </w:r>
      <w:proofErr w:type="gramEnd"/>
      <w:r>
        <w:t xml:space="preserve"> </w:t>
      </w:r>
      <w:r w:rsidRPr="0080478C">
        <w:t xml:space="preserve">with </w:t>
      </w:r>
      <w:r>
        <w:t>Directlink's</w:t>
      </w:r>
      <w:r w:rsidRPr="0080478C">
        <w:t xml:space="preserve"> proposed </w:t>
      </w:r>
      <w:r w:rsidR="00C6617A">
        <w:t xml:space="preserve">and revised </w:t>
      </w:r>
      <w:r w:rsidRPr="0080478C">
        <w:t xml:space="preserve">revenue requirement for that same period, and the approved revenue for </w:t>
      </w:r>
      <w:r>
        <w:t>the 2005–15</w:t>
      </w:r>
      <w:r w:rsidRPr="0080478C">
        <w:t xml:space="preserve"> regulatory control period.</w:t>
      </w:r>
    </w:p>
    <w:p w:rsidR="006E7D3F" w:rsidRPr="00C729DC" w:rsidRDefault="006E7D3F" w:rsidP="006E7D3F">
      <w:pPr>
        <w:pStyle w:val="Caption"/>
      </w:pPr>
      <w:bookmarkStart w:id="25" w:name="_Ref402785706"/>
      <w:bookmarkEnd w:id="24"/>
      <w:r w:rsidRPr="00C729DC">
        <w:t xml:space="preserve">Figure </w:t>
      </w:r>
      <w:r w:rsidRPr="006E7D3F">
        <w:fldChar w:fldCharType="begin"/>
      </w:r>
      <w:r>
        <w:instrText xml:space="preserve"> STYLEREF 1 \s </w:instrText>
      </w:r>
      <w:r w:rsidRPr="006E7D3F">
        <w:fldChar w:fldCharType="separate"/>
      </w:r>
      <w:r w:rsidRPr="006E7D3F">
        <w:t>1</w:t>
      </w:r>
      <w:r w:rsidRPr="006E7D3F">
        <w:fldChar w:fldCharType="end"/>
      </w:r>
      <w:r>
        <w:noBreakHyphen/>
      </w:r>
      <w:r w:rsidRPr="006E7D3F">
        <w:fldChar w:fldCharType="begin"/>
      </w:r>
      <w:r>
        <w:instrText xml:space="preserve"> SEQ Figure \* ARABIC \s 1 </w:instrText>
      </w:r>
      <w:r w:rsidRPr="006E7D3F">
        <w:fldChar w:fldCharType="separate"/>
      </w:r>
      <w:r w:rsidRPr="006E7D3F">
        <w:t>3</w:t>
      </w:r>
      <w:r w:rsidRPr="006E7D3F">
        <w:fldChar w:fldCharType="end"/>
      </w:r>
      <w:bookmarkEnd w:id="25"/>
      <w:r w:rsidRPr="00C729DC">
        <w:tab/>
        <w:t xml:space="preserve">Annual average of AER's </w:t>
      </w:r>
      <w:r w:rsidR="00BD7A01">
        <w:t>final</w:t>
      </w:r>
      <w:r w:rsidRPr="00C729DC">
        <w:t xml:space="preserve"> </w:t>
      </w:r>
      <w:r w:rsidR="00BD7A01">
        <w:t xml:space="preserve">and draft </w:t>
      </w:r>
      <w:r w:rsidRPr="00C729DC">
        <w:t xml:space="preserve">decision building blocks compared to </w:t>
      </w:r>
      <w:r>
        <w:t>Directlink</w:t>
      </w:r>
      <w:r w:rsidRPr="00C729DC">
        <w:t xml:space="preserve">'s proposed </w:t>
      </w:r>
      <w:r w:rsidR="00BD7A01">
        <w:t xml:space="preserve">and revised </w:t>
      </w:r>
      <w:r w:rsidRPr="00C729DC">
        <w:t>revenue requirement</w:t>
      </w:r>
      <w:r w:rsidR="00BD7A01">
        <w:t>,</w:t>
      </w:r>
      <w:r w:rsidRPr="00C729DC">
        <w:t xml:space="preserve"> and approved revenue for 200</w:t>
      </w:r>
      <w:r>
        <w:t>5</w:t>
      </w:r>
      <w:r w:rsidRPr="00C729DC">
        <w:t>–1</w:t>
      </w:r>
      <w:r>
        <w:t>5</w:t>
      </w:r>
      <w:r w:rsidRPr="00C729DC">
        <w:t xml:space="preserve"> ($ million, 201</w:t>
      </w:r>
      <w:r w:rsidR="00BD7A01">
        <w:t>4</w:t>
      </w:r>
      <w:r w:rsidRPr="00C729DC">
        <w:t>–1</w:t>
      </w:r>
      <w:r w:rsidR="00BD7A01">
        <w:t>5</w:t>
      </w:r>
      <w:r w:rsidRPr="00C729DC">
        <w:t>)</w:t>
      </w:r>
    </w:p>
    <w:p w:rsidR="006E7D3F" w:rsidRPr="00C729DC" w:rsidRDefault="00583F11" w:rsidP="00583F11">
      <w:pPr>
        <w:numPr>
          <w:ilvl w:val="0"/>
          <w:numId w:val="25"/>
        </w:numPr>
      </w:pPr>
      <w:r w:rsidRPr="00583F11">
        <w:rPr>
          <w:noProof/>
          <w:lang w:eastAsia="en-AU"/>
        </w:rPr>
        <w:drawing>
          <wp:inline distT="0" distB="0" distL="0" distR="0" wp14:anchorId="262F2D53" wp14:editId="7AEAA0F7">
            <wp:extent cx="5382895" cy="383367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833672"/>
                    </a:xfrm>
                    <a:prstGeom prst="rect">
                      <a:avLst/>
                    </a:prstGeom>
                    <a:noFill/>
                    <a:ln>
                      <a:noFill/>
                    </a:ln>
                  </pic:spPr>
                </pic:pic>
              </a:graphicData>
            </a:graphic>
          </wp:inline>
        </w:drawing>
      </w:r>
    </w:p>
    <w:p w:rsidR="006E7D3F" w:rsidRPr="007F3065" w:rsidRDefault="006E7D3F" w:rsidP="006E7D3F">
      <w:pPr>
        <w:pStyle w:val="AERtablesource"/>
      </w:pPr>
      <w:r w:rsidRPr="00C729DC">
        <w:t>Source:</w:t>
      </w:r>
      <w:r w:rsidRPr="00C729DC">
        <w:tab/>
        <w:t xml:space="preserve"> AER analysis.</w:t>
      </w:r>
    </w:p>
    <w:p w:rsidR="00250868" w:rsidRDefault="00250868" w:rsidP="00BD7A01">
      <w:pPr>
        <w:pStyle w:val="Heading3"/>
      </w:pPr>
      <w:bookmarkStart w:id="26" w:name="_Toc417638896"/>
      <w:bookmarkStart w:id="27" w:name="_Toc404184041"/>
      <w:r>
        <w:t>Shared assets</w:t>
      </w:r>
      <w:bookmarkEnd w:id="26"/>
    </w:p>
    <w:p w:rsidR="00250868" w:rsidRDefault="00813AFA" w:rsidP="00250868">
      <w:r>
        <w:t>In the</w:t>
      </w:r>
      <w:r w:rsidR="00250868">
        <w:t xml:space="preserve"> draft decision</w:t>
      </w:r>
      <w:r>
        <w:t>,</w:t>
      </w:r>
      <w:r w:rsidR="00250868">
        <w:t xml:space="preserve"> we noted Directlink expects not to earn unregulated revenues with regulated assets.</w:t>
      </w:r>
      <w:r w:rsidR="00631FC3">
        <w:rPr>
          <w:rStyle w:val="FootnoteReference"/>
        </w:rPr>
        <w:footnoteReference w:id="7"/>
      </w:r>
      <w:r w:rsidR="00250868">
        <w:t xml:space="preserve"> As such, </w:t>
      </w:r>
      <w:r>
        <w:t>we did</w:t>
      </w:r>
      <w:r w:rsidR="00250868">
        <w:t xml:space="preserve"> not apply shared asset</w:t>
      </w:r>
      <w:r>
        <w:t xml:space="preserve">s revenue adjustment </w:t>
      </w:r>
      <w:r w:rsidR="00250868">
        <w:t xml:space="preserve">to </w:t>
      </w:r>
      <w:r w:rsidR="00250868">
        <w:lastRenderedPageBreak/>
        <w:t xml:space="preserve">Directlink for the </w:t>
      </w:r>
      <w:r>
        <w:t xml:space="preserve">2015–20 </w:t>
      </w:r>
      <w:r w:rsidR="00250868">
        <w:t xml:space="preserve">regulatory </w:t>
      </w:r>
      <w:r>
        <w:t xml:space="preserve">control </w:t>
      </w:r>
      <w:r w:rsidR="00250868">
        <w:t xml:space="preserve">period. </w:t>
      </w:r>
      <w:r w:rsidR="00B230A2">
        <w:t xml:space="preserve">We continue to maintain this view. </w:t>
      </w:r>
      <w:r w:rsidR="00250868">
        <w:t xml:space="preserve">Our final decision is </w:t>
      </w:r>
      <w:r w:rsidR="00B230A2">
        <w:t xml:space="preserve">therefore </w:t>
      </w:r>
      <w:r w:rsidR="00250868">
        <w:t xml:space="preserve">consistent with our draft decision. </w:t>
      </w:r>
    </w:p>
    <w:p w:rsidR="00BD7A01" w:rsidRPr="00BD7A01" w:rsidRDefault="00BD7A01" w:rsidP="00BD7A01">
      <w:pPr>
        <w:pStyle w:val="Heading3"/>
      </w:pPr>
      <w:bookmarkStart w:id="28" w:name="_Toc417638897"/>
      <w:r>
        <w:t xml:space="preserve">Indicative average transmission </w:t>
      </w:r>
      <w:r w:rsidRPr="00BD7A01">
        <w:t>charges</w:t>
      </w:r>
      <w:bookmarkEnd w:id="27"/>
      <w:bookmarkEnd w:id="28"/>
    </w:p>
    <w:p w:rsidR="00F53252" w:rsidRDefault="00F53252" w:rsidP="00BD7A01">
      <w:pPr>
        <w:numPr>
          <w:ilvl w:val="0"/>
          <w:numId w:val="25"/>
        </w:numPr>
      </w:pPr>
      <w:r w:rsidRPr="00480F8B">
        <w:t xml:space="preserve">The NER does not require an estimate of transmission charges for a revenue determination of a TNSP. Nonetheless, we typically provide some indicative transmission price impacts flowing from the revenue determination. </w:t>
      </w:r>
    </w:p>
    <w:p w:rsidR="00BD7A01" w:rsidRDefault="00BD7A01" w:rsidP="00BD7A01">
      <w:pPr>
        <w:numPr>
          <w:ilvl w:val="0"/>
          <w:numId w:val="25"/>
        </w:numPr>
      </w:pPr>
      <w:r>
        <w:t>Our final decision on Directlink's expected MAR ultimately affects the prices consumers pay for electricity. However, Directlink's expected MAR do not directly translate to changes in annual electricity bills, principally because Directlink is a small component of the broader transmission network that serves NSW and the ACT. TransGrid is the main transmission network service provider in this region, and is designated the coordinating TNSP. Our final decision on TransGrid's expected MAR is the principal determinant of the estimated transmission charges, and therefore the estimated impact of this component on annual electricity bills. Further, the transmission charges in NSW/ACT are also affected by the revenue determinations for Ausgrid and ActewAGL's transmission assets.</w:t>
      </w:r>
      <w:r>
        <w:rPr>
          <w:rStyle w:val="FootnoteReference"/>
        </w:rPr>
        <w:footnoteReference w:id="8"/>
      </w:r>
      <w:r>
        <w:t xml:space="preserve"> </w:t>
      </w:r>
      <w:r w:rsidRPr="00C67FC7">
        <w:t>Directlink</w:t>
      </w:r>
      <w:r>
        <w:t>, just like Ausgrid and ActewAGL,</w:t>
      </w:r>
      <w:r w:rsidRPr="00C67FC7">
        <w:t xml:space="preserve"> collects its </w:t>
      </w:r>
      <w:r>
        <w:t xml:space="preserve">transmission </w:t>
      </w:r>
      <w:r w:rsidRPr="00C67FC7">
        <w:t>revenues from TransGrid</w:t>
      </w:r>
      <w:r>
        <w:t>.</w:t>
      </w:r>
    </w:p>
    <w:p w:rsidR="00BD7A01" w:rsidRPr="00C729DC" w:rsidRDefault="00BD7A01" w:rsidP="00BD7A01">
      <w:pPr>
        <w:numPr>
          <w:ilvl w:val="0"/>
          <w:numId w:val="25"/>
        </w:numPr>
      </w:pPr>
      <w:r>
        <w:t>W</w:t>
      </w:r>
      <w:r w:rsidRPr="00C729DC">
        <w:t xml:space="preserve">e </w:t>
      </w:r>
      <w:r>
        <w:t xml:space="preserve">therefore </w:t>
      </w:r>
      <w:r w:rsidRPr="00C729DC">
        <w:t xml:space="preserve">estimate </w:t>
      </w:r>
      <w:r>
        <w:t>the</w:t>
      </w:r>
      <w:r w:rsidRPr="00C729DC">
        <w:t xml:space="preserve"> forecast average transmission charges in </w:t>
      </w:r>
      <w:r>
        <w:t xml:space="preserve">NSW/ACT </w:t>
      </w:r>
      <w:r w:rsidRPr="00C729DC">
        <w:t>by</w:t>
      </w:r>
      <w:r>
        <w:t xml:space="preserve">: </w:t>
      </w:r>
    </w:p>
    <w:p w:rsidR="00BD7A01" w:rsidRPr="00BD7A01" w:rsidRDefault="00BD7A01" w:rsidP="00BD7A01">
      <w:pPr>
        <w:pStyle w:val="AERbulletlistfirststyle"/>
      </w:pPr>
      <w:r w:rsidRPr="00C729DC">
        <w:t xml:space="preserve">taking the sum of </w:t>
      </w:r>
      <w:r w:rsidRPr="00BD7A01">
        <w:t xml:space="preserve">TransGrid and Directlink's annual expected MAR determined </w:t>
      </w:r>
      <w:r>
        <w:t xml:space="preserve">respectively </w:t>
      </w:r>
      <w:r w:rsidRPr="00BD7A01">
        <w:t xml:space="preserve">in </w:t>
      </w:r>
      <w:r>
        <w:t>our</w:t>
      </w:r>
      <w:r w:rsidRPr="00BD7A01">
        <w:t xml:space="preserve"> </w:t>
      </w:r>
      <w:r>
        <w:t>final</w:t>
      </w:r>
      <w:r w:rsidRPr="00BD7A01">
        <w:t xml:space="preserve"> decision</w:t>
      </w:r>
      <w:r>
        <w:t>s</w:t>
      </w:r>
      <w:r w:rsidRPr="00BD7A01">
        <w:t xml:space="preserve"> and the expected revenues for Ausgrid and ActewAGL's transmission assets for 2014–18</w:t>
      </w:r>
      <w:r w:rsidRPr="00BD7A01">
        <w:rPr>
          <w:rStyle w:val="FootnoteReference"/>
        </w:rPr>
        <w:footnoteReference w:id="9"/>
      </w:r>
      <w:r w:rsidRPr="00BD7A01">
        <w:t xml:space="preserve"> </w:t>
      </w:r>
    </w:p>
    <w:p w:rsidR="00BD7A01" w:rsidRPr="00BD7A01" w:rsidRDefault="00BD7A01" w:rsidP="00BD7A01">
      <w:pPr>
        <w:pStyle w:val="AERbulletlistfirststyle"/>
      </w:pPr>
      <w:r w:rsidRPr="00C729DC">
        <w:t xml:space="preserve">dividing it by the forecast annual energy delivered in </w:t>
      </w:r>
      <w:r w:rsidRPr="00BD7A01">
        <w:t>NSW/ACT as published by AEMO.</w:t>
      </w:r>
      <w:r w:rsidRPr="00BD7A01">
        <w:rPr>
          <w:rStyle w:val="FootnoteReference"/>
        </w:rPr>
        <w:footnoteReference w:id="10"/>
      </w:r>
    </w:p>
    <w:p w:rsidR="00BD7A01" w:rsidRDefault="00BD7A01" w:rsidP="00BD7A01">
      <w:pPr>
        <w:numPr>
          <w:ilvl w:val="0"/>
          <w:numId w:val="25"/>
        </w:numPr>
      </w:pPr>
      <w:r>
        <w:t>Our final decision for TransGrid presents this analysis.</w:t>
      </w:r>
      <w:r>
        <w:rPr>
          <w:rStyle w:val="FootnoteReference"/>
        </w:rPr>
        <w:footnoteReference w:id="11"/>
      </w:r>
    </w:p>
    <w:p w:rsidR="005D7BA2" w:rsidRDefault="005D7BA2" w:rsidP="00DB5074"/>
    <w:sectPr w:rsidR="005D7BA2"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65" w:rsidRPr="00290C63" w:rsidRDefault="00690365" w:rsidP="00290C63">
      <w:r>
        <w:separator/>
      </w:r>
    </w:p>
    <w:p w:rsidR="00690365" w:rsidRDefault="00690365"/>
  </w:endnote>
  <w:endnote w:type="continuationSeparator" w:id="0">
    <w:p w:rsidR="00690365" w:rsidRPr="00290C63" w:rsidRDefault="00690365" w:rsidP="00290C63">
      <w:r>
        <w:continuationSeparator/>
      </w:r>
    </w:p>
    <w:p w:rsidR="00690365" w:rsidRDefault="00690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65" w:rsidRPr="00290C63" w:rsidRDefault="0069036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90365" w:rsidRDefault="00690365"/>
  <w:p w:rsidR="00690365" w:rsidRDefault="00690365"/>
  <w:p w:rsidR="00690365" w:rsidRDefault="00690365"/>
  <w:p w:rsidR="00690365" w:rsidRDefault="00690365"/>
  <w:p w:rsidR="00690365" w:rsidRDefault="00690365"/>
  <w:p w:rsidR="00690365" w:rsidRDefault="00690365"/>
  <w:p w:rsidR="00690365" w:rsidRDefault="006903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690365" w:rsidRDefault="00690365">
        <w:pPr>
          <w:pStyle w:val="Footer"/>
        </w:pPr>
        <w:r>
          <w:fldChar w:fldCharType="begin"/>
        </w:r>
        <w:r>
          <w:instrText xml:space="preserve"> PAGE   \* MERGEFORMAT </w:instrText>
        </w:r>
        <w:r>
          <w:fldChar w:fldCharType="separate"/>
        </w:r>
        <w:r w:rsidR="001A1B16">
          <w:rPr>
            <w:noProof/>
          </w:rPr>
          <w:t>1-12</w:t>
        </w:r>
        <w:r>
          <w:rPr>
            <w:noProof/>
          </w:rPr>
          <w:fldChar w:fldCharType="end"/>
        </w:r>
        <w:r>
          <w:rPr>
            <w:noProof/>
          </w:rPr>
          <w:t xml:space="preserve">      </w:t>
        </w:r>
        <w:r>
          <w:t xml:space="preserve">           </w:t>
        </w:r>
        <w:r>
          <w:rPr>
            <w:noProof/>
          </w:rPr>
          <w:t xml:space="preserve">  </w:t>
        </w:r>
        <w:r>
          <w:tab/>
          <w:t xml:space="preserve">                                 </w:t>
        </w:r>
        <w:r>
          <w:rPr>
            <w:noProof/>
          </w:rPr>
          <w:t xml:space="preserve">Attachment 1 </w:t>
        </w:r>
        <w:r>
          <w:rPr>
            <w:rFonts w:cs="Gautami"/>
            <w:noProof/>
          </w:rPr>
          <w:t xml:space="preserve">– </w:t>
        </w:r>
        <w:r>
          <w:t>Maximum allowed revenue</w:t>
        </w:r>
        <w:r>
          <w:rPr>
            <w:rFonts w:cs="Gautami"/>
            <w:noProof/>
          </w:rPr>
          <w:t xml:space="preserve"> | </w:t>
        </w:r>
        <w:r>
          <w:t>Final decision: Directlink</w:t>
        </w:r>
        <w:r>
          <w:br/>
        </w:r>
        <w:r>
          <w:tab/>
          <w:t xml:space="preserve">                                                                                                 transmission </w:t>
        </w:r>
        <w:r>
          <w:rPr>
            <w:rFonts w:cs="Gautami"/>
            <w:noProof/>
          </w:rPr>
          <w:t>determination 2015–20</w:t>
        </w:r>
      </w:p>
    </w:sdtContent>
  </w:sdt>
  <w:p w:rsidR="00690365" w:rsidRDefault="00690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65" w:rsidRPr="00290C63" w:rsidRDefault="0069036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90365" w:rsidRDefault="00690365">
    <w:pPr>
      <w:pStyle w:val="Footer"/>
    </w:pPr>
  </w:p>
  <w:p w:rsidR="00690365" w:rsidRDefault="00690365"/>
  <w:p w:rsidR="00690365" w:rsidRDefault="00690365"/>
  <w:p w:rsidR="00690365" w:rsidRDefault="00690365"/>
  <w:p w:rsidR="00690365" w:rsidRDefault="00690365"/>
  <w:p w:rsidR="00690365" w:rsidRDefault="00690365"/>
  <w:p w:rsidR="00690365" w:rsidRDefault="00690365"/>
  <w:p w:rsidR="00690365" w:rsidRDefault="006903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65" w:rsidRPr="00290C63" w:rsidRDefault="00690365" w:rsidP="00290C63">
      <w:r>
        <w:separator/>
      </w:r>
    </w:p>
    <w:p w:rsidR="00690365" w:rsidRDefault="00690365"/>
  </w:footnote>
  <w:footnote w:type="continuationSeparator" w:id="0">
    <w:p w:rsidR="00690365" w:rsidRPr="00290C63" w:rsidRDefault="00690365" w:rsidP="00290C63">
      <w:r>
        <w:continuationSeparator/>
      </w:r>
    </w:p>
    <w:p w:rsidR="00690365" w:rsidRDefault="00690365"/>
  </w:footnote>
  <w:footnote w:id="1">
    <w:p w:rsidR="00690365" w:rsidRDefault="00690365" w:rsidP="00925ED1">
      <w:pPr>
        <w:pStyle w:val="FootnoteText"/>
      </w:pPr>
      <w:r>
        <w:rPr>
          <w:rStyle w:val="FootnoteReference"/>
        </w:rPr>
        <w:footnoteRef/>
      </w:r>
      <w:r>
        <w:t xml:space="preserve"> </w:t>
      </w:r>
      <w:r>
        <w:tab/>
      </w:r>
      <w:r w:rsidRPr="000F0122">
        <w:t>NER, clause</w:t>
      </w:r>
      <w:r>
        <w:t>s</w:t>
      </w:r>
      <w:r w:rsidRPr="000F0122">
        <w:t xml:space="preserve"> 6A.4.2(a)(1)–(3) and 6A.6.8.</w:t>
      </w:r>
    </w:p>
  </w:footnote>
  <w:footnote w:id="2">
    <w:p w:rsidR="00690365" w:rsidRDefault="00690365">
      <w:pPr>
        <w:pStyle w:val="FootnoteText"/>
      </w:pPr>
      <w:r>
        <w:rPr>
          <w:rStyle w:val="FootnoteReference"/>
        </w:rPr>
        <w:footnoteRef/>
      </w:r>
      <w:r>
        <w:t xml:space="preserve"> </w:t>
      </w:r>
      <w:r>
        <w:tab/>
        <w:t xml:space="preserve">The X factors represent the </w:t>
      </w:r>
      <w:r w:rsidRPr="00DD44DC">
        <w:t xml:space="preserve">rate of change in the </w:t>
      </w:r>
      <w:r>
        <w:t xml:space="preserve">real revenue path over the 2015–20 regulatory control period under the CPI–X framework. They must </w:t>
      </w:r>
      <w:r w:rsidRPr="00F50D2E">
        <w:t>equalise (in net present value</w:t>
      </w:r>
      <w:r w:rsidRPr="007F412B">
        <w:t xml:space="preserve"> </w:t>
      </w:r>
      <w:r>
        <w:t>terms</w:t>
      </w:r>
      <w:r w:rsidRPr="00F50D2E">
        <w:t xml:space="preserve">) the </w:t>
      </w:r>
      <w:r>
        <w:t xml:space="preserve">total expected MAR </w:t>
      </w:r>
      <w:r w:rsidRPr="00F50D2E">
        <w:t xml:space="preserve">to be earned by the </w:t>
      </w:r>
      <w:r>
        <w:t>s</w:t>
      </w:r>
      <w:r w:rsidRPr="00F50D2E">
        <w:t xml:space="preserve">ervice </w:t>
      </w:r>
      <w:r>
        <w:t>p</w:t>
      </w:r>
      <w:r w:rsidRPr="00F50D2E">
        <w:t xml:space="preserve">rovider with the total </w:t>
      </w:r>
      <w:r>
        <w:t>building block revenue requirement</w:t>
      </w:r>
      <w:r w:rsidRPr="00F50D2E">
        <w:t xml:space="preserve"> </w:t>
      </w:r>
      <w:r>
        <w:t xml:space="preserve">for that </w:t>
      </w:r>
      <w:r w:rsidRPr="00F50D2E">
        <w:t>period</w:t>
      </w:r>
      <w:r>
        <w:t>.</w:t>
      </w:r>
    </w:p>
  </w:footnote>
  <w:footnote w:id="3">
    <w:p w:rsidR="00690365" w:rsidRDefault="00690365" w:rsidP="006E7D3F">
      <w:pPr>
        <w:pStyle w:val="FootnoteText"/>
      </w:pPr>
      <w:r>
        <w:rPr>
          <w:rStyle w:val="FootnoteReference"/>
        </w:rPr>
        <w:footnoteRef/>
      </w:r>
      <w:r>
        <w:t xml:space="preserve"> </w:t>
      </w:r>
      <w:r>
        <w:tab/>
        <w:t>NER, clause 6A.5.3(c)(3).</w:t>
      </w:r>
    </w:p>
  </w:footnote>
  <w:footnote w:id="4">
    <w:p w:rsidR="00690365" w:rsidRDefault="00690365" w:rsidP="006E7D3F">
      <w:pPr>
        <w:pStyle w:val="FootnoteText"/>
      </w:pPr>
      <w:r>
        <w:rPr>
          <w:rStyle w:val="FootnoteReference"/>
        </w:rPr>
        <w:footnoteRef/>
      </w:r>
      <w:r>
        <w:t xml:space="preserve"> </w:t>
      </w:r>
      <w:r>
        <w:tab/>
        <w:t xml:space="preserve">NER, </w:t>
      </w:r>
      <w:r w:rsidRPr="00FC276A">
        <w:t>clause 6A.6.8(c)(2)</w:t>
      </w:r>
      <w:r>
        <w:t xml:space="preserve">. </w:t>
      </w:r>
      <w:r w:rsidRPr="00C729DC">
        <w:t>We consider a divergence of up to 3 per cent between the expected MAR and annual building block revenue requirement for the last year of the regulatory control period is appropriate, if this can achieve smoother price changes for users over the regulatory control period. In the present circumstances, based on the X factors we have determined</w:t>
      </w:r>
      <w:r w:rsidRPr="00000365">
        <w:t xml:space="preserve"> </w:t>
      </w:r>
      <w:r>
        <w:t>for Directlink</w:t>
      </w:r>
      <w:r w:rsidRPr="00C729DC">
        <w:t xml:space="preserve">, this divergence is </w:t>
      </w:r>
      <w:r>
        <w:t xml:space="preserve">around 0.2 </w:t>
      </w:r>
      <w:r w:rsidRPr="00C729DC">
        <w:t>per cent.</w:t>
      </w:r>
    </w:p>
  </w:footnote>
  <w:footnote w:id="5">
    <w:p w:rsidR="00690365" w:rsidRDefault="00690365" w:rsidP="006E7D3F">
      <w:pPr>
        <w:pStyle w:val="FootnoteText"/>
      </w:pPr>
      <w:r>
        <w:rPr>
          <w:rStyle w:val="FootnoteReference"/>
        </w:rPr>
        <w:footnoteRef/>
      </w:r>
      <w:r>
        <w:t xml:space="preserve"> </w:t>
      </w:r>
      <w:r>
        <w:tab/>
      </w:r>
      <w:r w:rsidRPr="00FC276A">
        <w:t xml:space="preserve">In </w:t>
      </w:r>
      <w:r>
        <w:t>real dollar terms</w:t>
      </w:r>
      <w:r w:rsidRPr="00FC276A">
        <w:t>, t</w:t>
      </w:r>
      <w:r>
        <w:t>he average change</w:t>
      </w:r>
      <w:r w:rsidRPr="00FC276A">
        <w:t xml:space="preserve"> </w:t>
      </w:r>
      <w:r>
        <w:t>in our approved expected MAR for Directlink</w:t>
      </w:r>
      <w:r w:rsidRPr="00FC276A">
        <w:t xml:space="preserve"> </w:t>
      </w:r>
      <w:r>
        <w:t>is</w:t>
      </w:r>
      <w:r w:rsidRPr="00FC276A">
        <w:t xml:space="preserve"> </w:t>
      </w:r>
      <w:r>
        <w:t xml:space="preserve">zero </w:t>
      </w:r>
      <w:r w:rsidRPr="00FC276A">
        <w:t>per cent per annum over the</w:t>
      </w:r>
      <w:r>
        <w:t xml:space="preserve"> 2015–20</w:t>
      </w:r>
      <w:r w:rsidRPr="00FC276A">
        <w:t xml:space="preserve"> regulatory control period</w:t>
      </w:r>
      <w:r>
        <w:t>.</w:t>
      </w:r>
    </w:p>
  </w:footnote>
  <w:footnote w:id="6">
    <w:p w:rsidR="00690365" w:rsidRDefault="00690365" w:rsidP="006E7D3F">
      <w:pPr>
        <w:pStyle w:val="FootnoteText"/>
      </w:pPr>
      <w:r>
        <w:rPr>
          <w:rStyle w:val="FootnoteReference"/>
        </w:rPr>
        <w:footnoteRef/>
      </w:r>
      <w:r>
        <w:t xml:space="preserve"> </w:t>
      </w:r>
      <w:r>
        <w:tab/>
        <w:t>Because the regulatory control periods compared are of different lengths, we calculated the annual average revenues for the relevant regulatory control periods for comparison.</w:t>
      </w:r>
    </w:p>
  </w:footnote>
  <w:footnote w:id="7">
    <w:p w:rsidR="00690365" w:rsidRDefault="00690365">
      <w:pPr>
        <w:pStyle w:val="FootnoteText"/>
      </w:pPr>
      <w:r>
        <w:rPr>
          <w:rStyle w:val="FootnoteReference"/>
        </w:rPr>
        <w:footnoteRef/>
      </w:r>
      <w:r>
        <w:t xml:space="preserve"> </w:t>
      </w:r>
      <w:r>
        <w:tab/>
        <w:t xml:space="preserve">AER, </w:t>
      </w:r>
      <w:r>
        <w:rPr>
          <w:rStyle w:val="Emphasis"/>
        </w:rPr>
        <w:t>Draft decision, Directlink transmission determination 2015–16 to 2019–20, Attachment 1: Maximum allowed revenue</w:t>
      </w:r>
      <w:r>
        <w:t>, November 2014, p. 1-17.</w:t>
      </w:r>
    </w:p>
  </w:footnote>
  <w:footnote w:id="8">
    <w:p w:rsidR="00690365" w:rsidRDefault="00690365" w:rsidP="00BD7A01">
      <w:pPr>
        <w:pStyle w:val="FootnoteText"/>
      </w:pPr>
      <w:r>
        <w:rPr>
          <w:rStyle w:val="FootnoteReference"/>
        </w:rPr>
        <w:footnoteRef/>
      </w:r>
      <w:r>
        <w:t xml:space="preserve"> </w:t>
      </w:r>
      <w:r>
        <w:tab/>
      </w:r>
      <w:r w:rsidRPr="00A70585">
        <w:t>While Ausgrid and ActewAGL are predominantly electricity</w:t>
      </w:r>
      <w:r>
        <w:t xml:space="preserve"> </w:t>
      </w:r>
      <w:r w:rsidRPr="00A70585">
        <w:t>distribution business</w:t>
      </w:r>
      <w:r>
        <w:t>es</w:t>
      </w:r>
      <w:r w:rsidRPr="00A70585">
        <w:t>, they also own</w:t>
      </w:r>
      <w:r>
        <w:t xml:space="preserve"> and operate</w:t>
      </w:r>
      <w:r w:rsidRPr="00A70585">
        <w:t xml:space="preserve"> </w:t>
      </w:r>
      <w:r>
        <w:t xml:space="preserve">some </w:t>
      </w:r>
      <w:r w:rsidRPr="00A70585">
        <w:t>transmission assets.</w:t>
      </w:r>
      <w:r>
        <w:t xml:space="preserve"> </w:t>
      </w:r>
      <w:r w:rsidRPr="00A70585">
        <w:t>These assets operate in parallel and support TransGrid’s</w:t>
      </w:r>
      <w:r>
        <w:t xml:space="preserve"> </w:t>
      </w:r>
      <w:r w:rsidRPr="00A70585">
        <w:t>transmission network to provide transmission network</w:t>
      </w:r>
      <w:r>
        <w:t xml:space="preserve"> </w:t>
      </w:r>
      <w:r w:rsidRPr="00A70585">
        <w:t>services to NSW and ACT</w:t>
      </w:r>
      <w:r>
        <w:t>.</w:t>
      </w:r>
    </w:p>
  </w:footnote>
  <w:footnote w:id="9">
    <w:p w:rsidR="00690365" w:rsidRDefault="00690365" w:rsidP="00BD7A01">
      <w:pPr>
        <w:pStyle w:val="FootnoteText"/>
      </w:pPr>
      <w:r>
        <w:rPr>
          <w:rStyle w:val="FootnoteReference"/>
        </w:rPr>
        <w:footnoteRef/>
      </w:r>
      <w:r>
        <w:t xml:space="preserve"> </w:t>
      </w:r>
      <w:r>
        <w:tab/>
        <w:t xml:space="preserve">We made final decisions on Ausgrid and ActewAGL's proposed annual expected MAR for the 2014–19 period. Our final decisions for Ausgrid and ActewAGL can be found on our website at </w:t>
      </w:r>
      <w:hyperlink r:id="rId1" w:history="1">
        <w:r w:rsidRPr="000A2C83">
          <w:rPr>
            <w:rStyle w:val="Hyperlink"/>
            <w:sz w:val="16"/>
          </w:rPr>
          <w:t>www.aer.gov.au</w:t>
        </w:r>
      </w:hyperlink>
      <w:r>
        <w:t>. For this analysis, we used Ausgrid's and ActewAGL's 2014–15 to 2017–18 transmission revenues from our final decisions to be consistent with TransGrid's 2014–18 period.</w:t>
      </w:r>
    </w:p>
  </w:footnote>
  <w:footnote w:id="10">
    <w:p w:rsidR="00690365" w:rsidRDefault="00690365" w:rsidP="00BD7A01">
      <w:pPr>
        <w:pStyle w:val="FootnoteText"/>
      </w:pPr>
      <w:r>
        <w:rPr>
          <w:rStyle w:val="FootnoteReference"/>
        </w:rPr>
        <w:footnoteRef/>
      </w:r>
      <w:r>
        <w:t xml:space="preserve"> </w:t>
      </w:r>
      <w:r>
        <w:tab/>
        <w:t>AEMO,</w:t>
      </w:r>
      <w:r w:rsidRPr="00424732">
        <w:t xml:space="preserve"> </w:t>
      </w:r>
      <w:r w:rsidRPr="00CC57BF">
        <w:rPr>
          <w:rStyle w:val="AERtextitalic"/>
        </w:rPr>
        <w:t>National electricity forecasting report</w:t>
      </w:r>
      <w:r>
        <w:rPr>
          <w:rStyle w:val="AERtextitalic"/>
        </w:rPr>
        <w:t xml:space="preserve"> for the national electricity market</w:t>
      </w:r>
      <w:r w:rsidRPr="00424732">
        <w:t xml:space="preserve">, </w:t>
      </w:r>
      <w:r>
        <w:t xml:space="preserve">June </w:t>
      </w:r>
      <w:r w:rsidRPr="00424732">
        <w:t>201</w:t>
      </w:r>
      <w:r>
        <w:t>4, table 6, Medium.</w:t>
      </w:r>
    </w:p>
  </w:footnote>
  <w:footnote w:id="11">
    <w:p w:rsidR="00690365" w:rsidRDefault="00690365" w:rsidP="00BD7A01">
      <w:pPr>
        <w:pStyle w:val="FootnoteText"/>
      </w:pPr>
      <w:r>
        <w:rPr>
          <w:rStyle w:val="FootnoteReference"/>
        </w:rPr>
        <w:footnoteRef/>
      </w:r>
      <w:r>
        <w:t xml:space="preserve"> </w:t>
      </w:r>
      <w:r>
        <w:tab/>
      </w:r>
      <w:r w:rsidRPr="00917A7A">
        <w:t xml:space="preserve">AER </w:t>
      </w:r>
      <w:r>
        <w:rPr>
          <w:rStyle w:val="AERtextitalic"/>
        </w:rPr>
        <w:t>Final</w:t>
      </w:r>
      <w:r w:rsidRPr="00E333BF">
        <w:rPr>
          <w:rStyle w:val="AERtextitalic"/>
        </w:rPr>
        <w:t xml:space="preserve"> decision, TransGrid transmission determination 2015-18</w:t>
      </w:r>
      <w:r w:rsidRPr="00917A7A">
        <w:t xml:space="preserve">, </w:t>
      </w:r>
      <w:r>
        <w:t>April</w:t>
      </w:r>
      <w:r w:rsidRPr="00917A7A">
        <w:t xml:space="preserve"> 201</w:t>
      </w:r>
      <w:r>
        <w:t>5</w:t>
      </w:r>
      <w:r w:rsidRPr="00917A7A">
        <w:t xml:space="preserve">, Overview section 7.2: </w:t>
      </w:r>
      <w:hyperlink r:id="rId2" w:history="1">
        <w:r w:rsidRPr="000A2C83">
          <w:rPr>
            <w:rStyle w:val="Hyperlink"/>
            <w:sz w:val="16"/>
          </w:rPr>
          <w:t>http://www.aer.gov.au/node/23137</w:t>
        </w:r>
      </w:hyperlink>
      <w:r w:rsidRPr="00E333B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95C7239"/>
    <w:multiLevelType w:val="multilevel"/>
    <w:tmpl w:val="950A1C52"/>
    <w:numStyleLink w:val="AERHeadings"/>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7244F3C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1"/>
  </w:num>
  <w:num w:numId="14">
    <w:abstractNumId w:val="10"/>
  </w:num>
  <w:num w:numId="15">
    <w:abstractNumId w:val="12"/>
  </w:num>
  <w:num w:numId="16">
    <w:abstractNumId w:val="26"/>
  </w:num>
  <w:num w:numId="17">
    <w:abstractNumId w:val="9"/>
  </w:num>
  <w:num w:numId="18">
    <w:abstractNumId w:val="16"/>
  </w:num>
  <w:num w:numId="19">
    <w:abstractNumId w:val="27"/>
  </w:num>
  <w:num w:numId="20">
    <w:abstractNumId w:val="34"/>
  </w:num>
  <w:num w:numId="21">
    <w:abstractNumId w:val="13"/>
  </w:num>
  <w:num w:numId="22">
    <w:abstractNumId w:val="30"/>
  </w:num>
  <w:num w:numId="23">
    <w:abstractNumId w:val="28"/>
  </w:num>
  <w:num w:numId="24">
    <w:abstractNumId w:val="19"/>
  </w:num>
  <w:num w:numId="25">
    <w:abstractNumId w:val="29"/>
  </w:num>
  <w:num w:numId="26">
    <w:abstractNumId w:val="31"/>
  </w:num>
  <w:num w:numId="27">
    <w:abstractNumId w:val="20"/>
  </w:num>
  <w:num w:numId="28">
    <w:abstractNumId w:val="18"/>
  </w:num>
  <w:num w:numId="29">
    <w:abstractNumId w:val="15"/>
  </w:num>
  <w:num w:numId="30">
    <w:abstractNumId w:val="35"/>
  </w:num>
  <w:num w:numId="31">
    <w:abstractNumId w:val="14"/>
  </w:num>
  <w:num w:numId="32">
    <w:abstractNumId w:val="23"/>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4"/>
  </w:num>
  <w:num w:numId="38">
    <w:abstractNumId w:val="25"/>
  </w:num>
  <w:num w:numId="39">
    <w:abstractNumId w:val="22"/>
  </w:num>
  <w:num w:numId="40">
    <w:abstractNumId w:val="17"/>
  </w:num>
  <w:num w:numId="41">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1 - Maximum allowed revenue - April 2015.DOCX"/>
  </w:docVars>
  <w:rsids>
    <w:rsidRoot w:val="00961A4A"/>
    <w:rsid w:val="00021202"/>
    <w:rsid w:val="0002517F"/>
    <w:rsid w:val="0003578C"/>
    <w:rsid w:val="00063247"/>
    <w:rsid w:val="00070F9F"/>
    <w:rsid w:val="0007137B"/>
    <w:rsid w:val="00085663"/>
    <w:rsid w:val="00085EBF"/>
    <w:rsid w:val="000A3020"/>
    <w:rsid w:val="000A6C7B"/>
    <w:rsid w:val="000D122C"/>
    <w:rsid w:val="000E1819"/>
    <w:rsid w:val="000E4821"/>
    <w:rsid w:val="000E6C72"/>
    <w:rsid w:val="00116EB2"/>
    <w:rsid w:val="00124609"/>
    <w:rsid w:val="00126A4C"/>
    <w:rsid w:val="0014573B"/>
    <w:rsid w:val="00150C71"/>
    <w:rsid w:val="001573E4"/>
    <w:rsid w:val="00160756"/>
    <w:rsid w:val="0017232E"/>
    <w:rsid w:val="00174102"/>
    <w:rsid w:val="00180157"/>
    <w:rsid w:val="00185CB9"/>
    <w:rsid w:val="00186F77"/>
    <w:rsid w:val="001926A4"/>
    <w:rsid w:val="00192AD5"/>
    <w:rsid w:val="001A1B16"/>
    <w:rsid w:val="001B3122"/>
    <w:rsid w:val="001B335C"/>
    <w:rsid w:val="001B45A0"/>
    <w:rsid w:val="001D055E"/>
    <w:rsid w:val="001F492E"/>
    <w:rsid w:val="001F6DA3"/>
    <w:rsid w:val="002010BC"/>
    <w:rsid w:val="00202E03"/>
    <w:rsid w:val="0020492C"/>
    <w:rsid w:val="00224DB9"/>
    <w:rsid w:val="00233775"/>
    <w:rsid w:val="00247DDD"/>
    <w:rsid w:val="00250868"/>
    <w:rsid w:val="00251745"/>
    <w:rsid w:val="00263AC0"/>
    <w:rsid w:val="00264264"/>
    <w:rsid w:val="0026772D"/>
    <w:rsid w:val="00286874"/>
    <w:rsid w:val="00290C63"/>
    <w:rsid w:val="00296B65"/>
    <w:rsid w:val="002A7DEF"/>
    <w:rsid w:val="002E7B22"/>
    <w:rsid w:val="002F7986"/>
    <w:rsid w:val="00301B40"/>
    <w:rsid w:val="003029EE"/>
    <w:rsid w:val="00305CC8"/>
    <w:rsid w:val="00307F6D"/>
    <w:rsid w:val="003162FF"/>
    <w:rsid w:val="003177A2"/>
    <w:rsid w:val="003271B5"/>
    <w:rsid w:val="00327A1E"/>
    <w:rsid w:val="00331264"/>
    <w:rsid w:val="00334C8D"/>
    <w:rsid w:val="00343A18"/>
    <w:rsid w:val="003518B3"/>
    <w:rsid w:val="003846F1"/>
    <w:rsid w:val="003B484F"/>
    <w:rsid w:val="003F174D"/>
    <w:rsid w:val="00424CE8"/>
    <w:rsid w:val="0045777E"/>
    <w:rsid w:val="00480B4B"/>
    <w:rsid w:val="00485DC4"/>
    <w:rsid w:val="004A43D1"/>
    <w:rsid w:val="004B4412"/>
    <w:rsid w:val="004C348C"/>
    <w:rsid w:val="004D55BA"/>
    <w:rsid w:val="004E22EC"/>
    <w:rsid w:val="00513033"/>
    <w:rsid w:val="00520EE8"/>
    <w:rsid w:val="00530128"/>
    <w:rsid w:val="00532467"/>
    <w:rsid w:val="00564A4D"/>
    <w:rsid w:val="00567BA5"/>
    <w:rsid w:val="00571B35"/>
    <w:rsid w:val="00571D57"/>
    <w:rsid w:val="00577A09"/>
    <w:rsid w:val="005829C2"/>
    <w:rsid w:val="00583F11"/>
    <w:rsid w:val="00584D8F"/>
    <w:rsid w:val="005A404D"/>
    <w:rsid w:val="005B1E3C"/>
    <w:rsid w:val="005C26CC"/>
    <w:rsid w:val="005D7BA2"/>
    <w:rsid w:val="005E36C2"/>
    <w:rsid w:val="00615C6B"/>
    <w:rsid w:val="00621DCE"/>
    <w:rsid w:val="00631FC3"/>
    <w:rsid w:val="00632D6D"/>
    <w:rsid w:val="00642C3E"/>
    <w:rsid w:val="0066104A"/>
    <w:rsid w:val="00663DAD"/>
    <w:rsid w:val="00675E20"/>
    <w:rsid w:val="00676679"/>
    <w:rsid w:val="00683C89"/>
    <w:rsid w:val="00690365"/>
    <w:rsid w:val="006B2395"/>
    <w:rsid w:val="006B3DAA"/>
    <w:rsid w:val="006B4CF9"/>
    <w:rsid w:val="006B7AC8"/>
    <w:rsid w:val="006D550F"/>
    <w:rsid w:val="006E7D3F"/>
    <w:rsid w:val="00701CAB"/>
    <w:rsid w:val="00707563"/>
    <w:rsid w:val="0072348C"/>
    <w:rsid w:val="00724A37"/>
    <w:rsid w:val="007303C3"/>
    <w:rsid w:val="007429BE"/>
    <w:rsid w:val="00743223"/>
    <w:rsid w:val="00746E01"/>
    <w:rsid w:val="00752117"/>
    <w:rsid w:val="00757BDF"/>
    <w:rsid w:val="00763E5D"/>
    <w:rsid w:val="00767740"/>
    <w:rsid w:val="00772805"/>
    <w:rsid w:val="00777EE6"/>
    <w:rsid w:val="007800B5"/>
    <w:rsid w:val="00782EEA"/>
    <w:rsid w:val="007A2424"/>
    <w:rsid w:val="007B2C72"/>
    <w:rsid w:val="007B49E1"/>
    <w:rsid w:val="007C1C53"/>
    <w:rsid w:val="007C74BB"/>
    <w:rsid w:val="007E4904"/>
    <w:rsid w:val="007E4CB5"/>
    <w:rsid w:val="007F066B"/>
    <w:rsid w:val="008033C4"/>
    <w:rsid w:val="00806C88"/>
    <w:rsid w:val="0081034E"/>
    <w:rsid w:val="00813AFA"/>
    <w:rsid w:val="008344F6"/>
    <w:rsid w:val="0083510F"/>
    <w:rsid w:val="00851209"/>
    <w:rsid w:val="008837AC"/>
    <w:rsid w:val="008A587D"/>
    <w:rsid w:val="008B35CD"/>
    <w:rsid w:val="008B5FCC"/>
    <w:rsid w:val="008C5486"/>
    <w:rsid w:val="008D1661"/>
    <w:rsid w:val="008E5C2E"/>
    <w:rsid w:val="008E7031"/>
    <w:rsid w:val="008E77DE"/>
    <w:rsid w:val="008F07A3"/>
    <w:rsid w:val="00900E1B"/>
    <w:rsid w:val="00905459"/>
    <w:rsid w:val="00912E31"/>
    <w:rsid w:val="009233EE"/>
    <w:rsid w:val="00925ED1"/>
    <w:rsid w:val="009460AA"/>
    <w:rsid w:val="00951978"/>
    <w:rsid w:val="00961A4A"/>
    <w:rsid w:val="009661DE"/>
    <w:rsid w:val="00983C25"/>
    <w:rsid w:val="009856B7"/>
    <w:rsid w:val="00985C86"/>
    <w:rsid w:val="009A20F4"/>
    <w:rsid w:val="009A5FC3"/>
    <w:rsid w:val="009B74B0"/>
    <w:rsid w:val="009D6B46"/>
    <w:rsid w:val="009F4940"/>
    <w:rsid w:val="009F5BA1"/>
    <w:rsid w:val="00A02A88"/>
    <w:rsid w:val="00A0562E"/>
    <w:rsid w:val="00A0726D"/>
    <w:rsid w:val="00A32FBB"/>
    <w:rsid w:val="00A428EE"/>
    <w:rsid w:val="00A4478A"/>
    <w:rsid w:val="00A44852"/>
    <w:rsid w:val="00A51411"/>
    <w:rsid w:val="00A57D04"/>
    <w:rsid w:val="00A60A26"/>
    <w:rsid w:val="00A61598"/>
    <w:rsid w:val="00A84A99"/>
    <w:rsid w:val="00A84F46"/>
    <w:rsid w:val="00A871F4"/>
    <w:rsid w:val="00AC1B2C"/>
    <w:rsid w:val="00AC3264"/>
    <w:rsid w:val="00AE1BF1"/>
    <w:rsid w:val="00AF0DD2"/>
    <w:rsid w:val="00AF1F9E"/>
    <w:rsid w:val="00B13048"/>
    <w:rsid w:val="00B1716D"/>
    <w:rsid w:val="00B17A1D"/>
    <w:rsid w:val="00B207A0"/>
    <w:rsid w:val="00B230A2"/>
    <w:rsid w:val="00B514DD"/>
    <w:rsid w:val="00B52AF0"/>
    <w:rsid w:val="00B561BD"/>
    <w:rsid w:val="00B56E03"/>
    <w:rsid w:val="00B57C7A"/>
    <w:rsid w:val="00B8080B"/>
    <w:rsid w:val="00B87BA5"/>
    <w:rsid w:val="00B87C39"/>
    <w:rsid w:val="00BA4665"/>
    <w:rsid w:val="00BB2FB2"/>
    <w:rsid w:val="00BB3304"/>
    <w:rsid w:val="00BD3446"/>
    <w:rsid w:val="00BD7A01"/>
    <w:rsid w:val="00BE1F1B"/>
    <w:rsid w:val="00BE47B5"/>
    <w:rsid w:val="00C014FA"/>
    <w:rsid w:val="00C058D7"/>
    <w:rsid w:val="00C25FA6"/>
    <w:rsid w:val="00C538A9"/>
    <w:rsid w:val="00C53B5A"/>
    <w:rsid w:val="00C54F5A"/>
    <w:rsid w:val="00C569B4"/>
    <w:rsid w:val="00C6617A"/>
    <w:rsid w:val="00C67A92"/>
    <w:rsid w:val="00C86679"/>
    <w:rsid w:val="00CA489E"/>
    <w:rsid w:val="00CB0279"/>
    <w:rsid w:val="00CB666B"/>
    <w:rsid w:val="00CC7F1D"/>
    <w:rsid w:val="00CE1FA9"/>
    <w:rsid w:val="00D006AE"/>
    <w:rsid w:val="00D01CF0"/>
    <w:rsid w:val="00D0442A"/>
    <w:rsid w:val="00D0577F"/>
    <w:rsid w:val="00D43B36"/>
    <w:rsid w:val="00D61388"/>
    <w:rsid w:val="00D61856"/>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44DC"/>
    <w:rsid w:val="00DD5364"/>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D7323"/>
    <w:rsid w:val="00EE28F3"/>
    <w:rsid w:val="00EF0903"/>
    <w:rsid w:val="00EF5110"/>
    <w:rsid w:val="00EF6F16"/>
    <w:rsid w:val="00F03EB0"/>
    <w:rsid w:val="00F10411"/>
    <w:rsid w:val="00F15882"/>
    <w:rsid w:val="00F171E0"/>
    <w:rsid w:val="00F20BD3"/>
    <w:rsid w:val="00F373A5"/>
    <w:rsid w:val="00F474F4"/>
    <w:rsid w:val="00F47559"/>
    <w:rsid w:val="00F53252"/>
    <w:rsid w:val="00F64C7B"/>
    <w:rsid w:val="00F676DD"/>
    <w:rsid w:val="00F75A26"/>
    <w:rsid w:val="00F76706"/>
    <w:rsid w:val="00F83FAD"/>
    <w:rsid w:val="00F952A0"/>
    <w:rsid w:val="00F9774A"/>
    <w:rsid w:val="00FA3C7F"/>
    <w:rsid w:val="00FB4346"/>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23137" TargetMode="External"/><Relationship Id="rId1" Type="http://schemas.openxmlformats.org/officeDocument/2006/relationships/hyperlink" Target="http://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EAFB662A</Template>
  <TotalTime>0</TotalTime>
  <Pages>13</Pages>
  <Words>2229</Words>
  <Characters>12707</Characters>
  <Application>Microsoft Office Word</Application>
  <DocSecurity>4</DocSecurity>
  <Lines>105</Lines>
  <Paragraphs>29</Paragraphs>
  <ScaleCrop>false</ScaleCrop>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2015-04-28T05:31:00Z</dcterms:created>
  <dcterms:modified xsi:type="dcterms:W3CDTF">2015-04-28T05:31:00Z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