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A515C21" wp14:editId="5E48416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AF1F9E" w:rsidP="008F07A3">
          <w:pPr>
            <w:pStyle w:val="ReportSubtitle"/>
          </w:pPr>
          <w:r>
            <w:t>FINAL</w:t>
          </w:r>
          <w:r w:rsidR="00DA4752">
            <w:t xml:space="preserve"> DECISION</w:t>
          </w:r>
        </w:p>
        <w:p w:rsidR="00AF1F9E" w:rsidRDefault="00AF1F9E" w:rsidP="008F07A3">
          <w:pPr>
            <w:pStyle w:val="ReportSubtitle"/>
          </w:pPr>
          <w:r>
            <w:t>Directlink transmission</w:t>
          </w:r>
          <w:r w:rsidR="00DA4752">
            <w:t xml:space="preserve"> determination </w:t>
          </w:r>
        </w:p>
        <w:p w:rsidR="000A6C7B" w:rsidRDefault="00DA4752" w:rsidP="008F07A3">
          <w:pPr>
            <w:pStyle w:val="ReportSubtitle"/>
          </w:pPr>
          <w:r>
            <w:t>2015</w:t>
          </w:r>
          <w:r>
            <w:rPr>
              <w:rFonts w:cs="Arial"/>
            </w:rPr>
            <w:t>−</w:t>
          </w:r>
          <w:r>
            <w:t>16 to 2019</w:t>
          </w:r>
          <w:r>
            <w:rPr>
              <w:rFonts w:cs="Arial"/>
            </w:rPr>
            <w:t>−</w:t>
          </w:r>
          <w:r>
            <w:t>20</w:t>
          </w:r>
        </w:p>
        <w:p w:rsidR="008F07A3" w:rsidRPr="000A6C7B" w:rsidRDefault="008F07A3" w:rsidP="008F07A3">
          <w:pPr>
            <w:pStyle w:val="ReportSubtitle"/>
          </w:pPr>
        </w:p>
        <w:p w:rsidR="000A6C7B" w:rsidRPr="000A6C7B" w:rsidRDefault="00DA4752" w:rsidP="008F07A3">
          <w:pPr>
            <w:pStyle w:val="ReportSubtitle"/>
          </w:pPr>
          <w:r>
            <w:t>Attachment 1</w:t>
          </w:r>
          <w:r w:rsidR="006227FA">
            <w:t>2</w:t>
          </w:r>
          <w:r>
            <w:t xml:space="preserve"> </w:t>
          </w:r>
          <w:r>
            <w:rPr>
              <w:rFonts w:cs="Arial"/>
            </w:rPr>
            <w:t>−</w:t>
          </w:r>
          <w:r>
            <w:t xml:space="preserve"> </w:t>
          </w:r>
          <w:r w:rsidR="006227FA">
            <w:t>Pricing methodology and negotiated services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AF1F9E" w:rsidRDefault="000A6C7B" w:rsidP="008F07A3">
      <w:pPr>
        <w:pStyle w:val="Copyright"/>
        <w:rPr>
          <w:rStyle w:val="Hyperlink"/>
        </w:rPr>
      </w:pPr>
      <w:r>
        <w:t xml:space="preserve">Email: </w:t>
      </w:r>
      <w:hyperlink r:id="rId10" w:history="1">
        <w:r w:rsidRPr="00D64888">
          <w:rPr>
            <w:rStyle w:val="Hyperlink"/>
          </w:rPr>
          <w:t>AERInquiry@aer.gov.au</w:t>
        </w:r>
      </w:hyperlink>
    </w:p>
    <w:p w:rsidR="005D7BA2" w:rsidRDefault="00AF1F9E" w:rsidP="008F07A3">
      <w:pPr>
        <w:pStyle w:val="Copyright"/>
      </w:pPr>
      <w:r w:rsidRPr="00AF1F9E">
        <w:t>AER reference: 53446</w:t>
      </w:r>
      <w:r w:rsidR="00951978" w:rsidRPr="00AF1F9E">
        <w:br/>
      </w:r>
    </w:p>
    <w:p w:rsidR="00CE1FA9" w:rsidRDefault="00CE1FA9">
      <w:pPr>
        <w:spacing w:line="240" w:lineRule="auto"/>
      </w:pPr>
      <w:r>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17561194"/>
      <w:r>
        <w:lastRenderedPageBreak/>
        <w:t>N</w:t>
      </w:r>
      <w:r w:rsidR="008F07A3">
        <w:t>ote</w:t>
      </w:r>
      <w:bookmarkEnd w:id="1"/>
      <w:bookmarkEnd w:id="2"/>
      <w:bookmarkEnd w:id="3"/>
      <w:bookmarkEnd w:id="4"/>
      <w:bookmarkEnd w:id="5"/>
    </w:p>
    <w:p w:rsidR="008F07A3" w:rsidRDefault="008F07A3" w:rsidP="008F07A3"/>
    <w:p w:rsidR="00AF1F9E" w:rsidRPr="009134B1" w:rsidRDefault="00AF1F9E" w:rsidP="00AF1F9E">
      <w:pPr>
        <w:numPr>
          <w:ilvl w:val="0"/>
          <w:numId w:val="25"/>
        </w:numPr>
        <w:spacing w:before="0" w:after="240" w:line="288" w:lineRule="auto"/>
        <w:jc w:val="both"/>
      </w:pPr>
      <w:r w:rsidRPr="009134B1">
        <w:t xml:space="preserve">This attachment forms part of the AER's </w:t>
      </w:r>
      <w:r>
        <w:t>final</w:t>
      </w:r>
      <w:r w:rsidRPr="009134B1">
        <w:t xml:space="preserve"> decision on </w:t>
      </w:r>
      <w:r>
        <w:t>Directlink'</w:t>
      </w:r>
      <w:r w:rsidRPr="009134B1">
        <w:t>s revenue proposal 2015–</w:t>
      </w:r>
      <w:r>
        <w:t>20</w:t>
      </w:r>
      <w:r w:rsidRPr="009134B1">
        <w:t xml:space="preserve">. It should be read with other parts of the </w:t>
      </w:r>
      <w:r>
        <w:t>final</w:t>
      </w:r>
      <w:r w:rsidRPr="009134B1">
        <w:t xml:space="preserve"> decision.</w:t>
      </w:r>
    </w:p>
    <w:p w:rsidR="00AF1F9E" w:rsidRPr="009134B1" w:rsidRDefault="00AF1F9E" w:rsidP="00AF1F9E">
      <w:pPr>
        <w:numPr>
          <w:ilvl w:val="0"/>
          <w:numId w:val="25"/>
        </w:numPr>
        <w:spacing w:before="0" w:after="240" w:line="288" w:lineRule="auto"/>
        <w:jc w:val="both"/>
      </w:pPr>
      <w:r w:rsidRPr="009134B1">
        <w:t xml:space="preserve">The </w:t>
      </w:r>
      <w:r>
        <w:t>final</w:t>
      </w:r>
      <w:r w:rsidRPr="009134B1">
        <w:t xml:space="preserve"> decision includes the following documents:</w:t>
      </w:r>
    </w:p>
    <w:p w:rsidR="00AF1F9E" w:rsidRPr="009134B1" w:rsidRDefault="00AF1F9E" w:rsidP="00AF1F9E">
      <w:pPr>
        <w:numPr>
          <w:ilvl w:val="0"/>
          <w:numId w:val="25"/>
        </w:numPr>
        <w:spacing w:before="0" w:after="240" w:line="288" w:lineRule="auto"/>
        <w:jc w:val="both"/>
      </w:pPr>
      <w:r w:rsidRPr="009134B1">
        <w:t>Overview</w:t>
      </w:r>
    </w:p>
    <w:p w:rsidR="00AF1F9E" w:rsidRPr="009134B1" w:rsidRDefault="00AF1F9E" w:rsidP="00AF1F9E">
      <w:pPr>
        <w:numPr>
          <w:ilvl w:val="0"/>
          <w:numId w:val="25"/>
        </w:numPr>
        <w:spacing w:before="0" w:after="240" w:line="288" w:lineRule="auto"/>
        <w:jc w:val="both"/>
      </w:pPr>
      <w:r w:rsidRPr="009134B1">
        <w:t>Attachment 1 – maximum allowed revenue</w:t>
      </w:r>
    </w:p>
    <w:p w:rsidR="00AF1F9E" w:rsidRPr="009134B1" w:rsidRDefault="00AF1F9E" w:rsidP="00AF1F9E">
      <w:pPr>
        <w:numPr>
          <w:ilvl w:val="0"/>
          <w:numId w:val="25"/>
        </w:numPr>
        <w:spacing w:before="0" w:after="240" w:line="288" w:lineRule="auto"/>
        <w:jc w:val="both"/>
      </w:pPr>
      <w:r w:rsidRPr="009134B1">
        <w:t>Attachment 2 – regulatory asset base</w:t>
      </w:r>
    </w:p>
    <w:p w:rsidR="00AF1F9E" w:rsidRPr="009134B1" w:rsidRDefault="00AF1F9E" w:rsidP="00AF1F9E">
      <w:pPr>
        <w:numPr>
          <w:ilvl w:val="0"/>
          <w:numId w:val="25"/>
        </w:numPr>
        <w:spacing w:before="0" w:after="240" w:line="288" w:lineRule="auto"/>
        <w:jc w:val="both"/>
      </w:pPr>
      <w:r w:rsidRPr="009134B1">
        <w:t>Attachment 3 – rate of return</w:t>
      </w:r>
    </w:p>
    <w:p w:rsidR="00AF1F9E" w:rsidRPr="009134B1" w:rsidRDefault="00AF1F9E" w:rsidP="00AF1F9E">
      <w:pPr>
        <w:numPr>
          <w:ilvl w:val="0"/>
          <w:numId w:val="25"/>
        </w:numPr>
        <w:spacing w:before="0" w:after="240" w:line="288" w:lineRule="auto"/>
        <w:jc w:val="both"/>
      </w:pPr>
      <w:r w:rsidRPr="009134B1">
        <w:t>Attachment 4 – value of imputation credits</w:t>
      </w:r>
    </w:p>
    <w:p w:rsidR="00AF1F9E" w:rsidRPr="009134B1" w:rsidRDefault="00AF1F9E" w:rsidP="00AF1F9E">
      <w:pPr>
        <w:numPr>
          <w:ilvl w:val="0"/>
          <w:numId w:val="25"/>
        </w:numPr>
        <w:spacing w:before="0" w:after="240" w:line="288" w:lineRule="auto"/>
        <w:jc w:val="both"/>
      </w:pPr>
      <w:r w:rsidRPr="009134B1">
        <w:t>Attachment 5 – regulatory depreciation</w:t>
      </w:r>
    </w:p>
    <w:p w:rsidR="00AF1F9E" w:rsidRPr="009134B1" w:rsidRDefault="00AF1F9E" w:rsidP="00AF1F9E">
      <w:pPr>
        <w:numPr>
          <w:ilvl w:val="0"/>
          <w:numId w:val="25"/>
        </w:numPr>
        <w:spacing w:before="0" w:after="240" w:line="288" w:lineRule="auto"/>
        <w:jc w:val="both"/>
      </w:pPr>
      <w:r w:rsidRPr="009134B1">
        <w:t xml:space="preserve">Attachment 6 – capital expenditure </w:t>
      </w:r>
    </w:p>
    <w:p w:rsidR="00AF1F9E" w:rsidRPr="009134B1" w:rsidRDefault="00AF1F9E" w:rsidP="00AF1F9E">
      <w:pPr>
        <w:numPr>
          <w:ilvl w:val="0"/>
          <w:numId w:val="25"/>
        </w:numPr>
        <w:spacing w:before="0" w:after="240" w:line="288" w:lineRule="auto"/>
        <w:jc w:val="both"/>
      </w:pPr>
      <w:r w:rsidRPr="009134B1">
        <w:t>Attachment 7 – operating expenditure</w:t>
      </w:r>
    </w:p>
    <w:p w:rsidR="00AF1F9E" w:rsidRPr="009134B1" w:rsidRDefault="00AF1F9E" w:rsidP="00AF1F9E">
      <w:pPr>
        <w:numPr>
          <w:ilvl w:val="0"/>
          <w:numId w:val="25"/>
        </w:numPr>
        <w:spacing w:before="0" w:after="240" w:line="288" w:lineRule="auto"/>
        <w:jc w:val="both"/>
      </w:pPr>
      <w:r w:rsidRPr="009134B1">
        <w:t>Attachment 8 – corporate income tax</w:t>
      </w:r>
    </w:p>
    <w:p w:rsidR="00AF1F9E" w:rsidRPr="009134B1" w:rsidRDefault="00AF1F9E" w:rsidP="00AF1F9E">
      <w:pPr>
        <w:numPr>
          <w:ilvl w:val="0"/>
          <w:numId w:val="25"/>
        </w:numPr>
        <w:spacing w:before="0" w:after="240" w:line="288" w:lineRule="auto"/>
        <w:jc w:val="both"/>
      </w:pPr>
      <w:r w:rsidRPr="009134B1">
        <w:t>Attachment 9 – efficiency benefit sharing scheme</w:t>
      </w:r>
    </w:p>
    <w:p w:rsidR="00AF1F9E" w:rsidRPr="009134B1" w:rsidRDefault="00AF1F9E" w:rsidP="00AF1F9E">
      <w:pPr>
        <w:numPr>
          <w:ilvl w:val="0"/>
          <w:numId w:val="25"/>
        </w:numPr>
        <w:spacing w:before="0" w:after="240" w:line="288" w:lineRule="auto"/>
        <w:jc w:val="both"/>
      </w:pPr>
      <w:r w:rsidRPr="009134B1">
        <w:t>Attachment 10 – capital expenditure sharing scheme</w:t>
      </w:r>
    </w:p>
    <w:p w:rsidR="00AF1F9E" w:rsidRPr="009134B1" w:rsidRDefault="00AF1F9E" w:rsidP="00AF1F9E">
      <w:pPr>
        <w:numPr>
          <w:ilvl w:val="0"/>
          <w:numId w:val="25"/>
        </w:numPr>
        <w:spacing w:before="0" w:after="240" w:line="288" w:lineRule="auto"/>
        <w:jc w:val="both"/>
      </w:pPr>
      <w:r w:rsidRPr="009134B1">
        <w:t>Attachment 11 – service target performance incentive scheme</w:t>
      </w:r>
    </w:p>
    <w:p w:rsidR="00AF1F9E" w:rsidRPr="009134B1" w:rsidRDefault="00AF1F9E" w:rsidP="00AF1F9E">
      <w:pPr>
        <w:numPr>
          <w:ilvl w:val="0"/>
          <w:numId w:val="25"/>
        </w:numPr>
        <w:spacing w:before="0" w:after="240" w:line="288" w:lineRule="auto"/>
        <w:jc w:val="both"/>
      </w:pPr>
      <w:r w:rsidRPr="009134B1">
        <w:t>Attachment 12 – pricing methodology</w:t>
      </w:r>
      <w:r>
        <w:t xml:space="preserve"> and negotiated services</w:t>
      </w:r>
    </w:p>
    <w:p w:rsidR="00AF1F9E" w:rsidRPr="009134B1" w:rsidRDefault="00AF1F9E" w:rsidP="00AF1F9E">
      <w:pPr>
        <w:numPr>
          <w:ilvl w:val="0"/>
          <w:numId w:val="25"/>
        </w:numPr>
        <w:spacing w:before="0" w:after="240" w:line="288" w:lineRule="auto"/>
        <w:jc w:val="both"/>
      </w:pPr>
      <w:r w:rsidRPr="009134B1">
        <w:t>Attachment 13 – pass through events</w:t>
      </w:r>
    </w:p>
    <w:p w:rsidR="00AF1F9E" w:rsidRPr="008F07A3" w:rsidRDefault="00AF1F9E" w:rsidP="008F07A3">
      <w:pPr>
        <w:sectPr w:rsidR="00AF1F9E" w:rsidRPr="008F07A3" w:rsidSect="005D6D8F">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561195"/>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94746A" w:rsidRDefault="00DD5364">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561194" w:history="1">
            <w:r w:rsidR="0094746A" w:rsidRPr="00091C9A">
              <w:rPr>
                <w:rStyle w:val="Hyperlink"/>
              </w:rPr>
              <w:t>Note</w:t>
            </w:r>
            <w:r w:rsidR="0094746A">
              <w:rPr>
                <w:webHidden/>
              </w:rPr>
              <w:tab/>
            </w:r>
            <w:r w:rsidR="0094746A">
              <w:rPr>
                <w:webHidden/>
              </w:rPr>
              <w:fldChar w:fldCharType="begin"/>
            </w:r>
            <w:r w:rsidR="0094746A">
              <w:rPr>
                <w:webHidden/>
              </w:rPr>
              <w:instrText xml:space="preserve"> PAGEREF _Toc417561194 \h </w:instrText>
            </w:r>
            <w:r w:rsidR="0094746A">
              <w:rPr>
                <w:webHidden/>
              </w:rPr>
            </w:r>
            <w:r w:rsidR="0094746A">
              <w:rPr>
                <w:webHidden/>
              </w:rPr>
              <w:fldChar w:fldCharType="separate"/>
            </w:r>
            <w:r w:rsidR="0094746A">
              <w:rPr>
                <w:webHidden/>
              </w:rPr>
              <w:t>12-2</w:t>
            </w:r>
            <w:r w:rsidR="0094746A">
              <w:rPr>
                <w:webHidden/>
              </w:rPr>
              <w:fldChar w:fldCharType="end"/>
            </w:r>
          </w:hyperlink>
        </w:p>
        <w:p w:rsidR="0094746A" w:rsidRDefault="008A6695">
          <w:pPr>
            <w:pStyle w:val="TOC1"/>
            <w:rPr>
              <w:rFonts w:asciiTheme="minorHAnsi" w:eastAsiaTheme="minorEastAsia" w:hAnsiTheme="minorHAnsi"/>
              <w:b w:val="0"/>
              <w:color w:val="auto"/>
              <w:sz w:val="22"/>
              <w:lang w:val="en-AU" w:eastAsia="en-AU"/>
            </w:rPr>
          </w:pPr>
          <w:hyperlink w:anchor="_Toc417561195" w:history="1">
            <w:r w:rsidR="0094746A" w:rsidRPr="00091C9A">
              <w:rPr>
                <w:rStyle w:val="Hyperlink"/>
              </w:rPr>
              <w:t>Contents</w:t>
            </w:r>
            <w:r w:rsidR="0094746A">
              <w:rPr>
                <w:webHidden/>
              </w:rPr>
              <w:tab/>
            </w:r>
            <w:r w:rsidR="0094746A">
              <w:rPr>
                <w:webHidden/>
              </w:rPr>
              <w:fldChar w:fldCharType="begin"/>
            </w:r>
            <w:r w:rsidR="0094746A">
              <w:rPr>
                <w:webHidden/>
              </w:rPr>
              <w:instrText xml:space="preserve"> PAGEREF _Toc417561195 \h </w:instrText>
            </w:r>
            <w:r w:rsidR="0094746A">
              <w:rPr>
                <w:webHidden/>
              </w:rPr>
            </w:r>
            <w:r w:rsidR="0094746A">
              <w:rPr>
                <w:webHidden/>
              </w:rPr>
              <w:fldChar w:fldCharType="separate"/>
            </w:r>
            <w:r w:rsidR="0094746A">
              <w:rPr>
                <w:webHidden/>
              </w:rPr>
              <w:t>12-3</w:t>
            </w:r>
            <w:r w:rsidR="0094746A">
              <w:rPr>
                <w:webHidden/>
              </w:rPr>
              <w:fldChar w:fldCharType="end"/>
            </w:r>
          </w:hyperlink>
        </w:p>
        <w:p w:rsidR="0094746A" w:rsidRDefault="008A6695">
          <w:pPr>
            <w:pStyle w:val="TOC1"/>
            <w:rPr>
              <w:rFonts w:asciiTheme="minorHAnsi" w:eastAsiaTheme="minorEastAsia" w:hAnsiTheme="minorHAnsi"/>
              <w:b w:val="0"/>
              <w:color w:val="auto"/>
              <w:sz w:val="22"/>
              <w:lang w:val="en-AU" w:eastAsia="en-AU"/>
            </w:rPr>
          </w:pPr>
          <w:hyperlink w:anchor="_Toc417561196" w:history="1">
            <w:r w:rsidR="0094746A" w:rsidRPr="00091C9A">
              <w:rPr>
                <w:rStyle w:val="Hyperlink"/>
              </w:rPr>
              <w:t>Shortened forms</w:t>
            </w:r>
            <w:r w:rsidR="0094746A">
              <w:rPr>
                <w:webHidden/>
              </w:rPr>
              <w:tab/>
            </w:r>
            <w:r w:rsidR="0094746A">
              <w:rPr>
                <w:webHidden/>
              </w:rPr>
              <w:fldChar w:fldCharType="begin"/>
            </w:r>
            <w:r w:rsidR="0094746A">
              <w:rPr>
                <w:webHidden/>
              </w:rPr>
              <w:instrText xml:space="preserve"> PAGEREF _Toc417561196 \h </w:instrText>
            </w:r>
            <w:r w:rsidR="0094746A">
              <w:rPr>
                <w:webHidden/>
              </w:rPr>
            </w:r>
            <w:r w:rsidR="0094746A">
              <w:rPr>
                <w:webHidden/>
              </w:rPr>
              <w:fldChar w:fldCharType="separate"/>
            </w:r>
            <w:r w:rsidR="0094746A">
              <w:rPr>
                <w:webHidden/>
              </w:rPr>
              <w:t>12-4</w:t>
            </w:r>
            <w:r w:rsidR="0094746A">
              <w:rPr>
                <w:webHidden/>
              </w:rPr>
              <w:fldChar w:fldCharType="end"/>
            </w:r>
          </w:hyperlink>
        </w:p>
        <w:p w:rsidR="0094746A" w:rsidRDefault="008A6695">
          <w:pPr>
            <w:pStyle w:val="TOC1"/>
            <w:rPr>
              <w:rFonts w:asciiTheme="minorHAnsi" w:eastAsiaTheme="minorEastAsia" w:hAnsiTheme="minorHAnsi"/>
              <w:b w:val="0"/>
              <w:color w:val="auto"/>
              <w:sz w:val="22"/>
              <w:lang w:val="en-AU" w:eastAsia="en-AU"/>
            </w:rPr>
          </w:pPr>
          <w:hyperlink w:anchor="_Toc417561197" w:history="1">
            <w:r w:rsidR="0094746A" w:rsidRPr="00091C9A">
              <w:rPr>
                <w:rStyle w:val="Hyperlink"/>
              </w:rPr>
              <w:t>12</w:t>
            </w:r>
            <w:r w:rsidR="0094746A">
              <w:rPr>
                <w:rFonts w:asciiTheme="minorHAnsi" w:eastAsiaTheme="minorEastAsia" w:hAnsiTheme="minorHAnsi"/>
                <w:b w:val="0"/>
                <w:color w:val="auto"/>
                <w:sz w:val="22"/>
                <w:lang w:val="en-AU" w:eastAsia="en-AU"/>
              </w:rPr>
              <w:tab/>
            </w:r>
            <w:r w:rsidR="0094746A" w:rsidRPr="00091C9A">
              <w:rPr>
                <w:rStyle w:val="Hyperlink"/>
              </w:rPr>
              <w:t>Pricing methodology and negotiated services</w:t>
            </w:r>
            <w:r w:rsidR="0094746A">
              <w:rPr>
                <w:webHidden/>
              </w:rPr>
              <w:tab/>
            </w:r>
            <w:r w:rsidR="0094746A">
              <w:rPr>
                <w:webHidden/>
              </w:rPr>
              <w:fldChar w:fldCharType="begin"/>
            </w:r>
            <w:r w:rsidR="0094746A">
              <w:rPr>
                <w:webHidden/>
              </w:rPr>
              <w:instrText xml:space="preserve"> PAGEREF _Toc417561197 \h </w:instrText>
            </w:r>
            <w:r w:rsidR="0094746A">
              <w:rPr>
                <w:webHidden/>
              </w:rPr>
            </w:r>
            <w:r w:rsidR="0094746A">
              <w:rPr>
                <w:webHidden/>
              </w:rPr>
              <w:fldChar w:fldCharType="separate"/>
            </w:r>
            <w:r w:rsidR="0094746A">
              <w:rPr>
                <w:webHidden/>
              </w:rPr>
              <w:t>12-6</w:t>
            </w:r>
            <w:r w:rsidR="0094746A">
              <w:rPr>
                <w:webHidden/>
              </w:rPr>
              <w:fldChar w:fldCharType="end"/>
            </w:r>
          </w:hyperlink>
        </w:p>
        <w:p w:rsidR="0094746A" w:rsidRDefault="008A6695">
          <w:pPr>
            <w:pStyle w:val="TOC2"/>
            <w:tabs>
              <w:tab w:val="left" w:pos="1276"/>
            </w:tabs>
            <w:rPr>
              <w:rFonts w:asciiTheme="minorHAnsi" w:eastAsiaTheme="minorEastAsia" w:hAnsiTheme="minorHAnsi"/>
              <w:b w:val="0"/>
              <w:color w:val="auto"/>
              <w:sz w:val="22"/>
              <w:lang w:eastAsia="en-AU"/>
            </w:rPr>
          </w:pPr>
          <w:hyperlink w:anchor="_Toc417561198" w:history="1">
            <w:r w:rsidR="0094746A" w:rsidRPr="00091C9A">
              <w:rPr>
                <w:rStyle w:val="Hyperlink"/>
              </w:rPr>
              <w:t>12.1</w:t>
            </w:r>
            <w:r w:rsidR="0094746A">
              <w:rPr>
                <w:rFonts w:asciiTheme="minorHAnsi" w:eastAsiaTheme="minorEastAsia" w:hAnsiTheme="minorHAnsi"/>
                <w:b w:val="0"/>
                <w:color w:val="auto"/>
                <w:sz w:val="22"/>
                <w:lang w:eastAsia="en-AU"/>
              </w:rPr>
              <w:tab/>
            </w:r>
            <w:r w:rsidR="0094746A" w:rsidRPr="00091C9A">
              <w:rPr>
                <w:rStyle w:val="Hyperlink"/>
              </w:rPr>
              <w:t>Final decision</w:t>
            </w:r>
            <w:r w:rsidR="0094746A">
              <w:rPr>
                <w:webHidden/>
              </w:rPr>
              <w:tab/>
            </w:r>
            <w:r w:rsidR="0094746A">
              <w:rPr>
                <w:webHidden/>
              </w:rPr>
              <w:fldChar w:fldCharType="begin"/>
            </w:r>
            <w:r w:rsidR="0094746A">
              <w:rPr>
                <w:webHidden/>
              </w:rPr>
              <w:instrText xml:space="preserve"> PAGEREF _Toc417561198 \h </w:instrText>
            </w:r>
            <w:r w:rsidR="0094746A">
              <w:rPr>
                <w:webHidden/>
              </w:rPr>
            </w:r>
            <w:r w:rsidR="0094746A">
              <w:rPr>
                <w:webHidden/>
              </w:rPr>
              <w:fldChar w:fldCharType="separate"/>
            </w:r>
            <w:r w:rsidR="0094746A">
              <w:rPr>
                <w:webHidden/>
              </w:rPr>
              <w:t>12-6</w:t>
            </w:r>
            <w:r w:rsidR="0094746A">
              <w:rPr>
                <w:webHidden/>
              </w:rPr>
              <w:fldChar w:fldCharType="end"/>
            </w:r>
          </w:hyperlink>
        </w:p>
        <w:p w:rsidR="0094746A" w:rsidRDefault="008A6695">
          <w:pPr>
            <w:pStyle w:val="TOC2"/>
            <w:tabs>
              <w:tab w:val="left" w:pos="1276"/>
            </w:tabs>
            <w:rPr>
              <w:rFonts w:asciiTheme="minorHAnsi" w:eastAsiaTheme="minorEastAsia" w:hAnsiTheme="minorHAnsi"/>
              <w:b w:val="0"/>
              <w:color w:val="auto"/>
              <w:sz w:val="22"/>
              <w:lang w:eastAsia="en-AU"/>
            </w:rPr>
          </w:pPr>
          <w:hyperlink w:anchor="_Toc417561199" w:history="1">
            <w:r w:rsidR="0094746A" w:rsidRPr="00091C9A">
              <w:rPr>
                <w:rStyle w:val="Hyperlink"/>
              </w:rPr>
              <w:t>12.2</w:t>
            </w:r>
            <w:r w:rsidR="0094746A">
              <w:rPr>
                <w:rFonts w:asciiTheme="minorHAnsi" w:eastAsiaTheme="minorEastAsia" w:hAnsiTheme="minorHAnsi"/>
                <w:b w:val="0"/>
                <w:color w:val="auto"/>
                <w:sz w:val="22"/>
                <w:lang w:eastAsia="en-AU"/>
              </w:rPr>
              <w:tab/>
            </w:r>
            <w:r w:rsidR="0094746A" w:rsidRPr="00091C9A">
              <w:rPr>
                <w:rStyle w:val="Hyperlink"/>
              </w:rPr>
              <w:t>Directlink’s revised proposal</w:t>
            </w:r>
            <w:r w:rsidR="0094746A">
              <w:rPr>
                <w:webHidden/>
              </w:rPr>
              <w:tab/>
            </w:r>
            <w:r w:rsidR="0094746A">
              <w:rPr>
                <w:webHidden/>
              </w:rPr>
              <w:fldChar w:fldCharType="begin"/>
            </w:r>
            <w:r w:rsidR="0094746A">
              <w:rPr>
                <w:webHidden/>
              </w:rPr>
              <w:instrText xml:space="preserve"> PAGEREF _Toc417561199 \h </w:instrText>
            </w:r>
            <w:r w:rsidR="0094746A">
              <w:rPr>
                <w:webHidden/>
              </w:rPr>
            </w:r>
            <w:r w:rsidR="0094746A">
              <w:rPr>
                <w:webHidden/>
              </w:rPr>
              <w:fldChar w:fldCharType="separate"/>
            </w:r>
            <w:r w:rsidR="0094746A">
              <w:rPr>
                <w:webHidden/>
              </w:rPr>
              <w:t>12-7</w:t>
            </w:r>
            <w:r w:rsidR="0094746A">
              <w:rPr>
                <w:webHidden/>
              </w:rPr>
              <w:fldChar w:fldCharType="end"/>
            </w:r>
          </w:hyperlink>
        </w:p>
        <w:p w:rsidR="0094746A" w:rsidRDefault="008A6695">
          <w:pPr>
            <w:pStyle w:val="TOC2"/>
            <w:tabs>
              <w:tab w:val="left" w:pos="1276"/>
            </w:tabs>
            <w:rPr>
              <w:rFonts w:asciiTheme="minorHAnsi" w:eastAsiaTheme="minorEastAsia" w:hAnsiTheme="minorHAnsi"/>
              <w:b w:val="0"/>
              <w:color w:val="auto"/>
              <w:sz w:val="22"/>
              <w:lang w:eastAsia="en-AU"/>
            </w:rPr>
          </w:pPr>
          <w:hyperlink w:anchor="_Toc417561200" w:history="1">
            <w:r w:rsidR="0094746A" w:rsidRPr="00091C9A">
              <w:rPr>
                <w:rStyle w:val="Hyperlink"/>
              </w:rPr>
              <w:t>12.3</w:t>
            </w:r>
            <w:r w:rsidR="0094746A">
              <w:rPr>
                <w:rFonts w:asciiTheme="minorHAnsi" w:eastAsiaTheme="minorEastAsia" w:hAnsiTheme="minorHAnsi"/>
                <w:b w:val="0"/>
                <w:color w:val="auto"/>
                <w:sz w:val="22"/>
                <w:lang w:eastAsia="en-AU"/>
              </w:rPr>
              <w:tab/>
            </w:r>
            <w:r w:rsidR="0094746A" w:rsidRPr="00091C9A">
              <w:rPr>
                <w:rStyle w:val="Hyperlink"/>
              </w:rPr>
              <w:t>AER’s assessment approach</w:t>
            </w:r>
            <w:r w:rsidR="0094746A">
              <w:rPr>
                <w:webHidden/>
              </w:rPr>
              <w:tab/>
            </w:r>
            <w:r w:rsidR="0094746A">
              <w:rPr>
                <w:webHidden/>
              </w:rPr>
              <w:fldChar w:fldCharType="begin"/>
            </w:r>
            <w:r w:rsidR="0094746A">
              <w:rPr>
                <w:webHidden/>
              </w:rPr>
              <w:instrText xml:space="preserve"> PAGEREF _Toc417561200 \h </w:instrText>
            </w:r>
            <w:r w:rsidR="0094746A">
              <w:rPr>
                <w:webHidden/>
              </w:rPr>
            </w:r>
            <w:r w:rsidR="0094746A">
              <w:rPr>
                <w:webHidden/>
              </w:rPr>
              <w:fldChar w:fldCharType="separate"/>
            </w:r>
            <w:r w:rsidR="0094746A">
              <w:rPr>
                <w:webHidden/>
              </w:rPr>
              <w:t>12-7</w:t>
            </w:r>
            <w:r w:rsidR="0094746A">
              <w:rPr>
                <w:webHidden/>
              </w:rPr>
              <w:fldChar w:fldCharType="end"/>
            </w:r>
          </w:hyperlink>
        </w:p>
        <w:p w:rsidR="0094746A" w:rsidRDefault="008A6695">
          <w:pPr>
            <w:pStyle w:val="TOC2"/>
            <w:tabs>
              <w:tab w:val="left" w:pos="1276"/>
            </w:tabs>
            <w:rPr>
              <w:rFonts w:asciiTheme="minorHAnsi" w:eastAsiaTheme="minorEastAsia" w:hAnsiTheme="minorHAnsi"/>
              <w:b w:val="0"/>
              <w:color w:val="auto"/>
              <w:sz w:val="22"/>
              <w:lang w:eastAsia="en-AU"/>
            </w:rPr>
          </w:pPr>
          <w:hyperlink w:anchor="_Toc417561201" w:history="1">
            <w:r w:rsidR="0094746A" w:rsidRPr="00091C9A">
              <w:rPr>
                <w:rStyle w:val="Hyperlink"/>
              </w:rPr>
              <w:t>12.4</w:t>
            </w:r>
            <w:r w:rsidR="0094746A">
              <w:rPr>
                <w:rFonts w:asciiTheme="minorHAnsi" w:eastAsiaTheme="minorEastAsia" w:hAnsiTheme="minorHAnsi"/>
                <w:b w:val="0"/>
                <w:color w:val="auto"/>
                <w:sz w:val="22"/>
                <w:lang w:eastAsia="en-AU"/>
              </w:rPr>
              <w:tab/>
            </w:r>
            <w:r w:rsidR="0094746A" w:rsidRPr="00091C9A">
              <w:rPr>
                <w:rStyle w:val="Hyperlink"/>
              </w:rPr>
              <w:t>Reasons for final decision</w:t>
            </w:r>
            <w:r w:rsidR="0094746A">
              <w:rPr>
                <w:webHidden/>
              </w:rPr>
              <w:tab/>
            </w:r>
            <w:r w:rsidR="0094746A">
              <w:rPr>
                <w:webHidden/>
              </w:rPr>
              <w:fldChar w:fldCharType="begin"/>
            </w:r>
            <w:r w:rsidR="0094746A">
              <w:rPr>
                <w:webHidden/>
              </w:rPr>
              <w:instrText xml:space="preserve"> PAGEREF _Toc417561201 \h </w:instrText>
            </w:r>
            <w:r w:rsidR="0094746A">
              <w:rPr>
                <w:webHidden/>
              </w:rPr>
            </w:r>
            <w:r w:rsidR="0094746A">
              <w:rPr>
                <w:webHidden/>
              </w:rPr>
              <w:fldChar w:fldCharType="separate"/>
            </w:r>
            <w:r w:rsidR="0094746A">
              <w:rPr>
                <w:webHidden/>
              </w:rPr>
              <w:t>12-7</w:t>
            </w:r>
            <w:r w:rsidR="0094746A">
              <w:rPr>
                <w:webHidden/>
              </w:rPr>
              <w:fldChar w:fldCharType="end"/>
            </w:r>
          </w:hyperlink>
        </w:p>
        <w:p w:rsidR="0094746A" w:rsidRDefault="008A6695">
          <w:pPr>
            <w:pStyle w:val="TOC3"/>
            <w:rPr>
              <w:rFonts w:asciiTheme="minorHAnsi" w:eastAsiaTheme="minorEastAsia" w:hAnsiTheme="minorHAnsi"/>
              <w:lang w:eastAsia="en-AU"/>
            </w:rPr>
          </w:pPr>
          <w:hyperlink w:anchor="_Toc417561202" w:history="1">
            <w:r w:rsidR="0094746A" w:rsidRPr="00091C9A">
              <w:rPr>
                <w:rStyle w:val="Hyperlink"/>
              </w:rPr>
              <w:t>12.4.1</w:t>
            </w:r>
            <w:r w:rsidR="0094746A">
              <w:rPr>
                <w:rFonts w:asciiTheme="minorHAnsi" w:eastAsiaTheme="minorEastAsia" w:hAnsiTheme="minorHAnsi"/>
                <w:lang w:eastAsia="en-AU"/>
              </w:rPr>
              <w:tab/>
            </w:r>
            <w:r w:rsidR="0094746A" w:rsidRPr="00091C9A">
              <w:rPr>
                <w:rStyle w:val="Hyperlink"/>
              </w:rPr>
              <w:t>Pricing methodology</w:t>
            </w:r>
            <w:r w:rsidR="0094746A">
              <w:rPr>
                <w:webHidden/>
              </w:rPr>
              <w:tab/>
            </w:r>
            <w:r w:rsidR="0094746A">
              <w:rPr>
                <w:webHidden/>
              </w:rPr>
              <w:fldChar w:fldCharType="begin"/>
            </w:r>
            <w:r w:rsidR="0094746A">
              <w:rPr>
                <w:webHidden/>
              </w:rPr>
              <w:instrText xml:space="preserve"> PAGEREF _Toc417561202 \h </w:instrText>
            </w:r>
            <w:r w:rsidR="0094746A">
              <w:rPr>
                <w:webHidden/>
              </w:rPr>
            </w:r>
            <w:r w:rsidR="0094746A">
              <w:rPr>
                <w:webHidden/>
              </w:rPr>
              <w:fldChar w:fldCharType="separate"/>
            </w:r>
            <w:r w:rsidR="0094746A">
              <w:rPr>
                <w:webHidden/>
              </w:rPr>
              <w:t>12-7</w:t>
            </w:r>
            <w:r w:rsidR="0094746A">
              <w:rPr>
                <w:webHidden/>
              </w:rPr>
              <w:fldChar w:fldCharType="end"/>
            </w:r>
          </w:hyperlink>
        </w:p>
        <w:p w:rsidR="0094746A" w:rsidRDefault="008A6695">
          <w:pPr>
            <w:pStyle w:val="TOC3"/>
            <w:rPr>
              <w:rFonts w:asciiTheme="minorHAnsi" w:eastAsiaTheme="minorEastAsia" w:hAnsiTheme="minorHAnsi"/>
              <w:lang w:eastAsia="en-AU"/>
            </w:rPr>
          </w:pPr>
          <w:hyperlink w:anchor="_Toc417561203" w:history="1">
            <w:r w:rsidR="0094746A" w:rsidRPr="00091C9A">
              <w:rPr>
                <w:rStyle w:val="Hyperlink"/>
              </w:rPr>
              <w:t>12.4.2</w:t>
            </w:r>
            <w:r w:rsidR="0094746A">
              <w:rPr>
                <w:rFonts w:asciiTheme="minorHAnsi" w:eastAsiaTheme="minorEastAsia" w:hAnsiTheme="minorHAnsi"/>
                <w:lang w:eastAsia="en-AU"/>
              </w:rPr>
              <w:tab/>
            </w:r>
            <w:r w:rsidR="0094746A" w:rsidRPr="00091C9A">
              <w:rPr>
                <w:rStyle w:val="Hyperlink"/>
              </w:rPr>
              <w:t>Negotiating framework</w:t>
            </w:r>
            <w:r w:rsidR="0094746A">
              <w:rPr>
                <w:webHidden/>
              </w:rPr>
              <w:tab/>
            </w:r>
            <w:r w:rsidR="0094746A">
              <w:rPr>
                <w:webHidden/>
              </w:rPr>
              <w:fldChar w:fldCharType="begin"/>
            </w:r>
            <w:r w:rsidR="0094746A">
              <w:rPr>
                <w:webHidden/>
              </w:rPr>
              <w:instrText xml:space="preserve"> PAGEREF _Toc417561203 \h </w:instrText>
            </w:r>
            <w:r w:rsidR="0094746A">
              <w:rPr>
                <w:webHidden/>
              </w:rPr>
            </w:r>
            <w:r w:rsidR="0094746A">
              <w:rPr>
                <w:webHidden/>
              </w:rPr>
              <w:fldChar w:fldCharType="separate"/>
            </w:r>
            <w:r w:rsidR="0094746A">
              <w:rPr>
                <w:webHidden/>
              </w:rPr>
              <w:t>12-8</w:t>
            </w:r>
            <w:r w:rsidR="0094746A">
              <w:rPr>
                <w:webHidden/>
              </w:rPr>
              <w:fldChar w:fldCharType="end"/>
            </w:r>
          </w:hyperlink>
        </w:p>
        <w:p w:rsidR="0094746A" w:rsidRDefault="008A6695">
          <w:pPr>
            <w:pStyle w:val="TOC2"/>
            <w:tabs>
              <w:tab w:val="left" w:pos="1276"/>
            </w:tabs>
            <w:rPr>
              <w:rFonts w:asciiTheme="minorHAnsi" w:eastAsiaTheme="minorEastAsia" w:hAnsiTheme="minorHAnsi"/>
              <w:b w:val="0"/>
              <w:color w:val="auto"/>
              <w:sz w:val="22"/>
              <w:lang w:eastAsia="en-AU"/>
            </w:rPr>
          </w:pPr>
          <w:hyperlink w:anchor="_Toc417561204" w:history="1">
            <w:r w:rsidR="0094746A" w:rsidRPr="00091C9A">
              <w:rPr>
                <w:rStyle w:val="Hyperlink"/>
              </w:rPr>
              <w:t>12.5</w:t>
            </w:r>
            <w:r w:rsidR="0094746A">
              <w:rPr>
                <w:rFonts w:asciiTheme="minorHAnsi" w:eastAsiaTheme="minorEastAsia" w:hAnsiTheme="minorHAnsi"/>
                <w:b w:val="0"/>
                <w:color w:val="auto"/>
                <w:sz w:val="22"/>
                <w:lang w:eastAsia="en-AU"/>
              </w:rPr>
              <w:tab/>
            </w:r>
            <w:r w:rsidR="0094746A" w:rsidRPr="00091C9A">
              <w:rPr>
                <w:rStyle w:val="Hyperlink"/>
              </w:rPr>
              <w:t>Negotiated transmission service criteria</w:t>
            </w:r>
            <w:r w:rsidR="0094746A">
              <w:rPr>
                <w:webHidden/>
              </w:rPr>
              <w:tab/>
            </w:r>
            <w:r w:rsidR="0094746A">
              <w:rPr>
                <w:webHidden/>
              </w:rPr>
              <w:fldChar w:fldCharType="begin"/>
            </w:r>
            <w:r w:rsidR="0094746A">
              <w:rPr>
                <w:webHidden/>
              </w:rPr>
              <w:instrText xml:space="preserve"> PAGEREF _Toc417561204 \h </w:instrText>
            </w:r>
            <w:r w:rsidR="0094746A">
              <w:rPr>
                <w:webHidden/>
              </w:rPr>
            </w:r>
            <w:r w:rsidR="0094746A">
              <w:rPr>
                <w:webHidden/>
              </w:rPr>
              <w:fldChar w:fldCharType="separate"/>
            </w:r>
            <w:r w:rsidR="0094746A">
              <w:rPr>
                <w:webHidden/>
              </w:rPr>
              <w:t>12-8</w:t>
            </w:r>
            <w:r w:rsidR="0094746A">
              <w:rPr>
                <w:webHidden/>
              </w:rPr>
              <w:fldChar w:fldCharType="end"/>
            </w:r>
          </w:hyperlink>
        </w:p>
        <w:p w:rsidR="0094746A" w:rsidRDefault="008A6695">
          <w:pPr>
            <w:pStyle w:val="TOC3"/>
            <w:rPr>
              <w:rFonts w:asciiTheme="minorHAnsi" w:eastAsiaTheme="minorEastAsia" w:hAnsiTheme="minorHAnsi"/>
              <w:lang w:eastAsia="en-AU"/>
            </w:rPr>
          </w:pPr>
          <w:hyperlink w:anchor="_Toc417561205" w:history="1">
            <w:r w:rsidR="0094746A" w:rsidRPr="00091C9A">
              <w:rPr>
                <w:rStyle w:val="Hyperlink"/>
              </w:rPr>
              <w:t>The NTSC</w:t>
            </w:r>
            <w:r w:rsidR="0094746A">
              <w:rPr>
                <w:webHidden/>
              </w:rPr>
              <w:tab/>
            </w:r>
            <w:r w:rsidR="0094746A">
              <w:rPr>
                <w:webHidden/>
              </w:rPr>
              <w:fldChar w:fldCharType="begin"/>
            </w:r>
            <w:r w:rsidR="0094746A">
              <w:rPr>
                <w:webHidden/>
              </w:rPr>
              <w:instrText xml:space="preserve"> PAGEREF _Toc417561205 \h </w:instrText>
            </w:r>
            <w:r w:rsidR="0094746A">
              <w:rPr>
                <w:webHidden/>
              </w:rPr>
            </w:r>
            <w:r w:rsidR="0094746A">
              <w:rPr>
                <w:webHidden/>
              </w:rPr>
              <w:fldChar w:fldCharType="separate"/>
            </w:r>
            <w:r w:rsidR="0094746A">
              <w:rPr>
                <w:webHidden/>
              </w:rPr>
              <w:t>12-9</w:t>
            </w:r>
            <w:r w:rsidR="0094746A">
              <w:rPr>
                <w:webHidden/>
              </w:rPr>
              <w:fldChar w:fldCharType="end"/>
            </w:r>
          </w:hyperlink>
        </w:p>
        <w:p w:rsidR="00DE563D" w:rsidRDefault="00DD5364" w:rsidP="00DD5364">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7561196"/>
      <w:r>
        <w:lastRenderedPageBreak/>
        <w:t>Shortened forms</w:t>
      </w:r>
      <w:bookmarkEnd w:id="8"/>
      <w:bookmarkEnd w:id="9"/>
    </w:p>
    <w:p w:rsidR="00DE563D" w:rsidRPr="00271F7C" w:rsidRDefault="00DE563D" w:rsidP="00DE563D">
      <w:pPr>
        <w:numPr>
          <w:ilvl w:val="0"/>
          <w:numId w:val="25"/>
        </w:numPr>
      </w:pPr>
    </w:p>
    <w:tbl>
      <w:tblPr>
        <w:tblStyle w:val="AERtable-numbers"/>
        <w:tblW w:w="0" w:type="auto"/>
        <w:tblLook w:val="04A0" w:firstRow="1" w:lastRow="0" w:firstColumn="1" w:lastColumn="0" w:noHBand="0" w:noVBand="1"/>
      </w:tblPr>
      <w:tblGrid>
        <w:gridCol w:w="4340"/>
        <w:gridCol w:w="4353"/>
      </w:tblGrid>
      <w:tr w:rsidR="00DD5364" w:rsidRPr="00307E24" w:rsidTr="001448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Shortened form</w:t>
            </w:r>
          </w:p>
        </w:tc>
        <w:tc>
          <w:tcPr>
            <w:tcW w:w="4621" w:type="dxa"/>
          </w:tcPr>
          <w:p w:rsidR="00DD5364" w:rsidRPr="00307E24" w:rsidRDefault="00DD5364" w:rsidP="00DD5364">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rsidRPr="00307E24">
              <w:t>Extended form</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AARR</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aggregate annual revenue requirement</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AEMC</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Market Commission</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AEMO</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Australian Energy Market Operator</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AER</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Regulator</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ASRR</w:t>
            </w:r>
          </w:p>
        </w:tc>
        <w:tc>
          <w:tcPr>
            <w:tcW w:w="4621" w:type="dxa"/>
          </w:tcPr>
          <w:p w:rsidR="00DD5364" w:rsidRPr="00307E24" w:rsidRDefault="00564B6D"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DD5364" w:rsidRPr="00307E24">
              <w:t xml:space="preserve"> service revenue requirement</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augex</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augmentation expenditure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capex</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CCP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Challenge Panel</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CESS</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 sharing scheme</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CPI</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price index</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DRP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debt risk premium</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EBSS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efficiency benefit sharing scheme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ERP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equity risk premium</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MAR</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maximum allowed revenue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MRP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market risk premium</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NEL</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law</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NEM</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market</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NEO</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objective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NER</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rules</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NSP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network service provider</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lastRenderedPageBreak/>
              <w:t>NTSC</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negotiated transmission service criteria</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opex</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operating expenditure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PPI</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partial performance indicators</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PTRM</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post-tax revenue model</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RAB</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asset base</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RBA</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Reserve Bank of Australia</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repex</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replacement expenditure</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RFM</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roll forward model</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RIN</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information notice</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RPP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 xml:space="preserve">revenue </w:t>
            </w:r>
            <w:r w:rsidR="00564B6D">
              <w:t xml:space="preserve">and </w:t>
            </w:r>
            <w:r w:rsidRPr="00307E24">
              <w:t>pricing principles</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SLCAPM</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Sharpe-Lintner capital asset pricing model</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STPIS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service target performance incentive scheme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TNSP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transmission network service provider</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TUoS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transmission use of system</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WACC</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weighted average cost of capital</w:t>
            </w:r>
          </w:p>
        </w:tc>
      </w:tr>
    </w:tbl>
    <w:p w:rsidR="00DE563D" w:rsidRPr="00436A39" w:rsidRDefault="00DE563D" w:rsidP="00DE563D">
      <w:pPr>
        <w:numPr>
          <w:ilvl w:val="0"/>
          <w:numId w:val="25"/>
        </w:numPr>
      </w:pPr>
    </w:p>
    <w:p w:rsidR="00DE563D" w:rsidRDefault="00DE563D" w:rsidP="00DE563D"/>
    <w:p w:rsidR="00DE563D" w:rsidRPr="00AF1F9E" w:rsidRDefault="006227FA" w:rsidP="006227FA">
      <w:pPr>
        <w:pStyle w:val="Heading1"/>
      </w:pPr>
      <w:bookmarkStart w:id="10" w:name="_Toc417561197"/>
      <w:r>
        <w:lastRenderedPageBreak/>
        <w:t>Pricing methodology and negotiated services</w:t>
      </w:r>
      <w:bookmarkEnd w:id="10"/>
    </w:p>
    <w:p w:rsidR="00D82327" w:rsidRPr="00D82327" w:rsidRDefault="00D82327" w:rsidP="00D82327">
      <w:r w:rsidRPr="00D82327">
        <w:t>This chapter set outs our determination on Directlink's proposed pricing methodology</w:t>
      </w:r>
      <w:r w:rsidRPr="00D82327">
        <w:rPr>
          <w:rStyle w:val="FootnoteReference"/>
        </w:rPr>
        <w:footnoteReference w:id="1"/>
      </w:r>
      <w:r w:rsidRPr="00D82327">
        <w:t xml:space="preserve"> and negotiating framework</w:t>
      </w:r>
      <w:r w:rsidRPr="00D82327">
        <w:rPr>
          <w:rStyle w:val="FootnoteReference"/>
        </w:rPr>
        <w:footnoteReference w:id="2"/>
      </w:r>
      <w:r w:rsidRPr="00D82327">
        <w:t xml:space="preserve"> for the 2015–20 regulatory control period.</w:t>
      </w:r>
      <w:r w:rsidRPr="00D82327">
        <w:rPr>
          <w:rStyle w:val="FootnoteReference"/>
        </w:rPr>
        <w:footnoteReference w:id="3"/>
      </w:r>
      <w:r w:rsidRPr="00D82327">
        <w:t xml:space="preserve"> We also specify the negotiated trans</w:t>
      </w:r>
      <w:r w:rsidR="004A1B53">
        <w:t xml:space="preserve">mission service criteria </w:t>
      </w:r>
      <w:r w:rsidRPr="00D82327">
        <w:t>that are to apply to Directlink.</w:t>
      </w:r>
      <w:r w:rsidRPr="00D82327">
        <w:rPr>
          <w:rStyle w:val="FootnoteReference"/>
        </w:rPr>
        <w:footnoteReference w:id="4"/>
      </w:r>
      <w:r w:rsidRPr="00D82327">
        <w:t xml:space="preserve"> </w:t>
      </w:r>
    </w:p>
    <w:p w:rsidR="004A1B53" w:rsidRDefault="00D82327" w:rsidP="00D82327">
      <w:pPr>
        <w:numPr>
          <w:ilvl w:val="0"/>
          <w:numId w:val="25"/>
        </w:numPr>
      </w:pPr>
      <w:r w:rsidRPr="00D82327">
        <w:t>Our transmission determination imposes control over revenues that a transmission network service provider can recover from the provision of pr</w:t>
      </w:r>
      <w:r w:rsidR="004A1B53">
        <w:t>escribed transmission services.</w:t>
      </w:r>
    </w:p>
    <w:p w:rsidR="00D82327" w:rsidRPr="00D82327" w:rsidRDefault="00D82327" w:rsidP="00D82327">
      <w:pPr>
        <w:numPr>
          <w:ilvl w:val="0"/>
          <w:numId w:val="25"/>
        </w:numPr>
      </w:pPr>
      <w:r w:rsidRPr="00D82327">
        <w:t xml:space="preserve">A pricing methodology describes a formula, process or approach that a </w:t>
      </w:r>
      <w:r>
        <w:t xml:space="preserve">transmission </w:t>
      </w:r>
      <w:r w:rsidR="004A1B53">
        <w:t xml:space="preserve">network service </w:t>
      </w:r>
      <w:r>
        <w:t>provider</w:t>
      </w:r>
      <w:r w:rsidRPr="00D82327">
        <w:t xml:space="preserve"> uses to allocate the aggregate annual revenue requirement to those categories of prescribed transmission services provided by </w:t>
      </w:r>
      <w:r w:rsidR="004A1B53">
        <w:t>it</w:t>
      </w:r>
      <w:r w:rsidRPr="00D82327">
        <w:t xml:space="preserve"> and to transmission network connection points of network users.</w:t>
      </w:r>
      <w:r w:rsidRPr="00D82327">
        <w:rPr>
          <w:rStyle w:val="FootnoteReference"/>
        </w:rPr>
        <w:footnoteReference w:id="5"/>
      </w:r>
      <w:r w:rsidRPr="00D82327">
        <w:t xml:space="preserve"> The methodology also determines the structure of the tariffs that a </w:t>
      </w:r>
      <w:r>
        <w:t>provider</w:t>
      </w:r>
      <w:r w:rsidRPr="00D82327">
        <w:t xml:space="preserve"> may charge for each of the categories of prescribed transmission services.</w:t>
      </w:r>
      <w:r w:rsidRPr="00D82327">
        <w:rPr>
          <w:rStyle w:val="FootnoteReference"/>
        </w:rPr>
        <w:footnoteReference w:id="6"/>
      </w:r>
      <w:r w:rsidRPr="00D82327">
        <w:t xml:space="preserve"> </w:t>
      </w:r>
    </w:p>
    <w:p w:rsidR="00D82327" w:rsidRPr="00D82327" w:rsidRDefault="00D82327" w:rsidP="00D82327">
      <w:pPr>
        <w:pStyle w:val="AERbulletlistfirststyle"/>
        <w:numPr>
          <w:ilvl w:val="0"/>
          <w:numId w:val="0"/>
        </w:numPr>
      </w:pPr>
      <w:r w:rsidRPr="00D82327">
        <w:t xml:space="preserve">By contrast, the provision of negotiated transmission services is less directly regulated by the AER. Instead, under the National Electricity Rules, these services are subject to negotiation between parties, or alternatively arbitration and dispute resolution by a commercial arbitrator. </w:t>
      </w:r>
    </w:p>
    <w:p w:rsidR="00D82327" w:rsidRPr="00AF1F9E" w:rsidRDefault="00D82327" w:rsidP="00AF1F9E">
      <w:r w:rsidRPr="00D82327">
        <w:t>For the purpose of facilitating such negotiation and arbitration, a tra</w:t>
      </w:r>
      <w:r w:rsidR="004A1B53">
        <w:t>nsmission business must prepare</w:t>
      </w:r>
      <w:r w:rsidRPr="00D82327">
        <w:t xml:space="preserve"> for</w:t>
      </w:r>
      <w:r w:rsidR="004A1B53">
        <w:t xml:space="preserve"> AER approval</w:t>
      </w:r>
      <w:r w:rsidRPr="00D82327">
        <w:t xml:space="preserve"> a negotiating framework which sets out procedures for negotiating the terms and conditions of access to a negotiated transmission service.</w:t>
      </w:r>
      <w:r w:rsidRPr="00D82327">
        <w:rPr>
          <w:rStyle w:val="FootnoteReference"/>
        </w:rPr>
        <w:footnoteReference w:id="7"/>
      </w:r>
      <w:r w:rsidRPr="00D82327">
        <w:t xml:space="preserve"> In addition, the AER specifies for each transmission business the negotiated transmission service criteria (NTSC) that it must apply in negotiating terms and conditions of access, including the prices and access charges for negotiated transmission services.</w:t>
      </w:r>
      <w:r w:rsidRPr="00D82327">
        <w:rPr>
          <w:rStyle w:val="FootnoteReference"/>
        </w:rPr>
        <w:footnoteReference w:id="8"/>
      </w:r>
      <w:r w:rsidRPr="00D82327">
        <w:t xml:space="preserve"> They also contain the criteria that a commercial arbitrator must apply to resolve disputes about such terms and conditions and/or access charges.</w:t>
      </w:r>
      <w:r w:rsidRPr="00D82327">
        <w:rPr>
          <w:rStyle w:val="FootnoteReference"/>
        </w:rPr>
        <w:footnoteReference w:id="9"/>
      </w:r>
      <w:r w:rsidRPr="00D82327">
        <w:t xml:space="preserve"> </w:t>
      </w:r>
    </w:p>
    <w:p w:rsidR="00DE563D" w:rsidRPr="00AF1F9E" w:rsidRDefault="00AF1F9E" w:rsidP="00AF1F9E">
      <w:pPr>
        <w:pStyle w:val="Heading2"/>
      </w:pPr>
      <w:bookmarkStart w:id="11" w:name="_Toc403144136"/>
      <w:bookmarkStart w:id="12" w:name="_Toc417561198"/>
      <w:r>
        <w:t>Final</w:t>
      </w:r>
      <w:r w:rsidR="00DE563D" w:rsidRPr="00AF1F9E">
        <w:t xml:space="preserve"> decision</w:t>
      </w:r>
      <w:bookmarkEnd w:id="11"/>
      <w:bookmarkEnd w:id="12"/>
    </w:p>
    <w:p w:rsidR="00D82327" w:rsidRPr="00D82327" w:rsidRDefault="00D82327" w:rsidP="00D82327">
      <w:pPr>
        <w:pStyle w:val="AERbulletlistfirststyle"/>
        <w:numPr>
          <w:ilvl w:val="0"/>
          <w:numId w:val="0"/>
        </w:numPr>
        <w:ind w:left="357" w:hanging="357"/>
      </w:pPr>
      <w:bookmarkStart w:id="13" w:name="_Toc403144137"/>
      <w:r>
        <w:t>Our final</w:t>
      </w:r>
      <w:r w:rsidRPr="00D82327">
        <w:t xml:space="preserve"> decision: </w:t>
      </w:r>
    </w:p>
    <w:p w:rsidR="00D82327" w:rsidRPr="00D82327" w:rsidRDefault="00D82327" w:rsidP="00D82327">
      <w:pPr>
        <w:pStyle w:val="AERbulletlistfirststyle"/>
      </w:pPr>
      <w:r w:rsidRPr="00D82327">
        <w:t>accept</w:t>
      </w:r>
      <w:r>
        <w:t>s</w:t>
      </w:r>
      <w:r w:rsidRPr="00D82327">
        <w:t xml:space="preserve"> Directlink's </w:t>
      </w:r>
      <w:r>
        <w:t>revised</w:t>
      </w:r>
      <w:r w:rsidRPr="00D82327">
        <w:t xml:space="preserve"> pricing methodology</w:t>
      </w:r>
    </w:p>
    <w:p w:rsidR="00D82327" w:rsidRPr="00D82327" w:rsidRDefault="00D82327" w:rsidP="00D82327">
      <w:pPr>
        <w:pStyle w:val="AERbulletlistfirststyle"/>
      </w:pPr>
      <w:r>
        <w:lastRenderedPageBreak/>
        <w:t>upholds our draft decision accepting</w:t>
      </w:r>
      <w:r w:rsidRPr="00D82327">
        <w:t xml:space="preserve"> Directlink's proposed negotiating framework</w:t>
      </w:r>
      <w:r>
        <w:t xml:space="preserve"> specifying the</w:t>
      </w:r>
      <w:r w:rsidRPr="00D82327">
        <w:t xml:space="preserve"> NTSC.</w:t>
      </w:r>
    </w:p>
    <w:p w:rsidR="00DE563D" w:rsidRPr="00AF1F9E" w:rsidRDefault="00AF1F9E" w:rsidP="00AF1F9E">
      <w:pPr>
        <w:pStyle w:val="Heading2"/>
      </w:pPr>
      <w:bookmarkStart w:id="14" w:name="_Toc417561199"/>
      <w:r>
        <w:t>Directlink’s revised</w:t>
      </w:r>
      <w:r w:rsidR="00DE563D" w:rsidRPr="00AF1F9E">
        <w:t xml:space="preserve"> proposal</w:t>
      </w:r>
      <w:bookmarkEnd w:id="13"/>
      <w:bookmarkEnd w:id="14"/>
    </w:p>
    <w:p w:rsidR="004A1B53" w:rsidRDefault="00D82327" w:rsidP="002F0361">
      <w:bookmarkStart w:id="15" w:name="_Toc403144138"/>
      <w:r w:rsidRPr="00D82327">
        <w:t xml:space="preserve">In accordance with the NER, Directlink submitted its </w:t>
      </w:r>
      <w:r>
        <w:t>revised</w:t>
      </w:r>
      <w:r w:rsidRPr="00D82327">
        <w:t xml:space="preserve"> pricing methodology with its revenue proposal for the 2015–20 regulatory control period.</w:t>
      </w:r>
      <w:r w:rsidRPr="00D82327">
        <w:rPr>
          <w:rStyle w:val="FootnoteReference"/>
        </w:rPr>
        <w:footnoteReference w:id="10"/>
      </w:r>
      <w:r w:rsidR="000449EE">
        <w:t xml:space="preserve"> Directlink did not resubmit its negotiating framework, since we approved that aspect of its proposal at the draft decision stage.</w:t>
      </w:r>
      <w:r w:rsidR="000449EE">
        <w:rPr>
          <w:rStyle w:val="FootnoteReference"/>
        </w:rPr>
        <w:footnoteReference w:id="11"/>
      </w:r>
    </w:p>
    <w:p w:rsidR="00D82327" w:rsidRPr="00AF1F9E" w:rsidRDefault="000449EE" w:rsidP="002F0361">
      <w:r>
        <w:t>W</w:t>
      </w:r>
      <w:r w:rsidR="00D82327" w:rsidRPr="00D82327">
        <w:t>e published on our website the AER's proposed NTSC that would apply to Directlink</w:t>
      </w:r>
      <w:r>
        <w:t xml:space="preserve"> in June 2014</w:t>
      </w:r>
      <w:r w:rsidR="00D82327" w:rsidRPr="00D82327">
        <w:t xml:space="preserve"> (reproduced in section </w:t>
      </w:r>
      <w:r w:rsidR="00FF7443">
        <w:t>1.4.2</w:t>
      </w:r>
      <w:r w:rsidR="00D82327" w:rsidRPr="00D82327">
        <w:t>). This is required by clause 6A.11.3 of the NER.</w:t>
      </w:r>
      <w:r w:rsidR="00D82327" w:rsidRPr="00D82327">
        <w:rPr>
          <w:rStyle w:val="FootnoteReference"/>
        </w:rPr>
        <w:footnoteReference w:id="12"/>
      </w:r>
      <w:r w:rsidR="00D82327" w:rsidRPr="00D82327">
        <w:t xml:space="preserve"> </w:t>
      </w:r>
      <w:r w:rsidR="004A1B53">
        <w:t>Nonetheless, w</w:t>
      </w:r>
      <w:r w:rsidR="00D82327" w:rsidRPr="00D82327">
        <w:t>e acknowledge that there are currently no negotiated services associated with Directlink.</w:t>
      </w:r>
      <w:r w:rsidR="00D82327" w:rsidRPr="00D82327">
        <w:rPr>
          <w:rStyle w:val="FootnoteReference"/>
        </w:rPr>
        <w:footnoteReference w:id="13"/>
      </w:r>
    </w:p>
    <w:p w:rsidR="00DE563D" w:rsidRPr="00AF1F9E" w:rsidRDefault="00DE563D" w:rsidP="00AF1F9E">
      <w:pPr>
        <w:pStyle w:val="Heading2"/>
      </w:pPr>
      <w:bookmarkStart w:id="16" w:name="_Toc417561200"/>
      <w:r w:rsidRPr="00AF1F9E">
        <w:t>AER’s assessment approach</w:t>
      </w:r>
      <w:bookmarkEnd w:id="15"/>
      <w:bookmarkEnd w:id="16"/>
    </w:p>
    <w:p w:rsidR="000449EE" w:rsidRPr="000449EE" w:rsidRDefault="000449EE" w:rsidP="000449EE">
      <w:pPr>
        <w:pStyle w:val="AERbulletlistfirststyle"/>
        <w:numPr>
          <w:ilvl w:val="0"/>
          <w:numId w:val="0"/>
        </w:numPr>
        <w:ind w:left="357" w:hanging="357"/>
      </w:pPr>
      <w:bookmarkStart w:id="17" w:name="_Toc403144139"/>
      <w:bookmarkStart w:id="18" w:name="_Toc408499620"/>
      <w:r w:rsidRPr="000449EE">
        <w:t>In reaching our</w:t>
      </w:r>
      <w:r>
        <w:t xml:space="preserve"> draft and</w:t>
      </w:r>
      <w:r w:rsidRPr="000449EE">
        <w:t xml:space="preserve"> </w:t>
      </w:r>
      <w:r>
        <w:t>final</w:t>
      </w:r>
      <w:r w:rsidRPr="000449EE">
        <w:t xml:space="preserve"> decision</w:t>
      </w:r>
      <w:r>
        <w:t>s</w:t>
      </w:r>
      <w:r w:rsidRPr="000449EE">
        <w:t>, we considered whether:</w:t>
      </w:r>
    </w:p>
    <w:p w:rsidR="000449EE" w:rsidRPr="000449EE" w:rsidRDefault="000449EE" w:rsidP="000449EE">
      <w:pPr>
        <w:pStyle w:val="AERbulletlistfirststyle"/>
      </w:pPr>
      <w:r w:rsidRPr="000449EE">
        <w:t>the proposed pricing methodology gives effect to the pricing principles for prescribed transmission services and complies with the information requirements of the pricing methodology guidelines</w:t>
      </w:r>
      <w:r w:rsidRPr="000449EE">
        <w:rPr>
          <w:rStyle w:val="FootnoteReference"/>
        </w:rPr>
        <w:footnoteReference w:id="14"/>
      </w:r>
      <w:r w:rsidRPr="000449EE">
        <w:t xml:space="preserve"> </w:t>
      </w:r>
    </w:p>
    <w:p w:rsidR="000449EE" w:rsidRPr="000449EE" w:rsidRDefault="000449EE" w:rsidP="000449EE">
      <w:pPr>
        <w:pStyle w:val="AERbulletlistfirststyle"/>
      </w:pPr>
      <w:r w:rsidRPr="000449EE">
        <w:t>the proposed negotiating framework specified the minimum requirements in clause 6A.9.5(c) of the NER</w:t>
      </w:r>
      <w:r w:rsidRPr="000449EE">
        <w:rPr>
          <w:rStyle w:val="FootnoteReference"/>
        </w:rPr>
        <w:footnoteReference w:id="15"/>
      </w:r>
      <w:r w:rsidRPr="000449EE">
        <w:t xml:space="preserve"> </w:t>
      </w:r>
    </w:p>
    <w:p w:rsidR="000449EE" w:rsidRPr="000449EE" w:rsidRDefault="000449EE" w:rsidP="000449EE">
      <w:pPr>
        <w:pStyle w:val="AERbulletlistfirststyle"/>
      </w:pPr>
      <w:r w:rsidRPr="000449EE">
        <w:t>the NTSC sets out the required criteria and reflects the negotiated transmission service principles in clause 6A.9.1 of the NER.</w:t>
      </w:r>
      <w:r w:rsidRPr="000449EE">
        <w:rPr>
          <w:rStyle w:val="FootnoteReference"/>
        </w:rPr>
        <w:footnoteReference w:id="16"/>
      </w:r>
    </w:p>
    <w:p w:rsidR="00DE563D" w:rsidRDefault="00DE563D" w:rsidP="00AF1F9E">
      <w:pPr>
        <w:pStyle w:val="Heading2"/>
      </w:pPr>
      <w:bookmarkStart w:id="19" w:name="_Toc403144140"/>
      <w:bookmarkStart w:id="20" w:name="_Toc417561201"/>
      <w:bookmarkEnd w:id="17"/>
      <w:bookmarkEnd w:id="18"/>
      <w:r w:rsidRPr="00AF1F9E">
        <w:t xml:space="preserve">Reasons for </w:t>
      </w:r>
      <w:r w:rsidR="00AF1F9E">
        <w:t>final</w:t>
      </w:r>
      <w:r w:rsidRPr="00AF1F9E">
        <w:t xml:space="preserve"> decision</w:t>
      </w:r>
      <w:bookmarkEnd w:id="19"/>
      <w:bookmarkEnd w:id="20"/>
      <w:r w:rsidRPr="00AF1F9E">
        <w:t xml:space="preserve"> </w:t>
      </w:r>
    </w:p>
    <w:p w:rsidR="00AF1F9E" w:rsidRDefault="006227FA" w:rsidP="00AF1F9E">
      <w:pPr>
        <w:pStyle w:val="Heading3"/>
      </w:pPr>
      <w:bookmarkStart w:id="21" w:name="_Toc408499622"/>
      <w:bookmarkStart w:id="22" w:name="_Toc417561202"/>
      <w:r>
        <w:t>Pricing methodology</w:t>
      </w:r>
      <w:bookmarkEnd w:id="21"/>
      <w:bookmarkEnd w:id="22"/>
    </w:p>
    <w:p w:rsidR="000449EE" w:rsidRPr="000449EE" w:rsidRDefault="000449EE" w:rsidP="000449EE">
      <w:bookmarkStart w:id="23" w:name="_Toc408499624"/>
      <w:r w:rsidRPr="000449EE">
        <w:t xml:space="preserve">We approve </w:t>
      </w:r>
      <w:r>
        <w:t>Directlink</w:t>
      </w:r>
      <w:r w:rsidRPr="000449EE">
        <w:t>'s proposed pricing methodology. It gives effect to the pricing principles for prescribed transmission services and complies with the requirements in the pricing methodology guidelines.</w:t>
      </w:r>
    </w:p>
    <w:p w:rsidR="000449EE" w:rsidRPr="000449EE" w:rsidRDefault="000449EE" w:rsidP="000449EE">
      <w:r w:rsidRPr="000449EE">
        <w:t xml:space="preserve">Our draft decision required </w:t>
      </w:r>
      <w:r>
        <w:t>Directlink</w:t>
      </w:r>
      <w:r w:rsidRPr="000449EE">
        <w:t xml:space="preserve"> to engage with TransGrid about their respective pricing methodologies. </w:t>
      </w:r>
      <w:r w:rsidR="004A1B53">
        <w:t xml:space="preserve">That was because </w:t>
      </w:r>
      <w:r w:rsidRPr="000449EE">
        <w:t xml:space="preserve">we did not accept aspects of the latter's proposed methodology to which </w:t>
      </w:r>
      <w:r>
        <w:t>Directlink</w:t>
      </w:r>
      <w:r w:rsidRPr="000449EE">
        <w:t xml:space="preserve">'s was interlinked.  </w:t>
      </w:r>
      <w:r>
        <w:t>Directlink</w:t>
      </w:r>
      <w:r w:rsidRPr="000449EE">
        <w:t xml:space="preserve"> has consulted with TransGrid about the latter's revised pricing methodology. We have also assessed </w:t>
      </w:r>
      <w:r w:rsidRPr="000449EE">
        <w:lastRenderedPageBreak/>
        <w:t xml:space="preserve">TransGrid's revised pricing methodology submitted in January 2015. Our final decision is to approve TransGrid's revised pricing methodology and hence it follows that we approve </w:t>
      </w:r>
      <w:r>
        <w:t>Directlink</w:t>
      </w:r>
      <w:r w:rsidRPr="000449EE">
        <w:t>'s too. Our reasons are set in attachment 19 of our final decision on TransGri</w:t>
      </w:r>
      <w:r w:rsidR="004A1B53">
        <w:t>d's revised pricing methodology, see</w:t>
      </w:r>
      <w:r w:rsidRPr="000449EE">
        <w:t xml:space="preserve"> </w:t>
      </w:r>
      <w:hyperlink r:id="rId14" w:history="1">
        <w:r w:rsidRPr="000449EE">
          <w:rPr>
            <w:rStyle w:val="Hyperlink"/>
          </w:rPr>
          <w:t>http://www.aer.gov.au/node/23137</w:t>
        </w:r>
      </w:hyperlink>
      <w:r w:rsidRPr="000449EE">
        <w:t xml:space="preserve">.  </w:t>
      </w:r>
    </w:p>
    <w:p w:rsidR="000449EE" w:rsidRPr="000449EE" w:rsidRDefault="000449EE" w:rsidP="000449EE">
      <w:pPr>
        <w:numPr>
          <w:ilvl w:val="0"/>
          <w:numId w:val="25"/>
        </w:numPr>
      </w:pPr>
      <w:r w:rsidRPr="000449EE">
        <w:t xml:space="preserve">It is important to clarify how </w:t>
      </w:r>
      <w:r>
        <w:t>Directlink</w:t>
      </w:r>
      <w:r w:rsidRPr="000449EE">
        <w:t xml:space="preserve">'s and TransGrid's pricing methodologies will interact. We note that the lengths of the two businesses' regulatory control periods are different. </w:t>
      </w:r>
      <w:r>
        <w:t>Directlink</w:t>
      </w:r>
      <w:r w:rsidRPr="000449EE">
        <w:t>'s is</w:t>
      </w:r>
      <w:r w:rsidR="00922731">
        <w:t xml:space="preserve"> from 1 July 2015 to 30 June 2020</w:t>
      </w:r>
      <w:r w:rsidRPr="000449EE">
        <w:t xml:space="preserve">. TransGrid's regulatory control period has the same commencement date but ends on 30 June 2018. </w:t>
      </w:r>
    </w:p>
    <w:p w:rsidR="000449EE" w:rsidRPr="000449EE" w:rsidRDefault="000449EE" w:rsidP="000449EE">
      <w:pPr>
        <w:numPr>
          <w:ilvl w:val="0"/>
          <w:numId w:val="25"/>
        </w:numPr>
      </w:pPr>
      <w:r w:rsidRPr="000449EE">
        <w:t xml:space="preserve">In this context, the NER require that </w:t>
      </w:r>
      <w:r>
        <w:t>Directlink</w:t>
      </w:r>
      <w:r w:rsidRPr="000449EE">
        <w:t>'s approved pricing methodology must apply, and cannot be amended,</w:t>
      </w:r>
      <w:r>
        <w:t xml:space="preserve"> for the duration of its 2015–20</w:t>
      </w:r>
      <w:r w:rsidRPr="000449EE">
        <w:t xml:space="preserve"> regulatory control period.</w:t>
      </w:r>
      <w:r w:rsidRPr="000449EE">
        <w:rPr>
          <w:rStyle w:val="FootnoteReference"/>
        </w:rPr>
        <w:footnoteReference w:id="17"/>
      </w:r>
      <w:r w:rsidRPr="000449EE">
        <w:t xml:space="preserve"> In our draft decision, we noted that if TransGrid submits a modified pricing methodology for its next regulatory control period (2018–19 and beyond), those modifications will not apply to </w:t>
      </w:r>
      <w:r>
        <w:t>Directlink</w:t>
      </w:r>
      <w:r w:rsidRPr="000449EE">
        <w:t xml:space="preserve"> in 2018–19.</w:t>
      </w:r>
      <w:r w:rsidRPr="000449EE">
        <w:rPr>
          <w:rStyle w:val="FootnoteReference"/>
        </w:rPr>
        <w:footnoteReference w:id="18"/>
      </w:r>
      <w:r w:rsidRPr="000449EE">
        <w:t xml:space="preserve"> We no longer consider this to be the case.</w:t>
      </w:r>
    </w:p>
    <w:p w:rsidR="000449EE" w:rsidRPr="000449EE" w:rsidRDefault="000449EE" w:rsidP="000449EE">
      <w:r w:rsidRPr="000449EE">
        <w:t xml:space="preserve">Any modifications to TransGrid's pricing methodology in 2018–19 will, as a matter of course, apply to </w:t>
      </w:r>
      <w:r>
        <w:t>Directlink</w:t>
      </w:r>
      <w:r w:rsidRPr="000449EE">
        <w:t xml:space="preserve">. We now consider that this outcome is consistent with the NER because </w:t>
      </w:r>
      <w:r>
        <w:t>Directlink</w:t>
      </w:r>
      <w:r w:rsidRPr="000449EE">
        <w:t xml:space="preserve"> is applying the same me</w:t>
      </w:r>
      <w:r>
        <w:t>thodology throughout the 2015–20</w:t>
      </w:r>
      <w:r w:rsidR="007303F5">
        <w:t xml:space="preserve"> regulatory control period;</w:t>
      </w:r>
      <w:r w:rsidRPr="000449EE">
        <w:t xml:space="preserve"> that is, it is adopting the pricing arrangements TransGrid has in operation. The fact that those arrangements may alter in </w:t>
      </w:r>
      <w:r>
        <w:t>the 2015–20</w:t>
      </w:r>
      <w:r w:rsidRPr="000449EE">
        <w:t xml:space="preserve"> regulatory control period does not mean that </w:t>
      </w:r>
      <w:r>
        <w:t>Directlink</w:t>
      </w:r>
      <w:r w:rsidRPr="000449EE">
        <w:t xml:space="preserve">'s methodology no longer applies or has been amended during the 2015-19 regulatory control period.    </w:t>
      </w:r>
    </w:p>
    <w:p w:rsidR="006227FA" w:rsidRDefault="006227FA" w:rsidP="006227FA">
      <w:pPr>
        <w:pStyle w:val="Heading3"/>
      </w:pPr>
      <w:bookmarkStart w:id="24" w:name="_Toc417561203"/>
      <w:r>
        <w:t>Negotiating framework</w:t>
      </w:r>
      <w:bookmarkEnd w:id="23"/>
      <w:bookmarkEnd w:id="24"/>
    </w:p>
    <w:p w:rsidR="000449EE" w:rsidRPr="000449EE" w:rsidRDefault="000449EE" w:rsidP="000449EE">
      <w:r>
        <w:t>We uphold our draft decision approving Directlink's proposed negotiating framework. Our reasons are set out in our draft decision.</w:t>
      </w:r>
      <w:r>
        <w:rPr>
          <w:rStyle w:val="FootnoteReference"/>
        </w:rPr>
        <w:footnoteReference w:id="19"/>
      </w:r>
    </w:p>
    <w:p w:rsidR="00DE563D" w:rsidRDefault="006227FA" w:rsidP="006227FA">
      <w:pPr>
        <w:pStyle w:val="Heading2"/>
      </w:pPr>
      <w:bookmarkStart w:id="25" w:name="_Toc417561204"/>
      <w:r>
        <w:t>Negotiated transmission service criteria</w:t>
      </w:r>
      <w:bookmarkEnd w:id="25"/>
    </w:p>
    <w:p w:rsidR="007303F5" w:rsidRDefault="000D084B" w:rsidP="000D084B">
      <w:pPr>
        <w:pStyle w:val="AERbulletlistfirststyle"/>
        <w:numPr>
          <w:ilvl w:val="0"/>
          <w:numId w:val="0"/>
        </w:numPr>
      </w:pPr>
      <w:r w:rsidRPr="000D084B">
        <w:t>Below we have set out the NTSC published by the AER in June 2014.</w:t>
      </w:r>
      <w:r w:rsidRPr="000D084B">
        <w:rPr>
          <w:rStyle w:val="FootnoteReference"/>
        </w:rPr>
        <w:footnoteReference w:id="20"/>
      </w:r>
      <w:r w:rsidRPr="000D084B">
        <w:t xml:space="preserve"> This NTSC will apply to Directlink. We consider that the NTSC sets out the required criteria to be applied by Directlink in negotiating terms and conditions of access for negotiated transmission se</w:t>
      </w:r>
      <w:r w:rsidR="007303F5">
        <w:t xml:space="preserve">rvices and any access charges. </w:t>
      </w:r>
    </w:p>
    <w:p w:rsidR="000D084B" w:rsidRPr="000D084B" w:rsidRDefault="000D084B" w:rsidP="000D084B">
      <w:pPr>
        <w:pStyle w:val="AERbulletlistfirststyle"/>
        <w:numPr>
          <w:ilvl w:val="0"/>
          <w:numId w:val="0"/>
        </w:numPr>
      </w:pPr>
      <w:r w:rsidRPr="000D084B">
        <w:t>It also sets out the criteria to be applied by a commercial arbitrator in resolving any dispute in relation to those matters.</w:t>
      </w:r>
      <w:r w:rsidRPr="000D084B">
        <w:rPr>
          <w:rStyle w:val="FootnoteReference"/>
        </w:rPr>
        <w:footnoteReference w:id="21"/>
      </w:r>
      <w:r w:rsidRPr="000D084B">
        <w:t xml:space="preserve"> The NTSC give effect to and are consistent with the Negotiated Transmission Service Principles in clause 6A.9.1 of the NER</w:t>
      </w:r>
      <w:r w:rsidR="009139F4">
        <w:t>.</w:t>
      </w:r>
      <w:r w:rsidRPr="000D084B">
        <w:rPr>
          <w:rStyle w:val="FootnoteReference"/>
        </w:rPr>
        <w:footnoteReference w:id="22"/>
      </w:r>
    </w:p>
    <w:p w:rsidR="000D084B" w:rsidRPr="000D084B" w:rsidRDefault="000D084B" w:rsidP="000D084B">
      <w:pPr>
        <w:pStyle w:val="HeadingBoldBlue"/>
        <w:numPr>
          <w:ilvl w:val="0"/>
          <w:numId w:val="25"/>
        </w:numPr>
      </w:pPr>
      <w:bookmarkStart w:id="26" w:name="_Ref397444949"/>
      <w:bookmarkStart w:id="27" w:name="_Toc417561205"/>
      <w:r w:rsidRPr="000D084B">
        <w:lastRenderedPageBreak/>
        <w:t>The NTSC</w:t>
      </w:r>
      <w:bookmarkEnd w:id="26"/>
      <w:bookmarkEnd w:id="27"/>
    </w:p>
    <w:p w:rsidR="000D084B" w:rsidRPr="000D084B" w:rsidRDefault="000D084B" w:rsidP="000D084B">
      <w:pPr>
        <w:rPr>
          <w:rStyle w:val="Strong"/>
        </w:rPr>
      </w:pPr>
      <w:r w:rsidRPr="000D084B">
        <w:rPr>
          <w:rStyle w:val="Strong"/>
        </w:rPr>
        <w:t>National Electricity Objective</w:t>
      </w:r>
    </w:p>
    <w:p w:rsidR="000D084B" w:rsidRPr="000D084B" w:rsidRDefault="000D084B" w:rsidP="000D084B">
      <w:pPr>
        <w:pStyle w:val="ListNumber"/>
        <w:numPr>
          <w:ilvl w:val="1"/>
          <w:numId w:val="25"/>
        </w:numPr>
      </w:pPr>
      <w:r w:rsidRPr="000D084B">
        <w:t>The terms and conditions of access for a negotiated transmission service, including the price that is to be charged for the provision of that service and any access charges, should promote the achievement of the National Electricity Objective.</w:t>
      </w:r>
    </w:p>
    <w:p w:rsidR="000D084B" w:rsidRPr="000D084B" w:rsidRDefault="000D084B" w:rsidP="000D084B">
      <w:pPr>
        <w:rPr>
          <w:rStyle w:val="Strong"/>
        </w:rPr>
      </w:pPr>
      <w:r w:rsidRPr="000D084B">
        <w:rPr>
          <w:rStyle w:val="Strong"/>
        </w:rPr>
        <w:t>Criteria for terms and conditions of access</w:t>
      </w:r>
    </w:p>
    <w:p w:rsidR="000D084B" w:rsidRPr="000D084B" w:rsidRDefault="000D084B" w:rsidP="000D084B">
      <w:pPr>
        <w:numPr>
          <w:ilvl w:val="0"/>
          <w:numId w:val="25"/>
        </w:numPr>
        <w:rPr>
          <w:rStyle w:val="AERtextitalic"/>
        </w:rPr>
      </w:pPr>
      <w:r w:rsidRPr="000D084B">
        <w:rPr>
          <w:rStyle w:val="AERtextitalic"/>
        </w:rPr>
        <w:t>Terms and conditions of access</w:t>
      </w:r>
    </w:p>
    <w:p w:rsidR="000D084B" w:rsidRPr="000D084B" w:rsidRDefault="000D084B" w:rsidP="000D084B">
      <w:pPr>
        <w:pStyle w:val="ListNumber"/>
        <w:numPr>
          <w:ilvl w:val="0"/>
          <w:numId w:val="0"/>
        </w:numPr>
        <w:ind w:left="340" w:hanging="340"/>
      </w:pPr>
      <w:r w:rsidRPr="000D084B">
        <w:t>2.</w:t>
      </w:r>
      <w:r w:rsidRPr="000D084B">
        <w:tab/>
        <w:t>The terms and conditions of access for a negotiated transmission service must be fair, reasonable and consistent with the safe and reliable operation of the power system in accordance with the NER.</w:t>
      </w:r>
    </w:p>
    <w:p w:rsidR="000D084B" w:rsidRPr="000D084B" w:rsidRDefault="000D084B" w:rsidP="000D084B">
      <w:pPr>
        <w:pStyle w:val="ListNumber"/>
        <w:numPr>
          <w:ilvl w:val="0"/>
          <w:numId w:val="0"/>
        </w:numPr>
        <w:ind w:left="340" w:hanging="340"/>
      </w:pPr>
      <w:r w:rsidRPr="000D084B">
        <w:t>3. The terms and conditions of access for negotiated transmission services, particularly any exclusions and limitations of liability and indemnities, must not be unreasonably onerous. Relevant considerations include the allocation of risk between the TNSP and the other party, the price for the negotiated transmission service and the cost to the TNSP of providing the negotiated service.</w:t>
      </w:r>
    </w:p>
    <w:p w:rsidR="000D084B" w:rsidRPr="000D084B" w:rsidRDefault="000D084B" w:rsidP="000D084B">
      <w:pPr>
        <w:pStyle w:val="ListNumber"/>
        <w:numPr>
          <w:ilvl w:val="0"/>
          <w:numId w:val="0"/>
        </w:numPr>
        <w:ind w:left="340" w:hanging="340"/>
      </w:pPr>
      <w:r w:rsidRPr="000D084B">
        <w:t>4.</w:t>
      </w:r>
      <w:r w:rsidRPr="000D084B">
        <w:tab/>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0D084B" w:rsidRPr="000D084B" w:rsidRDefault="000D084B" w:rsidP="000D084B">
      <w:pPr>
        <w:rPr>
          <w:rStyle w:val="Strong"/>
        </w:rPr>
      </w:pPr>
      <w:r w:rsidRPr="000D084B">
        <w:rPr>
          <w:rStyle w:val="Strong"/>
        </w:rPr>
        <w:t>Price of services</w:t>
      </w:r>
    </w:p>
    <w:p w:rsidR="000D084B" w:rsidRPr="000D084B" w:rsidRDefault="000D084B" w:rsidP="000D084B">
      <w:pPr>
        <w:pStyle w:val="ListNumber"/>
        <w:numPr>
          <w:ilvl w:val="0"/>
          <w:numId w:val="0"/>
        </w:numPr>
        <w:ind w:left="340" w:hanging="340"/>
      </w:pPr>
      <w:r w:rsidRPr="000D084B">
        <w:t>5.</w:t>
      </w:r>
      <w:r w:rsidRPr="000D084B">
        <w:tab/>
        <w:t>The price of a negotiated transmission service must reflect the cost that the TNSP has incurred or incurs in providing that service, and must be determined in accordance with the principles and policies set out in the Cost Allocation Methodology.</w:t>
      </w:r>
    </w:p>
    <w:p w:rsidR="000D084B" w:rsidRPr="000D084B" w:rsidRDefault="000D084B" w:rsidP="000D084B">
      <w:pPr>
        <w:pStyle w:val="ListNumber"/>
        <w:numPr>
          <w:ilvl w:val="0"/>
          <w:numId w:val="0"/>
        </w:numPr>
        <w:ind w:left="340" w:hanging="340"/>
      </w:pPr>
      <w:r w:rsidRPr="000D084B">
        <w:t>6.</w:t>
      </w:r>
      <w:r w:rsidRPr="000D084B">
        <w:tab/>
        <w:t xml:space="preserve">Subject to criteria 7 and 8, the price for a negotiated transmission service must be at least equal to the avoided cost of providing that service but no more than the cost of providing it on a </w:t>
      </w:r>
      <w:r w:rsidR="00FF7443" w:rsidRPr="000D084B">
        <w:t>stand-alone</w:t>
      </w:r>
      <w:r w:rsidRPr="000D084B">
        <w:t xml:space="preserve"> basis.</w:t>
      </w:r>
    </w:p>
    <w:p w:rsidR="000D084B" w:rsidRPr="000D084B" w:rsidRDefault="000D084B" w:rsidP="000D084B">
      <w:pPr>
        <w:pStyle w:val="ListNumber"/>
        <w:numPr>
          <w:ilvl w:val="0"/>
          <w:numId w:val="0"/>
        </w:numPr>
        <w:ind w:left="340" w:hanging="340"/>
      </w:pPr>
      <w:r w:rsidRPr="000D084B">
        <w:t>7.</w:t>
      </w:r>
      <w:r w:rsidRPr="000D084B">
        <w:tab/>
        <w:t>If the negotiated transmission service is a shared transmission service that:</w:t>
      </w:r>
    </w:p>
    <w:p w:rsidR="000D084B" w:rsidRPr="000D084B" w:rsidRDefault="000D084B" w:rsidP="000D084B">
      <w:pPr>
        <w:pStyle w:val="AERnumberedlistsecondstyle"/>
        <w:numPr>
          <w:ilvl w:val="2"/>
          <w:numId w:val="25"/>
        </w:numPr>
      </w:pPr>
      <w:r w:rsidRPr="000D084B">
        <w:t>exceeds any network performance requirements which it is required to meet under any relevant electricity legislation; or</w:t>
      </w:r>
    </w:p>
    <w:p w:rsidR="000D084B" w:rsidRPr="000D084B" w:rsidRDefault="000D084B" w:rsidP="000D084B">
      <w:pPr>
        <w:pStyle w:val="AERnumberedlistsecondstyle"/>
        <w:numPr>
          <w:ilvl w:val="2"/>
          <w:numId w:val="25"/>
        </w:numPr>
      </w:pPr>
      <w:r w:rsidRPr="000D084B">
        <w:t>exceeds the network performance requirements set out in schedule 5.1a and 5.1 of the NER</w:t>
      </w:r>
    </w:p>
    <w:p w:rsidR="000D084B" w:rsidRPr="000D084B" w:rsidRDefault="000D084B" w:rsidP="000D084B">
      <w:pPr>
        <w:pStyle w:val="ListNumber"/>
        <w:numPr>
          <w:ilvl w:val="0"/>
          <w:numId w:val="0"/>
        </w:numPr>
        <w:ind w:left="357"/>
      </w:pPr>
      <w:r w:rsidRPr="000D084B">
        <w:t>then the difference between the price for that service and the price for the shared transmission service which meets network performance requirements must reflect the TNSP's incremental cost of providing that service (as appropriate).</w:t>
      </w:r>
    </w:p>
    <w:p w:rsidR="000D084B" w:rsidRPr="000D084B" w:rsidRDefault="000D084B" w:rsidP="000D084B">
      <w:pPr>
        <w:pStyle w:val="ListNumber"/>
        <w:numPr>
          <w:ilvl w:val="0"/>
          <w:numId w:val="0"/>
        </w:numPr>
        <w:ind w:left="340" w:hanging="340"/>
      </w:pPr>
      <w:r w:rsidRPr="000D084B">
        <w:t>8.</w:t>
      </w:r>
      <w:r w:rsidRPr="000D084B">
        <w:tab/>
        <w:t xml:space="preserve">For shared transmission services, the difference in price between a negotiated transmission service that does not meet or exceed network performance requirements and a service that meets those requirements should reflect the TNSP's avoided costs. Schedule 5.1a and 5.1 of the NER or any relevant electricity </w:t>
      </w:r>
      <w:r w:rsidRPr="000D084B">
        <w:lastRenderedPageBreak/>
        <w:t>legislation must be considered in determining whether any network service performance requirements have not been met or exceeded.</w:t>
      </w:r>
    </w:p>
    <w:p w:rsidR="000D084B" w:rsidRPr="000D084B" w:rsidRDefault="000D084B" w:rsidP="000D084B">
      <w:pPr>
        <w:pStyle w:val="ListNumber"/>
        <w:numPr>
          <w:ilvl w:val="0"/>
          <w:numId w:val="0"/>
        </w:numPr>
        <w:ind w:left="340" w:hanging="340"/>
      </w:pPr>
      <w:r w:rsidRPr="000D084B">
        <w:t>9.</w:t>
      </w:r>
      <w:r w:rsidRPr="000D084B">
        <w:tab/>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0D084B" w:rsidRPr="000D084B" w:rsidRDefault="000D084B" w:rsidP="000D084B">
      <w:pPr>
        <w:pStyle w:val="ListNumber"/>
        <w:numPr>
          <w:ilvl w:val="0"/>
          <w:numId w:val="0"/>
        </w:numPr>
        <w:ind w:left="340" w:hanging="340"/>
      </w:pPr>
      <w:r w:rsidRPr="000D084B">
        <w:t>10.</w:t>
      </w:r>
      <w:r w:rsidRPr="000D084B">
        <w:tab/>
        <w:t>The price for a negotiated transmission service must be subject to adjustment over time to the extent that the assets used to provide that service are subsequently used to provide services to another person. In such cases the adjustment must reflect the extent to which the costs of that asset are being recovered through charges to that other person.</w:t>
      </w:r>
    </w:p>
    <w:p w:rsidR="000D084B" w:rsidRPr="000D084B" w:rsidRDefault="000D084B" w:rsidP="000D084B">
      <w:pPr>
        <w:pStyle w:val="ListNumber"/>
        <w:numPr>
          <w:ilvl w:val="0"/>
          <w:numId w:val="0"/>
        </w:numPr>
        <w:ind w:left="340" w:hanging="340"/>
      </w:pPr>
      <w:r w:rsidRPr="000D084B">
        <w:t>11.</w:t>
      </w:r>
      <w:r w:rsidRPr="000D084B">
        <w:tab/>
        <w:t>The price for a negotiated transmission service must be such as to enable the TNSP to recover the efficient costs of complying with all regulatory obligations associated with the provision of the negotiated transmission service.</w:t>
      </w:r>
    </w:p>
    <w:p w:rsidR="000D084B" w:rsidRPr="000D084B" w:rsidRDefault="000D084B" w:rsidP="000D084B">
      <w:pPr>
        <w:rPr>
          <w:rStyle w:val="Strong"/>
        </w:rPr>
      </w:pPr>
      <w:r w:rsidRPr="000D084B">
        <w:rPr>
          <w:rStyle w:val="Strong"/>
        </w:rPr>
        <w:t>Criteria for access charges</w:t>
      </w:r>
    </w:p>
    <w:p w:rsidR="000D084B" w:rsidRPr="000D084B" w:rsidRDefault="000D084B" w:rsidP="000D084B">
      <w:pPr>
        <w:numPr>
          <w:ilvl w:val="0"/>
          <w:numId w:val="24"/>
        </w:numPr>
        <w:rPr>
          <w:rStyle w:val="AERtextitalic"/>
        </w:rPr>
      </w:pPr>
      <w:r w:rsidRPr="000D084B">
        <w:rPr>
          <w:rStyle w:val="AERtextitalic"/>
        </w:rPr>
        <w:t>Access charges</w:t>
      </w:r>
    </w:p>
    <w:p w:rsidR="000D084B" w:rsidRPr="000D084B" w:rsidRDefault="000D084B" w:rsidP="000D084B">
      <w:pPr>
        <w:pStyle w:val="ListNumber"/>
        <w:numPr>
          <w:ilvl w:val="0"/>
          <w:numId w:val="0"/>
        </w:numPr>
        <w:ind w:left="340" w:hanging="340"/>
      </w:pPr>
      <w:r w:rsidRPr="000D084B">
        <w:t>12.</w:t>
      </w:r>
      <w:r w:rsidRPr="000D084B">
        <w:tab/>
        <w:t>Any access charges must be based on the costs reasonably incurred by the TNSP in providing Transmission Network User access. This includes the compensation for forgone revenue referred to in clause 5.4A(h) to (j) of the NER and the costs that are likely to be incurred by a person referred to in clause 5.4A(h) to (j) of the NER (as appropriate).</w:t>
      </w:r>
    </w:p>
    <w:p w:rsidR="000D084B" w:rsidRPr="000D084B" w:rsidRDefault="000D084B" w:rsidP="000D084B">
      <w:pPr>
        <w:numPr>
          <w:ilvl w:val="0"/>
          <w:numId w:val="25"/>
        </w:numPr>
      </w:pPr>
    </w:p>
    <w:p w:rsidR="000D084B" w:rsidRDefault="000D084B" w:rsidP="00DB5074"/>
    <w:p w:rsidR="00AF1F9E" w:rsidRPr="00AF1F9E" w:rsidRDefault="00AF1F9E" w:rsidP="00AF1F9E">
      <w:pPr>
        <w:pStyle w:val="HeadingItalic"/>
      </w:pPr>
    </w:p>
    <w:p w:rsidR="00AF1F9E" w:rsidRPr="00290C63" w:rsidRDefault="00AF1F9E" w:rsidP="00290C63"/>
    <w:sectPr w:rsidR="00AF1F9E" w:rsidRPr="00290C63" w:rsidSect="006227FA">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E563D" w:rsidRDefault="00DE563D">
        <w:pPr>
          <w:pStyle w:val="Footer"/>
        </w:pPr>
        <w:r>
          <w:fldChar w:fldCharType="begin"/>
        </w:r>
        <w:r>
          <w:instrText xml:space="preserve"> PAGE   \* MERGEFORMAT </w:instrText>
        </w:r>
        <w:r>
          <w:fldChar w:fldCharType="separate"/>
        </w:r>
        <w:r w:rsidR="008A6695">
          <w:rPr>
            <w:noProof/>
          </w:rPr>
          <w:t>12-3</w:t>
        </w:r>
        <w:r>
          <w:rPr>
            <w:noProof/>
          </w:rPr>
          <w:fldChar w:fldCharType="end"/>
        </w:r>
        <w:r w:rsidR="00DA61F3">
          <w:rPr>
            <w:noProof/>
          </w:rPr>
          <w:t xml:space="preserve">      </w:t>
        </w:r>
        <w:r w:rsidR="00DA61F3">
          <w:t xml:space="preserve">           </w:t>
        </w:r>
        <w:r w:rsidR="00DA61F3">
          <w:rPr>
            <w:noProof/>
          </w:rPr>
          <w:t xml:space="preserve"> </w:t>
        </w:r>
        <w:r>
          <w:rPr>
            <w:noProof/>
          </w:rPr>
          <w:t xml:space="preserve"> Attachment 1</w:t>
        </w:r>
        <w:r w:rsidR="006227FA">
          <w:t>2</w:t>
        </w:r>
        <w:r>
          <w:rPr>
            <w:noProof/>
          </w:rPr>
          <w:t xml:space="preserve"> </w:t>
        </w:r>
        <w:r>
          <w:rPr>
            <w:rFonts w:cs="Gautami"/>
            <w:noProof/>
          </w:rPr>
          <w:t xml:space="preserve">– </w:t>
        </w:r>
        <w:r w:rsidR="006227FA">
          <w:t>Pricing methodology and negotiated services</w:t>
        </w:r>
        <w:r>
          <w:rPr>
            <w:rFonts w:cs="Gautami"/>
            <w:noProof/>
          </w:rPr>
          <w:t xml:space="preserve"> | </w:t>
        </w:r>
        <w:r w:rsidR="00AF1F9E">
          <w:t xml:space="preserve">Final decision: Directlink transmission </w:t>
        </w:r>
        <w:r>
          <w:rPr>
            <w:rFonts w:cs="Gautami"/>
            <w:noProof/>
          </w:rPr>
          <w:t>determination 2015–20</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D82327" w:rsidRDefault="00D82327" w:rsidP="00D82327">
      <w:pPr>
        <w:pStyle w:val="FootnoteText"/>
      </w:pPr>
      <w:r>
        <w:rPr>
          <w:rStyle w:val="FootnoteReference"/>
        </w:rPr>
        <w:footnoteRef/>
      </w:r>
      <w:r>
        <w:t xml:space="preserve"> </w:t>
      </w:r>
      <w:r>
        <w:tab/>
        <w:t>NER, clause 6A.2.2(4); 6A.14.1(8)</w:t>
      </w:r>
      <w:r w:rsidR="00FF7443">
        <w:t>.</w:t>
      </w:r>
    </w:p>
  </w:footnote>
  <w:footnote w:id="2">
    <w:p w:rsidR="00D82327" w:rsidRDefault="00D82327" w:rsidP="00D82327">
      <w:pPr>
        <w:pStyle w:val="FootnoteText"/>
      </w:pPr>
      <w:r>
        <w:rPr>
          <w:rStyle w:val="FootnoteReference"/>
        </w:rPr>
        <w:footnoteRef/>
      </w:r>
      <w:r>
        <w:t xml:space="preserve"> </w:t>
      </w:r>
      <w:r>
        <w:tab/>
        <w:t>NER, clause 6A.2.2(2); 6A.14.1(6)</w:t>
      </w:r>
      <w:r w:rsidR="00FF7443">
        <w:t>.</w:t>
      </w:r>
    </w:p>
  </w:footnote>
  <w:footnote w:id="3">
    <w:p w:rsidR="00D82327" w:rsidRDefault="00D82327" w:rsidP="00D82327">
      <w:pPr>
        <w:pStyle w:val="FootnoteText"/>
      </w:pPr>
      <w:r>
        <w:rPr>
          <w:rStyle w:val="FootnoteReference"/>
        </w:rPr>
        <w:footnoteRef/>
      </w:r>
      <w:r>
        <w:t xml:space="preserve"> </w:t>
      </w:r>
      <w:r>
        <w:tab/>
        <w:t>NER, clause 6A.2.2(3); 6a.14.1(7).</w:t>
      </w:r>
    </w:p>
  </w:footnote>
  <w:footnote w:id="4">
    <w:p w:rsidR="00D82327" w:rsidRDefault="00D82327" w:rsidP="00D82327">
      <w:pPr>
        <w:pStyle w:val="FootnoteText"/>
      </w:pPr>
      <w:r>
        <w:rPr>
          <w:rStyle w:val="FootnoteReference"/>
        </w:rPr>
        <w:footnoteRef/>
      </w:r>
      <w:r>
        <w:t xml:space="preserve"> </w:t>
      </w:r>
      <w:r>
        <w:tab/>
        <w:t>NER, clause 6A.2.2(3).</w:t>
      </w:r>
    </w:p>
  </w:footnote>
  <w:footnote w:id="5">
    <w:p w:rsidR="00D82327" w:rsidRDefault="00D82327" w:rsidP="00D82327">
      <w:pPr>
        <w:pStyle w:val="FootnoteText"/>
      </w:pPr>
      <w:r>
        <w:rPr>
          <w:rStyle w:val="FootnoteReference"/>
        </w:rPr>
        <w:footnoteRef/>
      </w:r>
      <w:r>
        <w:t xml:space="preserve"> </w:t>
      </w:r>
      <w:r>
        <w:tab/>
        <w:t>NER, clause 6A.24.1(b)(1).</w:t>
      </w:r>
    </w:p>
  </w:footnote>
  <w:footnote w:id="6">
    <w:p w:rsidR="00D82327" w:rsidRDefault="00D82327" w:rsidP="00D82327">
      <w:pPr>
        <w:pStyle w:val="FootnoteText"/>
      </w:pPr>
      <w:r>
        <w:rPr>
          <w:rStyle w:val="FootnoteReference"/>
        </w:rPr>
        <w:footnoteRef/>
      </w:r>
      <w:r>
        <w:t xml:space="preserve"> </w:t>
      </w:r>
      <w:r>
        <w:tab/>
        <w:t>NER, clause 6A.24.1(b)(2).</w:t>
      </w:r>
    </w:p>
  </w:footnote>
  <w:footnote w:id="7">
    <w:p w:rsidR="00D82327" w:rsidRDefault="00D82327" w:rsidP="00D82327">
      <w:pPr>
        <w:pStyle w:val="FootnoteText"/>
      </w:pPr>
      <w:r>
        <w:rPr>
          <w:rStyle w:val="FootnoteReference"/>
        </w:rPr>
        <w:footnoteRef/>
      </w:r>
      <w:r>
        <w:t xml:space="preserve"> </w:t>
      </w:r>
      <w:r>
        <w:tab/>
        <w:t>NER, clause 6A.9.5(a).</w:t>
      </w:r>
    </w:p>
  </w:footnote>
  <w:footnote w:id="8">
    <w:p w:rsidR="00D82327" w:rsidRDefault="00D82327" w:rsidP="00D82327">
      <w:pPr>
        <w:pStyle w:val="FootnoteText"/>
      </w:pPr>
      <w:r>
        <w:rPr>
          <w:rStyle w:val="FootnoteReference"/>
        </w:rPr>
        <w:footnoteRef/>
      </w:r>
      <w:r>
        <w:t xml:space="preserve"> </w:t>
      </w:r>
      <w:r>
        <w:tab/>
        <w:t>NER, clause 6A.9.4(a)(1).</w:t>
      </w:r>
    </w:p>
  </w:footnote>
  <w:footnote w:id="9">
    <w:p w:rsidR="00D82327" w:rsidRDefault="00D82327" w:rsidP="00D82327">
      <w:pPr>
        <w:pStyle w:val="FootnoteText"/>
      </w:pPr>
      <w:r>
        <w:rPr>
          <w:rStyle w:val="FootnoteReference"/>
        </w:rPr>
        <w:footnoteRef/>
      </w:r>
      <w:r>
        <w:t xml:space="preserve"> </w:t>
      </w:r>
      <w:r>
        <w:tab/>
        <w:t>NER, clause 6A.9.4(a)(2).</w:t>
      </w:r>
    </w:p>
  </w:footnote>
  <w:footnote w:id="10">
    <w:p w:rsidR="00D82327" w:rsidRDefault="00D82327" w:rsidP="00D82327">
      <w:pPr>
        <w:pStyle w:val="FootnoteText"/>
      </w:pPr>
      <w:r>
        <w:rPr>
          <w:rStyle w:val="FootnoteReference"/>
        </w:rPr>
        <w:footnoteRef/>
      </w:r>
      <w:r>
        <w:t xml:space="preserve"> </w:t>
      </w:r>
      <w:r>
        <w:tab/>
        <w:t>NER, clause 6A.10.1. Directlink submitted its revenue proposal to the AER on 13 January 2015.</w:t>
      </w:r>
    </w:p>
  </w:footnote>
  <w:footnote w:id="11">
    <w:p w:rsidR="000449EE" w:rsidRDefault="000449EE">
      <w:pPr>
        <w:pStyle w:val="FootnoteText"/>
      </w:pPr>
      <w:r>
        <w:rPr>
          <w:rStyle w:val="FootnoteReference"/>
        </w:rPr>
        <w:footnoteRef/>
      </w:r>
      <w:r>
        <w:t xml:space="preserve"> </w:t>
      </w:r>
      <w:r>
        <w:tab/>
        <w:t xml:space="preserve">AER, </w:t>
      </w:r>
      <w:r w:rsidRPr="000449EE">
        <w:rPr>
          <w:rStyle w:val="AERtextitalic"/>
        </w:rPr>
        <w:t>Draft decision on Directlink's regulatory proposal: 2015–20</w:t>
      </w:r>
      <w:r>
        <w:t>, November 2014, p. 12–7.</w:t>
      </w:r>
    </w:p>
  </w:footnote>
  <w:footnote w:id="12">
    <w:p w:rsidR="00D82327" w:rsidRDefault="00D82327" w:rsidP="00D82327">
      <w:pPr>
        <w:pStyle w:val="FootnoteText"/>
      </w:pPr>
      <w:r>
        <w:rPr>
          <w:rStyle w:val="FootnoteReference"/>
        </w:rPr>
        <w:footnoteRef/>
      </w:r>
      <w:r>
        <w:t xml:space="preserve"> </w:t>
      </w:r>
      <w:r>
        <w:tab/>
        <w:t>AER</w:t>
      </w:r>
      <w:r w:rsidRPr="002B5E22">
        <w:rPr>
          <w:rStyle w:val="AERtextitalic"/>
        </w:rPr>
        <w:t xml:space="preserve">, Proposed negotiating transmission service criteria </w:t>
      </w:r>
      <w:r>
        <w:rPr>
          <w:rStyle w:val="AERtextitalic"/>
        </w:rPr>
        <w:t xml:space="preserve">for Directlink, </w:t>
      </w:r>
      <w:r w:rsidRPr="0031156E">
        <w:rPr>
          <w:rStyle w:val="AERtextitalic"/>
        </w:rPr>
        <w:t>regulatory control</w:t>
      </w:r>
      <w:r>
        <w:rPr>
          <w:rStyle w:val="AERtextitalic"/>
        </w:rPr>
        <w:t xml:space="preserve"> period 1 July 2015 to 30 June 2020</w:t>
      </w:r>
      <w:r w:rsidRPr="00D94C51">
        <w:t>,</w:t>
      </w:r>
      <w:r>
        <w:t xml:space="preserve"> June 2014.</w:t>
      </w:r>
    </w:p>
  </w:footnote>
  <w:footnote w:id="13">
    <w:p w:rsidR="00D82327" w:rsidRPr="00E22E64" w:rsidRDefault="00D82327" w:rsidP="00D82327">
      <w:pPr>
        <w:pStyle w:val="FootnoteText"/>
        <w:rPr>
          <w:rStyle w:val="AERtextitalic"/>
        </w:rPr>
      </w:pPr>
      <w:r>
        <w:rPr>
          <w:rStyle w:val="FootnoteReference"/>
        </w:rPr>
        <w:footnoteRef/>
      </w:r>
      <w:r>
        <w:t xml:space="preserve"> </w:t>
      </w:r>
      <w:r>
        <w:tab/>
        <w:t xml:space="preserve">Directlink, </w:t>
      </w:r>
      <w:r>
        <w:rPr>
          <w:rStyle w:val="AERtextitalic"/>
        </w:rPr>
        <w:t xml:space="preserve">Revenue proposal, </w:t>
      </w:r>
      <w:r>
        <w:t>2 June 2014, p. 14.</w:t>
      </w:r>
    </w:p>
  </w:footnote>
  <w:footnote w:id="14">
    <w:p w:rsidR="000449EE" w:rsidRDefault="000449EE" w:rsidP="000449EE">
      <w:pPr>
        <w:pStyle w:val="FootnoteText"/>
      </w:pPr>
      <w:r>
        <w:rPr>
          <w:rStyle w:val="FootnoteReference"/>
        </w:rPr>
        <w:footnoteRef/>
      </w:r>
      <w:r>
        <w:t xml:space="preserve"> </w:t>
      </w:r>
      <w:r>
        <w:tab/>
        <w:t>NER, clause 6A.23 and 6A.24; 6A.14.3(g)(1) and (2).</w:t>
      </w:r>
    </w:p>
  </w:footnote>
  <w:footnote w:id="15">
    <w:p w:rsidR="000449EE" w:rsidRDefault="000449EE" w:rsidP="000449EE">
      <w:pPr>
        <w:pStyle w:val="FootnoteText"/>
      </w:pPr>
      <w:r>
        <w:rPr>
          <w:rStyle w:val="FootnoteReference"/>
        </w:rPr>
        <w:footnoteRef/>
      </w:r>
      <w:r>
        <w:t xml:space="preserve"> </w:t>
      </w:r>
      <w:r>
        <w:tab/>
        <w:t>NER, clause 6A.9.5(b)(2); 6A.14.3(f).</w:t>
      </w:r>
    </w:p>
  </w:footnote>
  <w:footnote w:id="16">
    <w:p w:rsidR="000449EE" w:rsidRDefault="000449EE" w:rsidP="000449EE">
      <w:pPr>
        <w:pStyle w:val="FootnoteText"/>
      </w:pPr>
      <w:r>
        <w:rPr>
          <w:rStyle w:val="FootnoteReference"/>
        </w:rPr>
        <w:footnoteRef/>
      </w:r>
      <w:r>
        <w:t xml:space="preserve"> </w:t>
      </w:r>
      <w:r>
        <w:tab/>
        <w:t>NER, clau</w:t>
      </w:r>
      <w:r w:rsidR="00FF7443">
        <w:t>se 6A.9.4(a) and (b); 6A.14.1(i).</w:t>
      </w:r>
    </w:p>
  </w:footnote>
  <w:footnote w:id="17">
    <w:p w:rsidR="000449EE" w:rsidRDefault="000449EE" w:rsidP="000449EE">
      <w:pPr>
        <w:pStyle w:val="FootnoteText"/>
      </w:pPr>
      <w:r>
        <w:rPr>
          <w:rStyle w:val="FootnoteReference"/>
        </w:rPr>
        <w:footnoteRef/>
      </w:r>
      <w:r>
        <w:t xml:space="preserve"> </w:t>
      </w:r>
      <w:r>
        <w:tab/>
        <w:t>NER, cl. 6A.24.1(e) and (f).</w:t>
      </w:r>
    </w:p>
  </w:footnote>
  <w:footnote w:id="18">
    <w:p w:rsidR="000449EE" w:rsidRDefault="000449EE" w:rsidP="000449EE">
      <w:pPr>
        <w:pStyle w:val="FootnoteText"/>
      </w:pPr>
      <w:r>
        <w:rPr>
          <w:rStyle w:val="FootnoteReference"/>
        </w:rPr>
        <w:footnoteRef/>
      </w:r>
      <w:r>
        <w:t xml:space="preserve"> </w:t>
      </w:r>
      <w:r>
        <w:tab/>
      </w:r>
      <w:r w:rsidRPr="009431D1">
        <w:t xml:space="preserve">AER, </w:t>
      </w:r>
      <w:r w:rsidRPr="009431D1">
        <w:rPr>
          <w:rStyle w:val="AERtextitalic"/>
        </w:rPr>
        <w:t xml:space="preserve">Draft decision: </w:t>
      </w:r>
      <w:r>
        <w:rPr>
          <w:rStyle w:val="AERtextitalic"/>
        </w:rPr>
        <w:t>Directlink</w:t>
      </w:r>
      <w:r w:rsidRPr="009431D1">
        <w:rPr>
          <w:rStyle w:val="AERtextitalic"/>
        </w:rPr>
        <w:t xml:space="preserve"> distribution determination 2014–15 and 2015–19</w:t>
      </w:r>
      <w:r w:rsidRPr="009431D1">
        <w:t>, November 2014, p. 19–</w:t>
      </w:r>
      <w:r>
        <w:t>8</w:t>
      </w:r>
      <w:r w:rsidRPr="009431D1">
        <w:t>.</w:t>
      </w:r>
    </w:p>
  </w:footnote>
  <w:footnote w:id="19">
    <w:p w:rsidR="000449EE" w:rsidRDefault="000449EE">
      <w:pPr>
        <w:pStyle w:val="FootnoteText"/>
      </w:pPr>
      <w:r>
        <w:rPr>
          <w:rStyle w:val="FootnoteReference"/>
        </w:rPr>
        <w:footnoteRef/>
      </w:r>
      <w:r>
        <w:t xml:space="preserve"> </w:t>
      </w:r>
      <w:r>
        <w:tab/>
      </w:r>
      <w:r w:rsidRPr="000449EE">
        <w:t xml:space="preserve">AER, </w:t>
      </w:r>
      <w:r w:rsidRPr="000449EE">
        <w:rPr>
          <w:rStyle w:val="AERtextitalic"/>
        </w:rPr>
        <w:t>Draft decision: Directlink distribution determination 2014–15 and 2015–19</w:t>
      </w:r>
      <w:r w:rsidRPr="000449EE">
        <w:t>, November 2014, p. 19–</w:t>
      </w:r>
      <w:r>
        <w:t>9 to 10</w:t>
      </w:r>
      <w:r w:rsidRPr="000449EE">
        <w:t>.</w:t>
      </w:r>
    </w:p>
  </w:footnote>
  <w:footnote w:id="20">
    <w:p w:rsidR="000D084B" w:rsidRDefault="000D084B" w:rsidP="000D084B">
      <w:pPr>
        <w:pStyle w:val="FootnoteText"/>
      </w:pPr>
      <w:r>
        <w:rPr>
          <w:rStyle w:val="FootnoteReference"/>
        </w:rPr>
        <w:footnoteRef/>
      </w:r>
      <w:r>
        <w:t xml:space="preserve"> </w:t>
      </w:r>
      <w:r>
        <w:tab/>
        <w:t>AER</w:t>
      </w:r>
      <w:r w:rsidRPr="002B5E22">
        <w:rPr>
          <w:rStyle w:val="AERtextitalic"/>
        </w:rPr>
        <w:t xml:space="preserve">, Proposed negotiating transmission service criteria </w:t>
      </w:r>
      <w:r>
        <w:rPr>
          <w:rStyle w:val="AERtextitalic"/>
        </w:rPr>
        <w:t>for Directlink</w:t>
      </w:r>
      <w:r w:rsidRPr="0031156E">
        <w:rPr>
          <w:rStyle w:val="AERtextitalic"/>
        </w:rPr>
        <w:t>, regul</w:t>
      </w:r>
      <w:r>
        <w:rPr>
          <w:rStyle w:val="AERtextitalic"/>
        </w:rPr>
        <w:t>atory control period 1 July 2015 to 30 June 2020</w:t>
      </w:r>
      <w:r w:rsidRPr="00D94C51">
        <w:t>,</w:t>
      </w:r>
      <w:r>
        <w:t xml:space="preserve"> June 2012.</w:t>
      </w:r>
    </w:p>
  </w:footnote>
  <w:footnote w:id="21">
    <w:p w:rsidR="000D084B" w:rsidRDefault="000D084B" w:rsidP="000D084B">
      <w:pPr>
        <w:pStyle w:val="FootnoteText"/>
      </w:pPr>
      <w:r>
        <w:rPr>
          <w:rStyle w:val="FootnoteReference"/>
        </w:rPr>
        <w:footnoteRef/>
      </w:r>
      <w:r>
        <w:t xml:space="preserve"> </w:t>
      </w:r>
      <w:r>
        <w:tab/>
        <w:t>NER, clause 6A.9.4(a)</w:t>
      </w:r>
      <w:r w:rsidR="009139F4">
        <w:t>.</w:t>
      </w:r>
    </w:p>
  </w:footnote>
  <w:footnote w:id="22">
    <w:p w:rsidR="000D084B" w:rsidRDefault="000D084B" w:rsidP="000D084B">
      <w:pPr>
        <w:pStyle w:val="FootnoteText"/>
      </w:pPr>
      <w:r>
        <w:rPr>
          <w:rStyle w:val="FootnoteReference"/>
        </w:rPr>
        <w:footnoteRef/>
      </w:r>
      <w:r>
        <w:t xml:space="preserve"> </w:t>
      </w:r>
      <w:r>
        <w:tab/>
        <w:t>NER, clause 6A.9.4(b)</w:t>
      </w:r>
      <w:r w:rsidR="009139F4">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2784418"/>
    <w:multiLevelType w:val="multilevel"/>
    <w:tmpl w:val="950A1C52"/>
    <w:numStyleLink w:val="AERHeadings"/>
  </w:abstractNum>
  <w:abstractNum w:abstractNumId="24">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FD263658"/>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0"/>
  </w:num>
  <w:num w:numId="14">
    <w:abstractNumId w:val="10"/>
  </w:num>
  <w:num w:numId="15">
    <w:abstractNumId w:val="12"/>
  </w:num>
  <w:num w:numId="16">
    <w:abstractNumId w:val="25"/>
  </w:num>
  <w:num w:numId="17">
    <w:abstractNumId w:val="9"/>
  </w:num>
  <w:num w:numId="18">
    <w:abstractNumId w:val="16"/>
  </w:num>
  <w:num w:numId="19">
    <w:abstractNumId w:val="26"/>
  </w:num>
  <w:num w:numId="20">
    <w:abstractNumId w:val="33"/>
  </w:num>
  <w:num w:numId="21">
    <w:abstractNumId w:val="13"/>
  </w:num>
  <w:num w:numId="22">
    <w:abstractNumId w:val="29"/>
  </w:num>
  <w:num w:numId="23">
    <w:abstractNumId w:val="27"/>
  </w:num>
  <w:num w:numId="24">
    <w:abstractNumId w:val="18"/>
  </w:num>
  <w:num w:numId="25">
    <w:abstractNumId w:val="28"/>
  </w:num>
  <w:num w:numId="26">
    <w:abstractNumId w:val="30"/>
  </w:num>
  <w:num w:numId="27">
    <w:abstractNumId w:val="19"/>
  </w:num>
  <w:num w:numId="28">
    <w:abstractNumId w:val="17"/>
  </w:num>
  <w:num w:numId="29">
    <w:abstractNumId w:val="15"/>
  </w:num>
  <w:num w:numId="30">
    <w:abstractNumId w:val="34"/>
  </w:num>
  <w:num w:numId="31">
    <w:abstractNumId w:val="14"/>
  </w:num>
  <w:num w:numId="32">
    <w:abstractNumId w:val="22"/>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23"/>
  </w:num>
  <w:num w:numId="38">
    <w:abstractNumId w:val="24"/>
  </w:num>
  <w:num w:numId="3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xviRclGjAawIfmtIp618vs3kao2Q/IuO2dBn3poKexY=" w:saltValue="f8ox5wnB7mPEZD4LHVUoRQ==" w:algorithmName="SHA-256"/>
  <w:defaultTabStop w:val="34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AER - Final decision Directlink transmission determination - Attachment 12 - Pricing methodology and negotiated services - April 2015.DOCX"/>
  </w:docVars>
  <w:rsids>
    <w:rsidRoot w:val="00961A4A"/>
    <w:rsid w:val="00021202"/>
    <w:rsid w:val="0002517F"/>
    <w:rsid w:val="0003578C"/>
    <w:rsid w:val="000449EE"/>
    <w:rsid w:val="00063247"/>
    <w:rsid w:val="00070F9F"/>
    <w:rsid w:val="0007137B"/>
    <w:rsid w:val="00085663"/>
    <w:rsid w:val="00085EBF"/>
    <w:rsid w:val="000A3020"/>
    <w:rsid w:val="000A6C7B"/>
    <w:rsid w:val="000C2793"/>
    <w:rsid w:val="000D084B"/>
    <w:rsid w:val="000D122C"/>
    <w:rsid w:val="000E1819"/>
    <w:rsid w:val="000E4821"/>
    <w:rsid w:val="000E6C72"/>
    <w:rsid w:val="00116EB2"/>
    <w:rsid w:val="00124609"/>
    <w:rsid w:val="00126A4C"/>
    <w:rsid w:val="0014573B"/>
    <w:rsid w:val="001573E4"/>
    <w:rsid w:val="00160756"/>
    <w:rsid w:val="0017232E"/>
    <w:rsid w:val="00174102"/>
    <w:rsid w:val="00180157"/>
    <w:rsid w:val="00185CB9"/>
    <w:rsid w:val="00186F77"/>
    <w:rsid w:val="001926A4"/>
    <w:rsid w:val="00192AD5"/>
    <w:rsid w:val="001B45A0"/>
    <w:rsid w:val="001D055E"/>
    <w:rsid w:val="001F492E"/>
    <w:rsid w:val="001F6DA3"/>
    <w:rsid w:val="002010BC"/>
    <w:rsid w:val="00202E03"/>
    <w:rsid w:val="0020492C"/>
    <w:rsid w:val="00224DB9"/>
    <w:rsid w:val="00233775"/>
    <w:rsid w:val="00250C11"/>
    <w:rsid w:val="00251745"/>
    <w:rsid w:val="00263AC0"/>
    <w:rsid w:val="00264264"/>
    <w:rsid w:val="0026772D"/>
    <w:rsid w:val="00286874"/>
    <w:rsid w:val="00290C63"/>
    <w:rsid w:val="00296B65"/>
    <w:rsid w:val="002A7DEF"/>
    <w:rsid w:val="002E7B22"/>
    <w:rsid w:val="002F0361"/>
    <w:rsid w:val="002F7986"/>
    <w:rsid w:val="00301B40"/>
    <w:rsid w:val="003029EE"/>
    <w:rsid w:val="00305CC8"/>
    <w:rsid w:val="00307F6D"/>
    <w:rsid w:val="003177A2"/>
    <w:rsid w:val="003271B5"/>
    <w:rsid w:val="00327A1E"/>
    <w:rsid w:val="00331264"/>
    <w:rsid w:val="00334C8D"/>
    <w:rsid w:val="00343A18"/>
    <w:rsid w:val="003518B3"/>
    <w:rsid w:val="003846F1"/>
    <w:rsid w:val="003B484F"/>
    <w:rsid w:val="003F174D"/>
    <w:rsid w:val="00410F5D"/>
    <w:rsid w:val="0045172D"/>
    <w:rsid w:val="0045777E"/>
    <w:rsid w:val="00480B4B"/>
    <w:rsid w:val="00485DC4"/>
    <w:rsid w:val="004A1B53"/>
    <w:rsid w:val="004A43D1"/>
    <w:rsid w:val="004B4412"/>
    <w:rsid w:val="004C348C"/>
    <w:rsid w:val="004D55BA"/>
    <w:rsid w:val="004E22EC"/>
    <w:rsid w:val="00530128"/>
    <w:rsid w:val="00532467"/>
    <w:rsid w:val="00564A4D"/>
    <w:rsid w:val="00564B6D"/>
    <w:rsid w:val="00567BA5"/>
    <w:rsid w:val="00571B35"/>
    <w:rsid w:val="00571D57"/>
    <w:rsid w:val="00577A09"/>
    <w:rsid w:val="005829C2"/>
    <w:rsid w:val="00584D8F"/>
    <w:rsid w:val="005A404D"/>
    <w:rsid w:val="005B1E3C"/>
    <w:rsid w:val="005C26CC"/>
    <w:rsid w:val="005D6D8F"/>
    <w:rsid w:val="005D7BA2"/>
    <w:rsid w:val="005E36C2"/>
    <w:rsid w:val="00615C6B"/>
    <w:rsid w:val="00621DCE"/>
    <w:rsid w:val="006227FA"/>
    <w:rsid w:val="00632D6D"/>
    <w:rsid w:val="00642C3E"/>
    <w:rsid w:val="0066104A"/>
    <w:rsid w:val="00663DAD"/>
    <w:rsid w:val="00675E20"/>
    <w:rsid w:val="00676679"/>
    <w:rsid w:val="00683C89"/>
    <w:rsid w:val="006B2395"/>
    <w:rsid w:val="006B4CF9"/>
    <w:rsid w:val="006B7AC8"/>
    <w:rsid w:val="006D550F"/>
    <w:rsid w:val="00701CAB"/>
    <w:rsid w:val="00707563"/>
    <w:rsid w:val="0072348C"/>
    <w:rsid w:val="00724A37"/>
    <w:rsid w:val="007303C3"/>
    <w:rsid w:val="007303F5"/>
    <w:rsid w:val="007429BE"/>
    <w:rsid w:val="00743223"/>
    <w:rsid w:val="00746E01"/>
    <w:rsid w:val="00757BDF"/>
    <w:rsid w:val="00763E5D"/>
    <w:rsid w:val="00767740"/>
    <w:rsid w:val="00777EE6"/>
    <w:rsid w:val="00782EEA"/>
    <w:rsid w:val="007B2C72"/>
    <w:rsid w:val="007C1C53"/>
    <w:rsid w:val="007C74BB"/>
    <w:rsid w:val="007E4904"/>
    <w:rsid w:val="007E4CB5"/>
    <w:rsid w:val="007F066B"/>
    <w:rsid w:val="008033C4"/>
    <w:rsid w:val="00806C88"/>
    <w:rsid w:val="0081034E"/>
    <w:rsid w:val="008344F6"/>
    <w:rsid w:val="0083510F"/>
    <w:rsid w:val="00851209"/>
    <w:rsid w:val="008837AC"/>
    <w:rsid w:val="008A587D"/>
    <w:rsid w:val="008A6695"/>
    <w:rsid w:val="008B35CD"/>
    <w:rsid w:val="008B5FCC"/>
    <w:rsid w:val="008C5486"/>
    <w:rsid w:val="008D1661"/>
    <w:rsid w:val="008E7031"/>
    <w:rsid w:val="008E77DE"/>
    <w:rsid w:val="008F07A3"/>
    <w:rsid w:val="00900E1B"/>
    <w:rsid w:val="009139F4"/>
    <w:rsid w:val="00922731"/>
    <w:rsid w:val="009233EE"/>
    <w:rsid w:val="009460AA"/>
    <w:rsid w:val="0094746A"/>
    <w:rsid w:val="00951978"/>
    <w:rsid w:val="00961A4A"/>
    <w:rsid w:val="009661DE"/>
    <w:rsid w:val="00983C25"/>
    <w:rsid w:val="009856B7"/>
    <w:rsid w:val="00985C86"/>
    <w:rsid w:val="009A5FC3"/>
    <w:rsid w:val="009B74B0"/>
    <w:rsid w:val="009D6B46"/>
    <w:rsid w:val="009F4940"/>
    <w:rsid w:val="009F5BA1"/>
    <w:rsid w:val="00A02A88"/>
    <w:rsid w:val="00A0562E"/>
    <w:rsid w:val="00A0726D"/>
    <w:rsid w:val="00A32FBB"/>
    <w:rsid w:val="00A428EE"/>
    <w:rsid w:val="00A4478A"/>
    <w:rsid w:val="00A44852"/>
    <w:rsid w:val="00A57D04"/>
    <w:rsid w:val="00A60A26"/>
    <w:rsid w:val="00A61598"/>
    <w:rsid w:val="00A84A99"/>
    <w:rsid w:val="00A84F46"/>
    <w:rsid w:val="00A871F4"/>
    <w:rsid w:val="00AC1B2C"/>
    <w:rsid w:val="00AC3264"/>
    <w:rsid w:val="00AE1BF1"/>
    <w:rsid w:val="00AF0DD2"/>
    <w:rsid w:val="00AF1F9E"/>
    <w:rsid w:val="00B13048"/>
    <w:rsid w:val="00B1716D"/>
    <w:rsid w:val="00B17A1D"/>
    <w:rsid w:val="00B207A0"/>
    <w:rsid w:val="00B514DD"/>
    <w:rsid w:val="00B52AF0"/>
    <w:rsid w:val="00B561BD"/>
    <w:rsid w:val="00B56E03"/>
    <w:rsid w:val="00B8080B"/>
    <w:rsid w:val="00B86D7C"/>
    <w:rsid w:val="00B87BA5"/>
    <w:rsid w:val="00B87C39"/>
    <w:rsid w:val="00BA4665"/>
    <w:rsid w:val="00BB2FB2"/>
    <w:rsid w:val="00BB3304"/>
    <w:rsid w:val="00BD3446"/>
    <w:rsid w:val="00BE1F1B"/>
    <w:rsid w:val="00BE47B5"/>
    <w:rsid w:val="00C25FA6"/>
    <w:rsid w:val="00C538A9"/>
    <w:rsid w:val="00C53B5A"/>
    <w:rsid w:val="00C54F5A"/>
    <w:rsid w:val="00C569B4"/>
    <w:rsid w:val="00C67A92"/>
    <w:rsid w:val="00C86679"/>
    <w:rsid w:val="00CA489E"/>
    <w:rsid w:val="00CB0279"/>
    <w:rsid w:val="00CB666B"/>
    <w:rsid w:val="00CC7F1D"/>
    <w:rsid w:val="00CE1FA9"/>
    <w:rsid w:val="00D006AE"/>
    <w:rsid w:val="00D01CF0"/>
    <w:rsid w:val="00D0442A"/>
    <w:rsid w:val="00D0577F"/>
    <w:rsid w:val="00D61388"/>
    <w:rsid w:val="00D61A54"/>
    <w:rsid w:val="00D64DEA"/>
    <w:rsid w:val="00D7168E"/>
    <w:rsid w:val="00D71E57"/>
    <w:rsid w:val="00D80893"/>
    <w:rsid w:val="00D82327"/>
    <w:rsid w:val="00D84854"/>
    <w:rsid w:val="00D92CF1"/>
    <w:rsid w:val="00D92D38"/>
    <w:rsid w:val="00D950F5"/>
    <w:rsid w:val="00DA4752"/>
    <w:rsid w:val="00DA61F3"/>
    <w:rsid w:val="00DB0F93"/>
    <w:rsid w:val="00DB1A67"/>
    <w:rsid w:val="00DB5074"/>
    <w:rsid w:val="00DC7981"/>
    <w:rsid w:val="00DD5364"/>
    <w:rsid w:val="00DE1093"/>
    <w:rsid w:val="00DE4EFA"/>
    <w:rsid w:val="00DE5520"/>
    <w:rsid w:val="00DE563D"/>
    <w:rsid w:val="00E04818"/>
    <w:rsid w:val="00E06442"/>
    <w:rsid w:val="00E23993"/>
    <w:rsid w:val="00E25B8C"/>
    <w:rsid w:val="00E65C85"/>
    <w:rsid w:val="00E66199"/>
    <w:rsid w:val="00E755EC"/>
    <w:rsid w:val="00E7624D"/>
    <w:rsid w:val="00EA3D42"/>
    <w:rsid w:val="00EA6B1B"/>
    <w:rsid w:val="00ED7323"/>
    <w:rsid w:val="00EE28F3"/>
    <w:rsid w:val="00EF5110"/>
    <w:rsid w:val="00F10411"/>
    <w:rsid w:val="00F15882"/>
    <w:rsid w:val="00F171E0"/>
    <w:rsid w:val="00F20BD3"/>
    <w:rsid w:val="00F373A5"/>
    <w:rsid w:val="00F474F4"/>
    <w:rsid w:val="00F47559"/>
    <w:rsid w:val="00F64C7B"/>
    <w:rsid w:val="00F676DD"/>
    <w:rsid w:val="00F75A26"/>
    <w:rsid w:val="00F76706"/>
    <w:rsid w:val="00F83FAD"/>
    <w:rsid w:val="00F952A0"/>
    <w:rsid w:val="00FA3C7F"/>
    <w:rsid w:val="00FB74E2"/>
    <w:rsid w:val="00FC10C4"/>
    <w:rsid w:val="00FD5614"/>
    <w:rsid w:val="00FE0BE1"/>
    <w:rsid w:val="00FE1DE9"/>
    <w:rsid w:val="00FE36AF"/>
    <w:rsid w:val="00FE39C2"/>
    <w:rsid w:val="00FE3C32"/>
    <w:rsid w:val="00FE64AE"/>
    <w:rsid w:val="00FF7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er.gov.au/node/23137"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5CB54832</Template>
  <TotalTime>0</TotalTime>
  <Pages>11</Pages>
  <Words>2197</Words>
  <Characters>12527</Characters>
  <Application>Microsoft Office Word</Application>
  <DocSecurity>4</DocSecurity>
  <Lines>104</Lines>
  <Paragraphs>29</Paragraphs>
  <ScaleCrop>false</ScaleCrop>
  <LinksUpToDate>false</LinksUpToDate>
  <CharactersWithSpaces>14695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2015-04-27T04:26:00Z</dcterms:created>
  <dcterms:modified xsi:type="dcterms:W3CDTF">2015-04-27T04:26:00Z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