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3368DB3" wp14:editId="6EE6DB7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6567A1">
            <w:t>2</w:t>
          </w:r>
          <w:r>
            <w:t xml:space="preserve"> </w:t>
          </w:r>
          <w:r>
            <w:rPr>
              <w:rFonts w:cs="Arial"/>
            </w:rPr>
            <w:t>−</w:t>
          </w:r>
          <w:r>
            <w:t xml:space="preserve"> </w:t>
          </w:r>
          <w:r w:rsidR="006567A1">
            <w:t>Regulatory asset base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3251301"/>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4754A2">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325130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5104E"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3251301" w:history="1">
            <w:r w:rsidR="0085104E" w:rsidRPr="00E35608">
              <w:rPr>
                <w:rStyle w:val="Hyperlink"/>
              </w:rPr>
              <w:t>Note</w:t>
            </w:r>
            <w:r w:rsidR="0085104E">
              <w:rPr>
                <w:webHidden/>
              </w:rPr>
              <w:tab/>
            </w:r>
            <w:r w:rsidR="0085104E">
              <w:rPr>
                <w:webHidden/>
              </w:rPr>
              <w:fldChar w:fldCharType="begin"/>
            </w:r>
            <w:r w:rsidR="0085104E">
              <w:rPr>
                <w:webHidden/>
              </w:rPr>
              <w:instrText xml:space="preserve"> PAGEREF _Toc413251301 \h </w:instrText>
            </w:r>
            <w:r w:rsidR="0085104E">
              <w:rPr>
                <w:webHidden/>
              </w:rPr>
            </w:r>
            <w:r w:rsidR="0085104E">
              <w:rPr>
                <w:webHidden/>
              </w:rPr>
              <w:fldChar w:fldCharType="separate"/>
            </w:r>
            <w:r w:rsidR="00CB3965">
              <w:rPr>
                <w:webHidden/>
              </w:rPr>
              <w:t>2-2</w:t>
            </w:r>
            <w:r w:rsidR="0085104E">
              <w:rPr>
                <w:webHidden/>
              </w:rPr>
              <w:fldChar w:fldCharType="end"/>
            </w:r>
          </w:hyperlink>
        </w:p>
        <w:p w:rsidR="0085104E" w:rsidRDefault="00EB1BEC">
          <w:pPr>
            <w:pStyle w:val="TOC1"/>
            <w:rPr>
              <w:rFonts w:asciiTheme="minorHAnsi" w:eastAsiaTheme="minorEastAsia" w:hAnsiTheme="minorHAnsi"/>
              <w:b w:val="0"/>
              <w:color w:val="auto"/>
              <w:sz w:val="22"/>
              <w:lang w:val="en-AU" w:eastAsia="en-AU"/>
            </w:rPr>
          </w:pPr>
          <w:hyperlink w:anchor="_Toc413251302" w:history="1">
            <w:r w:rsidR="0085104E" w:rsidRPr="00E35608">
              <w:rPr>
                <w:rStyle w:val="Hyperlink"/>
              </w:rPr>
              <w:t>Contents</w:t>
            </w:r>
            <w:r w:rsidR="0085104E">
              <w:rPr>
                <w:webHidden/>
              </w:rPr>
              <w:tab/>
            </w:r>
            <w:r w:rsidR="0085104E">
              <w:rPr>
                <w:webHidden/>
              </w:rPr>
              <w:fldChar w:fldCharType="begin"/>
            </w:r>
            <w:r w:rsidR="0085104E">
              <w:rPr>
                <w:webHidden/>
              </w:rPr>
              <w:instrText xml:space="preserve"> PAGEREF _Toc413251302 \h </w:instrText>
            </w:r>
            <w:r w:rsidR="0085104E">
              <w:rPr>
                <w:webHidden/>
              </w:rPr>
            </w:r>
            <w:r w:rsidR="0085104E">
              <w:rPr>
                <w:webHidden/>
              </w:rPr>
              <w:fldChar w:fldCharType="separate"/>
            </w:r>
            <w:r w:rsidR="00CB3965">
              <w:rPr>
                <w:webHidden/>
              </w:rPr>
              <w:t>2-3</w:t>
            </w:r>
            <w:r w:rsidR="0085104E">
              <w:rPr>
                <w:webHidden/>
              </w:rPr>
              <w:fldChar w:fldCharType="end"/>
            </w:r>
          </w:hyperlink>
        </w:p>
        <w:p w:rsidR="0085104E" w:rsidRDefault="00EB1BEC">
          <w:pPr>
            <w:pStyle w:val="TOC1"/>
            <w:rPr>
              <w:rFonts w:asciiTheme="minorHAnsi" w:eastAsiaTheme="minorEastAsia" w:hAnsiTheme="minorHAnsi"/>
              <w:b w:val="0"/>
              <w:color w:val="auto"/>
              <w:sz w:val="22"/>
              <w:lang w:val="en-AU" w:eastAsia="en-AU"/>
            </w:rPr>
          </w:pPr>
          <w:hyperlink w:anchor="_Toc413251303" w:history="1">
            <w:r w:rsidR="0085104E" w:rsidRPr="00E35608">
              <w:rPr>
                <w:rStyle w:val="Hyperlink"/>
              </w:rPr>
              <w:t>Shortened forms</w:t>
            </w:r>
            <w:r w:rsidR="0085104E">
              <w:rPr>
                <w:webHidden/>
              </w:rPr>
              <w:tab/>
            </w:r>
            <w:r w:rsidR="0085104E">
              <w:rPr>
                <w:webHidden/>
              </w:rPr>
              <w:fldChar w:fldCharType="begin"/>
            </w:r>
            <w:r w:rsidR="0085104E">
              <w:rPr>
                <w:webHidden/>
              </w:rPr>
              <w:instrText xml:space="preserve"> PAGEREF _Toc413251303 \h </w:instrText>
            </w:r>
            <w:r w:rsidR="0085104E">
              <w:rPr>
                <w:webHidden/>
              </w:rPr>
            </w:r>
            <w:r w:rsidR="0085104E">
              <w:rPr>
                <w:webHidden/>
              </w:rPr>
              <w:fldChar w:fldCharType="separate"/>
            </w:r>
            <w:r w:rsidR="00CB3965">
              <w:rPr>
                <w:webHidden/>
              </w:rPr>
              <w:t>2-4</w:t>
            </w:r>
            <w:r w:rsidR="0085104E">
              <w:rPr>
                <w:webHidden/>
              </w:rPr>
              <w:fldChar w:fldCharType="end"/>
            </w:r>
          </w:hyperlink>
        </w:p>
        <w:p w:rsidR="0085104E" w:rsidRDefault="00EB1BEC">
          <w:pPr>
            <w:pStyle w:val="TOC1"/>
            <w:rPr>
              <w:rFonts w:asciiTheme="minorHAnsi" w:eastAsiaTheme="minorEastAsia" w:hAnsiTheme="minorHAnsi"/>
              <w:b w:val="0"/>
              <w:color w:val="auto"/>
              <w:sz w:val="22"/>
              <w:lang w:val="en-AU" w:eastAsia="en-AU"/>
            </w:rPr>
          </w:pPr>
          <w:hyperlink w:anchor="_Toc413251304" w:history="1">
            <w:r w:rsidR="0085104E" w:rsidRPr="00E35608">
              <w:rPr>
                <w:rStyle w:val="Hyperlink"/>
              </w:rPr>
              <w:t>2</w:t>
            </w:r>
            <w:r w:rsidR="0085104E">
              <w:rPr>
                <w:rFonts w:asciiTheme="minorHAnsi" w:eastAsiaTheme="minorEastAsia" w:hAnsiTheme="minorHAnsi"/>
                <w:b w:val="0"/>
                <w:color w:val="auto"/>
                <w:sz w:val="22"/>
                <w:lang w:val="en-AU" w:eastAsia="en-AU"/>
              </w:rPr>
              <w:tab/>
            </w:r>
            <w:r w:rsidR="0085104E" w:rsidRPr="00E35608">
              <w:rPr>
                <w:rStyle w:val="Hyperlink"/>
              </w:rPr>
              <w:t>Regulatory asset base</w:t>
            </w:r>
            <w:r w:rsidR="0085104E">
              <w:rPr>
                <w:webHidden/>
              </w:rPr>
              <w:tab/>
            </w:r>
            <w:r w:rsidR="0085104E">
              <w:rPr>
                <w:webHidden/>
              </w:rPr>
              <w:fldChar w:fldCharType="begin"/>
            </w:r>
            <w:r w:rsidR="0085104E">
              <w:rPr>
                <w:webHidden/>
              </w:rPr>
              <w:instrText xml:space="preserve"> PAGEREF _Toc413251304 \h </w:instrText>
            </w:r>
            <w:r w:rsidR="0085104E">
              <w:rPr>
                <w:webHidden/>
              </w:rPr>
            </w:r>
            <w:r w:rsidR="0085104E">
              <w:rPr>
                <w:webHidden/>
              </w:rPr>
              <w:fldChar w:fldCharType="separate"/>
            </w:r>
            <w:r w:rsidR="00CB3965">
              <w:rPr>
                <w:webHidden/>
              </w:rPr>
              <w:t>2-6</w:t>
            </w:r>
            <w:r w:rsidR="0085104E">
              <w:rPr>
                <w:webHidden/>
              </w:rPr>
              <w:fldChar w:fldCharType="end"/>
            </w:r>
          </w:hyperlink>
        </w:p>
        <w:p w:rsidR="0085104E" w:rsidRDefault="00EB1BEC">
          <w:pPr>
            <w:pStyle w:val="TOC2"/>
            <w:rPr>
              <w:rFonts w:asciiTheme="minorHAnsi" w:eastAsiaTheme="minorEastAsia" w:hAnsiTheme="minorHAnsi"/>
              <w:b w:val="0"/>
              <w:color w:val="auto"/>
              <w:sz w:val="22"/>
              <w:lang w:eastAsia="en-AU"/>
            </w:rPr>
          </w:pPr>
          <w:hyperlink w:anchor="_Toc413251305" w:history="1">
            <w:r w:rsidR="0085104E" w:rsidRPr="00E35608">
              <w:rPr>
                <w:rStyle w:val="Hyperlink"/>
              </w:rPr>
              <w:t>2.1</w:t>
            </w:r>
            <w:r w:rsidR="0085104E">
              <w:rPr>
                <w:rFonts w:asciiTheme="minorHAnsi" w:eastAsiaTheme="minorEastAsia" w:hAnsiTheme="minorHAnsi"/>
                <w:b w:val="0"/>
                <w:color w:val="auto"/>
                <w:sz w:val="22"/>
                <w:lang w:eastAsia="en-AU"/>
              </w:rPr>
              <w:tab/>
            </w:r>
            <w:r w:rsidR="0085104E" w:rsidRPr="00E35608">
              <w:rPr>
                <w:rStyle w:val="Hyperlink"/>
              </w:rPr>
              <w:t>Final decision</w:t>
            </w:r>
            <w:r w:rsidR="0085104E">
              <w:rPr>
                <w:webHidden/>
              </w:rPr>
              <w:tab/>
            </w:r>
            <w:r w:rsidR="0085104E">
              <w:rPr>
                <w:webHidden/>
              </w:rPr>
              <w:fldChar w:fldCharType="begin"/>
            </w:r>
            <w:r w:rsidR="0085104E">
              <w:rPr>
                <w:webHidden/>
              </w:rPr>
              <w:instrText xml:space="preserve"> PAGEREF _Toc413251305 \h </w:instrText>
            </w:r>
            <w:r w:rsidR="0085104E">
              <w:rPr>
                <w:webHidden/>
              </w:rPr>
            </w:r>
            <w:r w:rsidR="0085104E">
              <w:rPr>
                <w:webHidden/>
              </w:rPr>
              <w:fldChar w:fldCharType="separate"/>
            </w:r>
            <w:r w:rsidR="00CB3965">
              <w:rPr>
                <w:webHidden/>
              </w:rPr>
              <w:t>2-6</w:t>
            </w:r>
            <w:r w:rsidR="0085104E">
              <w:rPr>
                <w:webHidden/>
              </w:rPr>
              <w:fldChar w:fldCharType="end"/>
            </w:r>
          </w:hyperlink>
        </w:p>
        <w:p w:rsidR="0085104E" w:rsidRDefault="00EB1BEC">
          <w:pPr>
            <w:pStyle w:val="TOC2"/>
            <w:rPr>
              <w:rFonts w:asciiTheme="minorHAnsi" w:eastAsiaTheme="minorEastAsia" w:hAnsiTheme="minorHAnsi"/>
              <w:b w:val="0"/>
              <w:color w:val="auto"/>
              <w:sz w:val="22"/>
              <w:lang w:eastAsia="en-AU"/>
            </w:rPr>
          </w:pPr>
          <w:hyperlink w:anchor="_Toc413251306" w:history="1">
            <w:r w:rsidR="0085104E" w:rsidRPr="00E35608">
              <w:rPr>
                <w:rStyle w:val="Hyperlink"/>
              </w:rPr>
              <w:t>2.2</w:t>
            </w:r>
            <w:r w:rsidR="0085104E">
              <w:rPr>
                <w:rFonts w:asciiTheme="minorHAnsi" w:eastAsiaTheme="minorEastAsia" w:hAnsiTheme="minorHAnsi"/>
                <w:b w:val="0"/>
                <w:color w:val="auto"/>
                <w:sz w:val="22"/>
                <w:lang w:eastAsia="en-AU"/>
              </w:rPr>
              <w:tab/>
            </w:r>
            <w:r w:rsidR="0085104E" w:rsidRPr="00E35608">
              <w:rPr>
                <w:rStyle w:val="Hyperlink"/>
              </w:rPr>
              <w:t>Directlink’s revised proposal</w:t>
            </w:r>
            <w:r w:rsidR="0085104E">
              <w:rPr>
                <w:webHidden/>
              </w:rPr>
              <w:tab/>
            </w:r>
            <w:r w:rsidR="0085104E">
              <w:rPr>
                <w:webHidden/>
              </w:rPr>
              <w:fldChar w:fldCharType="begin"/>
            </w:r>
            <w:r w:rsidR="0085104E">
              <w:rPr>
                <w:webHidden/>
              </w:rPr>
              <w:instrText xml:space="preserve"> PAGEREF _Toc413251306 \h </w:instrText>
            </w:r>
            <w:r w:rsidR="0085104E">
              <w:rPr>
                <w:webHidden/>
              </w:rPr>
            </w:r>
            <w:r w:rsidR="0085104E">
              <w:rPr>
                <w:webHidden/>
              </w:rPr>
              <w:fldChar w:fldCharType="separate"/>
            </w:r>
            <w:r w:rsidR="00CB3965">
              <w:rPr>
                <w:webHidden/>
              </w:rPr>
              <w:t>2-8</w:t>
            </w:r>
            <w:r w:rsidR="0085104E">
              <w:rPr>
                <w:webHidden/>
              </w:rPr>
              <w:fldChar w:fldCharType="end"/>
            </w:r>
          </w:hyperlink>
        </w:p>
        <w:p w:rsidR="0085104E" w:rsidRDefault="00EB1BEC">
          <w:pPr>
            <w:pStyle w:val="TOC2"/>
            <w:rPr>
              <w:rFonts w:asciiTheme="minorHAnsi" w:eastAsiaTheme="minorEastAsia" w:hAnsiTheme="minorHAnsi"/>
              <w:b w:val="0"/>
              <w:color w:val="auto"/>
              <w:sz w:val="22"/>
              <w:lang w:eastAsia="en-AU"/>
            </w:rPr>
          </w:pPr>
          <w:hyperlink w:anchor="_Toc413251307" w:history="1">
            <w:r w:rsidR="0085104E" w:rsidRPr="00E35608">
              <w:rPr>
                <w:rStyle w:val="Hyperlink"/>
              </w:rPr>
              <w:t>2.3</w:t>
            </w:r>
            <w:r w:rsidR="0085104E">
              <w:rPr>
                <w:rFonts w:asciiTheme="minorHAnsi" w:eastAsiaTheme="minorEastAsia" w:hAnsiTheme="minorHAnsi"/>
                <w:b w:val="0"/>
                <w:color w:val="auto"/>
                <w:sz w:val="22"/>
                <w:lang w:eastAsia="en-AU"/>
              </w:rPr>
              <w:tab/>
            </w:r>
            <w:r w:rsidR="0085104E" w:rsidRPr="00E35608">
              <w:rPr>
                <w:rStyle w:val="Hyperlink"/>
              </w:rPr>
              <w:t>AER’s assessment approach</w:t>
            </w:r>
            <w:r w:rsidR="0085104E">
              <w:rPr>
                <w:webHidden/>
              </w:rPr>
              <w:tab/>
            </w:r>
            <w:r w:rsidR="0085104E">
              <w:rPr>
                <w:webHidden/>
              </w:rPr>
              <w:fldChar w:fldCharType="begin"/>
            </w:r>
            <w:r w:rsidR="0085104E">
              <w:rPr>
                <w:webHidden/>
              </w:rPr>
              <w:instrText xml:space="preserve"> PAGEREF _Toc413251307 \h </w:instrText>
            </w:r>
            <w:r w:rsidR="0085104E">
              <w:rPr>
                <w:webHidden/>
              </w:rPr>
            </w:r>
            <w:r w:rsidR="0085104E">
              <w:rPr>
                <w:webHidden/>
              </w:rPr>
              <w:fldChar w:fldCharType="separate"/>
            </w:r>
            <w:r w:rsidR="00CB3965">
              <w:rPr>
                <w:webHidden/>
              </w:rPr>
              <w:t>2-9</w:t>
            </w:r>
            <w:r w:rsidR="0085104E">
              <w:rPr>
                <w:webHidden/>
              </w:rPr>
              <w:fldChar w:fldCharType="end"/>
            </w:r>
          </w:hyperlink>
        </w:p>
        <w:p w:rsidR="0085104E" w:rsidRDefault="00EB1BEC">
          <w:pPr>
            <w:pStyle w:val="TOC2"/>
            <w:rPr>
              <w:rFonts w:asciiTheme="minorHAnsi" w:eastAsiaTheme="minorEastAsia" w:hAnsiTheme="minorHAnsi"/>
              <w:b w:val="0"/>
              <w:color w:val="auto"/>
              <w:sz w:val="22"/>
              <w:lang w:eastAsia="en-AU"/>
            </w:rPr>
          </w:pPr>
          <w:hyperlink w:anchor="_Toc413251308" w:history="1">
            <w:r w:rsidR="0085104E" w:rsidRPr="00E35608">
              <w:rPr>
                <w:rStyle w:val="Hyperlink"/>
              </w:rPr>
              <w:t>2.4</w:t>
            </w:r>
            <w:r w:rsidR="0085104E">
              <w:rPr>
                <w:rFonts w:asciiTheme="minorHAnsi" w:eastAsiaTheme="minorEastAsia" w:hAnsiTheme="minorHAnsi"/>
                <w:b w:val="0"/>
                <w:color w:val="auto"/>
                <w:sz w:val="22"/>
                <w:lang w:eastAsia="en-AU"/>
              </w:rPr>
              <w:tab/>
            </w:r>
            <w:r w:rsidR="0085104E" w:rsidRPr="00E35608">
              <w:rPr>
                <w:rStyle w:val="Hyperlink"/>
              </w:rPr>
              <w:t>Reasons for final decision</w:t>
            </w:r>
            <w:r w:rsidR="0085104E">
              <w:rPr>
                <w:webHidden/>
              </w:rPr>
              <w:tab/>
            </w:r>
            <w:r w:rsidR="0085104E">
              <w:rPr>
                <w:webHidden/>
              </w:rPr>
              <w:fldChar w:fldCharType="begin"/>
            </w:r>
            <w:r w:rsidR="0085104E">
              <w:rPr>
                <w:webHidden/>
              </w:rPr>
              <w:instrText xml:space="preserve"> PAGEREF _Toc413251308 \h </w:instrText>
            </w:r>
            <w:r w:rsidR="0085104E">
              <w:rPr>
                <w:webHidden/>
              </w:rPr>
            </w:r>
            <w:r w:rsidR="0085104E">
              <w:rPr>
                <w:webHidden/>
              </w:rPr>
              <w:fldChar w:fldCharType="separate"/>
            </w:r>
            <w:r w:rsidR="00CB3965">
              <w:rPr>
                <w:webHidden/>
              </w:rPr>
              <w:t>2-9</w:t>
            </w:r>
            <w:r w:rsidR="0085104E">
              <w:rPr>
                <w:webHidden/>
              </w:rPr>
              <w:fldChar w:fldCharType="end"/>
            </w:r>
          </w:hyperlink>
        </w:p>
        <w:p w:rsidR="0085104E" w:rsidRDefault="00EB1BEC">
          <w:pPr>
            <w:pStyle w:val="TOC3"/>
            <w:rPr>
              <w:rFonts w:asciiTheme="minorHAnsi" w:eastAsiaTheme="minorEastAsia" w:hAnsiTheme="minorHAnsi"/>
              <w:lang w:eastAsia="en-AU"/>
            </w:rPr>
          </w:pPr>
          <w:hyperlink w:anchor="_Toc413251309" w:history="1">
            <w:r w:rsidR="0085104E" w:rsidRPr="00E35608">
              <w:rPr>
                <w:rStyle w:val="Hyperlink"/>
              </w:rPr>
              <w:t>2.4.1</w:t>
            </w:r>
            <w:r w:rsidR="0085104E">
              <w:rPr>
                <w:rFonts w:asciiTheme="minorHAnsi" w:eastAsiaTheme="minorEastAsia" w:hAnsiTheme="minorHAnsi"/>
                <w:lang w:eastAsia="en-AU"/>
              </w:rPr>
              <w:tab/>
            </w:r>
            <w:r w:rsidR="0085104E" w:rsidRPr="00E35608">
              <w:rPr>
                <w:rStyle w:val="Hyperlink"/>
              </w:rPr>
              <w:t>Opening RAB at 1 July 2014</w:t>
            </w:r>
            <w:r w:rsidR="0085104E">
              <w:rPr>
                <w:webHidden/>
              </w:rPr>
              <w:tab/>
            </w:r>
            <w:r w:rsidR="0085104E">
              <w:rPr>
                <w:webHidden/>
              </w:rPr>
              <w:fldChar w:fldCharType="begin"/>
            </w:r>
            <w:r w:rsidR="0085104E">
              <w:rPr>
                <w:webHidden/>
              </w:rPr>
              <w:instrText xml:space="preserve"> PAGEREF _Toc413251309 \h </w:instrText>
            </w:r>
            <w:r w:rsidR="0085104E">
              <w:rPr>
                <w:webHidden/>
              </w:rPr>
            </w:r>
            <w:r w:rsidR="0085104E">
              <w:rPr>
                <w:webHidden/>
              </w:rPr>
              <w:fldChar w:fldCharType="separate"/>
            </w:r>
            <w:r w:rsidR="00CB3965">
              <w:rPr>
                <w:webHidden/>
              </w:rPr>
              <w:t>2-9</w:t>
            </w:r>
            <w:r w:rsidR="0085104E">
              <w:rPr>
                <w:webHidden/>
              </w:rPr>
              <w:fldChar w:fldCharType="end"/>
            </w:r>
          </w:hyperlink>
        </w:p>
        <w:p w:rsidR="0085104E" w:rsidRDefault="00EB1BEC">
          <w:pPr>
            <w:pStyle w:val="TOC3"/>
            <w:rPr>
              <w:rFonts w:asciiTheme="minorHAnsi" w:eastAsiaTheme="minorEastAsia" w:hAnsiTheme="minorHAnsi"/>
              <w:lang w:eastAsia="en-AU"/>
            </w:rPr>
          </w:pPr>
          <w:hyperlink w:anchor="_Toc413251310" w:history="1">
            <w:r w:rsidR="0085104E" w:rsidRPr="00E35608">
              <w:rPr>
                <w:rStyle w:val="Hyperlink"/>
              </w:rPr>
              <w:t>2.4.2</w:t>
            </w:r>
            <w:r w:rsidR="0085104E">
              <w:rPr>
                <w:rFonts w:asciiTheme="minorHAnsi" w:eastAsiaTheme="minorEastAsia" w:hAnsiTheme="minorHAnsi"/>
                <w:lang w:eastAsia="en-AU"/>
              </w:rPr>
              <w:tab/>
            </w:r>
            <w:r w:rsidR="0085104E" w:rsidRPr="00E35608">
              <w:rPr>
                <w:rStyle w:val="Hyperlink"/>
              </w:rPr>
              <w:t>Forecast closing RAB at 30 June 2020</w:t>
            </w:r>
            <w:r w:rsidR="0085104E">
              <w:rPr>
                <w:webHidden/>
              </w:rPr>
              <w:tab/>
            </w:r>
            <w:r w:rsidR="0085104E">
              <w:rPr>
                <w:webHidden/>
              </w:rPr>
              <w:fldChar w:fldCharType="begin"/>
            </w:r>
            <w:r w:rsidR="0085104E">
              <w:rPr>
                <w:webHidden/>
              </w:rPr>
              <w:instrText xml:space="preserve"> PAGEREF _Toc413251310 \h </w:instrText>
            </w:r>
            <w:r w:rsidR="0085104E">
              <w:rPr>
                <w:webHidden/>
              </w:rPr>
            </w:r>
            <w:r w:rsidR="0085104E">
              <w:rPr>
                <w:webHidden/>
              </w:rPr>
              <w:fldChar w:fldCharType="separate"/>
            </w:r>
            <w:r w:rsidR="00CB3965">
              <w:rPr>
                <w:webHidden/>
              </w:rPr>
              <w:t>2-10</w:t>
            </w:r>
            <w:r w:rsidR="0085104E">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3251303"/>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09562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2B0926"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 xml:space="preserve">revenue </w:t>
            </w:r>
            <w:r w:rsidR="002B0926">
              <w:t xml:space="preserve">and </w:t>
            </w:r>
            <w:r w:rsidRPr="00307E24">
              <w:t>pricing principles</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095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09562E">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6567A1" w:rsidP="006567A1">
      <w:pPr>
        <w:pStyle w:val="Heading1"/>
      </w:pPr>
      <w:bookmarkStart w:id="10" w:name="_Toc413251304"/>
      <w:r>
        <w:lastRenderedPageBreak/>
        <w:t>Regulatory asset base</w:t>
      </w:r>
      <w:bookmarkEnd w:id="10"/>
    </w:p>
    <w:p w:rsidR="0009562E" w:rsidRDefault="0009562E" w:rsidP="0009562E">
      <w:pPr>
        <w:numPr>
          <w:ilvl w:val="0"/>
          <w:numId w:val="25"/>
        </w:numPr>
      </w:pPr>
      <w:r>
        <w:t xml:space="preserve">The </w:t>
      </w:r>
      <w:r w:rsidRPr="00A80E37">
        <w:t>regulatory asset base (RAB</w:t>
      </w:r>
      <w:r>
        <w:t>) is the value of assets used by Directlink to provide prescribed transmission services.</w:t>
      </w:r>
      <w:r w:rsidRPr="00A15399">
        <w:rPr>
          <w:rStyle w:val="FootnoteReference"/>
        </w:rPr>
        <w:footnoteReference w:id="1"/>
      </w:r>
      <w:r w:rsidRPr="00A15399">
        <w:t xml:space="preserve"> </w:t>
      </w:r>
      <w:r w:rsidR="005F0558">
        <w:t>These include transmission lines, converter stations and easements.</w:t>
      </w:r>
      <w:r w:rsidR="00F361D0">
        <w:t xml:space="preserve"> </w:t>
      </w:r>
      <w:r w:rsidRPr="0015485B">
        <w:t xml:space="preserve">The AER's revenue determination is to specify the RAB as at the commencement of the regulatory control period and </w:t>
      </w:r>
      <w:r>
        <w:t xml:space="preserve">the </w:t>
      </w:r>
      <w:r w:rsidRPr="0015485B">
        <w:t>appropriate method for the indexation of the RAB.</w:t>
      </w:r>
      <w:r>
        <w:rPr>
          <w:rStyle w:val="FootnoteReference"/>
        </w:rPr>
        <w:footnoteReference w:id="2"/>
      </w:r>
      <w:r w:rsidRPr="0015485B">
        <w:t xml:space="preserve"> </w:t>
      </w:r>
      <w:r w:rsidRPr="00996D8E">
        <w:t xml:space="preserve">The indexation of the RAB is one of the building blocks that form the annual building block revenue requirement for each year of the </w:t>
      </w:r>
      <w:r>
        <w:t>2015–20 regulatory control</w:t>
      </w:r>
      <w:r w:rsidRPr="00996D8E">
        <w:t xml:space="preserve"> period.</w:t>
      </w:r>
      <w:r>
        <w:rPr>
          <w:rStyle w:val="FootnoteReference"/>
        </w:rPr>
        <w:footnoteReference w:id="3"/>
      </w:r>
      <w:r w:rsidRPr="0009562E">
        <w:rPr>
          <w:rStyle w:val="CommentReference"/>
        </w:rPr>
        <w:t xml:space="preserve"> </w:t>
      </w:r>
      <w:r w:rsidRPr="00A15399">
        <w:t xml:space="preserve">We set the RAB as the foundation for </w:t>
      </w:r>
      <w:r w:rsidRPr="00A80E37">
        <w:t xml:space="preserve">determining </w:t>
      </w:r>
      <w:r w:rsidRPr="0009562E">
        <w:rPr>
          <w:rStyle w:val="AERbody"/>
        </w:rPr>
        <w:t>a TNSP's</w:t>
      </w:r>
      <w:r w:rsidRPr="00A80E37">
        <w:t xml:space="preserve"> revenue</w:t>
      </w:r>
      <w:r w:rsidRPr="008F6FA4">
        <w:t xml:space="preserve"> requirements, and use the opening RAB for each regulatory year to determine the return on capital </w:t>
      </w:r>
      <w:r>
        <w:t xml:space="preserve">and </w:t>
      </w:r>
      <w:r w:rsidRPr="008F6FA4">
        <w:t>return of capital (regulatory depreciation) building block allowances.</w:t>
      </w:r>
      <w:r>
        <w:rPr>
          <w:rStyle w:val="FootnoteReference"/>
        </w:rPr>
        <w:footnoteReference w:id="4"/>
      </w:r>
      <w:r w:rsidRPr="008F6FA4">
        <w:t xml:space="preserve"> </w:t>
      </w:r>
    </w:p>
    <w:p w:rsidR="00DE563D" w:rsidRPr="00AF1F9E" w:rsidRDefault="0009562E" w:rsidP="00AF1F9E">
      <w:pPr>
        <w:numPr>
          <w:ilvl w:val="0"/>
          <w:numId w:val="25"/>
        </w:numPr>
      </w:pPr>
      <w:r w:rsidRPr="0009562E">
        <w:rPr>
          <w:rStyle w:val="AERbody"/>
        </w:rPr>
        <w:t>This attachment presents our final decision on the opening RAB value as at 1 July 2015 for</w:t>
      </w:r>
      <w:r w:rsidRPr="008F6FA4">
        <w:t xml:space="preserve"> </w:t>
      </w:r>
      <w:r>
        <w:t xml:space="preserve">Directlink. It also presents our </w:t>
      </w:r>
      <w:r w:rsidRPr="00A15399">
        <w:t>for</w:t>
      </w:r>
      <w:r>
        <w:t>ecast RAB values for Directlink over the 2015–20 regulatory control period</w:t>
      </w:r>
      <w:r w:rsidRPr="00A15399">
        <w:t xml:space="preserve">. </w:t>
      </w:r>
    </w:p>
    <w:p w:rsidR="00DE563D" w:rsidRPr="00AF1F9E" w:rsidRDefault="00AF1F9E" w:rsidP="00AF1F9E">
      <w:pPr>
        <w:pStyle w:val="Heading2"/>
      </w:pPr>
      <w:bookmarkStart w:id="11" w:name="_Toc403144136"/>
      <w:bookmarkStart w:id="12" w:name="_Toc413251305"/>
      <w:r>
        <w:t>Final</w:t>
      </w:r>
      <w:r w:rsidR="00DE563D" w:rsidRPr="00AF1F9E">
        <w:t xml:space="preserve"> decision</w:t>
      </w:r>
      <w:bookmarkEnd w:id="11"/>
      <w:bookmarkEnd w:id="12"/>
    </w:p>
    <w:p w:rsidR="0009562E" w:rsidRDefault="0009562E" w:rsidP="0071233F">
      <w:pPr>
        <w:numPr>
          <w:ilvl w:val="0"/>
          <w:numId w:val="25"/>
        </w:numPr>
      </w:pPr>
      <w:r w:rsidRPr="004500F9">
        <w:t xml:space="preserve">We </w:t>
      </w:r>
      <w:r w:rsidR="009A6839">
        <w:t>determine an</w:t>
      </w:r>
      <w:r>
        <w:t xml:space="preserve"> opening RAB value of $</w:t>
      </w:r>
      <w:r w:rsidR="0070212F">
        <w:t>129.4</w:t>
      </w:r>
      <w:r w:rsidR="00983926">
        <w:t xml:space="preserve"> </w:t>
      </w:r>
      <w:r>
        <w:t>million as at 1 July 2015</w:t>
      </w:r>
      <w:r w:rsidR="009A6839">
        <w:t xml:space="preserve"> for Directlink</w:t>
      </w:r>
      <w:r>
        <w:t>.</w:t>
      </w:r>
      <w:r>
        <w:rPr>
          <w:rStyle w:val="FootnoteReference"/>
        </w:rPr>
        <w:footnoteReference w:id="5"/>
      </w:r>
      <w:r>
        <w:t xml:space="preserve"> </w:t>
      </w:r>
      <w:r w:rsidR="0071233F">
        <w:t>Th</w:t>
      </w:r>
      <w:r w:rsidR="00925E9D">
        <w:t>is value is $</w:t>
      </w:r>
      <w:r w:rsidR="002D6697">
        <w:t>1.5</w:t>
      </w:r>
      <w:r w:rsidR="00925E9D">
        <w:t xml:space="preserve"> million (or </w:t>
      </w:r>
      <w:r w:rsidR="0070212F">
        <w:t>1.2</w:t>
      </w:r>
      <w:r w:rsidR="00925E9D">
        <w:t xml:space="preserve"> per cent) lower than Directlink's value of $131.0 million in its revised proposal. This is because we </w:t>
      </w:r>
      <w:r w:rsidR="00692AD1">
        <w:t>have updated</w:t>
      </w:r>
      <w:r w:rsidR="00925E9D">
        <w:t xml:space="preserve"> </w:t>
      </w:r>
      <w:r w:rsidR="00E24842">
        <w:t>the RAB roll forward for the recent availability of the 2014–15 actual inflation input.</w:t>
      </w:r>
    </w:p>
    <w:p w:rsidR="0009562E" w:rsidRDefault="0009562E" w:rsidP="0009562E">
      <w:pPr>
        <w:numPr>
          <w:ilvl w:val="0"/>
          <w:numId w:val="25"/>
        </w:numPr>
      </w:pPr>
      <w:r w:rsidRPr="00362857">
        <w:t xml:space="preserve">We </w:t>
      </w:r>
      <w:r w:rsidR="001D04FF">
        <w:t xml:space="preserve">do not accept Directlink's revised proposed forecast closing RAB as at 30 June 2020 of $163.1 million. We instead </w:t>
      </w:r>
      <w:r w:rsidRPr="00362857">
        <w:t xml:space="preserve">determine </w:t>
      </w:r>
      <w:r w:rsidR="001D04FF">
        <w:t>the</w:t>
      </w:r>
      <w:r w:rsidRPr="00362857">
        <w:t xml:space="preserve"> forecast closing RAB </w:t>
      </w:r>
      <w:r w:rsidR="001D04FF">
        <w:t>to be</w:t>
      </w:r>
      <w:r w:rsidRPr="00362857">
        <w:t xml:space="preserve"> $</w:t>
      </w:r>
      <w:r w:rsidR="002D6697">
        <w:t>148.6</w:t>
      </w:r>
      <w:r w:rsidRPr="00362857">
        <w:t> million ($ nominal). This is $</w:t>
      </w:r>
      <w:r w:rsidR="002D6697">
        <w:t>14.5</w:t>
      </w:r>
      <w:r w:rsidRPr="00362857">
        <w:t xml:space="preserve"> million (or </w:t>
      </w:r>
      <w:r w:rsidR="002D6697">
        <w:t>8.9</w:t>
      </w:r>
      <w:r w:rsidRPr="00362857">
        <w:t xml:space="preserve"> per cent) lower than </w:t>
      </w:r>
      <w:r>
        <w:t>Directlink</w:t>
      </w:r>
      <w:r w:rsidR="001D04FF">
        <w:t>'s revised proposal</w:t>
      </w:r>
      <w:r w:rsidRPr="00362857">
        <w:t xml:space="preserve">. Our </w:t>
      </w:r>
      <w:r w:rsidR="00983926">
        <w:t>final</w:t>
      </w:r>
      <w:r w:rsidRPr="00362857">
        <w:t xml:space="preserve"> decision on the forecast closing RAB reflects our </w:t>
      </w:r>
      <w:r w:rsidR="001D04FF">
        <w:t>adjustments to Directlink's</w:t>
      </w:r>
      <w:r w:rsidRPr="00362857">
        <w:t xml:space="preserve"> </w:t>
      </w:r>
      <w:r w:rsidR="009B1C1A">
        <w:t xml:space="preserve">opening RAB as at 1 July 2015, </w:t>
      </w:r>
      <w:r w:rsidRPr="00362857">
        <w:t xml:space="preserve">forecast capex (attachment </w:t>
      </w:r>
      <w:r>
        <w:t>6</w:t>
      </w:r>
      <w:r w:rsidRPr="00362857">
        <w:t xml:space="preserve">) and forecast regulatory depreciation (attachment </w:t>
      </w:r>
      <w:r>
        <w:t>5</w:t>
      </w:r>
      <w:r w:rsidRPr="00362857">
        <w:t>).</w:t>
      </w:r>
    </w:p>
    <w:p w:rsidR="00EF1EAC" w:rsidRDefault="00EF1EAC" w:rsidP="00EF1EAC">
      <w:pPr>
        <w:numPr>
          <w:ilvl w:val="0"/>
          <w:numId w:val="25"/>
        </w:numPr>
      </w:pPr>
      <w:r w:rsidRPr="00EF1EAC">
        <w:t xml:space="preserve">We note </w:t>
      </w:r>
      <w:r w:rsidR="00A055C7">
        <w:t xml:space="preserve">that </w:t>
      </w:r>
      <w:r>
        <w:t>Directlink's</w:t>
      </w:r>
      <w:r w:rsidRPr="00EF1EAC">
        <w:t xml:space="preserve"> revised proposal adopted our draft decision on the use of forecast depreciation for establishing the RAB at the commencement of the regulatory control period </w:t>
      </w:r>
      <w:r>
        <w:t>from 1 July 2020</w:t>
      </w:r>
      <w:r w:rsidRPr="00EF1EAC">
        <w:t>.</w:t>
      </w:r>
      <w:r w:rsidRPr="00EF1EAC">
        <w:rPr>
          <w:rStyle w:val="FootnoteReference"/>
        </w:rPr>
        <w:footnoteReference w:id="6"/>
      </w:r>
      <w:r w:rsidRPr="00EF1EAC">
        <w:t xml:space="preserve"> We therefore </w:t>
      </w:r>
      <w:r w:rsidR="00F361D0">
        <w:t>maintain our draft decision</w:t>
      </w:r>
      <w:r w:rsidR="00FF70FD">
        <w:t xml:space="preserve"> position</w:t>
      </w:r>
      <w:r w:rsidRPr="00EF1EAC">
        <w:t xml:space="preserve"> on this </w:t>
      </w:r>
      <w:r w:rsidR="00F361D0">
        <w:t>issue</w:t>
      </w:r>
      <w:r w:rsidRPr="00EF1EAC">
        <w:t xml:space="preserve"> for th</w:t>
      </w:r>
      <w:r w:rsidR="00185709">
        <w:t>is</w:t>
      </w:r>
      <w:r w:rsidRPr="00EF1EAC">
        <w:t xml:space="preserve"> final decision. </w:t>
      </w:r>
      <w:r>
        <w:t xml:space="preserve"> </w:t>
      </w:r>
    </w:p>
    <w:p w:rsidR="00EF1EAC" w:rsidRPr="00EF1EAC" w:rsidRDefault="00EF1EAC" w:rsidP="00EF1EAC">
      <w:pPr>
        <w:pStyle w:val="ListParagraph"/>
        <w:numPr>
          <w:ilvl w:val="0"/>
          <w:numId w:val="25"/>
        </w:numPr>
      </w:pPr>
    </w:p>
    <w:p w:rsidR="00EF1EAC" w:rsidRDefault="00EF1EAC" w:rsidP="00EF1EAC"/>
    <w:p w:rsidR="0009562E" w:rsidRDefault="0009562E" w:rsidP="0009562E">
      <w:pPr>
        <w:numPr>
          <w:ilvl w:val="0"/>
          <w:numId w:val="25"/>
        </w:numPr>
      </w:pPr>
      <w:r>
        <w:lastRenderedPageBreak/>
        <w:fldChar w:fldCharType="begin"/>
      </w:r>
      <w:r>
        <w:instrText xml:space="preserve"> REF _Ref402784955 \h </w:instrText>
      </w:r>
      <w:r>
        <w:fldChar w:fldCharType="separate"/>
      </w:r>
      <w:r w:rsidRPr="002452D2">
        <w:t xml:space="preserve">Table </w:t>
      </w:r>
      <w:r>
        <w:t>2</w:t>
      </w:r>
      <w:r>
        <w:noBreakHyphen/>
      </w:r>
      <w:r w:rsidRPr="0009562E">
        <w:t>1</w:t>
      </w:r>
      <w:r>
        <w:fldChar w:fldCharType="end"/>
      </w:r>
      <w:r>
        <w:t xml:space="preserve"> and </w:t>
      </w:r>
      <w:r>
        <w:fldChar w:fldCharType="begin"/>
      </w:r>
      <w:r>
        <w:instrText xml:space="preserve"> REF _Ref402784956 \h </w:instrText>
      </w:r>
      <w:r>
        <w:fldChar w:fldCharType="separate"/>
      </w:r>
      <w:r w:rsidRPr="009275BB">
        <w:t xml:space="preserve">Table </w:t>
      </w:r>
      <w:r>
        <w:t>2</w:t>
      </w:r>
      <w:r>
        <w:noBreakHyphen/>
      </w:r>
      <w:r w:rsidRPr="0009562E">
        <w:t>2</w:t>
      </w:r>
      <w:r>
        <w:fldChar w:fldCharType="end"/>
      </w:r>
      <w:r>
        <w:t xml:space="preserve"> </w:t>
      </w:r>
      <w:r w:rsidRPr="005F16CE">
        <w:t>set out our</w:t>
      </w:r>
      <w:r w:rsidR="00673E21">
        <w:t xml:space="preserve"> final</w:t>
      </w:r>
      <w:r w:rsidRPr="005F16CE">
        <w:t xml:space="preserve"> d</w:t>
      </w:r>
      <w:r>
        <w:t>ecision on the roll forward of the</w:t>
      </w:r>
      <w:r w:rsidRPr="005F16CE">
        <w:t xml:space="preserve"> RAB</w:t>
      </w:r>
      <w:r>
        <w:t xml:space="preserve"> values</w:t>
      </w:r>
      <w:r w:rsidRPr="005F16CE">
        <w:t xml:space="preserve"> </w:t>
      </w:r>
      <w:r>
        <w:t>for Directlink's 200</w:t>
      </w:r>
      <w:r w:rsidRPr="005456B5">
        <w:t>5–</w:t>
      </w:r>
      <w:r>
        <w:t>15</w:t>
      </w:r>
      <w:r w:rsidRPr="005456B5">
        <w:t xml:space="preserve"> regulatory control period</w:t>
      </w:r>
      <w:r>
        <w:t xml:space="preserve"> and </w:t>
      </w:r>
      <w:r w:rsidRPr="005F16CE">
        <w:t xml:space="preserve">forecast </w:t>
      </w:r>
      <w:r>
        <w:t xml:space="preserve">RAB values for </w:t>
      </w:r>
      <w:r w:rsidRPr="00D528E6">
        <w:t>Directlink's 2015–20 regulatory control period</w:t>
      </w:r>
      <w:r w:rsidRPr="005F16CE">
        <w:t xml:space="preserve"> respectively.</w:t>
      </w:r>
      <w:r>
        <w:t xml:space="preserve"> </w:t>
      </w:r>
    </w:p>
    <w:p w:rsidR="0009562E" w:rsidRPr="0009562E" w:rsidRDefault="0009562E" w:rsidP="0009562E">
      <w:pPr>
        <w:pStyle w:val="Caption"/>
      </w:pPr>
      <w:bookmarkStart w:id="13" w:name="_Ref402784955"/>
      <w:r w:rsidRPr="002452D2">
        <w:t xml:space="preserve">Table </w:t>
      </w:r>
      <w:r w:rsidRPr="0009562E">
        <w:t>2</w:t>
      </w:r>
      <w:r w:rsidRPr="0009562E">
        <w:noBreakHyphen/>
      </w:r>
      <w:fldSimple w:instr=" SEQ Table \* ARABIC \s 1 ">
        <w:r w:rsidRPr="0009562E">
          <w:t>1</w:t>
        </w:r>
      </w:fldSimple>
      <w:bookmarkEnd w:id="13"/>
      <w:r w:rsidRPr="0009562E">
        <w:tab/>
        <w:t xml:space="preserve">AER's </w:t>
      </w:r>
      <w:r>
        <w:t xml:space="preserve">final </w:t>
      </w:r>
      <w:r w:rsidRPr="0009562E">
        <w:t>decision on Directlink's RAB for the 2005–15 regulatory control period ($ million, nominal)</w:t>
      </w:r>
    </w:p>
    <w:tbl>
      <w:tblPr>
        <w:tblStyle w:val="AERtable-numbers"/>
        <w:tblW w:w="5000" w:type="pct"/>
        <w:tblLayout w:type="fixed"/>
        <w:tblLook w:val="01E0" w:firstRow="1" w:lastRow="1" w:firstColumn="1" w:lastColumn="1" w:noHBand="0" w:noVBand="0"/>
      </w:tblPr>
      <w:tblGrid>
        <w:gridCol w:w="1668"/>
        <w:gridCol w:w="709"/>
        <w:gridCol w:w="709"/>
        <w:gridCol w:w="709"/>
        <w:gridCol w:w="784"/>
        <w:gridCol w:w="636"/>
        <w:gridCol w:w="680"/>
        <w:gridCol w:w="680"/>
        <w:gridCol w:w="680"/>
        <w:gridCol w:w="763"/>
        <w:gridCol w:w="675"/>
      </w:tblGrid>
      <w:tr w:rsidR="0009562E" w:rsidRPr="0009562E" w:rsidTr="00185709">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959" w:type="pct"/>
          </w:tcPr>
          <w:p w:rsidR="0009562E" w:rsidRPr="0009562E" w:rsidRDefault="0009562E" w:rsidP="0009562E"/>
        </w:tc>
        <w:tc>
          <w:tcPr>
            <w:tcW w:w="408"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2005–06</w:t>
            </w:r>
          </w:p>
        </w:tc>
        <w:tc>
          <w:tcPr>
            <w:tcW w:w="408"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2006–07</w:t>
            </w:r>
          </w:p>
        </w:tc>
        <w:tc>
          <w:tcPr>
            <w:tcW w:w="408"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2007–08</w:t>
            </w:r>
          </w:p>
        </w:tc>
        <w:tc>
          <w:tcPr>
            <w:tcW w:w="451"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2008–09</w:t>
            </w:r>
          </w:p>
        </w:tc>
        <w:tc>
          <w:tcPr>
            <w:tcW w:w="366"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2009–10</w:t>
            </w:r>
          </w:p>
        </w:tc>
        <w:tc>
          <w:tcPr>
            <w:tcW w:w="391"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2010–11</w:t>
            </w:r>
          </w:p>
        </w:tc>
        <w:tc>
          <w:tcPr>
            <w:tcW w:w="391"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2011–12</w:t>
            </w:r>
          </w:p>
        </w:tc>
        <w:tc>
          <w:tcPr>
            <w:tcW w:w="391"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2012–13</w:t>
            </w:r>
          </w:p>
        </w:tc>
        <w:tc>
          <w:tcPr>
            <w:tcW w:w="439"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2013–14</w:t>
            </w:r>
          </w:p>
        </w:tc>
        <w:tc>
          <w:tcPr>
            <w:tcW w:w="388"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2014–15</w:t>
            </w:r>
            <w:r>
              <w:rPr>
                <w:rStyle w:val="AERsuperscript"/>
              </w:rPr>
              <w:t>a</w:t>
            </w:r>
          </w:p>
        </w:tc>
      </w:tr>
      <w:tr w:rsidR="0009562E" w:rsidRPr="0009562E" w:rsidTr="00185709">
        <w:trPr>
          <w:trHeight w:val="531"/>
        </w:trPr>
        <w:tc>
          <w:tcPr>
            <w:cnfStyle w:val="001000000000" w:firstRow="0" w:lastRow="0" w:firstColumn="1" w:lastColumn="0" w:oddVBand="0" w:evenVBand="0" w:oddHBand="0" w:evenHBand="0" w:firstRowFirstColumn="0" w:firstRowLastColumn="0" w:lastRowFirstColumn="0" w:lastRowLastColumn="0"/>
            <w:tcW w:w="959" w:type="pct"/>
          </w:tcPr>
          <w:p w:rsidR="0009562E" w:rsidRPr="0009562E" w:rsidRDefault="0009562E" w:rsidP="0009562E">
            <w:r w:rsidRPr="0009562E">
              <w:t>Opening RAB</w:t>
            </w:r>
          </w:p>
        </w:tc>
        <w:tc>
          <w:tcPr>
            <w:tcW w:w="408"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116.7</w:t>
            </w:r>
          </w:p>
        </w:tc>
        <w:tc>
          <w:tcPr>
            <w:tcW w:w="408"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119.</w:t>
            </w:r>
            <w:r w:rsidR="00EF1EAC">
              <w:t>2</w:t>
            </w:r>
          </w:p>
        </w:tc>
        <w:tc>
          <w:tcPr>
            <w:tcW w:w="408"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119.7</w:t>
            </w:r>
          </w:p>
        </w:tc>
        <w:tc>
          <w:tcPr>
            <w:tcW w:w="45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121.5</w:t>
            </w:r>
          </w:p>
        </w:tc>
        <w:tc>
          <w:tcPr>
            <w:tcW w:w="366"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121.1</w:t>
            </w:r>
          </w:p>
        </w:tc>
        <w:tc>
          <w:tcPr>
            <w:tcW w:w="39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121.1</w:t>
            </w:r>
          </w:p>
        </w:tc>
        <w:tc>
          <w:tcPr>
            <w:tcW w:w="39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123.</w:t>
            </w:r>
            <w:r w:rsidR="005E520F">
              <w:t>7</w:t>
            </w:r>
          </w:p>
        </w:tc>
        <w:tc>
          <w:tcPr>
            <w:tcW w:w="39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123.</w:t>
            </w:r>
            <w:r w:rsidR="005E520F">
              <w:t>7</w:t>
            </w:r>
          </w:p>
        </w:tc>
        <w:tc>
          <w:tcPr>
            <w:tcW w:w="439"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123.</w:t>
            </w:r>
            <w:r w:rsidR="005E520F">
              <w:t>7</w:t>
            </w:r>
          </w:p>
        </w:tc>
        <w:tc>
          <w:tcPr>
            <w:tcW w:w="388" w:type="pct"/>
          </w:tcPr>
          <w:p w:rsidR="0009562E" w:rsidRPr="0009562E" w:rsidRDefault="005E520F" w:rsidP="00EF1EAC">
            <w:pPr>
              <w:cnfStyle w:val="000000000000" w:firstRow="0" w:lastRow="0" w:firstColumn="0" w:lastColumn="0" w:oddVBand="0" w:evenVBand="0" w:oddHBand="0" w:evenHBand="0" w:firstRowFirstColumn="0" w:firstRowLastColumn="0" w:lastRowFirstColumn="0" w:lastRowLastColumn="0"/>
            </w:pPr>
            <w:r>
              <w:t>127.1</w:t>
            </w:r>
          </w:p>
        </w:tc>
      </w:tr>
      <w:tr w:rsidR="0009562E" w:rsidRPr="0009562E" w:rsidTr="00185709">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959" w:type="pct"/>
          </w:tcPr>
          <w:p w:rsidR="0009562E" w:rsidRPr="0009562E" w:rsidRDefault="0009562E" w:rsidP="0009562E">
            <w:r w:rsidRPr="0009562E">
              <w:t>Capital expenditure</w:t>
            </w:r>
            <w:r>
              <w:rPr>
                <w:rStyle w:val="AERsuperscript"/>
              </w:rPr>
              <w:t>b</w:t>
            </w:r>
            <w:r w:rsidRPr="0009562E">
              <w:t xml:space="preserve"> </w:t>
            </w:r>
          </w:p>
        </w:tc>
        <w:tc>
          <w:tcPr>
            <w:tcW w:w="40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2.1</w:t>
            </w:r>
          </w:p>
        </w:tc>
        <w:tc>
          <w:tcPr>
            <w:tcW w:w="40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0.</w:t>
            </w:r>
            <w:r w:rsidR="00EF1EAC">
              <w:t>9</w:t>
            </w:r>
          </w:p>
        </w:tc>
        <w:tc>
          <w:tcPr>
            <w:tcW w:w="40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w:t>
            </w:r>
          </w:p>
        </w:tc>
        <w:tc>
          <w:tcPr>
            <w:tcW w:w="45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w:t>
            </w:r>
          </w:p>
        </w:tc>
        <w:tc>
          <w:tcPr>
            <w:tcW w:w="366"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w:t>
            </w:r>
          </w:p>
        </w:tc>
        <w:tc>
          <w:tcPr>
            <w:tcW w:w="39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2.2</w:t>
            </w:r>
          </w:p>
        </w:tc>
        <w:tc>
          <w:tcPr>
            <w:tcW w:w="39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1.7</w:t>
            </w:r>
          </w:p>
        </w:tc>
        <w:tc>
          <w:tcPr>
            <w:tcW w:w="39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0.7</w:t>
            </w:r>
          </w:p>
        </w:tc>
        <w:tc>
          <w:tcPr>
            <w:tcW w:w="439"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w:t>
            </w:r>
            <w:r w:rsidR="00EF1EAC">
              <w:t>7</w:t>
            </w:r>
          </w:p>
        </w:tc>
        <w:tc>
          <w:tcPr>
            <w:tcW w:w="388" w:type="pct"/>
          </w:tcPr>
          <w:p w:rsidR="0009562E" w:rsidRPr="0009562E" w:rsidRDefault="00EF1EAC" w:rsidP="0009562E">
            <w:pPr>
              <w:cnfStyle w:val="000000010000" w:firstRow="0" w:lastRow="0" w:firstColumn="0" w:lastColumn="0" w:oddVBand="0" w:evenVBand="0" w:oddHBand="0" w:evenHBand="1" w:firstRowFirstColumn="0" w:firstRowLastColumn="0" w:lastRowFirstColumn="0" w:lastRowLastColumn="0"/>
            </w:pPr>
            <w:r>
              <w:t>4.6</w:t>
            </w:r>
          </w:p>
        </w:tc>
      </w:tr>
      <w:tr w:rsidR="0009562E" w:rsidRPr="0009562E" w:rsidTr="00185709">
        <w:trPr>
          <w:trHeight w:val="531"/>
        </w:trPr>
        <w:tc>
          <w:tcPr>
            <w:cnfStyle w:val="001000000000" w:firstRow="0" w:lastRow="0" w:firstColumn="1" w:lastColumn="0" w:oddVBand="0" w:evenVBand="0" w:oddHBand="0" w:evenHBand="0" w:firstRowFirstColumn="0" w:firstRowLastColumn="0" w:lastRowFirstColumn="0" w:lastRowLastColumn="0"/>
            <w:tcW w:w="959" w:type="pct"/>
          </w:tcPr>
          <w:p w:rsidR="0009562E" w:rsidRPr="0009562E" w:rsidRDefault="0009562E" w:rsidP="0009562E">
            <w:r w:rsidRPr="0009562E">
              <w:t>CPI indexation on opening RAB</w:t>
            </w:r>
          </w:p>
        </w:tc>
        <w:tc>
          <w:tcPr>
            <w:tcW w:w="408"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3.5</w:t>
            </w:r>
          </w:p>
        </w:tc>
        <w:tc>
          <w:tcPr>
            <w:tcW w:w="408"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2.9</w:t>
            </w:r>
          </w:p>
        </w:tc>
        <w:tc>
          <w:tcPr>
            <w:tcW w:w="408"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5.1</w:t>
            </w:r>
          </w:p>
        </w:tc>
        <w:tc>
          <w:tcPr>
            <w:tcW w:w="45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3.0</w:t>
            </w:r>
          </w:p>
        </w:tc>
        <w:tc>
          <w:tcPr>
            <w:tcW w:w="366"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3.5</w:t>
            </w:r>
          </w:p>
        </w:tc>
        <w:tc>
          <w:tcPr>
            <w:tcW w:w="39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4.0</w:t>
            </w:r>
          </w:p>
        </w:tc>
        <w:tc>
          <w:tcPr>
            <w:tcW w:w="39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2.0</w:t>
            </w:r>
          </w:p>
        </w:tc>
        <w:tc>
          <w:tcPr>
            <w:tcW w:w="39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3.1</w:t>
            </w:r>
          </w:p>
        </w:tc>
        <w:tc>
          <w:tcPr>
            <w:tcW w:w="439"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3.6</w:t>
            </w:r>
          </w:p>
        </w:tc>
        <w:tc>
          <w:tcPr>
            <w:tcW w:w="388" w:type="pct"/>
          </w:tcPr>
          <w:p w:rsidR="0009562E" w:rsidRPr="0009562E" w:rsidRDefault="0070212F" w:rsidP="0009562E">
            <w:pPr>
              <w:cnfStyle w:val="000000000000" w:firstRow="0" w:lastRow="0" w:firstColumn="0" w:lastColumn="0" w:oddVBand="0" w:evenVBand="0" w:oddHBand="0" w:evenHBand="0" w:firstRowFirstColumn="0" w:firstRowLastColumn="0" w:lastRowFirstColumn="0" w:lastRowLastColumn="0"/>
            </w:pPr>
            <w:r>
              <w:t>1.7</w:t>
            </w:r>
          </w:p>
        </w:tc>
      </w:tr>
      <w:tr w:rsidR="0009562E" w:rsidRPr="0009562E" w:rsidTr="00185709">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959" w:type="pct"/>
          </w:tcPr>
          <w:p w:rsidR="0009562E" w:rsidRPr="0009562E" w:rsidRDefault="0009562E" w:rsidP="0009562E">
            <w:r w:rsidRPr="0009562E">
              <w:t>Straight-line depreciation</w:t>
            </w:r>
            <w:r>
              <w:rPr>
                <w:rStyle w:val="AERsuperscript"/>
              </w:rPr>
              <w:t>c</w:t>
            </w:r>
          </w:p>
        </w:tc>
        <w:tc>
          <w:tcPr>
            <w:tcW w:w="40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–3.1</w:t>
            </w:r>
          </w:p>
        </w:tc>
        <w:tc>
          <w:tcPr>
            <w:tcW w:w="40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–3.2</w:t>
            </w:r>
          </w:p>
        </w:tc>
        <w:tc>
          <w:tcPr>
            <w:tcW w:w="40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–3.3</w:t>
            </w:r>
          </w:p>
        </w:tc>
        <w:tc>
          <w:tcPr>
            <w:tcW w:w="45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–3.4</w:t>
            </w:r>
          </w:p>
        </w:tc>
        <w:tc>
          <w:tcPr>
            <w:tcW w:w="366"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–3.5</w:t>
            </w:r>
          </w:p>
        </w:tc>
        <w:tc>
          <w:tcPr>
            <w:tcW w:w="39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–3.6</w:t>
            </w:r>
          </w:p>
        </w:tc>
        <w:tc>
          <w:tcPr>
            <w:tcW w:w="39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–3.7</w:t>
            </w:r>
          </w:p>
        </w:tc>
        <w:tc>
          <w:tcPr>
            <w:tcW w:w="39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–3.8</w:t>
            </w:r>
          </w:p>
        </w:tc>
        <w:tc>
          <w:tcPr>
            <w:tcW w:w="439"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–3.9</w:t>
            </w:r>
          </w:p>
        </w:tc>
        <w:tc>
          <w:tcPr>
            <w:tcW w:w="38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–4.0</w:t>
            </w:r>
          </w:p>
        </w:tc>
      </w:tr>
      <w:tr w:rsidR="0009562E" w:rsidRPr="0009562E" w:rsidTr="00185709">
        <w:trPr>
          <w:trHeight w:val="531"/>
        </w:trPr>
        <w:tc>
          <w:tcPr>
            <w:cnfStyle w:val="001000000000" w:firstRow="0" w:lastRow="0" w:firstColumn="1" w:lastColumn="0" w:oddVBand="0" w:evenVBand="0" w:oddHBand="0" w:evenHBand="0" w:firstRowFirstColumn="0" w:firstRowLastColumn="0" w:lastRowFirstColumn="0" w:lastRowLastColumn="0"/>
            <w:tcW w:w="959" w:type="pct"/>
          </w:tcPr>
          <w:p w:rsidR="0009562E" w:rsidRPr="0009562E" w:rsidRDefault="0009562E" w:rsidP="0009562E">
            <w:r w:rsidRPr="0009562E">
              <w:t>Closing RAB</w:t>
            </w:r>
          </w:p>
        </w:tc>
        <w:tc>
          <w:tcPr>
            <w:tcW w:w="408" w:type="pct"/>
          </w:tcPr>
          <w:p w:rsidR="0009562E" w:rsidRPr="0009562E" w:rsidRDefault="00EF1EAC" w:rsidP="0009562E">
            <w:pPr>
              <w:cnfStyle w:val="000000000000" w:firstRow="0" w:lastRow="0" w:firstColumn="0" w:lastColumn="0" w:oddVBand="0" w:evenVBand="0" w:oddHBand="0" w:evenHBand="0" w:firstRowFirstColumn="0" w:firstRowLastColumn="0" w:lastRowFirstColumn="0" w:lastRowLastColumn="0"/>
            </w:pPr>
            <w:r>
              <w:t>119.2</w:t>
            </w:r>
          </w:p>
        </w:tc>
        <w:tc>
          <w:tcPr>
            <w:tcW w:w="408"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119.7</w:t>
            </w:r>
          </w:p>
        </w:tc>
        <w:tc>
          <w:tcPr>
            <w:tcW w:w="408"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121.5</w:t>
            </w:r>
          </w:p>
        </w:tc>
        <w:tc>
          <w:tcPr>
            <w:tcW w:w="45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121.1</w:t>
            </w:r>
          </w:p>
        </w:tc>
        <w:tc>
          <w:tcPr>
            <w:tcW w:w="366"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121.1</w:t>
            </w:r>
          </w:p>
        </w:tc>
        <w:tc>
          <w:tcPr>
            <w:tcW w:w="39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123.</w:t>
            </w:r>
            <w:r w:rsidR="005E520F">
              <w:t>7</w:t>
            </w:r>
          </w:p>
        </w:tc>
        <w:tc>
          <w:tcPr>
            <w:tcW w:w="39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123.</w:t>
            </w:r>
            <w:r w:rsidR="005E520F">
              <w:t>7</w:t>
            </w:r>
          </w:p>
        </w:tc>
        <w:tc>
          <w:tcPr>
            <w:tcW w:w="391"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123.</w:t>
            </w:r>
            <w:r w:rsidR="005E520F">
              <w:t>7</w:t>
            </w:r>
          </w:p>
        </w:tc>
        <w:tc>
          <w:tcPr>
            <w:tcW w:w="439" w:type="pct"/>
          </w:tcPr>
          <w:p w:rsidR="0009562E" w:rsidRPr="0009562E" w:rsidRDefault="005E520F" w:rsidP="0009562E">
            <w:pPr>
              <w:cnfStyle w:val="000000000000" w:firstRow="0" w:lastRow="0" w:firstColumn="0" w:lastColumn="0" w:oddVBand="0" w:evenVBand="0" w:oddHBand="0" w:evenHBand="0" w:firstRowFirstColumn="0" w:firstRowLastColumn="0" w:lastRowFirstColumn="0" w:lastRowLastColumn="0"/>
            </w:pPr>
            <w:r>
              <w:t>127.1</w:t>
            </w:r>
          </w:p>
        </w:tc>
        <w:tc>
          <w:tcPr>
            <w:tcW w:w="388" w:type="pct"/>
          </w:tcPr>
          <w:p w:rsidR="0009562E" w:rsidRPr="0009562E" w:rsidRDefault="005E520F" w:rsidP="00EF1EAC">
            <w:pPr>
              <w:cnfStyle w:val="000000000000" w:firstRow="0" w:lastRow="0" w:firstColumn="0" w:lastColumn="0" w:oddVBand="0" w:evenVBand="0" w:oddHBand="0" w:evenHBand="0" w:firstRowFirstColumn="0" w:firstRowLastColumn="0" w:lastRowFirstColumn="0" w:lastRowLastColumn="0"/>
            </w:pPr>
            <w:r>
              <w:t>1</w:t>
            </w:r>
            <w:r w:rsidR="0070212F">
              <w:t>29.4</w:t>
            </w:r>
          </w:p>
        </w:tc>
      </w:tr>
      <w:tr w:rsidR="0009562E" w:rsidRPr="0009562E" w:rsidTr="00185709">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959" w:type="pct"/>
          </w:tcPr>
          <w:p w:rsidR="0009562E" w:rsidRPr="0009562E" w:rsidRDefault="0009562E" w:rsidP="0009562E">
            <w:pPr>
              <w:rPr>
                <w:rStyle w:val="Strong"/>
              </w:rPr>
            </w:pPr>
            <w:r w:rsidRPr="0009562E">
              <w:rPr>
                <w:rStyle w:val="Strong"/>
              </w:rPr>
              <w:t>Opening RAB as at 1 July 2015</w:t>
            </w:r>
          </w:p>
        </w:tc>
        <w:tc>
          <w:tcPr>
            <w:tcW w:w="40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40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408"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45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66"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9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9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91"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439"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88" w:type="pct"/>
          </w:tcPr>
          <w:p w:rsidR="0009562E" w:rsidRPr="0009562E" w:rsidRDefault="005E520F" w:rsidP="0009562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w:t>
            </w:r>
            <w:r w:rsidR="0070212F">
              <w:rPr>
                <w:rStyle w:val="Strong"/>
              </w:rPr>
              <w:t>29.4</w:t>
            </w:r>
          </w:p>
        </w:tc>
      </w:tr>
    </w:tbl>
    <w:p w:rsidR="0009562E" w:rsidRPr="0009562E" w:rsidRDefault="0009562E" w:rsidP="0009562E">
      <w:pPr>
        <w:pStyle w:val="AERtablesource"/>
      </w:pPr>
      <w:r w:rsidRPr="0009562E">
        <w:t>Source:</w:t>
      </w:r>
      <w:r w:rsidRPr="0009562E">
        <w:tab/>
        <w:t>AER analysis.</w:t>
      </w:r>
    </w:p>
    <w:p w:rsidR="0009562E" w:rsidRDefault="0009562E" w:rsidP="0009562E">
      <w:pPr>
        <w:pStyle w:val="AERtablesource"/>
      </w:pPr>
      <w:r w:rsidRPr="0009562E">
        <w:t>(a)</w:t>
      </w:r>
      <w:r w:rsidRPr="0009562E">
        <w:tab/>
        <w:t>Based on</w:t>
      </w:r>
      <w:r w:rsidR="00417D17">
        <w:t xml:space="preserve"> revised</w:t>
      </w:r>
      <w:r w:rsidRPr="0009562E">
        <w:t xml:space="preserve"> </w:t>
      </w:r>
      <w:r w:rsidR="00417D17">
        <w:t xml:space="preserve">estimated capex and actual inflation. </w:t>
      </w:r>
      <w:r w:rsidRPr="0009562E">
        <w:t xml:space="preserve"> </w:t>
      </w:r>
      <w:r w:rsidR="00417D17">
        <w:t xml:space="preserve">We will update for actual capex at the next reset. </w:t>
      </w:r>
    </w:p>
    <w:p w:rsidR="0009562E" w:rsidRDefault="0009562E" w:rsidP="0009562E">
      <w:pPr>
        <w:pStyle w:val="AERtablesource"/>
      </w:pPr>
      <w:r w:rsidRPr="0009562E">
        <w:t>(b)</w:t>
      </w:r>
      <w:r w:rsidRPr="0009562E">
        <w:tab/>
        <w:t>As incurred, net of disposals, and adjusted for actual CPI.</w:t>
      </w:r>
    </w:p>
    <w:p w:rsidR="0009562E" w:rsidRPr="0009562E" w:rsidRDefault="0009562E" w:rsidP="0009562E">
      <w:pPr>
        <w:pStyle w:val="AERtablesource"/>
      </w:pPr>
      <w:r w:rsidRPr="0009562E">
        <w:t xml:space="preserve">(c) </w:t>
      </w:r>
      <w:r w:rsidRPr="0009562E">
        <w:tab/>
        <w:t>Based on forecast depreciation and adjusted for actual CPI.</w:t>
      </w:r>
      <w:bookmarkStart w:id="14" w:name="_Toc384222128"/>
    </w:p>
    <w:p w:rsidR="0009562E" w:rsidRPr="009275BB" w:rsidRDefault="0009562E" w:rsidP="0009562E">
      <w:pPr>
        <w:pStyle w:val="Caption"/>
      </w:pPr>
      <w:bookmarkStart w:id="15" w:name="_Ref402784956"/>
      <w:r w:rsidRPr="009275BB">
        <w:t xml:space="preserve">Table </w:t>
      </w:r>
      <w:r>
        <w:t>2</w:t>
      </w:r>
      <w:r>
        <w:noBreakHyphen/>
      </w:r>
      <w:fldSimple w:instr=" SEQ Table \* ARABIC \s 1 ">
        <w:r w:rsidRPr="0009562E">
          <w:t>2</w:t>
        </w:r>
      </w:fldSimple>
      <w:bookmarkEnd w:id="15"/>
      <w:r w:rsidRPr="009275BB">
        <w:tab/>
        <w:t xml:space="preserve">AER's </w:t>
      </w:r>
      <w:r>
        <w:t xml:space="preserve">final </w:t>
      </w:r>
      <w:r w:rsidRPr="009275BB">
        <w:t xml:space="preserve">decision on </w:t>
      </w:r>
      <w:r>
        <w:t>Directlink</w:t>
      </w:r>
      <w:r w:rsidRPr="009275BB">
        <w:t>'s RAB for the 201</w:t>
      </w:r>
      <w:r>
        <w:t>5–20</w:t>
      </w:r>
      <w:r w:rsidRPr="009275BB">
        <w:t xml:space="preserve"> regulatory control period ($ million, nominal)</w:t>
      </w:r>
    </w:p>
    <w:tbl>
      <w:tblPr>
        <w:tblStyle w:val="AERtable-numbers"/>
        <w:tblW w:w="4995" w:type="pct"/>
        <w:tblLook w:val="01E0" w:firstRow="1" w:lastRow="1" w:firstColumn="1" w:lastColumn="1" w:noHBand="0" w:noVBand="0"/>
      </w:tblPr>
      <w:tblGrid>
        <w:gridCol w:w="3436"/>
        <w:gridCol w:w="1053"/>
        <w:gridCol w:w="1051"/>
        <w:gridCol w:w="1049"/>
        <w:gridCol w:w="1049"/>
        <w:gridCol w:w="1046"/>
      </w:tblGrid>
      <w:tr w:rsidR="0009562E" w:rsidRPr="0009562E" w:rsidTr="0009562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562E" w:rsidRPr="0009562E" w:rsidRDefault="0009562E" w:rsidP="0009562E"/>
        </w:tc>
        <w:tc>
          <w:tcPr>
            <w:tcW w:w="606"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2015–16</w:t>
            </w:r>
          </w:p>
        </w:tc>
        <w:tc>
          <w:tcPr>
            <w:tcW w:w="605"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2016–17</w:t>
            </w:r>
          </w:p>
        </w:tc>
        <w:tc>
          <w:tcPr>
            <w:tcW w:w="604"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2017–18</w:t>
            </w:r>
          </w:p>
        </w:tc>
        <w:tc>
          <w:tcPr>
            <w:tcW w:w="604"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2018–19</w:t>
            </w:r>
          </w:p>
        </w:tc>
        <w:tc>
          <w:tcPr>
            <w:tcW w:w="602"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2019–20</w:t>
            </w:r>
          </w:p>
        </w:tc>
      </w:tr>
      <w:tr w:rsidR="0009562E" w:rsidRPr="0009562E" w:rsidTr="0009562E">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562E" w:rsidRPr="0009562E" w:rsidRDefault="0009562E" w:rsidP="0009562E">
            <w:r w:rsidRPr="0009562E">
              <w:t xml:space="preserve">Opening RAB </w:t>
            </w:r>
          </w:p>
        </w:tc>
        <w:tc>
          <w:tcPr>
            <w:tcW w:w="606" w:type="pct"/>
          </w:tcPr>
          <w:p w:rsidR="0009562E" w:rsidRPr="0009562E" w:rsidRDefault="0070212F" w:rsidP="00A711D9">
            <w:pPr>
              <w:cnfStyle w:val="000000000000" w:firstRow="0" w:lastRow="0" w:firstColumn="0" w:lastColumn="0" w:oddVBand="0" w:evenVBand="0" w:oddHBand="0" w:evenHBand="0" w:firstRowFirstColumn="0" w:firstRowLastColumn="0" w:lastRowFirstColumn="0" w:lastRowLastColumn="0"/>
            </w:pPr>
            <w:r>
              <w:t>129.4</w:t>
            </w:r>
          </w:p>
        </w:tc>
        <w:tc>
          <w:tcPr>
            <w:tcW w:w="605" w:type="pct"/>
          </w:tcPr>
          <w:p w:rsidR="0009562E" w:rsidRPr="0009562E" w:rsidRDefault="00A711D9" w:rsidP="00A711D9">
            <w:pPr>
              <w:cnfStyle w:val="000000000000" w:firstRow="0" w:lastRow="0" w:firstColumn="0" w:lastColumn="0" w:oddVBand="0" w:evenVBand="0" w:oddHBand="0" w:evenHBand="0" w:firstRowFirstColumn="0" w:firstRowLastColumn="0" w:lastRowFirstColumn="0" w:lastRowLastColumn="0"/>
            </w:pPr>
            <w:r>
              <w:t>13</w:t>
            </w:r>
            <w:r w:rsidR="0070212F">
              <w:t>5.1</w:t>
            </w:r>
          </w:p>
        </w:tc>
        <w:tc>
          <w:tcPr>
            <w:tcW w:w="604" w:type="pct"/>
          </w:tcPr>
          <w:p w:rsidR="0009562E" w:rsidRPr="0009562E" w:rsidRDefault="00A711D9" w:rsidP="00A711D9">
            <w:pPr>
              <w:cnfStyle w:val="000000000000" w:firstRow="0" w:lastRow="0" w:firstColumn="0" w:lastColumn="0" w:oddVBand="0" w:evenVBand="0" w:oddHBand="0" w:evenHBand="0" w:firstRowFirstColumn="0" w:firstRowLastColumn="0" w:lastRowFirstColumn="0" w:lastRowLastColumn="0"/>
            </w:pPr>
            <w:r>
              <w:t>13</w:t>
            </w:r>
            <w:r w:rsidR="0070212F">
              <w:t>4.9</w:t>
            </w:r>
          </w:p>
        </w:tc>
        <w:tc>
          <w:tcPr>
            <w:tcW w:w="604" w:type="pct"/>
          </w:tcPr>
          <w:p w:rsidR="0009562E" w:rsidRPr="0009562E" w:rsidRDefault="00A711D9" w:rsidP="00A711D9">
            <w:pPr>
              <w:cnfStyle w:val="000000000000" w:firstRow="0" w:lastRow="0" w:firstColumn="0" w:lastColumn="0" w:oddVBand="0" w:evenVBand="0" w:oddHBand="0" w:evenHBand="0" w:firstRowFirstColumn="0" w:firstRowLastColumn="0" w:lastRowFirstColumn="0" w:lastRowLastColumn="0"/>
            </w:pPr>
            <w:r>
              <w:t>1</w:t>
            </w:r>
            <w:r w:rsidR="0070212F">
              <w:t>34.8</w:t>
            </w:r>
          </w:p>
        </w:tc>
        <w:tc>
          <w:tcPr>
            <w:tcW w:w="602" w:type="pct"/>
          </w:tcPr>
          <w:p w:rsidR="0009562E" w:rsidRPr="0009562E" w:rsidRDefault="00A711D9" w:rsidP="00A711D9">
            <w:pPr>
              <w:cnfStyle w:val="000000000000" w:firstRow="0" w:lastRow="0" w:firstColumn="0" w:lastColumn="0" w:oddVBand="0" w:evenVBand="0" w:oddHBand="0" w:evenHBand="0" w:firstRowFirstColumn="0" w:firstRowLastColumn="0" w:lastRowFirstColumn="0" w:lastRowLastColumn="0"/>
            </w:pPr>
            <w:r>
              <w:t>13</w:t>
            </w:r>
            <w:r w:rsidR="0070212F">
              <w:t>5.5</w:t>
            </w:r>
          </w:p>
        </w:tc>
      </w:tr>
      <w:tr w:rsidR="0009562E" w:rsidRPr="0009562E" w:rsidTr="0009562E">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562E" w:rsidRPr="0009562E" w:rsidRDefault="0009562E" w:rsidP="0009562E">
            <w:r w:rsidRPr="0009562E">
              <w:t>Capital expenditure</w:t>
            </w:r>
            <w:r w:rsidRPr="0009562E">
              <w:rPr>
                <w:rStyle w:val="AERsuperscript"/>
              </w:rPr>
              <w:t xml:space="preserve">a </w:t>
            </w:r>
          </w:p>
        </w:tc>
        <w:tc>
          <w:tcPr>
            <w:tcW w:w="606" w:type="pct"/>
          </w:tcPr>
          <w:p w:rsidR="0009562E" w:rsidRPr="0009562E" w:rsidRDefault="00A711D9" w:rsidP="00A711D9">
            <w:pPr>
              <w:cnfStyle w:val="000000010000" w:firstRow="0" w:lastRow="0" w:firstColumn="0" w:lastColumn="0" w:oddVBand="0" w:evenVBand="0" w:oddHBand="0" w:evenHBand="1" w:firstRowFirstColumn="0" w:firstRowLastColumn="0" w:lastRowFirstColumn="0" w:lastRowLastColumn="0"/>
            </w:pPr>
            <w:r>
              <w:t>7.3</w:t>
            </w:r>
          </w:p>
        </w:tc>
        <w:tc>
          <w:tcPr>
            <w:tcW w:w="605" w:type="pct"/>
          </w:tcPr>
          <w:p w:rsidR="0009562E" w:rsidRPr="0009562E" w:rsidRDefault="00A711D9" w:rsidP="00A711D9">
            <w:pPr>
              <w:cnfStyle w:val="000000010000" w:firstRow="0" w:lastRow="0" w:firstColumn="0" w:lastColumn="0" w:oddVBand="0" w:evenVBand="0" w:oddHBand="0" w:evenHBand="1" w:firstRowFirstColumn="0" w:firstRowLastColumn="0" w:lastRowFirstColumn="0" w:lastRowLastColumn="0"/>
            </w:pPr>
            <w:r>
              <w:t>1.7</w:t>
            </w:r>
          </w:p>
        </w:tc>
        <w:tc>
          <w:tcPr>
            <w:tcW w:w="604" w:type="pct"/>
          </w:tcPr>
          <w:p w:rsidR="0009562E" w:rsidRPr="0009562E" w:rsidRDefault="00A711D9" w:rsidP="00A711D9">
            <w:pPr>
              <w:cnfStyle w:val="000000010000" w:firstRow="0" w:lastRow="0" w:firstColumn="0" w:lastColumn="0" w:oddVBand="0" w:evenVBand="0" w:oddHBand="0" w:evenHBand="1" w:firstRowFirstColumn="0" w:firstRowLastColumn="0" w:lastRowFirstColumn="0" w:lastRowLastColumn="0"/>
            </w:pPr>
            <w:r>
              <w:t>2.1</w:t>
            </w:r>
          </w:p>
        </w:tc>
        <w:tc>
          <w:tcPr>
            <w:tcW w:w="604" w:type="pct"/>
          </w:tcPr>
          <w:p w:rsidR="0009562E" w:rsidRPr="0009562E" w:rsidRDefault="00A711D9" w:rsidP="00A711D9">
            <w:pPr>
              <w:cnfStyle w:val="000000010000" w:firstRow="0" w:lastRow="0" w:firstColumn="0" w:lastColumn="0" w:oddVBand="0" w:evenVBand="0" w:oddHBand="0" w:evenHBand="1" w:firstRowFirstColumn="0" w:firstRowLastColumn="0" w:lastRowFirstColumn="0" w:lastRowLastColumn="0"/>
            </w:pPr>
            <w:r>
              <w:t>3.0</w:t>
            </w:r>
          </w:p>
        </w:tc>
        <w:tc>
          <w:tcPr>
            <w:tcW w:w="602" w:type="pct"/>
          </w:tcPr>
          <w:p w:rsidR="0009562E" w:rsidRPr="0009562E" w:rsidRDefault="00A711D9" w:rsidP="00A711D9">
            <w:pPr>
              <w:cnfStyle w:val="000000010000" w:firstRow="0" w:lastRow="0" w:firstColumn="0" w:lastColumn="0" w:oddVBand="0" w:evenVBand="0" w:oddHBand="0" w:evenHBand="1" w:firstRowFirstColumn="0" w:firstRowLastColumn="0" w:lastRowFirstColumn="0" w:lastRowLastColumn="0"/>
            </w:pPr>
            <w:r>
              <w:t>15.8</w:t>
            </w:r>
          </w:p>
        </w:tc>
      </w:tr>
      <w:tr w:rsidR="0009562E" w:rsidRPr="0009562E" w:rsidTr="0009562E">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562E" w:rsidRPr="0009562E" w:rsidRDefault="0009562E" w:rsidP="0009562E">
            <w:r w:rsidRPr="0009562E">
              <w:t>Inflation indexation on opening RAB</w:t>
            </w:r>
          </w:p>
        </w:tc>
        <w:tc>
          <w:tcPr>
            <w:tcW w:w="606" w:type="pct"/>
          </w:tcPr>
          <w:p w:rsidR="0009562E" w:rsidRPr="0009562E" w:rsidRDefault="00A711D9" w:rsidP="00A711D9">
            <w:pPr>
              <w:cnfStyle w:val="000000000000" w:firstRow="0" w:lastRow="0" w:firstColumn="0" w:lastColumn="0" w:oddVBand="0" w:evenVBand="0" w:oddHBand="0" w:evenHBand="0" w:firstRowFirstColumn="0" w:firstRowLastColumn="0" w:lastRowFirstColumn="0" w:lastRowLastColumn="0"/>
            </w:pPr>
            <w:r>
              <w:t>3.3</w:t>
            </w:r>
          </w:p>
        </w:tc>
        <w:tc>
          <w:tcPr>
            <w:tcW w:w="605" w:type="pct"/>
          </w:tcPr>
          <w:p w:rsidR="0009562E" w:rsidRPr="0009562E" w:rsidRDefault="00A711D9" w:rsidP="00A711D9">
            <w:pPr>
              <w:cnfStyle w:val="000000000000" w:firstRow="0" w:lastRow="0" w:firstColumn="0" w:lastColumn="0" w:oddVBand="0" w:evenVBand="0" w:oddHBand="0" w:evenHBand="0" w:firstRowFirstColumn="0" w:firstRowLastColumn="0" w:lastRowFirstColumn="0" w:lastRowLastColumn="0"/>
            </w:pPr>
            <w:r>
              <w:t>3.</w:t>
            </w:r>
            <w:r w:rsidR="0070212F">
              <w:t>4</w:t>
            </w:r>
          </w:p>
        </w:tc>
        <w:tc>
          <w:tcPr>
            <w:tcW w:w="604" w:type="pct"/>
          </w:tcPr>
          <w:p w:rsidR="0009562E" w:rsidRPr="0009562E" w:rsidRDefault="00A711D9" w:rsidP="00A711D9">
            <w:pPr>
              <w:cnfStyle w:val="000000000000" w:firstRow="0" w:lastRow="0" w:firstColumn="0" w:lastColumn="0" w:oddVBand="0" w:evenVBand="0" w:oddHBand="0" w:evenHBand="0" w:firstRowFirstColumn="0" w:firstRowLastColumn="0" w:lastRowFirstColumn="0" w:lastRowLastColumn="0"/>
            </w:pPr>
            <w:r>
              <w:t>3.</w:t>
            </w:r>
            <w:r w:rsidR="0070212F">
              <w:t>4</w:t>
            </w:r>
          </w:p>
        </w:tc>
        <w:tc>
          <w:tcPr>
            <w:tcW w:w="604" w:type="pct"/>
          </w:tcPr>
          <w:p w:rsidR="0009562E" w:rsidRPr="0009562E" w:rsidRDefault="00A711D9" w:rsidP="00A711D9">
            <w:pPr>
              <w:cnfStyle w:val="000000000000" w:firstRow="0" w:lastRow="0" w:firstColumn="0" w:lastColumn="0" w:oddVBand="0" w:evenVBand="0" w:oddHBand="0" w:evenHBand="0" w:firstRowFirstColumn="0" w:firstRowLastColumn="0" w:lastRowFirstColumn="0" w:lastRowLastColumn="0"/>
            </w:pPr>
            <w:r>
              <w:t>3.</w:t>
            </w:r>
            <w:r w:rsidR="0070212F">
              <w:t>4</w:t>
            </w:r>
          </w:p>
        </w:tc>
        <w:tc>
          <w:tcPr>
            <w:tcW w:w="602" w:type="pct"/>
          </w:tcPr>
          <w:p w:rsidR="0009562E" w:rsidRPr="0009562E" w:rsidRDefault="00A711D9" w:rsidP="00A711D9">
            <w:pPr>
              <w:cnfStyle w:val="000000000000" w:firstRow="0" w:lastRow="0" w:firstColumn="0" w:lastColumn="0" w:oddVBand="0" w:evenVBand="0" w:oddHBand="0" w:evenHBand="0" w:firstRowFirstColumn="0" w:firstRowLastColumn="0" w:lastRowFirstColumn="0" w:lastRowLastColumn="0"/>
            </w:pPr>
            <w:r>
              <w:t>3.5</w:t>
            </w:r>
          </w:p>
        </w:tc>
      </w:tr>
      <w:tr w:rsidR="0009562E" w:rsidRPr="0009562E" w:rsidTr="0009562E">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562E" w:rsidRPr="0009562E" w:rsidRDefault="0009562E" w:rsidP="0009562E">
            <w:r w:rsidRPr="0009562E">
              <w:t>Straight-line depreciation</w:t>
            </w:r>
          </w:p>
        </w:tc>
        <w:tc>
          <w:tcPr>
            <w:tcW w:w="606" w:type="pct"/>
          </w:tcPr>
          <w:p w:rsidR="0009562E" w:rsidRPr="0009562E" w:rsidRDefault="0009562E" w:rsidP="00A711D9">
            <w:pPr>
              <w:cnfStyle w:val="000000010000" w:firstRow="0" w:lastRow="0" w:firstColumn="0" w:lastColumn="0" w:oddVBand="0" w:evenVBand="0" w:oddHBand="0" w:evenHBand="1" w:firstRowFirstColumn="0" w:firstRowLastColumn="0" w:lastRowFirstColumn="0" w:lastRowLastColumn="0"/>
            </w:pPr>
            <w:r w:rsidRPr="0009562E">
              <w:t>–</w:t>
            </w:r>
            <w:r w:rsidR="00A711D9">
              <w:t>5.0</w:t>
            </w:r>
          </w:p>
        </w:tc>
        <w:tc>
          <w:tcPr>
            <w:tcW w:w="605" w:type="pct"/>
          </w:tcPr>
          <w:p w:rsidR="0009562E" w:rsidRPr="0009562E" w:rsidRDefault="005E520F" w:rsidP="00A711D9">
            <w:pPr>
              <w:cnfStyle w:val="000000010000" w:firstRow="0" w:lastRow="0" w:firstColumn="0" w:lastColumn="0" w:oddVBand="0" w:evenVBand="0" w:oddHBand="0" w:evenHBand="1" w:firstRowFirstColumn="0" w:firstRowLastColumn="0" w:lastRowFirstColumn="0" w:lastRowLastColumn="0"/>
            </w:pPr>
            <w:r>
              <w:t>–</w:t>
            </w:r>
            <w:r w:rsidR="00A711D9">
              <w:t>5.4</w:t>
            </w:r>
          </w:p>
        </w:tc>
        <w:tc>
          <w:tcPr>
            <w:tcW w:w="604" w:type="pct"/>
          </w:tcPr>
          <w:p w:rsidR="0009562E" w:rsidRPr="0009562E" w:rsidRDefault="0009562E" w:rsidP="00A711D9">
            <w:pPr>
              <w:cnfStyle w:val="000000010000" w:firstRow="0" w:lastRow="0" w:firstColumn="0" w:lastColumn="0" w:oddVBand="0" w:evenVBand="0" w:oddHBand="0" w:evenHBand="1" w:firstRowFirstColumn="0" w:firstRowLastColumn="0" w:lastRowFirstColumn="0" w:lastRowLastColumn="0"/>
            </w:pPr>
            <w:r w:rsidRPr="0009562E">
              <w:t>–</w:t>
            </w:r>
            <w:r w:rsidR="00A711D9">
              <w:t>5.6</w:t>
            </w:r>
          </w:p>
        </w:tc>
        <w:tc>
          <w:tcPr>
            <w:tcW w:w="604" w:type="pct"/>
          </w:tcPr>
          <w:p w:rsidR="0009562E" w:rsidRPr="0009562E" w:rsidRDefault="0009562E" w:rsidP="00A711D9">
            <w:pPr>
              <w:cnfStyle w:val="000000010000" w:firstRow="0" w:lastRow="0" w:firstColumn="0" w:lastColumn="0" w:oddVBand="0" w:evenVBand="0" w:oddHBand="0" w:evenHBand="1" w:firstRowFirstColumn="0" w:firstRowLastColumn="0" w:lastRowFirstColumn="0" w:lastRowLastColumn="0"/>
            </w:pPr>
            <w:r w:rsidRPr="0009562E">
              <w:t>–</w:t>
            </w:r>
            <w:r w:rsidR="00A711D9">
              <w:t>5.</w:t>
            </w:r>
            <w:r w:rsidR="0070212F">
              <w:t>8</w:t>
            </w:r>
          </w:p>
        </w:tc>
        <w:tc>
          <w:tcPr>
            <w:tcW w:w="602" w:type="pct"/>
          </w:tcPr>
          <w:p w:rsidR="0009562E" w:rsidRPr="0009562E" w:rsidRDefault="005E520F" w:rsidP="00A711D9">
            <w:pPr>
              <w:cnfStyle w:val="000000010000" w:firstRow="0" w:lastRow="0" w:firstColumn="0" w:lastColumn="0" w:oddVBand="0" w:evenVBand="0" w:oddHBand="0" w:evenHBand="1" w:firstRowFirstColumn="0" w:firstRowLastColumn="0" w:lastRowFirstColumn="0" w:lastRowLastColumn="0"/>
            </w:pPr>
            <w:r>
              <w:t>–</w:t>
            </w:r>
            <w:r w:rsidR="00A711D9">
              <w:t>6.1</w:t>
            </w:r>
          </w:p>
        </w:tc>
      </w:tr>
      <w:tr w:rsidR="0009562E" w:rsidRPr="00BE63ED" w:rsidTr="0009562E">
        <w:trPr>
          <w:trHeight w:val="451"/>
        </w:trPr>
        <w:tc>
          <w:tcPr>
            <w:cnfStyle w:val="001000000000" w:firstRow="0" w:lastRow="0" w:firstColumn="1" w:lastColumn="0" w:oddVBand="0" w:evenVBand="0" w:oddHBand="0" w:evenHBand="0" w:firstRowFirstColumn="0" w:firstRowLastColumn="0" w:lastRowFirstColumn="0" w:lastRowLastColumn="0"/>
            <w:tcW w:w="1979" w:type="pct"/>
          </w:tcPr>
          <w:p w:rsidR="0009562E" w:rsidRPr="00BE63ED" w:rsidRDefault="0009562E" w:rsidP="00BE63ED">
            <w:r w:rsidRPr="00BE63ED">
              <w:t xml:space="preserve">Closing RAB </w:t>
            </w:r>
          </w:p>
        </w:tc>
        <w:tc>
          <w:tcPr>
            <w:tcW w:w="606" w:type="pct"/>
          </w:tcPr>
          <w:p w:rsidR="0009562E" w:rsidRPr="00BE63ED" w:rsidRDefault="00A711D9" w:rsidP="00A711D9">
            <w:pPr>
              <w:cnfStyle w:val="000000000000" w:firstRow="0" w:lastRow="0" w:firstColumn="0" w:lastColumn="0" w:oddVBand="0" w:evenVBand="0" w:oddHBand="0" w:evenHBand="0" w:firstRowFirstColumn="0" w:firstRowLastColumn="0" w:lastRowFirstColumn="0" w:lastRowLastColumn="0"/>
            </w:pPr>
            <w:r>
              <w:t>13</w:t>
            </w:r>
            <w:r w:rsidR="0070212F">
              <w:t>5.1</w:t>
            </w:r>
          </w:p>
        </w:tc>
        <w:tc>
          <w:tcPr>
            <w:tcW w:w="605" w:type="pct"/>
          </w:tcPr>
          <w:p w:rsidR="0009562E" w:rsidRPr="00BE63ED" w:rsidRDefault="00A711D9" w:rsidP="00A711D9">
            <w:pPr>
              <w:cnfStyle w:val="000000000000" w:firstRow="0" w:lastRow="0" w:firstColumn="0" w:lastColumn="0" w:oddVBand="0" w:evenVBand="0" w:oddHBand="0" w:evenHBand="0" w:firstRowFirstColumn="0" w:firstRowLastColumn="0" w:lastRowFirstColumn="0" w:lastRowLastColumn="0"/>
            </w:pPr>
            <w:r>
              <w:t>13</w:t>
            </w:r>
            <w:r w:rsidR="0070212F">
              <w:t>4.9</w:t>
            </w:r>
          </w:p>
        </w:tc>
        <w:tc>
          <w:tcPr>
            <w:tcW w:w="604" w:type="pct"/>
          </w:tcPr>
          <w:p w:rsidR="0009562E" w:rsidRPr="00BE63ED" w:rsidRDefault="0070212F" w:rsidP="00A711D9">
            <w:pPr>
              <w:cnfStyle w:val="000000000000" w:firstRow="0" w:lastRow="0" w:firstColumn="0" w:lastColumn="0" w:oddVBand="0" w:evenVBand="0" w:oddHBand="0" w:evenHBand="0" w:firstRowFirstColumn="0" w:firstRowLastColumn="0" w:lastRowFirstColumn="0" w:lastRowLastColumn="0"/>
            </w:pPr>
            <w:r>
              <w:t>134.8</w:t>
            </w:r>
          </w:p>
        </w:tc>
        <w:tc>
          <w:tcPr>
            <w:tcW w:w="604" w:type="pct"/>
          </w:tcPr>
          <w:p w:rsidR="0070212F" w:rsidRPr="00BE63ED" w:rsidRDefault="00A711D9" w:rsidP="0070212F">
            <w:pPr>
              <w:cnfStyle w:val="000000000000" w:firstRow="0" w:lastRow="0" w:firstColumn="0" w:lastColumn="0" w:oddVBand="0" w:evenVBand="0" w:oddHBand="0" w:evenHBand="0" w:firstRowFirstColumn="0" w:firstRowLastColumn="0" w:lastRowFirstColumn="0" w:lastRowLastColumn="0"/>
            </w:pPr>
            <w:r>
              <w:t>1</w:t>
            </w:r>
            <w:r w:rsidR="0070212F">
              <w:t>35.5</w:t>
            </w:r>
          </w:p>
        </w:tc>
        <w:tc>
          <w:tcPr>
            <w:tcW w:w="602" w:type="pct"/>
          </w:tcPr>
          <w:p w:rsidR="0009562E" w:rsidRPr="00BE63ED" w:rsidRDefault="0070212F" w:rsidP="00A711D9">
            <w:pPr>
              <w:cnfStyle w:val="000000000000" w:firstRow="0" w:lastRow="0" w:firstColumn="0" w:lastColumn="0" w:oddVBand="0" w:evenVBand="0" w:oddHBand="0" w:evenHBand="0" w:firstRowFirstColumn="0" w:firstRowLastColumn="0" w:lastRowFirstColumn="0" w:lastRowLastColumn="0"/>
            </w:pPr>
            <w:r>
              <w:t>148.6</w:t>
            </w:r>
          </w:p>
        </w:tc>
      </w:tr>
    </w:tbl>
    <w:p w:rsidR="0009562E" w:rsidRPr="0009562E" w:rsidRDefault="0009562E" w:rsidP="0009562E">
      <w:pPr>
        <w:pStyle w:val="AERtablesource"/>
      </w:pPr>
      <w:r w:rsidRPr="0009562E">
        <w:t xml:space="preserve">Source: </w:t>
      </w:r>
      <w:r w:rsidRPr="0009562E">
        <w:tab/>
        <w:t>AER analysis.</w:t>
      </w:r>
    </w:p>
    <w:p w:rsidR="00DE563D" w:rsidRPr="00AF1F9E" w:rsidRDefault="0009562E" w:rsidP="0009562E">
      <w:pPr>
        <w:pStyle w:val="AERtablesource"/>
      </w:pPr>
      <w:r w:rsidRPr="0009562E">
        <w:t xml:space="preserve">(a) </w:t>
      </w:r>
      <w:r w:rsidRPr="0009562E">
        <w:tab/>
        <w:t xml:space="preserve">As incurred, and net of disposals. In accordance with the timing assumptions of the </w:t>
      </w:r>
      <w:r w:rsidR="00417D17">
        <w:t>PTRM</w:t>
      </w:r>
      <w:r w:rsidRPr="0009562E">
        <w:t>, the capex includes a half-WACC allowance to compensate for the six month period before capex is added to the RAB for revenue modelling.</w:t>
      </w:r>
      <w:bookmarkEnd w:id="14"/>
    </w:p>
    <w:p w:rsidR="00DE563D" w:rsidRPr="00AF1F9E" w:rsidRDefault="00AF1F9E" w:rsidP="00AF1F9E">
      <w:pPr>
        <w:pStyle w:val="Heading2"/>
      </w:pPr>
      <w:bookmarkStart w:id="16" w:name="_Toc403144137"/>
      <w:bookmarkStart w:id="17" w:name="_Toc413251306"/>
      <w:r>
        <w:lastRenderedPageBreak/>
        <w:t>Directlink’s revised</w:t>
      </w:r>
      <w:r w:rsidR="00DE563D" w:rsidRPr="00AF1F9E">
        <w:t xml:space="preserve"> proposal</w:t>
      </w:r>
      <w:bookmarkEnd w:id="16"/>
      <w:bookmarkEnd w:id="17"/>
    </w:p>
    <w:p w:rsidR="00A055C7" w:rsidRDefault="00A055C7" w:rsidP="00A055C7">
      <w:pPr>
        <w:numPr>
          <w:ilvl w:val="0"/>
          <w:numId w:val="25"/>
        </w:numPr>
      </w:pPr>
      <w:bookmarkStart w:id="18" w:name="_Toc403144138"/>
      <w:r>
        <w:t xml:space="preserve">Directlink's </w:t>
      </w:r>
      <w:r w:rsidR="008C6231">
        <w:t>revised proposal adopted our draft decision changes to its opening RAB value as at 1 July 2015.</w:t>
      </w:r>
      <w:r w:rsidR="008C6231">
        <w:rPr>
          <w:rStyle w:val="FootnoteReference"/>
        </w:rPr>
        <w:footnoteReference w:id="7"/>
      </w:r>
      <w:r w:rsidR="008C6231">
        <w:t xml:space="preserve"> Its</w:t>
      </w:r>
      <w:r w:rsidR="00673E21">
        <w:t xml:space="preserve"> revised proposed</w:t>
      </w:r>
      <w:r>
        <w:t xml:space="preserve"> opening RAB was $131</w:t>
      </w:r>
      <w:r w:rsidR="00417D17">
        <w:t>.0</w:t>
      </w:r>
      <w:r>
        <w:t xml:space="preserve"> million ($ nominal) as at 1 July 2015. As Directlink has updated the </w:t>
      </w:r>
      <w:r w:rsidR="00692AD1">
        <w:t>roll forward model (</w:t>
      </w:r>
      <w:r>
        <w:t>RFM</w:t>
      </w:r>
      <w:r w:rsidR="00692AD1">
        <w:t>)</w:t>
      </w:r>
      <w:r>
        <w:t xml:space="preserve"> with actual capex for </w:t>
      </w:r>
      <w:r w:rsidR="00417D17">
        <w:t>2013</w:t>
      </w:r>
      <w:r w:rsidR="00417D17" w:rsidRPr="008863AB">
        <w:t>–</w:t>
      </w:r>
      <w:r w:rsidR="00417D17">
        <w:t>14</w:t>
      </w:r>
      <w:r w:rsidR="00185709">
        <w:t xml:space="preserve"> and </w:t>
      </w:r>
      <w:r w:rsidR="005F0558">
        <w:t xml:space="preserve">a </w:t>
      </w:r>
      <w:r w:rsidR="00185709">
        <w:t>revised estimate of capex for 2014–15</w:t>
      </w:r>
      <w:r w:rsidR="00417D17">
        <w:t xml:space="preserve">, the opening RAB in its revised proposal is </w:t>
      </w:r>
      <w:r w:rsidR="00185709">
        <w:t xml:space="preserve">slightly </w:t>
      </w:r>
      <w:r w:rsidR="00417D17">
        <w:t xml:space="preserve">higher than </w:t>
      </w:r>
      <w:r w:rsidR="008C6231">
        <w:t>the draft decision</w:t>
      </w:r>
      <w:r w:rsidR="00417D17">
        <w:t xml:space="preserve">. </w:t>
      </w:r>
    </w:p>
    <w:p w:rsidR="00021FB5" w:rsidRDefault="00673E21" w:rsidP="00021FB5">
      <w:pPr>
        <w:numPr>
          <w:ilvl w:val="0"/>
          <w:numId w:val="25"/>
        </w:numPr>
      </w:pPr>
      <w:r>
        <w:t xml:space="preserve">In its revised proposal, Directlink </w:t>
      </w:r>
      <w:r w:rsidR="0009562E" w:rsidRPr="008863AB">
        <w:t>proposed a closing RAB of $</w:t>
      </w:r>
      <w:r w:rsidR="00417D17">
        <w:t>163.1</w:t>
      </w:r>
      <w:r w:rsidR="0009562E" w:rsidRPr="008863AB">
        <w:t xml:space="preserve"> million ($</w:t>
      </w:r>
      <w:r w:rsidR="0009562E">
        <w:t> </w:t>
      </w:r>
      <w:r w:rsidR="0009562E" w:rsidRPr="008863AB">
        <w:t xml:space="preserve">nominal) </w:t>
      </w:r>
      <w:r>
        <w:t xml:space="preserve">as </w:t>
      </w:r>
      <w:r w:rsidR="0009562E" w:rsidRPr="008863AB">
        <w:t>at 30 June 20</w:t>
      </w:r>
      <w:r w:rsidR="0009562E">
        <w:t>20</w:t>
      </w:r>
      <w:r>
        <w:t xml:space="preserve">. This </w:t>
      </w:r>
      <w:r w:rsidR="0009562E" w:rsidRPr="008863AB">
        <w:t xml:space="preserve">reflects </w:t>
      </w:r>
      <w:r>
        <w:t>Directlink's</w:t>
      </w:r>
      <w:r w:rsidR="0009562E" w:rsidRPr="008863AB">
        <w:t xml:space="preserve"> </w:t>
      </w:r>
      <w:r w:rsidR="00031D22">
        <w:t xml:space="preserve">revised </w:t>
      </w:r>
      <w:r w:rsidR="0009562E">
        <w:t xml:space="preserve">proposed </w:t>
      </w:r>
      <w:r w:rsidR="0009562E" w:rsidRPr="008863AB">
        <w:t>forecast capex and depreciation over</w:t>
      </w:r>
      <w:r w:rsidR="0009562E">
        <w:t xml:space="preserve"> </w:t>
      </w:r>
      <w:r w:rsidR="0009562E" w:rsidRPr="008863AB">
        <w:t>the</w:t>
      </w:r>
      <w:r w:rsidR="0009562E">
        <w:t xml:space="preserve"> </w:t>
      </w:r>
      <w:r w:rsidR="0009562E" w:rsidRPr="008863AB">
        <w:t>201</w:t>
      </w:r>
      <w:r w:rsidR="0009562E">
        <w:t>5</w:t>
      </w:r>
      <w:r w:rsidR="0009562E" w:rsidRPr="008863AB">
        <w:t>–</w:t>
      </w:r>
      <w:r w:rsidR="0009562E">
        <w:t>20</w:t>
      </w:r>
      <w:r w:rsidR="0009562E" w:rsidRPr="008863AB">
        <w:t xml:space="preserve"> regulatory control </w:t>
      </w:r>
      <w:proofErr w:type="gramStart"/>
      <w:r w:rsidR="0009562E" w:rsidRPr="008863AB">
        <w:t>period</w:t>
      </w:r>
      <w:proofErr w:type="gramEnd"/>
      <w:r w:rsidR="0009562E" w:rsidRPr="008863AB">
        <w:t>.</w:t>
      </w:r>
      <w:r w:rsidR="0009562E" w:rsidRPr="008863AB">
        <w:rPr>
          <w:rStyle w:val="FootnoteReference"/>
        </w:rPr>
        <w:footnoteReference w:id="8"/>
      </w:r>
      <w:r w:rsidR="0009562E">
        <w:t xml:space="preserve"> </w:t>
      </w:r>
      <w:r w:rsidR="0009562E">
        <w:fldChar w:fldCharType="begin"/>
      </w:r>
      <w:r w:rsidR="0009562E">
        <w:instrText xml:space="preserve"> REF _Ref402785082 \h </w:instrText>
      </w:r>
      <w:r w:rsidR="0009562E">
        <w:fldChar w:fldCharType="separate"/>
      </w:r>
      <w:r w:rsidR="0009562E">
        <w:t>Table 2</w:t>
      </w:r>
      <w:r w:rsidR="0009562E">
        <w:noBreakHyphen/>
      </w:r>
      <w:r w:rsidR="0009562E" w:rsidRPr="0009562E">
        <w:t>3</w:t>
      </w:r>
      <w:r w:rsidR="0009562E">
        <w:fldChar w:fldCharType="end"/>
      </w:r>
      <w:r w:rsidR="0009562E">
        <w:t xml:space="preserve"> and </w:t>
      </w:r>
      <w:r w:rsidR="0009562E">
        <w:fldChar w:fldCharType="begin"/>
      </w:r>
      <w:r w:rsidR="0009562E">
        <w:instrText xml:space="preserve"> REF _Ref402784972 \h </w:instrText>
      </w:r>
      <w:r w:rsidR="0009562E">
        <w:fldChar w:fldCharType="separate"/>
      </w:r>
      <w:r w:rsidR="0009562E" w:rsidRPr="008863AB">
        <w:t xml:space="preserve">Table </w:t>
      </w:r>
      <w:r w:rsidR="0009562E">
        <w:t>2</w:t>
      </w:r>
      <w:r w:rsidR="0009562E">
        <w:noBreakHyphen/>
      </w:r>
      <w:r w:rsidR="0009562E" w:rsidRPr="0009562E">
        <w:t>4</w:t>
      </w:r>
      <w:r w:rsidR="0009562E">
        <w:fldChar w:fldCharType="end"/>
      </w:r>
      <w:r w:rsidR="0009562E">
        <w:t xml:space="preserve"> </w:t>
      </w:r>
      <w:r w:rsidR="0009562E" w:rsidRPr="008863AB">
        <w:t xml:space="preserve">present </w:t>
      </w:r>
      <w:proofErr w:type="spellStart"/>
      <w:r w:rsidR="0009562E">
        <w:t>Directlink</w:t>
      </w:r>
      <w:r w:rsidR="0009562E" w:rsidRPr="008863AB">
        <w:t>'s</w:t>
      </w:r>
      <w:proofErr w:type="spellEnd"/>
      <w:r w:rsidR="0009562E" w:rsidRPr="008863AB">
        <w:t xml:space="preserve"> </w:t>
      </w:r>
      <w:r w:rsidR="00417D17">
        <w:t xml:space="preserve">revised </w:t>
      </w:r>
      <w:r w:rsidR="0009562E" w:rsidRPr="008863AB">
        <w:t>proposed roll forward of the RAB during the 200</w:t>
      </w:r>
      <w:r w:rsidR="0009562E">
        <w:t>5</w:t>
      </w:r>
      <w:r w:rsidR="0009562E" w:rsidRPr="008863AB">
        <w:t>–1</w:t>
      </w:r>
      <w:r w:rsidR="0009562E">
        <w:t>5</w:t>
      </w:r>
      <w:r w:rsidR="0009562E" w:rsidRPr="008863AB">
        <w:t xml:space="preserve"> regulatory control period and the 201</w:t>
      </w:r>
      <w:r w:rsidR="0009562E">
        <w:t>5</w:t>
      </w:r>
      <w:r w:rsidR="0009562E" w:rsidRPr="008863AB">
        <w:t>–</w:t>
      </w:r>
      <w:r w:rsidR="0009562E">
        <w:t>20</w:t>
      </w:r>
      <w:r w:rsidR="0009562E" w:rsidRPr="008863AB">
        <w:t xml:space="preserve"> regulatory control period</w:t>
      </w:r>
      <w:r w:rsidR="0009562E">
        <w:t>,</w:t>
      </w:r>
      <w:r w:rsidR="0009562E" w:rsidRPr="008863AB">
        <w:t xml:space="preserve"> respectively.</w:t>
      </w:r>
      <w:r w:rsidR="0009562E">
        <w:t xml:space="preserve"> </w:t>
      </w:r>
    </w:p>
    <w:p w:rsidR="0009562E" w:rsidRPr="008863AB" w:rsidRDefault="00503E17" w:rsidP="00021FB5">
      <w:pPr>
        <w:numPr>
          <w:ilvl w:val="0"/>
          <w:numId w:val="25"/>
        </w:numPr>
      </w:pPr>
      <w:r>
        <w:t>Directlink's revised proposal adopted our draft decision to use the forecast depreciation approach for establishing the RAB at the commencement of the regulatory control period from 1 July 2020.</w:t>
      </w:r>
      <w:r>
        <w:rPr>
          <w:rStyle w:val="FootnoteReference"/>
        </w:rPr>
        <w:footnoteReference w:id="9"/>
      </w:r>
      <w:r w:rsidR="00E75B9B">
        <w:t xml:space="preserve"> </w:t>
      </w:r>
    </w:p>
    <w:p w:rsidR="0009562E" w:rsidRPr="008863AB" w:rsidRDefault="0009562E" w:rsidP="0009562E">
      <w:pPr>
        <w:pStyle w:val="Caption"/>
      </w:pPr>
      <w:bookmarkStart w:id="19" w:name="_Ref402785082"/>
      <w:r>
        <w:t>Table 2</w:t>
      </w:r>
      <w:r>
        <w:noBreakHyphen/>
      </w:r>
      <w:fldSimple w:instr=" SEQ Table \* ARABIC \s 1 ">
        <w:r w:rsidRPr="0009562E">
          <w:t>3</w:t>
        </w:r>
      </w:fldSimple>
      <w:bookmarkEnd w:id="19"/>
      <w:r>
        <w:tab/>
        <w:t>Directlink</w:t>
      </w:r>
      <w:r w:rsidRPr="008863AB">
        <w:t xml:space="preserve">'s </w:t>
      </w:r>
      <w:r>
        <w:t xml:space="preserve">revised </w:t>
      </w:r>
      <w:r w:rsidRPr="008863AB">
        <w:t>proposed RAB for the 200</w:t>
      </w:r>
      <w:r>
        <w:t>5</w:t>
      </w:r>
      <w:r w:rsidRPr="008863AB">
        <w:t>–1</w:t>
      </w:r>
      <w:r>
        <w:t xml:space="preserve">5 regulatory control period </w:t>
      </w:r>
      <w:r w:rsidRPr="008863AB">
        <w:t>($ million, nominal)</w:t>
      </w:r>
    </w:p>
    <w:tbl>
      <w:tblPr>
        <w:tblStyle w:val="AERtable-numbers"/>
        <w:tblW w:w="5000" w:type="pct"/>
        <w:tblLook w:val="01E0" w:firstRow="1" w:lastRow="1" w:firstColumn="1" w:lastColumn="1" w:noHBand="0" w:noVBand="0"/>
      </w:tblPr>
      <w:tblGrid>
        <w:gridCol w:w="2083"/>
        <w:gridCol w:w="661"/>
        <w:gridCol w:w="661"/>
        <w:gridCol w:w="661"/>
        <w:gridCol w:w="661"/>
        <w:gridCol w:w="661"/>
        <w:gridCol w:w="661"/>
        <w:gridCol w:w="661"/>
        <w:gridCol w:w="661"/>
        <w:gridCol w:w="661"/>
        <w:gridCol w:w="661"/>
      </w:tblGrid>
      <w:tr w:rsidR="0009562E" w:rsidRPr="0009562E" w:rsidTr="0009562E">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227" w:type="pct"/>
          </w:tcPr>
          <w:p w:rsidR="0009562E" w:rsidRPr="0009562E" w:rsidRDefault="0009562E" w:rsidP="0009562E"/>
        </w:tc>
        <w:tc>
          <w:tcPr>
            <w:tcW w:w="372"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2005–06</w:t>
            </w:r>
          </w:p>
        </w:tc>
        <w:tc>
          <w:tcPr>
            <w:tcW w:w="373"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2006–07</w:t>
            </w:r>
          </w:p>
        </w:tc>
        <w:tc>
          <w:tcPr>
            <w:tcW w:w="373"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2007–08</w:t>
            </w:r>
          </w:p>
        </w:tc>
        <w:tc>
          <w:tcPr>
            <w:tcW w:w="373"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2008–09</w:t>
            </w:r>
          </w:p>
        </w:tc>
        <w:tc>
          <w:tcPr>
            <w:tcW w:w="373"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2009–10</w:t>
            </w:r>
          </w:p>
        </w:tc>
        <w:tc>
          <w:tcPr>
            <w:tcW w:w="382"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2010–11</w:t>
            </w:r>
          </w:p>
        </w:tc>
        <w:tc>
          <w:tcPr>
            <w:tcW w:w="382"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2011–12</w:t>
            </w:r>
          </w:p>
        </w:tc>
        <w:tc>
          <w:tcPr>
            <w:tcW w:w="382"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2012–13</w:t>
            </w:r>
          </w:p>
        </w:tc>
        <w:tc>
          <w:tcPr>
            <w:tcW w:w="382"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2013–14</w:t>
            </w:r>
          </w:p>
        </w:tc>
        <w:tc>
          <w:tcPr>
            <w:tcW w:w="382"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2014–15</w:t>
            </w:r>
          </w:p>
        </w:tc>
      </w:tr>
      <w:tr w:rsidR="0009562E" w:rsidRPr="0009562E" w:rsidTr="0009562E">
        <w:trPr>
          <w:trHeight w:val="528"/>
        </w:trPr>
        <w:tc>
          <w:tcPr>
            <w:cnfStyle w:val="001000000000" w:firstRow="0" w:lastRow="0" w:firstColumn="1" w:lastColumn="0" w:oddVBand="0" w:evenVBand="0" w:oddHBand="0" w:evenHBand="0" w:firstRowFirstColumn="0" w:firstRowLastColumn="0" w:lastRowFirstColumn="0" w:lastRowLastColumn="0"/>
            <w:tcW w:w="1227" w:type="pct"/>
          </w:tcPr>
          <w:p w:rsidR="0009562E" w:rsidRPr="0009562E" w:rsidRDefault="0009562E" w:rsidP="0009562E">
            <w:r w:rsidRPr="0009562E">
              <w:t>Opening RAB</w:t>
            </w:r>
          </w:p>
        </w:tc>
        <w:tc>
          <w:tcPr>
            <w:tcW w:w="37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116.7</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119.2</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119.7</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121.5</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121.1</w:t>
            </w:r>
          </w:p>
        </w:tc>
        <w:tc>
          <w:tcPr>
            <w:tcW w:w="38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121.1</w:t>
            </w:r>
          </w:p>
        </w:tc>
        <w:tc>
          <w:tcPr>
            <w:tcW w:w="382"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123.7</w:t>
            </w:r>
          </w:p>
        </w:tc>
        <w:tc>
          <w:tcPr>
            <w:tcW w:w="38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123.7</w:t>
            </w:r>
          </w:p>
        </w:tc>
        <w:tc>
          <w:tcPr>
            <w:tcW w:w="382"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123.7</w:t>
            </w:r>
          </w:p>
        </w:tc>
        <w:tc>
          <w:tcPr>
            <w:tcW w:w="382"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127.1</w:t>
            </w:r>
          </w:p>
        </w:tc>
      </w:tr>
      <w:tr w:rsidR="0009562E" w:rsidRPr="0009562E" w:rsidTr="0009562E">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227" w:type="pct"/>
          </w:tcPr>
          <w:p w:rsidR="0009562E" w:rsidRPr="0009562E" w:rsidRDefault="0009562E" w:rsidP="0009562E">
            <w:r w:rsidRPr="0009562E">
              <w:t>Capital expenditure</w:t>
            </w:r>
            <w:r w:rsidRPr="00145710">
              <w:rPr>
                <w:rStyle w:val="AERsuperscript"/>
              </w:rPr>
              <w:t>a</w:t>
            </w:r>
            <w:r w:rsidRPr="0009562E">
              <w:t xml:space="preserve"> </w:t>
            </w:r>
          </w:p>
        </w:tc>
        <w:tc>
          <w:tcPr>
            <w:tcW w:w="37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2.1</w:t>
            </w: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0.9</w:t>
            </w: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0.0</w:t>
            </w: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0.0</w:t>
            </w: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0.0</w:t>
            </w: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2.2</w:t>
            </w: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1.7</w:t>
            </w: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0.7</w:t>
            </w:r>
          </w:p>
        </w:tc>
        <w:tc>
          <w:tcPr>
            <w:tcW w:w="382" w:type="pct"/>
          </w:tcPr>
          <w:p w:rsidR="0009562E" w:rsidRPr="0009562E" w:rsidRDefault="00145710" w:rsidP="0009562E">
            <w:pPr>
              <w:cnfStyle w:val="000000010000" w:firstRow="0" w:lastRow="0" w:firstColumn="0" w:lastColumn="0" w:oddVBand="0" w:evenVBand="0" w:oddHBand="0" w:evenHBand="1" w:firstRowFirstColumn="0" w:firstRowLastColumn="0" w:lastRowFirstColumn="0" w:lastRowLastColumn="0"/>
            </w:pPr>
            <w:r>
              <w:t>3.7</w:t>
            </w:r>
          </w:p>
        </w:tc>
        <w:tc>
          <w:tcPr>
            <w:tcW w:w="382" w:type="pct"/>
          </w:tcPr>
          <w:p w:rsidR="0009562E" w:rsidRPr="0009562E" w:rsidRDefault="00145710" w:rsidP="0009562E">
            <w:pPr>
              <w:cnfStyle w:val="000000010000" w:firstRow="0" w:lastRow="0" w:firstColumn="0" w:lastColumn="0" w:oddVBand="0" w:evenVBand="0" w:oddHBand="0" w:evenHBand="1" w:firstRowFirstColumn="0" w:firstRowLastColumn="0" w:lastRowFirstColumn="0" w:lastRowLastColumn="0"/>
            </w:pPr>
            <w:r>
              <w:t>4.6</w:t>
            </w:r>
          </w:p>
        </w:tc>
      </w:tr>
      <w:tr w:rsidR="0009562E" w:rsidRPr="0009562E" w:rsidTr="0009562E">
        <w:trPr>
          <w:trHeight w:val="528"/>
        </w:trPr>
        <w:tc>
          <w:tcPr>
            <w:cnfStyle w:val="001000000000" w:firstRow="0" w:lastRow="0" w:firstColumn="1" w:lastColumn="0" w:oddVBand="0" w:evenVBand="0" w:oddHBand="0" w:evenHBand="0" w:firstRowFirstColumn="0" w:firstRowLastColumn="0" w:lastRowFirstColumn="0" w:lastRowLastColumn="0"/>
            <w:tcW w:w="1227" w:type="pct"/>
          </w:tcPr>
          <w:p w:rsidR="0009562E" w:rsidRPr="0009562E" w:rsidRDefault="0009562E" w:rsidP="0009562E">
            <w:r w:rsidRPr="0009562E">
              <w:t>CPI indexation on opening RAB</w:t>
            </w:r>
          </w:p>
        </w:tc>
        <w:tc>
          <w:tcPr>
            <w:tcW w:w="37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3.5</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2.9</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5.1</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3.0</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3.5</w:t>
            </w:r>
          </w:p>
        </w:tc>
        <w:tc>
          <w:tcPr>
            <w:tcW w:w="38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4.0</w:t>
            </w:r>
          </w:p>
        </w:tc>
        <w:tc>
          <w:tcPr>
            <w:tcW w:w="38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2.0</w:t>
            </w:r>
          </w:p>
        </w:tc>
        <w:tc>
          <w:tcPr>
            <w:tcW w:w="38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3.1</w:t>
            </w:r>
          </w:p>
        </w:tc>
        <w:tc>
          <w:tcPr>
            <w:tcW w:w="38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3.6</w:t>
            </w:r>
          </w:p>
        </w:tc>
        <w:tc>
          <w:tcPr>
            <w:tcW w:w="38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3.2</w:t>
            </w:r>
          </w:p>
        </w:tc>
      </w:tr>
      <w:tr w:rsidR="0009562E" w:rsidRPr="0009562E" w:rsidTr="0009562E">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227" w:type="pct"/>
          </w:tcPr>
          <w:p w:rsidR="0009562E" w:rsidRPr="0009562E" w:rsidRDefault="0009562E" w:rsidP="0009562E">
            <w:r w:rsidRPr="0009562E">
              <w:t>Straight-line depreciation</w:t>
            </w:r>
            <w:r w:rsidRPr="00145710">
              <w:rPr>
                <w:rStyle w:val="AERsuperscript"/>
              </w:rPr>
              <w:t>b</w:t>
            </w:r>
          </w:p>
        </w:tc>
        <w:tc>
          <w:tcPr>
            <w:tcW w:w="37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–3.1</w:t>
            </w: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–3.2</w:t>
            </w: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–3.3</w:t>
            </w: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–3.4</w:t>
            </w: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–3.5</w:t>
            </w: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–3.6</w:t>
            </w: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–3.7</w:t>
            </w: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–3.8</w:t>
            </w: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–3.9</w:t>
            </w: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pPr>
            <w:r w:rsidRPr="0009562E">
              <w:t>–4.0</w:t>
            </w:r>
          </w:p>
        </w:tc>
      </w:tr>
      <w:tr w:rsidR="0009562E" w:rsidRPr="0009562E" w:rsidTr="0009562E">
        <w:trPr>
          <w:trHeight w:val="528"/>
        </w:trPr>
        <w:tc>
          <w:tcPr>
            <w:cnfStyle w:val="001000000000" w:firstRow="0" w:lastRow="0" w:firstColumn="1" w:lastColumn="0" w:oddVBand="0" w:evenVBand="0" w:oddHBand="0" w:evenHBand="0" w:firstRowFirstColumn="0" w:firstRowLastColumn="0" w:lastRowFirstColumn="0" w:lastRowLastColumn="0"/>
            <w:tcW w:w="1227" w:type="pct"/>
          </w:tcPr>
          <w:p w:rsidR="0009562E" w:rsidRPr="0009562E" w:rsidRDefault="0009562E" w:rsidP="0009562E">
            <w:r w:rsidRPr="0009562E">
              <w:t>Closing RAB</w:t>
            </w:r>
          </w:p>
        </w:tc>
        <w:tc>
          <w:tcPr>
            <w:tcW w:w="37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119.2</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119.7</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121.5</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121.1</w:t>
            </w:r>
          </w:p>
        </w:tc>
        <w:tc>
          <w:tcPr>
            <w:tcW w:w="373"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121.1</w:t>
            </w:r>
          </w:p>
        </w:tc>
        <w:tc>
          <w:tcPr>
            <w:tcW w:w="382"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123.7</w:t>
            </w:r>
          </w:p>
        </w:tc>
        <w:tc>
          <w:tcPr>
            <w:tcW w:w="382"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123.7</w:t>
            </w:r>
          </w:p>
        </w:tc>
        <w:tc>
          <w:tcPr>
            <w:tcW w:w="382"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123.7</w:t>
            </w:r>
          </w:p>
        </w:tc>
        <w:tc>
          <w:tcPr>
            <w:tcW w:w="382"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127.1</w:t>
            </w:r>
          </w:p>
        </w:tc>
        <w:tc>
          <w:tcPr>
            <w:tcW w:w="382"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131.0</w:t>
            </w:r>
          </w:p>
        </w:tc>
      </w:tr>
      <w:tr w:rsidR="0009562E" w:rsidRPr="0009562E" w:rsidTr="0009562E">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227" w:type="pct"/>
          </w:tcPr>
          <w:p w:rsidR="0009562E" w:rsidRPr="0009562E" w:rsidRDefault="0009562E" w:rsidP="0009562E">
            <w:pPr>
              <w:rPr>
                <w:rStyle w:val="Strong"/>
              </w:rPr>
            </w:pPr>
            <w:r w:rsidRPr="0009562E">
              <w:rPr>
                <w:rStyle w:val="Strong"/>
              </w:rPr>
              <w:t xml:space="preserve">Opening RAB as at </w:t>
            </w:r>
            <w:r w:rsidRPr="0009562E">
              <w:rPr>
                <w:rStyle w:val="Strong"/>
              </w:rPr>
              <w:br/>
              <w:t>1 July 2015</w:t>
            </w:r>
          </w:p>
        </w:tc>
        <w:tc>
          <w:tcPr>
            <w:tcW w:w="37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73"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82" w:type="pct"/>
          </w:tcPr>
          <w:p w:rsidR="0009562E" w:rsidRPr="0009562E" w:rsidRDefault="0009562E" w:rsidP="0009562E">
            <w:pPr>
              <w:cnfStyle w:val="000000010000" w:firstRow="0" w:lastRow="0" w:firstColumn="0" w:lastColumn="0" w:oddVBand="0" w:evenVBand="0" w:oddHBand="0" w:evenHBand="1" w:firstRowFirstColumn="0" w:firstRowLastColumn="0" w:lastRowFirstColumn="0" w:lastRowLastColumn="0"/>
              <w:rPr>
                <w:rStyle w:val="Strong"/>
              </w:rPr>
            </w:pPr>
          </w:p>
        </w:tc>
        <w:tc>
          <w:tcPr>
            <w:tcW w:w="382" w:type="pct"/>
          </w:tcPr>
          <w:p w:rsidR="0009562E" w:rsidRPr="0009562E" w:rsidRDefault="00145710" w:rsidP="0009562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131.0</w:t>
            </w:r>
          </w:p>
        </w:tc>
      </w:tr>
    </w:tbl>
    <w:p w:rsidR="0009562E" w:rsidRPr="0009562E" w:rsidRDefault="0009562E" w:rsidP="0009562E">
      <w:pPr>
        <w:pStyle w:val="AERtablesource"/>
      </w:pPr>
      <w:r w:rsidRPr="0009562E">
        <w:t>Source:</w:t>
      </w:r>
      <w:r w:rsidRPr="0009562E">
        <w:tab/>
        <w:t xml:space="preserve">Directlink, </w:t>
      </w:r>
      <w:r w:rsidR="00145710">
        <w:rPr>
          <w:rStyle w:val="AERtextitalic"/>
        </w:rPr>
        <w:t>Revised revenue proposal</w:t>
      </w:r>
      <w:r w:rsidR="00145710">
        <w:t>, January 2015, p. 10</w:t>
      </w:r>
    </w:p>
    <w:p w:rsidR="0009562E" w:rsidRPr="0009562E" w:rsidRDefault="0009562E" w:rsidP="0009562E">
      <w:pPr>
        <w:pStyle w:val="AERtablesource"/>
      </w:pPr>
      <w:r w:rsidRPr="0009562E">
        <w:t xml:space="preserve">(a) </w:t>
      </w:r>
      <w:r w:rsidRPr="0009562E">
        <w:tab/>
        <w:t>As incurred, net of disposals, and adjusted for actual CPI.</w:t>
      </w:r>
    </w:p>
    <w:p w:rsidR="00716432" w:rsidRDefault="0009562E" w:rsidP="0009562E">
      <w:pPr>
        <w:pStyle w:val="AERtablesource"/>
      </w:pPr>
      <w:r w:rsidRPr="0009562E">
        <w:t>(b)</w:t>
      </w:r>
      <w:r w:rsidRPr="0009562E">
        <w:tab/>
        <w:t>Based on forecast depreciation and adjusted for actual CPI.</w:t>
      </w:r>
    </w:p>
    <w:p w:rsidR="00716432" w:rsidRDefault="00716432">
      <w:pPr>
        <w:spacing w:line="240" w:lineRule="auto"/>
        <w:rPr>
          <w:rFonts w:eastAsia="Times New Roman" w:cs="Times New Roman"/>
          <w:sz w:val="16"/>
          <w:szCs w:val="24"/>
        </w:rPr>
      </w:pPr>
      <w:r>
        <w:br w:type="page"/>
      </w:r>
    </w:p>
    <w:p w:rsidR="0009562E" w:rsidRPr="0009562E" w:rsidRDefault="0009562E" w:rsidP="0009562E">
      <w:pPr>
        <w:pStyle w:val="Tabletitle"/>
      </w:pPr>
      <w:bookmarkStart w:id="20" w:name="_Ref402784972"/>
      <w:r w:rsidRPr="0009562E">
        <w:lastRenderedPageBreak/>
        <w:t>Table 2</w:t>
      </w:r>
      <w:r w:rsidRPr="0009562E">
        <w:noBreakHyphen/>
      </w:r>
      <w:fldSimple w:instr=" SEQ Table \* ARABIC \s 1 ">
        <w:r w:rsidRPr="0009562E">
          <w:t>4</w:t>
        </w:r>
      </w:fldSimple>
      <w:bookmarkEnd w:id="20"/>
      <w:r w:rsidRPr="0009562E">
        <w:tab/>
        <w:t xml:space="preserve">Directlink's </w:t>
      </w:r>
      <w:r>
        <w:t xml:space="preserve">revised </w:t>
      </w:r>
      <w:r w:rsidRPr="0009562E">
        <w:t>proposed RAB for the 2015–20</w:t>
      </w:r>
      <w:r>
        <w:t xml:space="preserve"> regulatory control period </w:t>
      </w:r>
      <w:r w:rsidRPr="0009562E">
        <w:t>($ million, nominal)</w:t>
      </w:r>
    </w:p>
    <w:tbl>
      <w:tblPr>
        <w:tblStyle w:val="AERtable-numbers"/>
        <w:tblW w:w="5000" w:type="pct"/>
        <w:tblLook w:val="01E0" w:firstRow="1" w:lastRow="1" w:firstColumn="1" w:lastColumn="1" w:noHBand="0" w:noVBand="0"/>
      </w:tblPr>
      <w:tblGrid>
        <w:gridCol w:w="3439"/>
        <w:gridCol w:w="1054"/>
        <w:gridCol w:w="1052"/>
        <w:gridCol w:w="1050"/>
        <w:gridCol w:w="1050"/>
        <w:gridCol w:w="1048"/>
      </w:tblGrid>
      <w:tr w:rsidR="0009562E" w:rsidRPr="0009562E" w:rsidTr="0009562E">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78" w:type="pct"/>
          </w:tcPr>
          <w:p w:rsidR="0009562E" w:rsidRPr="0009562E" w:rsidRDefault="0009562E" w:rsidP="0009562E"/>
        </w:tc>
        <w:tc>
          <w:tcPr>
            <w:tcW w:w="606"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2015–16</w:t>
            </w:r>
          </w:p>
        </w:tc>
        <w:tc>
          <w:tcPr>
            <w:tcW w:w="605"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2016–17</w:t>
            </w:r>
          </w:p>
        </w:tc>
        <w:tc>
          <w:tcPr>
            <w:tcW w:w="604"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2017–18</w:t>
            </w:r>
          </w:p>
        </w:tc>
        <w:tc>
          <w:tcPr>
            <w:tcW w:w="604"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2018–19</w:t>
            </w:r>
          </w:p>
        </w:tc>
        <w:tc>
          <w:tcPr>
            <w:tcW w:w="603" w:type="pct"/>
          </w:tcPr>
          <w:p w:rsidR="0009562E" w:rsidRPr="0009562E" w:rsidRDefault="0009562E" w:rsidP="0009562E">
            <w:pPr>
              <w:cnfStyle w:val="100000000000" w:firstRow="1" w:lastRow="0" w:firstColumn="0" w:lastColumn="0" w:oddVBand="0" w:evenVBand="0" w:oddHBand="0" w:evenHBand="0" w:firstRowFirstColumn="0" w:firstRowLastColumn="0" w:lastRowFirstColumn="0" w:lastRowLastColumn="0"/>
            </w:pPr>
            <w:r w:rsidRPr="0009562E">
              <w:t>2019–20</w:t>
            </w:r>
          </w:p>
        </w:tc>
      </w:tr>
      <w:tr w:rsidR="0009562E" w:rsidRPr="0009562E" w:rsidTr="0009562E">
        <w:trPr>
          <w:trHeight w:val="547"/>
        </w:trPr>
        <w:tc>
          <w:tcPr>
            <w:cnfStyle w:val="001000000000" w:firstRow="0" w:lastRow="0" w:firstColumn="1" w:lastColumn="0" w:oddVBand="0" w:evenVBand="0" w:oddHBand="0" w:evenHBand="0" w:firstRowFirstColumn="0" w:firstRowLastColumn="0" w:lastRowFirstColumn="0" w:lastRowLastColumn="0"/>
            <w:tcW w:w="1978" w:type="pct"/>
          </w:tcPr>
          <w:p w:rsidR="0009562E" w:rsidRPr="0009562E" w:rsidRDefault="0009562E" w:rsidP="0009562E">
            <w:r w:rsidRPr="0009562E">
              <w:t xml:space="preserve">Opening RAB </w:t>
            </w:r>
          </w:p>
        </w:tc>
        <w:tc>
          <w:tcPr>
            <w:tcW w:w="606"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131.0</w:t>
            </w:r>
          </w:p>
        </w:tc>
        <w:tc>
          <w:tcPr>
            <w:tcW w:w="605"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141.6</w:t>
            </w:r>
          </w:p>
        </w:tc>
        <w:tc>
          <w:tcPr>
            <w:tcW w:w="604"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143.6</w:t>
            </w:r>
          </w:p>
        </w:tc>
        <w:tc>
          <w:tcPr>
            <w:tcW w:w="604"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145.3</w:t>
            </w:r>
          </w:p>
        </w:tc>
        <w:tc>
          <w:tcPr>
            <w:tcW w:w="603" w:type="pct"/>
          </w:tcPr>
          <w:p w:rsidR="0009562E" w:rsidRPr="0009562E" w:rsidRDefault="00145710" w:rsidP="0009562E">
            <w:pPr>
              <w:cnfStyle w:val="000000000000" w:firstRow="0" w:lastRow="0" w:firstColumn="0" w:lastColumn="0" w:oddVBand="0" w:evenVBand="0" w:oddHBand="0" w:evenHBand="0" w:firstRowFirstColumn="0" w:firstRowLastColumn="0" w:lastRowFirstColumn="0" w:lastRowLastColumn="0"/>
            </w:pPr>
            <w:r>
              <w:t>147.8</w:t>
            </w:r>
          </w:p>
        </w:tc>
      </w:tr>
      <w:tr w:rsidR="0009562E" w:rsidRPr="0009562E" w:rsidTr="0009562E">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78" w:type="pct"/>
          </w:tcPr>
          <w:p w:rsidR="0009562E" w:rsidRPr="0009562E" w:rsidRDefault="0009562E" w:rsidP="0009562E">
            <w:r w:rsidRPr="0009562E">
              <w:t>Capital expenditure</w:t>
            </w:r>
            <w:r w:rsidRPr="00145710">
              <w:rPr>
                <w:rStyle w:val="AERsuperscript"/>
              </w:rPr>
              <w:t xml:space="preserve">a </w:t>
            </w:r>
          </w:p>
        </w:tc>
        <w:tc>
          <w:tcPr>
            <w:tcW w:w="606" w:type="pct"/>
          </w:tcPr>
          <w:p w:rsidR="0009562E" w:rsidRPr="0009562E" w:rsidRDefault="00145710" w:rsidP="0009562E">
            <w:pPr>
              <w:cnfStyle w:val="000000010000" w:firstRow="0" w:lastRow="0" w:firstColumn="0" w:lastColumn="0" w:oddVBand="0" w:evenVBand="0" w:oddHBand="0" w:evenHBand="1" w:firstRowFirstColumn="0" w:firstRowLastColumn="0" w:lastRowFirstColumn="0" w:lastRowLastColumn="0"/>
            </w:pPr>
            <w:r>
              <w:t>12.3</w:t>
            </w:r>
          </w:p>
        </w:tc>
        <w:tc>
          <w:tcPr>
            <w:tcW w:w="605" w:type="pct"/>
          </w:tcPr>
          <w:p w:rsidR="0009562E" w:rsidRPr="0009562E" w:rsidRDefault="00145710" w:rsidP="0009562E">
            <w:pPr>
              <w:cnfStyle w:val="000000010000" w:firstRow="0" w:lastRow="0" w:firstColumn="0" w:lastColumn="0" w:oddVBand="0" w:evenVBand="0" w:oddHBand="0" w:evenHBand="1" w:firstRowFirstColumn="0" w:firstRowLastColumn="0" w:lastRowFirstColumn="0" w:lastRowLastColumn="0"/>
            </w:pPr>
            <w:r>
              <w:t>4.0</w:t>
            </w:r>
          </w:p>
        </w:tc>
        <w:tc>
          <w:tcPr>
            <w:tcW w:w="604" w:type="pct"/>
          </w:tcPr>
          <w:p w:rsidR="0009562E" w:rsidRPr="0009562E" w:rsidRDefault="00176729" w:rsidP="0009562E">
            <w:pPr>
              <w:cnfStyle w:val="000000010000" w:firstRow="0" w:lastRow="0" w:firstColumn="0" w:lastColumn="0" w:oddVBand="0" w:evenVBand="0" w:oddHBand="0" w:evenHBand="1" w:firstRowFirstColumn="0" w:firstRowLastColumn="0" w:lastRowFirstColumn="0" w:lastRowLastColumn="0"/>
            </w:pPr>
            <w:r>
              <w:t>4.0</w:t>
            </w:r>
          </w:p>
        </w:tc>
        <w:tc>
          <w:tcPr>
            <w:tcW w:w="604" w:type="pct"/>
          </w:tcPr>
          <w:p w:rsidR="0009562E" w:rsidRPr="0009562E" w:rsidRDefault="00176729" w:rsidP="0009562E">
            <w:pPr>
              <w:cnfStyle w:val="000000010000" w:firstRow="0" w:lastRow="0" w:firstColumn="0" w:lastColumn="0" w:oddVBand="0" w:evenVBand="0" w:oddHBand="0" w:evenHBand="1" w:firstRowFirstColumn="0" w:firstRowLastColumn="0" w:lastRowFirstColumn="0" w:lastRowLastColumn="0"/>
            </w:pPr>
            <w:r>
              <w:t>5.0</w:t>
            </w:r>
          </w:p>
        </w:tc>
        <w:tc>
          <w:tcPr>
            <w:tcW w:w="603" w:type="pct"/>
          </w:tcPr>
          <w:p w:rsidR="0009562E" w:rsidRPr="0009562E" w:rsidRDefault="00176729" w:rsidP="0009562E">
            <w:pPr>
              <w:cnfStyle w:val="000000010000" w:firstRow="0" w:lastRow="0" w:firstColumn="0" w:lastColumn="0" w:oddVBand="0" w:evenVBand="0" w:oddHBand="0" w:evenHBand="1" w:firstRowFirstColumn="0" w:firstRowLastColumn="0" w:lastRowFirstColumn="0" w:lastRowLastColumn="0"/>
            </w:pPr>
            <w:r>
              <w:t>18.1</w:t>
            </w:r>
          </w:p>
        </w:tc>
      </w:tr>
      <w:tr w:rsidR="0009562E" w:rsidRPr="0009562E" w:rsidTr="0009562E">
        <w:trPr>
          <w:trHeight w:val="547"/>
        </w:trPr>
        <w:tc>
          <w:tcPr>
            <w:cnfStyle w:val="001000000000" w:firstRow="0" w:lastRow="0" w:firstColumn="1" w:lastColumn="0" w:oddVBand="0" w:evenVBand="0" w:oddHBand="0" w:evenHBand="0" w:firstRowFirstColumn="0" w:firstRowLastColumn="0" w:lastRowFirstColumn="0" w:lastRowLastColumn="0"/>
            <w:tcW w:w="1978" w:type="pct"/>
          </w:tcPr>
          <w:p w:rsidR="0009562E" w:rsidRPr="0009562E" w:rsidRDefault="0009562E" w:rsidP="0009562E">
            <w:r w:rsidRPr="0009562E">
              <w:t>Inflation indexation on opening RAB</w:t>
            </w:r>
          </w:p>
        </w:tc>
        <w:tc>
          <w:tcPr>
            <w:tcW w:w="606"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w:t>
            </w:r>
            <w:r w:rsidR="00983926">
              <w:t>3</w:t>
            </w:r>
          </w:p>
        </w:tc>
        <w:tc>
          <w:tcPr>
            <w:tcW w:w="605"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w:t>
            </w:r>
            <w:r w:rsidR="00983926">
              <w:t>6</w:t>
            </w:r>
          </w:p>
        </w:tc>
        <w:tc>
          <w:tcPr>
            <w:tcW w:w="604"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w:t>
            </w:r>
            <w:r w:rsidR="00983926">
              <w:t>7</w:t>
            </w:r>
          </w:p>
        </w:tc>
        <w:tc>
          <w:tcPr>
            <w:tcW w:w="604" w:type="pct"/>
          </w:tcPr>
          <w:p w:rsidR="0009562E" w:rsidRPr="0009562E" w:rsidRDefault="0009562E" w:rsidP="0009562E">
            <w:pPr>
              <w:cnfStyle w:val="000000000000" w:firstRow="0" w:lastRow="0" w:firstColumn="0" w:lastColumn="0" w:oddVBand="0" w:evenVBand="0" w:oddHBand="0" w:evenHBand="0" w:firstRowFirstColumn="0" w:firstRowLastColumn="0" w:lastRowFirstColumn="0" w:lastRowLastColumn="0"/>
            </w:pPr>
            <w:r w:rsidRPr="0009562E">
              <w:t>3.</w:t>
            </w:r>
            <w:r w:rsidR="00983926">
              <w:t>7</w:t>
            </w:r>
          </w:p>
        </w:tc>
        <w:tc>
          <w:tcPr>
            <w:tcW w:w="603" w:type="pct"/>
          </w:tcPr>
          <w:p w:rsidR="0009562E" w:rsidRPr="0009562E" w:rsidRDefault="00983926" w:rsidP="0009562E">
            <w:pPr>
              <w:cnfStyle w:val="000000000000" w:firstRow="0" w:lastRow="0" w:firstColumn="0" w:lastColumn="0" w:oddVBand="0" w:evenVBand="0" w:oddHBand="0" w:evenHBand="0" w:firstRowFirstColumn="0" w:firstRowLastColumn="0" w:lastRowFirstColumn="0" w:lastRowLastColumn="0"/>
            </w:pPr>
            <w:r>
              <w:t>3.8</w:t>
            </w:r>
          </w:p>
        </w:tc>
      </w:tr>
      <w:tr w:rsidR="0009562E" w:rsidRPr="0009562E" w:rsidTr="0009562E">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78" w:type="pct"/>
          </w:tcPr>
          <w:p w:rsidR="0009562E" w:rsidRPr="0009562E" w:rsidRDefault="0009562E" w:rsidP="0009562E">
            <w:r w:rsidRPr="0009562E">
              <w:t>Straight-line depreciation</w:t>
            </w:r>
          </w:p>
        </w:tc>
        <w:tc>
          <w:tcPr>
            <w:tcW w:w="606" w:type="pct"/>
          </w:tcPr>
          <w:p w:rsidR="0009562E" w:rsidRPr="0009562E" w:rsidRDefault="00983926" w:rsidP="0009562E">
            <w:pPr>
              <w:cnfStyle w:val="000000010000" w:firstRow="0" w:lastRow="0" w:firstColumn="0" w:lastColumn="0" w:oddVBand="0" w:evenVBand="0" w:oddHBand="0" w:evenHBand="1" w:firstRowFirstColumn="0" w:firstRowLastColumn="0" w:lastRowFirstColumn="0" w:lastRowLastColumn="0"/>
            </w:pPr>
            <w:r>
              <w:t>–5.0</w:t>
            </w:r>
          </w:p>
        </w:tc>
        <w:tc>
          <w:tcPr>
            <w:tcW w:w="605" w:type="pct"/>
          </w:tcPr>
          <w:p w:rsidR="0009562E" w:rsidRPr="0009562E" w:rsidRDefault="00983926" w:rsidP="0009562E">
            <w:pPr>
              <w:cnfStyle w:val="000000010000" w:firstRow="0" w:lastRow="0" w:firstColumn="0" w:lastColumn="0" w:oddVBand="0" w:evenVBand="0" w:oddHBand="0" w:evenHBand="1" w:firstRowFirstColumn="0" w:firstRowLastColumn="0" w:lastRowFirstColumn="0" w:lastRowLastColumn="0"/>
            </w:pPr>
            <w:r>
              <w:t>–5.6</w:t>
            </w:r>
          </w:p>
        </w:tc>
        <w:tc>
          <w:tcPr>
            <w:tcW w:w="604" w:type="pct"/>
          </w:tcPr>
          <w:p w:rsidR="0009562E" w:rsidRPr="0009562E" w:rsidRDefault="00983926" w:rsidP="0009562E">
            <w:pPr>
              <w:cnfStyle w:val="000000010000" w:firstRow="0" w:lastRow="0" w:firstColumn="0" w:lastColumn="0" w:oddVBand="0" w:evenVBand="0" w:oddHBand="0" w:evenHBand="1" w:firstRowFirstColumn="0" w:firstRowLastColumn="0" w:lastRowFirstColumn="0" w:lastRowLastColumn="0"/>
            </w:pPr>
            <w:r>
              <w:t>–5.9</w:t>
            </w:r>
          </w:p>
        </w:tc>
        <w:tc>
          <w:tcPr>
            <w:tcW w:w="604" w:type="pct"/>
          </w:tcPr>
          <w:p w:rsidR="0009562E" w:rsidRPr="0009562E" w:rsidRDefault="00983926" w:rsidP="0009562E">
            <w:pPr>
              <w:cnfStyle w:val="000000010000" w:firstRow="0" w:lastRow="0" w:firstColumn="0" w:lastColumn="0" w:oddVBand="0" w:evenVBand="0" w:oddHBand="0" w:evenHBand="1" w:firstRowFirstColumn="0" w:firstRowLastColumn="0" w:lastRowFirstColumn="0" w:lastRowLastColumn="0"/>
            </w:pPr>
            <w:r>
              <w:t>–6.2</w:t>
            </w:r>
          </w:p>
        </w:tc>
        <w:tc>
          <w:tcPr>
            <w:tcW w:w="603" w:type="pct"/>
          </w:tcPr>
          <w:p w:rsidR="0009562E" w:rsidRPr="0009562E" w:rsidRDefault="00983926" w:rsidP="0009562E">
            <w:pPr>
              <w:cnfStyle w:val="000000010000" w:firstRow="0" w:lastRow="0" w:firstColumn="0" w:lastColumn="0" w:oddVBand="0" w:evenVBand="0" w:oddHBand="0" w:evenHBand="1" w:firstRowFirstColumn="0" w:firstRowLastColumn="0" w:lastRowFirstColumn="0" w:lastRowLastColumn="0"/>
            </w:pPr>
            <w:r>
              <w:t>–6.6</w:t>
            </w:r>
          </w:p>
        </w:tc>
      </w:tr>
      <w:tr w:rsidR="0009562E" w:rsidRPr="00BE63ED" w:rsidTr="0009562E">
        <w:trPr>
          <w:trHeight w:val="547"/>
        </w:trPr>
        <w:tc>
          <w:tcPr>
            <w:cnfStyle w:val="001000000000" w:firstRow="0" w:lastRow="0" w:firstColumn="1" w:lastColumn="0" w:oddVBand="0" w:evenVBand="0" w:oddHBand="0" w:evenHBand="0" w:firstRowFirstColumn="0" w:firstRowLastColumn="0" w:lastRowFirstColumn="0" w:lastRowLastColumn="0"/>
            <w:tcW w:w="1978" w:type="pct"/>
          </w:tcPr>
          <w:p w:rsidR="0009562E" w:rsidRPr="00BE63ED" w:rsidRDefault="0009562E" w:rsidP="00BE63ED">
            <w:r w:rsidRPr="00BE63ED">
              <w:t>Closing RAB</w:t>
            </w:r>
          </w:p>
        </w:tc>
        <w:tc>
          <w:tcPr>
            <w:tcW w:w="606" w:type="pct"/>
          </w:tcPr>
          <w:p w:rsidR="0009562E" w:rsidRPr="00BE63ED" w:rsidRDefault="00983926" w:rsidP="00BE63ED">
            <w:pPr>
              <w:cnfStyle w:val="000000000000" w:firstRow="0" w:lastRow="0" w:firstColumn="0" w:lastColumn="0" w:oddVBand="0" w:evenVBand="0" w:oddHBand="0" w:evenHBand="0" w:firstRowFirstColumn="0" w:firstRowLastColumn="0" w:lastRowFirstColumn="0" w:lastRowLastColumn="0"/>
            </w:pPr>
            <w:r w:rsidRPr="00BE63ED">
              <w:t>141.5</w:t>
            </w:r>
          </w:p>
        </w:tc>
        <w:tc>
          <w:tcPr>
            <w:tcW w:w="605" w:type="pct"/>
          </w:tcPr>
          <w:p w:rsidR="0009562E" w:rsidRPr="00BE63ED" w:rsidRDefault="00983926" w:rsidP="00BE63ED">
            <w:pPr>
              <w:cnfStyle w:val="000000000000" w:firstRow="0" w:lastRow="0" w:firstColumn="0" w:lastColumn="0" w:oddVBand="0" w:evenVBand="0" w:oddHBand="0" w:evenHBand="0" w:firstRowFirstColumn="0" w:firstRowLastColumn="0" w:lastRowFirstColumn="0" w:lastRowLastColumn="0"/>
            </w:pPr>
            <w:r w:rsidRPr="00BE63ED">
              <w:t>143.6</w:t>
            </w:r>
          </w:p>
        </w:tc>
        <w:tc>
          <w:tcPr>
            <w:tcW w:w="604" w:type="pct"/>
          </w:tcPr>
          <w:p w:rsidR="0009562E" w:rsidRPr="00BE63ED" w:rsidRDefault="00983926" w:rsidP="00BE63ED">
            <w:pPr>
              <w:cnfStyle w:val="000000000000" w:firstRow="0" w:lastRow="0" w:firstColumn="0" w:lastColumn="0" w:oddVBand="0" w:evenVBand="0" w:oddHBand="0" w:evenHBand="0" w:firstRowFirstColumn="0" w:firstRowLastColumn="0" w:lastRowFirstColumn="0" w:lastRowLastColumn="0"/>
            </w:pPr>
            <w:r w:rsidRPr="00BE63ED">
              <w:t>145.3</w:t>
            </w:r>
          </w:p>
        </w:tc>
        <w:tc>
          <w:tcPr>
            <w:tcW w:w="604" w:type="pct"/>
          </w:tcPr>
          <w:p w:rsidR="0009562E" w:rsidRPr="00BE63ED" w:rsidRDefault="00983926" w:rsidP="00BE63ED">
            <w:pPr>
              <w:cnfStyle w:val="000000000000" w:firstRow="0" w:lastRow="0" w:firstColumn="0" w:lastColumn="0" w:oddVBand="0" w:evenVBand="0" w:oddHBand="0" w:evenHBand="0" w:firstRowFirstColumn="0" w:firstRowLastColumn="0" w:lastRowFirstColumn="0" w:lastRowLastColumn="0"/>
            </w:pPr>
            <w:r w:rsidRPr="00BE63ED">
              <w:t>147.8</w:t>
            </w:r>
          </w:p>
        </w:tc>
        <w:tc>
          <w:tcPr>
            <w:tcW w:w="603" w:type="pct"/>
          </w:tcPr>
          <w:p w:rsidR="0009562E" w:rsidRPr="00BE63ED" w:rsidRDefault="00983926" w:rsidP="00BE63ED">
            <w:pPr>
              <w:cnfStyle w:val="000000000000" w:firstRow="0" w:lastRow="0" w:firstColumn="0" w:lastColumn="0" w:oddVBand="0" w:evenVBand="0" w:oddHBand="0" w:evenHBand="0" w:firstRowFirstColumn="0" w:firstRowLastColumn="0" w:lastRowFirstColumn="0" w:lastRowLastColumn="0"/>
            </w:pPr>
            <w:r w:rsidRPr="00BE63ED">
              <w:t>163.1</w:t>
            </w:r>
          </w:p>
        </w:tc>
      </w:tr>
    </w:tbl>
    <w:p w:rsidR="0009562E" w:rsidRPr="0009562E" w:rsidRDefault="0009562E" w:rsidP="0009562E">
      <w:pPr>
        <w:pStyle w:val="AERtablesource"/>
      </w:pPr>
      <w:r w:rsidRPr="0009562E">
        <w:t xml:space="preserve">Source: </w:t>
      </w:r>
      <w:r w:rsidRPr="0009562E">
        <w:tab/>
      </w:r>
      <w:r w:rsidR="00145710" w:rsidRPr="0009562E">
        <w:t xml:space="preserve">Directlink, </w:t>
      </w:r>
      <w:r w:rsidR="00145710">
        <w:rPr>
          <w:rStyle w:val="AERtextitalic"/>
        </w:rPr>
        <w:t>Revised revenue proposal</w:t>
      </w:r>
      <w:r w:rsidR="00983926">
        <w:t>, January 2015, p. 48</w:t>
      </w:r>
    </w:p>
    <w:p w:rsidR="007B49E1" w:rsidRPr="00AF1F9E" w:rsidRDefault="0009562E" w:rsidP="0009562E">
      <w:pPr>
        <w:pStyle w:val="AERtablesource"/>
      </w:pPr>
      <w:r w:rsidRPr="0009562E">
        <w:t>(a)</w:t>
      </w:r>
      <w:r w:rsidRPr="0009562E">
        <w:tab/>
        <w:t>As incurred, and net of disposals.</w:t>
      </w:r>
    </w:p>
    <w:p w:rsidR="00DE563D" w:rsidRPr="00AF1F9E" w:rsidRDefault="00DE563D" w:rsidP="00AF1F9E">
      <w:pPr>
        <w:pStyle w:val="Heading2"/>
      </w:pPr>
      <w:bookmarkStart w:id="21" w:name="_Toc413251307"/>
      <w:r w:rsidRPr="00AF1F9E">
        <w:t>AER’s assessment approach</w:t>
      </w:r>
      <w:bookmarkEnd w:id="18"/>
      <w:bookmarkEnd w:id="21"/>
    </w:p>
    <w:p w:rsidR="00FF3774" w:rsidRDefault="00FF3774" w:rsidP="00FF3774">
      <w:bookmarkStart w:id="22" w:name="_Toc403144139"/>
      <w:r w:rsidRPr="00BD5D87">
        <w:t xml:space="preserve">We did not change our assessment approach for the </w:t>
      </w:r>
      <w:r>
        <w:t>RAB</w:t>
      </w:r>
      <w:r w:rsidRPr="00BD5D87">
        <w:t xml:space="preserve"> fr</w:t>
      </w:r>
      <w:r>
        <w:t>om our draft decision. Section 2</w:t>
      </w:r>
      <w:r w:rsidRPr="00BD5D87">
        <w:t>.3 of our draft decision details that approach.</w:t>
      </w:r>
    </w:p>
    <w:p w:rsidR="00DE563D" w:rsidRDefault="00DE563D" w:rsidP="00AF1F9E">
      <w:pPr>
        <w:pStyle w:val="Heading2"/>
      </w:pPr>
      <w:bookmarkStart w:id="23" w:name="_Toc403144140"/>
      <w:bookmarkStart w:id="24" w:name="_Toc413251308"/>
      <w:bookmarkEnd w:id="22"/>
      <w:r w:rsidRPr="00AF1F9E">
        <w:t xml:space="preserve">Reasons for </w:t>
      </w:r>
      <w:r w:rsidR="00AF1F9E">
        <w:t>final</w:t>
      </w:r>
      <w:r w:rsidRPr="00AF1F9E">
        <w:t xml:space="preserve"> decision</w:t>
      </w:r>
      <w:bookmarkEnd w:id="23"/>
      <w:bookmarkEnd w:id="24"/>
      <w:r w:rsidRPr="00AF1F9E">
        <w:t xml:space="preserve"> </w:t>
      </w:r>
    </w:p>
    <w:p w:rsidR="00887F84" w:rsidRDefault="005F0558" w:rsidP="00FF3774">
      <w:pPr>
        <w:numPr>
          <w:ilvl w:val="0"/>
          <w:numId w:val="25"/>
        </w:numPr>
      </w:pPr>
      <w:r>
        <w:t>We determine Directlink's revised proposed opening RAB value at 1 July 2015 to be $</w:t>
      </w:r>
      <w:r w:rsidR="0070212F">
        <w:t>129.4</w:t>
      </w:r>
      <w:r>
        <w:t xml:space="preserve"> million. This value is $</w:t>
      </w:r>
      <w:r w:rsidR="002D6697">
        <w:t>1.5</w:t>
      </w:r>
      <w:r>
        <w:t xml:space="preserve"> million (or </w:t>
      </w:r>
      <w:r w:rsidR="0070212F">
        <w:t>1.2</w:t>
      </w:r>
      <w:r>
        <w:t xml:space="preserve"> per cent) lower than Directlink's revised proposal value. This difference </w:t>
      </w:r>
      <w:r w:rsidR="00F361D0">
        <w:t>is due to our update of the input for 2014–15 actual inflation in</w:t>
      </w:r>
      <w:r w:rsidR="00887F84">
        <w:t xml:space="preserve"> the RAB roll forward. </w:t>
      </w:r>
    </w:p>
    <w:p w:rsidR="00FF3774" w:rsidRPr="00FF3774" w:rsidRDefault="002870F8" w:rsidP="00FF3774">
      <w:pPr>
        <w:numPr>
          <w:ilvl w:val="0"/>
          <w:numId w:val="25"/>
        </w:numPr>
      </w:pPr>
      <w:r>
        <w:t xml:space="preserve">We </w:t>
      </w:r>
      <w:r w:rsidR="00FF3774">
        <w:t>do not accept Directlink's</w:t>
      </w:r>
      <w:r w:rsidR="00FF3774" w:rsidRPr="00EE7FFB">
        <w:t xml:space="preserve"> </w:t>
      </w:r>
      <w:r w:rsidR="00FF3774">
        <w:t xml:space="preserve">projected </w:t>
      </w:r>
      <w:r w:rsidR="00FF3774" w:rsidRPr="00EE7FFB">
        <w:t xml:space="preserve">closing RAB </w:t>
      </w:r>
      <w:r w:rsidR="00FF3774">
        <w:t>at the end of the 2015–20 regulatory control period</w:t>
      </w:r>
      <w:r w:rsidR="00503E17">
        <w:t>. Instead, we determine a forecast closing RAB value of $</w:t>
      </w:r>
      <w:r w:rsidR="0070212F">
        <w:t>148.6</w:t>
      </w:r>
      <w:r w:rsidR="00503E17">
        <w:t xml:space="preserve"> million,</w:t>
      </w:r>
      <w:r w:rsidR="00FF3774">
        <w:t xml:space="preserve"> a reduc</w:t>
      </w:r>
      <w:r w:rsidR="00503E17">
        <w:t>tion of</w:t>
      </w:r>
      <w:r w:rsidR="00FF3774" w:rsidRPr="00EE7FFB">
        <w:t xml:space="preserve"> </w:t>
      </w:r>
      <w:r w:rsidR="00FF3774" w:rsidRPr="00D13859">
        <w:t>$</w:t>
      </w:r>
      <w:r w:rsidR="0070212F">
        <w:t>14.5</w:t>
      </w:r>
      <w:r w:rsidR="00FF3774" w:rsidRPr="00D13859">
        <w:t xml:space="preserve"> million </w:t>
      </w:r>
      <w:r>
        <w:t xml:space="preserve">(or </w:t>
      </w:r>
      <w:r w:rsidR="0070212F">
        <w:t>8.8</w:t>
      </w:r>
      <w:r w:rsidR="00FF3774" w:rsidRPr="00EE7FFB">
        <w:t xml:space="preserve"> per cent</w:t>
      </w:r>
      <w:r w:rsidR="00FF3774">
        <w:t>)</w:t>
      </w:r>
      <w:r w:rsidR="00FF3774" w:rsidRPr="00EE7FFB">
        <w:t xml:space="preserve">. The </w:t>
      </w:r>
      <w:r w:rsidR="00FF3774">
        <w:t>r</w:t>
      </w:r>
      <w:r w:rsidR="00FF3774" w:rsidRPr="00EE7FFB">
        <w:t xml:space="preserve">easons for </w:t>
      </w:r>
      <w:r w:rsidR="00FF3774">
        <w:t>the</w:t>
      </w:r>
      <w:r w:rsidR="00FF3774" w:rsidRPr="00EE7FFB">
        <w:t xml:space="preserve"> reduction are our adjustments to</w:t>
      </w:r>
      <w:r w:rsidR="00FF3774">
        <w:t xml:space="preserve"> </w:t>
      </w:r>
      <w:r w:rsidR="00503E17">
        <w:t>Directlink's</w:t>
      </w:r>
      <w:r w:rsidR="00FF3774" w:rsidRPr="00EE7FFB">
        <w:t xml:space="preserve"> </w:t>
      </w:r>
      <w:r w:rsidR="00692AD1">
        <w:t xml:space="preserve">opening RAB as at 1 July 2015 (section </w:t>
      </w:r>
      <w:r w:rsidR="00692AD1">
        <w:fldChar w:fldCharType="begin"/>
      </w:r>
      <w:r w:rsidR="00692AD1">
        <w:instrText xml:space="preserve"> REF _Ref413839651 \r \h </w:instrText>
      </w:r>
      <w:r w:rsidR="00692AD1">
        <w:fldChar w:fldCharType="separate"/>
      </w:r>
      <w:r w:rsidR="00692AD1">
        <w:t>2.4.1</w:t>
      </w:r>
      <w:r w:rsidR="00692AD1">
        <w:fldChar w:fldCharType="end"/>
      </w:r>
      <w:r w:rsidR="00E24842">
        <w:t>)</w:t>
      </w:r>
      <w:r w:rsidR="00692AD1">
        <w:t xml:space="preserve">, </w:t>
      </w:r>
      <w:r w:rsidR="00FF3774" w:rsidRPr="00EE7FFB">
        <w:t xml:space="preserve">forecast capex (attachment </w:t>
      </w:r>
      <w:r w:rsidR="00FF3774">
        <w:t>6</w:t>
      </w:r>
      <w:r w:rsidR="00FF3774" w:rsidRPr="00EE7FFB">
        <w:t>)</w:t>
      </w:r>
      <w:r w:rsidR="00FF3774">
        <w:t xml:space="preserve"> and </w:t>
      </w:r>
      <w:r w:rsidR="00FF3774" w:rsidRPr="00EE7FFB">
        <w:t xml:space="preserve">forecast depreciation (attachment </w:t>
      </w:r>
      <w:r w:rsidR="00FF3774">
        <w:t>5</w:t>
      </w:r>
      <w:r w:rsidR="00FF3774" w:rsidRPr="00EE7FFB">
        <w:t>).</w:t>
      </w:r>
    </w:p>
    <w:p w:rsidR="00AF1F9E" w:rsidRDefault="00FF3774" w:rsidP="00AF1F9E">
      <w:pPr>
        <w:pStyle w:val="Heading3"/>
      </w:pPr>
      <w:bookmarkStart w:id="25" w:name="_Ref412796188"/>
      <w:bookmarkStart w:id="26" w:name="_Toc413251309"/>
      <w:bookmarkStart w:id="27" w:name="_Ref413839651"/>
      <w:bookmarkStart w:id="28" w:name="_Ref413839749"/>
      <w:r>
        <w:t>Opening RAB at 1 July 201</w:t>
      </w:r>
      <w:r w:rsidR="00E24842">
        <w:t>5</w:t>
      </w:r>
      <w:bookmarkEnd w:id="25"/>
      <w:bookmarkEnd w:id="26"/>
      <w:bookmarkEnd w:id="27"/>
      <w:bookmarkEnd w:id="28"/>
    </w:p>
    <w:p w:rsidR="00E40823" w:rsidRDefault="00692AD1" w:rsidP="00692AD1">
      <w:pPr>
        <w:numPr>
          <w:ilvl w:val="0"/>
          <w:numId w:val="25"/>
        </w:numPr>
      </w:pPr>
      <w:r w:rsidRPr="00692AD1">
        <w:rPr>
          <w:rStyle w:val="AERbody"/>
        </w:rPr>
        <w:t xml:space="preserve">We determine </w:t>
      </w:r>
      <w:r>
        <w:rPr>
          <w:rStyle w:val="AERbody"/>
        </w:rPr>
        <w:t>Directlink's</w:t>
      </w:r>
      <w:r w:rsidRPr="00692AD1">
        <w:rPr>
          <w:rStyle w:val="AERbody"/>
        </w:rPr>
        <w:t xml:space="preserve"> opening RAB value as at 1 </w:t>
      </w:r>
      <w:r>
        <w:rPr>
          <w:rStyle w:val="AERbody"/>
        </w:rPr>
        <w:t>July 2015</w:t>
      </w:r>
      <w:r w:rsidRPr="00692AD1">
        <w:rPr>
          <w:rStyle w:val="AERbody"/>
        </w:rPr>
        <w:t xml:space="preserve"> to be $</w:t>
      </w:r>
      <w:r w:rsidR="0070212F">
        <w:rPr>
          <w:rStyle w:val="AERbody"/>
        </w:rPr>
        <w:t>129.4</w:t>
      </w:r>
      <w:r>
        <w:rPr>
          <w:rStyle w:val="AERbody"/>
        </w:rPr>
        <w:t xml:space="preserve"> million ($ </w:t>
      </w:r>
      <w:r w:rsidRPr="00692AD1">
        <w:rPr>
          <w:rStyle w:val="AERbody"/>
        </w:rPr>
        <w:t>nominal). This value is $</w:t>
      </w:r>
      <w:r w:rsidR="002D6697">
        <w:rPr>
          <w:rStyle w:val="AERbody"/>
        </w:rPr>
        <w:t>1.5</w:t>
      </w:r>
      <w:r w:rsidR="0070212F">
        <w:rPr>
          <w:rStyle w:val="AERbody"/>
        </w:rPr>
        <w:t xml:space="preserve"> million (1.2</w:t>
      </w:r>
      <w:r w:rsidRPr="00692AD1">
        <w:rPr>
          <w:rStyle w:val="AERbody"/>
        </w:rPr>
        <w:t xml:space="preserve"> per cent) </w:t>
      </w:r>
      <w:r>
        <w:rPr>
          <w:rStyle w:val="AERbody"/>
        </w:rPr>
        <w:t>lower</w:t>
      </w:r>
      <w:r w:rsidRPr="00692AD1">
        <w:rPr>
          <w:rStyle w:val="AERbody"/>
        </w:rPr>
        <w:t xml:space="preserve"> than </w:t>
      </w:r>
      <w:r>
        <w:rPr>
          <w:rStyle w:val="AERbody"/>
        </w:rPr>
        <w:t>Directlink's</w:t>
      </w:r>
      <w:r w:rsidRPr="00692AD1">
        <w:rPr>
          <w:rStyle w:val="AERbody"/>
        </w:rPr>
        <w:t xml:space="preserve"> value of $</w:t>
      </w:r>
      <w:r>
        <w:rPr>
          <w:rStyle w:val="AERbody"/>
        </w:rPr>
        <w:t xml:space="preserve">131.0 </w:t>
      </w:r>
      <w:r w:rsidRPr="00692AD1">
        <w:rPr>
          <w:rStyle w:val="AERbody"/>
        </w:rPr>
        <w:t xml:space="preserve">million ($ nominal) in its revised proposal. This is because we updated the </w:t>
      </w:r>
      <w:r w:rsidRPr="00692AD1">
        <w:rPr>
          <w:rStyle w:val="AERbody"/>
        </w:rPr>
        <w:lastRenderedPageBreak/>
        <w:t>inflation input for 201</w:t>
      </w:r>
      <w:r>
        <w:rPr>
          <w:rStyle w:val="AERbody"/>
        </w:rPr>
        <w:t>4</w:t>
      </w:r>
      <w:r w:rsidRPr="00692AD1">
        <w:rPr>
          <w:rStyle w:val="AERbody"/>
        </w:rPr>
        <w:t>–1</w:t>
      </w:r>
      <w:r>
        <w:rPr>
          <w:rStyle w:val="AERbody"/>
        </w:rPr>
        <w:t>5</w:t>
      </w:r>
      <w:r w:rsidRPr="00692AD1">
        <w:rPr>
          <w:rStyle w:val="AERbody"/>
        </w:rPr>
        <w:t xml:space="preserve"> using the actual </w:t>
      </w:r>
      <w:r>
        <w:rPr>
          <w:rStyle w:val="AERbody"/>
        </w:rPr>
        <w:t>March</w:t>
      </w:r>
      <w:r w:rsidRPr="00692AD1">
        <w:rPr>
          <w:rStyle w:val="AERbody"/>
        </w:rPr>
        <w:t xml:space="preserve"> 201</w:t>
      </w:r>
      <w:r>
        <w:rPr>
          <w:rStyle w:val="AERbody"/>
        </w:rPr>
        <w:t>5</w:t>
      </w:r>
      <w:r w:rsidRPr="00692AD1">
        <w:rPr>
          <w:rStyle w:val="AERbody"/>
        </w:rPr>
        <w:t xml:space="preserve"> consumer price index (CPI) published by the Australian Bureau of Statistics.</w:t>
      </w:r>
      <w:r w:rsidR="00BA5CF3">
        <w:rPr>
          <w:rStyle w:val="FootnoteReference"/>
        </w:rPr>
        <w:footnoteReference w:id="10"/>
      </w:r>
    </w:p>
    <w:p w:rsidR="005C52A3" w:rsidRDefault="00E40823" w:rsidP="00353504">
      <w:pPr>
        <w:numPr>
          <w:ilvl w:val="0"/>
          <w:numId w:val="25"/>
        </w:numPr>
      </w:pPr>
      <w:r>
        <w:t>In the draft decision, we did not accept Directlink's proposed opening RAB value because we corrected two inputs to the RFM. We noted the roll forward of Directlink's RAB</w:t>
      </w:r>
      <w:r w:rsidRPr="008914BF">
        <w:t xml:space="preserve"> include</w:t>
      </w:r>
      <w:r>
        <w:t>d</w:t>
      </w:r>
      <w:r w:rsidRPr="008914BF">
        <w:t xml:space="preserve"> </w:t>
      </w:r>
      <w:r>
        <w:t>estimated</w:t>
      </w:r>
      <w:r w:rsidRPr="008914BF">
        <w:t xml:space="preserve"> capex </w:t>
      </w:r>
      <w:r>
        <w:t xml:space="preserve">values </w:t>
      </w:r>
      <w:r w:rsidRPr="008914BF">
        <w:t xml:space="preserve">for </w:t>
      </w:r>
      <w:r>
        <w:t xml:space="preserve">2013–14 and 2014–15. </w:t>
      </w:r>
      <w:r w:rsidRPr="00516A5D">
        <w:t xml:space="preserve">We </w:t>
      </w:r>
      <w:r w:rsidR="00590866">
        <w:t>stated we would</w:t>
      </w:r>
      <w:r w:rsidRPr="00516A5D">
        <w:t xml:space="preserve"> update the 2013–14 estimated capex value</w:t>
      </w:r>
      <w:r>
        <w:t>s</w:t>
      </w:r>
      <w:r w:rsidRPr="00516A5D">
        <w:t xml:space="preserve"> with the actual value</w:t>
      </w:r>
      <w:r>
        <w:t>s</w:t>
      </w:r>
      <w:r w:rsidRPr="00B275A9">
        <w:t xml:space="preserve"> </w:t>
      </w:r>
      <w:r w:rsidRPr="00516A5D">
        <w:t>for the final decision</w:t>
      </w:r>
      <w:r w:rsidR="005C52A3">
        <w:t xml:space="preserve"> and ma</w:t>
      </w:r>
      <w:r>
        <w:t xml:space="preserve">y </w:t>
      </w:r>
      <w:r w:rsidR="005C52A3">
        <w:t xml:space="preserve">also </w:t>
      </w:r>
      <w:r>
        <w:t>update the 2014–15 capex values with revised estimates</w:t>
      </w:r>
      <w:r w:rsidR="005C52A3">
        <w:t xml:space="preserve"> from Directlink</w:t>
      </w:r>
      <w:r>
        <w:t>.</w:t>
      </w:r>
    </w:p>
    <w:p w:rsidR="00F067BE" w:rsidRDefault="005C52A3" w:rsidP="00353504">
      <w:pPr>
        <w:numPr>
          <w:ilvl w:val="0"/>
          <w:numId w:val="25"/>
        </w:numPr>
      </w:pPr>
      <w:r>
        <w:t xml:space="preserve">In its revised </w:t>
      </w:r>
      <w:r w:rsidR="00353504">
        <w:t>proposal</w:t>
      </w:r>
      <w:r>
        <w:t>,</w:t>
      </w:r>
      <w:r w:rsidR="00353504">
        <w:t xml:space="preserve"> Directlink </w:t>
      </w:r>
      <w:r>
        <w:t xml:space="preserve">adopted our draft decision input changes. Directlink also </w:t>
      </w:r>
      <w:r w:rsidR="002870F8">
        <w:t xml:space="preserve">updated </w:t>
      </w:r>
      <w:r>
        <w:t>the RAB roll forward</w:t>
      </w:r>
      <w:r w:rsidR="002870F8">
        <w:t xml:space="preserve"> with actual capex </w:t>
      </w:r>
      <w:r>
        <w:t>for 2013–14 and a revised estimate of capex for 2014–15</w:t>
      </w:r>
      <w:r w:rsidR="00F067BE">
        <w:t xml:space="preserve"> </w:t>
      </w:r>
      <w:r w:rsidR="002870F8">
        <w:t xml:space="preserve">in </w:t>
      </w:r>
      <w:r w:rsidR="00F067BE">
        <w:t>its revised</w:t>
      </w:r>
      <w:r w:rsidR="002870F8">
        <w:t xml:space="preserve"> </w:t>
      </w:r>
      <w:r w:rsidR="00E75B9B">
        <w:t>RFM</w:t>
      </w:r>
      <w:r w:rsidR="002870F8">
        <w:t>.</w:t>
      </w:r>
      <w:r w:rsidR="00F067BE">
        <w:rPr>
          <w:rStyle w:val="FootnoteReference"/>
        </w:rPr>
        <w:footnoteReference w:id="11"/>
      </w:r>
      <w:r w:rsidR="002870F8">
        <w:t xml:space="preserve"> </w:t>
      </w:r>
    </w:p>
    <w:p w:rsidR="00FF3774" w:rsidRPr="00FF3774" w:rsidRDefault="00F067BE" w:rsidP="00461290">
      <w:pPr>
        <w:numPr>
          <w:ilvl w:val="0"/>
          <w:numId w:val="25"/>
        </w:numPr>
      </w:pPr>
      <w:r>
        <w:t>We accept Directlink's actual capex for 2013–14. The amount has been checked against</w:t>
      </w:r>
      <w:r w:rsidR="002870F8">
        <w:t xml:space="preserve"> </w:t>
      </w:r>
      <w:r w:rsidR="00353504">
        <w:t>Directlink</w:t>
      </w:r>
      <w:r w:rsidR="00E75B9B">
        <w:t>'s</w:t>
      </w:r>
      <w:r w:rsidR="002870F8">
        <w:t xml:space="preserve"> regulatory accounts</w:t>
      </w:r>
      <w:r>
        <w:t xml:space="preserve"> for that year</w:t>
      </w:r>
      <w:r w:rsidR="00353504">
        <w:t xml:space="preserve">. </w:t>
      </w:r>
      <w:r>
        <w:t xml:space="preserve">We also accept </w:t>
      </w:r>
      <w:r w:rsidR="00646644">
        <w:t>Directlink</w:t>
      </w:r>
      <w:r>
        <w:t>'s revision to the</w:t>
      </w:r>
      <w:r w:rsidR="00595305">
        <w:t xml:space="preserve"> capex estimate for 201</w:t>
      </w:r>
      <w:r w:rsidR="00B2404D">
        <w:t>4</w:t>
      </w:r>
      <w:r w:rsidR="00646644">
        <w:t>–1</w:t>
      </w:r>
      <w:r w:rsidR="00B2404D">
        <w:t>5</w:t>
      </w:r>
      <w:r w:rsidR="00716432">
        <w:t xml:space="preserve"> o</w:t>
      </w:r>
      <w:r>
        <w:t>f</w:t>
      </w:r>
      <w:r w:rsidR="00716432">
        <w:t xml:space="preserve"> $4.6</w:t>
      </w:r>
      <w:r w:rsidR="00646644">
        <w:t xml:space="preserve"> million. </w:t>
      </w:r>
      <w:r>
        <w:t xml:space="preserve">This amount is higher than in the initial proposal but reflects firmer data with the passage of time and therefore is the best forecast available. </w:t>
      </w:r>
      <w:r w:rsidR="00646644">
        <w:t xml:space="preserve">We </w:t>
      </w:r>
      <w:r>
        <w:t>note that t</w:t>
      </w:r>
      <w:r w:rsidRPr="00F067BE">
        <w:t>he financial impact of any difference between act</w:t>
      </w:r>
      <w:r>
        <w:t>ual and estimated capex for 2014</w:t>
      </w:r>
      <w:r w:rsidRPr="00F067BE">
        <w:t>–1</w:t>
      </w:r>
      <w:r>
        <w:t>5</w:t>
      </w:r>
      <w:r w:rsidRPr="00F067BE">
        <w:t xml:space="preserve"> will be accounted for </w:t>
      </w:r>
      <w:r w:rsidR="00646644">
        <w:t>at the next reset.</w:t>
      </w:r>
      <w:r w:rsidR="00031D22">
        <w:rPr>
          <w:rStyle w:val="FootnoteReference"/>
        </w:rPr>
        <w:footnoteReference w:id="12"/>
      </w:r>
      <w:r w:rsidR="00646644">
        <w:t xml:space="preserve"> </w:t>
      </w:r>
    </w:p>
    <w:p w:rsidR="00FF3774" w:rsidRDefault="00FF3774" w:rsidP="00FF3774">
      <w:pPr>
        <w:pStyle w:val="Heading3"/>
      </w:pPr>
      <w:bookmarkStart w:id="29" w:name="_Toc413251310"/>
      <w:r>
        <w:t>Forecast closing RAB at 30 June 2020</w:t>
      </w:r>
      <w:bookmarkEnd w:id="29"/>
    </w:p>
    <w:p w:rsidR="00FF3774" w:rsidRPr="00E41D2F" w:rsidRDefault="00FF3774" w:rsidP="00FF3774">
      <w:pPr>
        <w:numPr>
          <w:ilvl w:val="0"/>
          <w:numId w:val="25"/>
        </w:numPr>
      </w:pPr>
      <w:r w:rsidRPr="0011654E">
        <w:t>We</w:t>
      </w:r>
      <w:r w:rsidR="008C6231">
        <w:t xml:space="preserve"> determine Directlink's</w:t>
      </w:r>
      <w:r w:rsidRPr="0011654E">
        <w:t xml:space="preserve"> forecast closing RAB </w:t>
      </w:r>
      <w:r w:rsidR="008C6231">
        <w:t>to be</w:t>
      </w:r>
      <w:r w:rsidRPr="0011654E">
        <w:t xml:space="preserve"> </w:t>
      </w:r>
      <w:r w:rsidRPr="00E41D2F">
        <w:t>$</w:t>
      </w:r>
      <w:r w:rsidR="0070212F">
        <w:t>148.6</w:t>
      </w:r>
      <w:r w:rsidRPr="00E41D2F">
        <w:t xml:space="preserve"> million by 3</w:t>
      </w:r>
      <w:r w:rsidR="00646644">
        <w:t>0 June 2020. This</w:t>
      </w:r>
      <w:r w:rsidRPr="00E41D2F">
        <w:t xml:space="preserve"> represents a reduction </w:t>
      </w:r>
      <w:r>
        <w:t>t</w:t>
      </w:r>
      <w:r w:rsidRPr="00E41D2F">
        <w:t xml:space="preserve">o Directlink's </w:t>
      </w:r>
      <w:r w:rsidR="00646644">
        <w:t xml:space="preserve">revised </w:t>
      </w:r>
      <w:r w:rsidRPr="00E41D2F">
        <w:t>proposal</w:t>
      </w:r>
      <w:r w:rsidR="008C6231">
        <w:t xml:space="preserve"> of $</w:t>
      </w:r>
      <w:r w:rsidR="0070212F">
        <w:t>14.5 million (or 8.8</w:t>
      </w:r>
      <w:r w:rsidR="008C6231" w:rsidRPr="00E41D2F">
        <w:t xml:space="preserve"> per cent</w:t>
      </w:r>
      <w:r w:rsidR="00E40823">
        <w:t>)</w:t>
      </w:r>
      <w:r w:rsidRPr="00E41D2F">
        <w:t xml:space="preserve">. This reduction reflects our </w:t>
      </w:r>
      <w:r w:rsidR="00646644">
        <w:t xml:space="preserve">final </w:t>
      </w:r>
      <w:r w:rsidRPr="00E41D2F">
        <w:t xml:space="preserve">decision on the inputs for determining the forecast RAB in the </w:t>
      </w:r>
      <w:r w:rsidR="00E40823">
        <w:t>post-tax revenue model (</w:t>
      </w:r>
      <w:r w:rsidRPr="00E41D2F">
        <w:t>PTRM</w:t>
      </w:r>
      <w:r w:rsidR="00E40823">
        <w:t>)</w:t>
      </w:r>
      <w:r w:rsidRPr="00E41D2F">
        <w:t>.</w:t>
      </w:r>
      <w:r>
        <w:t xml:space="preserve"> </w:t>
      </w:r>
      <w:r w:rsidRPr="00E41D2F">
        <w:t>To determine the forecast RAB value for Directlink, we amended the following PTRM inputs:</w:t>
      </w:r>
    </w:p>
    <w:p w:rsidR="00E24842" w:rsidRDefault="00E24842" w:rsidP="00FF3774">
      <w:pPr>
        <w:pStyle w:val="AERbulletlistfirststyle"/>
      </w:pPr>
      <w:r w:rsidRPr="00E41D2F">
        <w:t xml:space="preserve">We reduced </w:t>
      </w:r>
      <w:r>
        <w:t>Directlink</w:t>
      </w:r>
      <w:r w:rsidRPr="00E41D2F">
        <w:t>'</w:t>
      </w:r>
      <w:r>
        <w:t>s</w:t>
      </w:r>
      <w:r w:rsidRPr="00E41D2F">
        <w:t xml:space="preserve"> proposed opening RAB as at 1 July 201</w:t>
      </w:r>
      <w:r>
        <w:t>5</w:t>
      </w:r>
      <w:r w:rsidRPr="00E41D2F">
        <w:t xml:space="preserve"> by $</w:t>
      </w:r>
      <w:r w:rsidR="002D6697">
        <w:t>1.5</w:t>
      </w:r>
      <w:r>
        <w:t xml:space="preserve"> million or </w:t>
      </w:r>
      <w:r w:rsidR="0070212F">
        <w:t>1.2</w:t>
      </w:r>
      <w:r w:rsidRPr="00E41D2F">
        <w:t xml:space="preserve"> per cent </w:t>
      </w:r>
      <w:r>
        <w:t xml:space="preserve">(section </w:t>
      </w:r>
      <w:r>
        <w:fldChar w:fldCharType="begin"/>
      </w:r>
      <w:r>
        <w:instrText xml:space="preserve"> REF _Ref413839749 \r \h </w:instrText>
      </w:r>
      <w:r>
        <w:fldChar w:fldCharType="separate"/>
      </w:r>
      <w:r>
        <w:t>2.4.1</w:t>
      </w:r>
      <w:r>
        <w:fldChar w:fldCharType="end"/>
      </w:r>
      <w:r>
        <w:t>).</w:t>
      </w:r>
    </w:p>
    <w:p w:rsidR="00FF3774" w:rsidRPr="00FF3774" w:rsidRDefault="00FF3774" w:rsidP="00FF3774">
      <w:pPr>
        <w:pStyle w:val="AERbulletlistfirststyle"/>
      </w:pPr>
      <w:r w:rsidRPr="00E41D2F">
        <w:t xml:space="preserve">We reduced Directlink's </w:t>
      </w:r>
      <w:r w:rsidR="00E40823">
        <w:t xml:space="preserve">revised </w:t>
      </w:r>
      <w:r w:rsidRPr="00E41D2F">
        <w:t>proposed forecast capex for the 201</w:t>
      </w:r>
      <w:r w:rsidRPr="00FF3774">
        <w:t>5–20 regulatory control period by $</w:t>
      </w:r>
      <w:r w:rsidR="002D6697">
        <w:t>1</w:t>
      </w:r>
      <w:r w:rsidR="00C353CF">
        <w:t>3.6</w:t>
      </w:r>
      <w:r w:rsidRPr="00FF3774">
        <w:t xml:space="preserve"> million ($ nominal) or </w:t>
      </w:r>
      <w:r w:rsidR="002D6697">
        <w:t>31.</w:t>
      </w:r>
      <w:r w:rsidR="00C353CF">
        <w:t>3</w:t>
      </w:r>
      <w:r w:rsidRPr="00FF3774">
        <w:t xml:space="preserve"> per cent (attachment 6).</w:t>
      </w:r>
    </w:p>
    <w:p w:rsidR="00FF3774" w:rsidRPr="00FF3774" w:rsidRDefault="00FF3774" w:rsidP="00FF3774">
      <w:pPr>
        <w:pStyle w:val="AERbulletlistfirststyle"/>
      </w:pPr>
      <w:r w:rsidRPr="00E41D2F">
        <w:t xml:space="preserve">We reduced </w:t>
      </w:r>
      <w:r w:rsidRPr="00FF3774">
        <w:t>Directlink's</w:t>
      </w:r>
      <w:r w:rsidR="00E40823">
        <w:t xml:space="preserve"> revised</w:t>
      </w:r>
      <w:r w:rsidRPr="00FF3774">
        <w:t xml:space="preserve"> proposed forecast regulatory depreciation allowance by $</w:t>
      </w:r>
      <w:r w:rsidR="002D6697">
        <w:t>0.</w:t>
      </w:r>
      <w:r w:rsidR="00C353CF">
        <w:t>5</w:t>
      </w:r>
      <w:r w:rsidRPr="00FF3774">
        <w:t xml:space="preserve"> million or </w:t>
      </w:r>
      <w:r w:rsidR="002D6697">
        <w:t>5.5</w:t>
      </w:r>
      <w:r w:rsidRPr="00FF3774">
        <w:t xml:space="preserve"> per cent (attachment 5).</w:t>
      </w:r>
    </w:p>
    <w:p w:rsidR="005D7BA2" w:rsidRDefault="005D7BA2" w:rsidP="00DB5074"/>
    <w:p w:rsidR="00AF1F9E" w:rsidRPr="00290C63" w:rsidRDefault="00AF1F9E" w:rsidP="00290C63"/>
    <w:sectPr w:rsidR="00AF1F9E" w:rsidRPr="00290C63"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CF" w:rsidRPr="00290C63" w:rsidRDefault="00C353CF" w:rsidP="00290C63">
      <w:r>
        <w:separator/>
      </w:r>
    </w:p>
    <w:p w:rsidR="00C353CF" w:rsidRDefault="00C353CF"/>
  </w:endnote>
  <w:endnote w:type="continuationSeparator" w:id="0">
    <w:p w:rsidR="00C353CF" w:rsidRPr="00290C63" w:rsidRDefault="00C353CF" w:rsidP="00290C63">
      <w:r>
        <w:continuationSeparator/>
      </w:r>
    </w:p>
    <w:p w:rsidR="00C353CF" w:rsidRDefault="00C35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CF" w:rsidRPr="00290C63" w:rsidRDefault="00C353C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353CF" w:rsidRDefault="00C353CF"/>
  <w:p w:rsidR="00C353CF" w:rsidRDefault="00C353CF"/>
  <w:p w:rsidR="00C353CF" w:rsidRDefault="00C353CF"/>
  <w:p w:rsidR="00C353CF" w:rsidRDefault="00C353CF"/>
  <w:p w:rsidR="00C353CF" w:rsidRDefault="00C353CF"/>
  <w:p w:rsidR="00C353CF" w:rsidRDefault="00C353CF"/>
  <w:p w:rsidR="00C353CF" w:rsidRDefault="00C353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C353CF" w:rsidRDefault="00C353CF">
        <w:pPr>
          <w:pStyle w:val="Footer"/>
        </w:pPr>
        <w:r>
          <w:fldChar w:fldCharType="begin"/>
        </w:r>
        <w:r>
          <w:instrText xml:space="preserve"> PAGE   \* MERGEFORMAT </w:instrText>
        </w:r>
        <w:r>
          <w:fldChar w:fldCharType="separate"/>
        </w:r>
        <w:r w:rsidR="00EB1BEC">
          <w:rPr>
            <w:noProof/>
          </w:rPr>
          <w:t>2-3</w:t>
        </w:r>
        <w:r>
          <w:rPr>
            <w:noProof/>
          </w:rPr>
          <w:fldChar w:fldCharType="end"/>
        </w:r>
        <w:r>
          <w:t>A</w:t>
        </w:r>
        <w:r>
          <w:rPr>
            <w:noProof/>
          </w:rPr>
          <w:t xml:space="preserve">ttachment </w:t>
        </w:r>
        <w:r>
          <w:t>2</w:t>
        </w:r>
        <w:r>
          <w:rPr>
            <w:noProof/>
          </w:rPr>
          <w:t xml:space="preserve"> </w:t>
        </w:r>
        <w:r>
          <w:rPr>
            <w:rFonts w:cs="Gautami"/>
            <w:noProof/>
          </w:rPr>
          <w:t xml:space="preserve">– </w:t>
        </w:r>
        <w:r>
          <w:t>Regulatory asset base</w:t>
        </w:r>
        <w:r>
          <w:rPr>
            <w:rFonts w:cs="Gautami"/>
            <w:noProof/>
          </w:rPr>
          <w:t xml:space="preserve"> | </w:t>
        </w:r>
        <w:r>
          <w:t xml:space="preserve">Final decision: Directlink transmission </w:t>
        </w:r>
        <w:r>
          <w:rPr>
            <w:rFonts w:cs="Gautami"/>
            <w:noProof/>
          </w:rPr>
          <w:t>determination 2015–20</w:t>
        </w:r>
      </w:p>
    </w:sdtContent>
  </w:sdt>
  <w:p w:rsidR="00C353CF" w:rsidRDefault="00C353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3CF" w:rsidRPr="00290C63" w:rsidRDefault="00C353C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353CF" w:rsidRDefault="00C353CF">
    <w:pPr>
      <w:pStyle w:val="Footer"/>
    </w:pPr>
  </w:p>
  <w:p w:rsidR="00C353CF" w:rsidRDefault="00C353CF"/>
  <w:p w:rsidR="00C353CF" w:rsidRDefault="00C353CF"/>
  <w:p w:rsidR="00C353CF" w:rsidRDefault="00C353CF"/>
  <w:p w:rsidR="00C353CF" w:rsidRDefault="00C353CF"/>
  <w:p w:rsidR="00C353CF" w:rsidRDefault="00C353CF"/>
  <w:p w:rsidR="00C353CF" w:rsidRDefault="00C353CF"/>
  <w:p w:rsidR="00C353CF" w:rsidRDefault="00C353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CF" w:rsidRPr="00290C63" w:rsidRDefault="00C353CF" w:rsidP="00290C63">
      <w:r>
        <w:separator/>
      </w:r>
    </w:p>
    <w:p w:rsidR="00C353CF" w:rsidRDefault="00C353CF"/>
  </w:footnote>
  <w:footnote w:type="continuationSeparator" w:id="0">
    <w:p w:rsidR="00C353CF" w:rsidRPr="00290C63" w:rsidRDefault="00C353CF" w:rsidP="00290C63">
      <w:r>
        <w:continuationSeparator/>
      </w:r>
    </w:p>
    <w:p w:rsidR="00C353CF" w:rsidRDefault="00C353CF"/>
  </w:footnote>
  <w:footnote w:id="1">
    <w:p w:rsidR="00C353CF" w:rsidRDefault="00C353CF" w:rsidP="0009562E">
      <w:pPr>
        <w:pStyle w:val="FootnoteText"/>
      </w:pPr>
      <w:r>
        <w:rPr>
          <w:rStyle w:val="FootnoteReference"/>
        </w:rPr>
        <w:footnoteRef/>
      </w:r>
      <w:r>
        <w:t xml:space="preserve"> </w:t>
      </w:r>
      <w:r>
        <w:tab/>
        <w:t>NER, cl. 6A.6.1.</w:t>
      </w:r>
    </w:p>
  </w:footnote>
  <w:footnote w:id="2">
    <w:p w:rsidR="00C353CF" w:rsidRDefault="00C353CF" w:rsidP="0009562E">
      <w:pPr>
        <w:pStyle w:val="FootnoteText"/>
      </w:pPr>
      <w:r>
        <w:rPr>
          <w:rStyle w:val="FootnoteReference"/>
        </w:rPr>
        <w:footnoteRef/>
      </w:r>
      <w:r>
        <w:t xml:space="preserve"> </w:t>
      </w:r>
      <w:r>
        <w:tab/>
        <w:t>NER, cl. 6A.4.2(3A) and (4).</w:t>
      </w:r>
    </w:p>
  </w:footnote>
  <w:footnote w:id="3">
    <w:p w:rsidR="00C353CF" w:rsidRDefault="00C353CF" w:rsidP="0009562E">
      <w:pPr>
        <w:pStyle w:val="FootnoteText"/>
      </w:pPr>
      <w:r>
        <w:rPr>
          <w:rStyle w:val="FootnoteReference"/>
        </w:rPr>
        <w:footnoteRef/>
      </w:r>
      <w:r>
        <w:t xml:space="preserve"> </w:t>
      </w:r>
      <w:r>
        <w:tab/>
        <w:t>NER, cl. 6A.5.4(a)(1) and (b)(1).</w:t>
      </w:r>
    </w:p>
  </w:footnote>
  <w:footnote w:id="4">
    <w:p w:rsidR="00C353CF" w:rsidRDefault="00C353CF" w:rsidP="0009562E">
      <w:pPr>
        <w:pStyle w:val="FootnoteText"/>
      </w:pPr>
      <w:r>
        <w:rPr>
          <w:rStyle w:val="FootnoteReference"/>
        </w:rPr>
        <w:footnoteRef/>
      </w:r>
      <w:r>
        <w:t xml:space="preserve"> </w:t>
      </w:r>
      <w:r>
        <w:tab/>
        <w:t>NER, cl. 6A.5.4(a)(2) and (3).</w:t>
      </w:r>
    </w:p>
  </w:footnote>
  <w:footnote w:id="5">
    <w:p w:rsidR="00C353CF" w:rsidRDefault="00C353CF" w:rsidP="0009562E">
      <w:pPr>
        <w:pStyle w:val="FootnoteText"/>
      </w:pPr>
      <w:r>
        <w:rPr>
          <w:rStyle w:val="FootnoteReference"/>
        </w:rPr>
        <w:footnoteRef/>
      </w:r>
      <w:r>
        <w:t xml:space="preserve"> </w:t>
      </w:r>
      <w:r>
        <w:tab/>
        <w:t>This RAB value is based on as-incurred capex.</w:t>
      </w:r>
    </w:p>
  </w:footnote>
  <w:footnote w:id="6">
    <w:p w:rsidR="00C353CF" w:rsidRDefault="00C353CF" w:rsidP="00EF1EAC">
      <w:pPr>
        <w:pStyle w:val="FootnoteText"/>
      </w:pPr>
      <w:r>
        <w:rPr>
          <w:rStyle w:val="FootnoteReference"/>
        </w:rPr>
        <w:footnoteRef/>
      </w:r>
      <w:r>
        <w:t xml:space="preserve"> </w:t>
      </w:r>
      <w:r>
        <w:tab/>
        <w:t xml:space="preserve">Directlink, </w:t>
      </w:r>
      <w:r w:rsidRPr="00F86888">
        <w:rPr>
          <w:rStyle w:val="AERtextitalic"/>
        </w:rPr>
        <w:t>Re</w:t>
      </w:r>
      <w:r>
        <w:rPr>
          <w:rStyle w:val="AERtextitalic"/>
        </w:rPr>
        <w:t>vised reve</w:t>
      </w:r>
      <w:r w:rsidRPr="00F86888">
        <w:rPr>
          <w:rStyle w:val="AERtextitalic"/>
        </w:rPr>
        <w:t>nue proposal</w:t>
      </w:r>
      <w:r>
        <w:t>, January 2015, p. 46.</w:t>
      </w:r>
    </w:p>
  </w:footnote>
  <w:footnote w:id="7">
    <w:p w:rsidR="00C353CF" w:rsidRDefault="00C353CF">
      <w:pPr>
        <w:pStyle w:val="FootnoteText"/>
      </w:pPr>
      <w:r>
        <w:rPr>
          <w:rStyle w:val="FootnoteReference"/>
        </w:rPr>
        <w:footnoteRef/>
      </w:r>
      <w:r>
        <w:t xml:space="preserve"> </w:t>
      </w:r>
      <w:r>
        <w:tab/>
        <w:t xml:space="preserve">Directlink, </w:t>
      </w:r>
      <w:r w:rsidRPr="00F86888">
        <w:rPr>
          <w:rStyle w:val="AERtextitalic"/>
        </w:rPr>
        <w:t>Re</w:t>
      </w:r>
      <w:r>
        <w:rPr>
          <w:rStyle w:val="AERtextitalic"/>
        </w:rPr>
        <w:t>vised reve</w:t>
      </w:r>
      <w:r w:rsidRPr="00F86888">
        <w:rPr>
          <w:rStyle w:val="AERtextitalic"/>
        </w:rPr>
        <w:t>nue proposal</w:t>
      </w:r>
      <w:r>
        <w:t>, January 2015, p. 9.</w:t>
      </w:r>
    </w:p>
  </w:footnote>
  <w:footnote w:id="8">
    <w:p w:rsidR="00C353CF" w:rsidRDefault="00C353CF" w:rsidP="0009562E">
      <w:pPr>
        <w:pStyle w:val="FootnoteText"/>
      </w:pPr>
      <w:r>
        <w:rPr>
          <w:rStyle w:val="FootnoteReference"/>
        </w:rPr>
        <w:footnoteRef/>
      </w:r>
      <w:r>
        <w:t xml:space="preserve"> </w:t>
      </w:r>
      <w:r>
        <w:tab/>
        <w:t xml:space="preserve">Directlink, </w:t>
      </w:r>
      <w:r w:rsidRPr="00F86888">
        <w:rPr>
          <w:rStyle w:val="AERtextitalic"/>
        </w:rPr>
        <w:t>R</w:t>
      </w:r>
      <w:r>
        <w:rPr>
          <w:rStyle w:val="AERtextitalic"/>
        </w:rPr>
        <w:t>evised r</w:t>
      </w:r>
      <w:r w:rsidRPr="00F86888">
        <w:rPr>
          <w:rStyle w:val="AERtextitalic"/>
        </w:rPr>
        <w:t>evenue proposal</w:t>
      </w:r>
      <w:r>
        <w:t>, January 2015, p.48.</w:t>
      </w:r>
    </w:p>
  </w:footnote>
  <w:footnote w:id="9">
    <w:p w:rsidR="00C353CF" w:rsidRDefault="00C353CF">
      <w:pPr>
        <w:pStyle w:val="FootnoteText"/>
      </w:pPr>
      <w:r>
        <w:rPr>
          <w:rStyle w:val="FootnoteReference"/>
        </w:rPr>
        <w:footnoteRef/>
      </w:r>
      <w:r>
        <w:t xml:space="preserve"> </w:t>
      </w:r>
      <w:r>
        <w:tab/>
        <w:t xml:space="preserve">Directlink, </w:t>
      </w:r>
      <w:r w:rsidRPr="00F86888">
        <w:rPr>
          <w:rStyle w:val="AERtextitalic"/>
        </w:rPr>
        <w:t>Re</w:t>
      </w:r>
      <w:r>
        <w:rPr>
          <w:rStyle w:val="AERtextitalic"/>
        </w:rPr>
        <w:t>vised reve</w:t>
      </w:r>
      <w:r w:rsidRPr="00F86888">
        <w:rPr>
          <w:rStyle w:val="AERtextitalic"/>
        </w:rPr>
        <w:t>nue proposal</w:t>
      </w:r>
      <w:r>
        <w:t>, January 2015, p. 46.</w:t>
      </w:r>
    </w:p>
  </w:footnote>
  <w:footnote w:id="10">
    <w:p w:rsidR="00C353CF" w:rsidRDefault="00C353CF">
      <w:pPr>
        <w:pStyle w:val="FootnoteText"/>
      </w:pPr>
      <w:r>
        <w:rPr>
          <w:rStyle w:val="FootnoteReference"/>
        </w:rPr>
        <w:footnoteRef/>
      </w:r>
      <w:r>
        <w:t xml:space="preserve"> </w:t>
      </w:r>
      <w:r>
        <w:tab/>
        <w:t>The March quarter CPI is used as a proxy for the June financial year in the 2005–15 regulatory control period. As discussed in attachment 1, the December quarter CPI will be used as a proxy for the June financial year for the 2015–20 regulatory control period.</w:t>
      </w:r>
    </w:p>
  </w:footnote>
  <w:footnote w:id="11">
    <w:p w:rsidR="00C353CF" w:rsidRDefault="00C353CF">
      <w:pPr>
        <w:pStyle w:val="FootnoteText"/>
      </w:pPr>
      <w:r>
        <w:rPr>
          <w:rStyle w:val="FootnoteReference"/>
        </w:rPr>
        <w:footnoteRef/>
      </w:r>
      <w:r>
        <w:t xml:space="preserve"> </w:t>
      </w:r>
      <w:r>
        <w:tab/>
        <w:t xml:space="preserve">Directlink, </w:t>
      </w:r>
      <w:r w:rsidRPr="00F86888">
        <w:rPr>
          <w:rStyle w:val="AERtextitalic"/>
        </w:rPr>
        <w:t>Re</w:t>
      </w:r>
      <w:r>
        <w:rPr>
          <w:rStyle w:val="AERtextitalic"/>
        </w:rPr>
        <w:t>vised reve</w:t>
      </w:r>
      <w:r w:rsidRPr="00F86888">
        <w:rPr>
          <w:rStyle w:val="AERtextitalic"/>
        </w:rPr>
        <w:t>nue proposal</w:t>
      </w:r>
      <w:r>
        <w:t>, January 2015, p. 9.</w:t>
      </w:r>
    </w:p>
  </w:footnote>
  <w:footnote w:id="12">
    <w:p w:rsidR="00C353CF" w:rsidRDefault="00C353CF">
      <w:pPr>
        <w:pStyle w:val="FootnoteText"/>
      </w:pPr>
      <w:r>
        <w:rPr>
          <w:rStyle w:val="FootnoteReference"/>
        </w:rPr>
        <w:footnoteRef/>
      </w:r>
      <w:r>
        <w:t xml:space="preserve"> </w:t>
      </w:r>
      <w:r>
        <w:tab/>
        <w:t>NER, cl. S6A.2.1(f)(3).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2784418"/>
    <w:multiLevelType w:val="multilevel"/>
    <w:tmpl w:val="950A1C52"/>
    <w:numStyleLink w:val="AERHeadings"/>
  </w:abstractNum>
  <w:abstractNum w:abstractNumId="24">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C2AA8794"/>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0"/>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19"/>
  </w:num>
  <w:num w:numId="28">
    <w:abstractNumId w:val="17"/>
  </w:num>
  <w:num w:numId="29">
    <w:abstractNumId w:val="15"/>
  </w:num>
  <w:num w:numId="30">
    <w:abstractNumId w:val="34"/>
  </w:num>
  <w:num w:numId="31">
    <w:abstractNumId w:val="14"/>
  </w:num>
  <w:num w:numId="32">
    <w:abstractNumId w:val="22"/>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3"/>
  </w:num>
  <w:num w:numId="38">
    <w:abstractNumId w:val="24"/>
  </w:num>
  <w:num w:numId="3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1FO6C+bSXnKwXcQfpKjBiqyBVedgio48yZ5yr3FQ6lA=" w:saltValue="FgmNXG7wBjflV091+hucTg==" w:algorithmName="SHA-256"/>
  <w:defaultTabStop w:val="34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2 - Regulatory asset base - April 2015.DOCX"/>
  </w:docVars>
  <w:rsids>
    <w:rsidRoot w:val="00961A4A"/>
    <w:rsid w:val="00021202"/>
    <w:rsid w:val="00021FB5"/>
    <w:rsid w:val="0002517F"/>
    <w:rsid w:val="00031D22"/>
    <w:rsid w:val="0003578C"/>
    <w:rsid w:val="00063247"/>
    <w:rsid w:val="00070F9F"/>
    <w:rsid w:val="0007137B"/>
    <w:rsid w:val="00085663"/>
    <w:rsid w:val="00085EBF"/>
    <w:rsid w:val="0009562E"/>
    <w:rsid w:val="000A3020"/>
    <w:rsid w:val="000A6C7B"/>
    <w:rsid w:val="000D122C"/>
    <w:rsid w:val="000E1819"/>
    <w:rsid w:val="000E4821"/>
    <w:rsid w:val="000E6C72"/>
    <w:rsid w:val="00116EB2"/>
    <w:rsid w:val="00124609"/>
    <w:rsid w:val="00126A4C"/>
    <w:rsid w:val="00145710"/>
    <w:rsid w:val="0014573B"/>
    <w:rsid w:val="001573E4"/>
    <w:rsid w:val="00160756"/>
    <w:rsid w:val="0017232E"/>
    <w:rsid w:val="00174102"/>
    <w:rsid w:val="00176729"/>
    <w:rsid w:val="00180157"/>
    <w:rsid w:val="00185709"/>
    <w:rsid w:val="00185CB9"/>
    <w:rsid w:val="00186F77"/>
    <w:rsid w:val="001926A4"/>
    <w:rsid w:val="00192AD5"/>
    <w:rsid w:val="001B45A0"/>
    <w:rsid w:val="001D04FF"/>
    <w:rsid w:val="001D055E"/>
    <w:rsid w:val="001F492E"/>
    <w:rsid w:val="001F6DA3"/>
    <w:rsid w:val="002010BC"/>
    <w:rsid w:val="00202E03"/>
    <w:rsid w:val="0020492C"/>
    <w:rsid w:val="00224DB9"/>
    <w:rsid w:val="00233775"/>
    <w:rsid w:val="00251745"/>
    <w:rsid w:val="00263AC0"/>
    <w:rsid w:val="00264264"/>
    <w:rsid w:val="0026772D"/>
    <w:rsid w:val="00286874"/>
    <w:rsid w:val="002870F8"/>
    <w:rsid w:val="00290C63"/>
    <w:rsid w:val="00296B65"/>
    <w:rsid w:val="002A7DEF"/>
    <w:rsid w:val="002B0926"/>
    <w:rsid w:val="002D6697"/>
    <w:rsid w:val="002E7B22"/>
    <w:rsid w:val="002F7986"/>
    <w:rsid w:val="00301B40"/>
    <w:rsid w:val="003029EE"/>
    <w:rsid w:val="00305CC8"/>
    <w:rsid w:val="00307F6D"/>
    <w:rsid w:val="003177A2"/>
    <w:rsid w:val="003271B5"/>
    <w:rsid w:val="00327A1E"/>
    <w:rsid w:val="00331264"/>
    <w:rsid w:val="00334C8D"/>
    <w:rsid w:val="00343A18"/>
    <w:rsid w:val="003518B3"/>
    <w:rsid w:val="00353504"/>
    <w:rsid w:val="003846F1"/>
    <w:rsid w:val="003B484F"/>
    <w:rsid w:val="003F174D"/>
    <w:rsid w:val="00417D17"/>
    <w:rsid w:val="0045777E"/>
    <w:rsid w:val="00461290"/>
    <w:rsid w:val="004754A2"/>
    <w:rsid w:val="00480B4B"/>
    <w:rsid w:val="00485DC4"/>
    <w:rsid w:val="004A43D1"/>
    <w:rsid w:val="004B4412"/>
    <w:rsid w:val="004C348C"/>
    <w:rsid w:val="004D55BA"/>
    <w:rsid w:val="004E22EC"/>
    <w:rsid w:val="00503E17"/>
    <w:rsid w:val="00530128"/>
    <w:rsid w:val="00532467"/>
    <w:rsid w:val="00564A4D"/>
    <w:rsid w:val="00567BA5"/>
    <w:rsid w:val="00571B35"/>
    <w:rsid w:val="00571D57"/>
    <w:rsid w:val="00577A09"/>
    <w:rsid w:val="005829C2"/>
    <w:rsid w:val="00584D8F"/>
    <w:rsid w:val="00590866"/>
    <w:rsid w:val="00595305"/>
    <w:rsid w:val="005A404D"/>
    <w:rsid w:val="005B1E3C"/>
    <w:rsid w:val="005C26CC"/>
    <w:rsid w:val="005C52A3"/>
    <w:rsid w:val="005D7BA2"/>
    <w:rsid w:val="005E36C2"/>
    <w:rsid w:val="005E520F"/>
    <w:rsid w:val="005F0558"/>
    <w:rsid w:val="00615C6B"/>
    <w:rsid w:val="00621DCE"/>
    <w:rsid w:val="00632D6D"/>
    <w:rsid w:val="00642C3E"/>
    <w:rsid w:val="00646644"/>
    <w:rsid w:val="006567A1"/>
    <w:rsid w:val="0066104A"/>
    <w:rsid w:val="00663DAD"/>
    <w:rsid w:val="00670EB6"/>
    <w:rsid w:val="00673E21"/>
    <w:rsid w:val="00675E20"/>
    <w:rsid w:val="00676679"/>
    <w:rsid w:val="00683C89"/>
    <w:rsid w:val="00692AD1"/>
    <w:rsid w:val="006B2395"/>
    <w:rsid w:val="006B4CF9"/>
    <w:rsid w:val="006B7AC8"/>
    <w:rsid w:val="006D550F"/>
    <w:rsid w:val="00701CAB"/>
    <w:rsid w:val="0070212F"/>
    <w:rsid w:val="0070352A"/>
    <w:rsid w:val="00707563"/>
    <w:rsid w:val="0071233F"/>
    <w:rsid w:val="00716432"/>
    <w:rsid w:val="0072348C"/>
    <w:rsid w:val="00724A37"/>
    <w:rsid w:val="007303C3"/>
    <w:rsid w:val="007429BE"/>
    <w:rsid w:val="00743223"/>
    <w:rsid w:val="00746E01"/>
    <w:rsid w:val="00757BDF"/>
    <w:rsid w:val="00763E5D"/>
    <w:rsid w:val="00767740"/>
    <w:rsid w:val="00777EE6"/>
    <w:rsid w:val="00782EEA"/>
    <w:rsid w:val="007B2C72"/>
    <w:rsid w:val="007B49E1"/>
    <w:rsid w:val="007B7872"/>
    <w:rsid w:val="007C024E"/>
    <w:rsid w:val="007C1C53"/>
    <w:rsid w:val="007C74BB"/>
    <w:rsid w:val="007E4904"/>
    <w:rsid w:val="007E4CB5"/>
    <w:rsid w:val="007F066B"/>
    <w:rsid w:val="008033C4"/>
    <w:rsid w:val="00806C88"/>
    <w:rsid w:val="0081034E"/>
    <w:rsid w:val="008344F6"/>
    <w:rsid w:val="0083510F"/>
    <w:rsid w:val="0085104E"/>
    <w:rsid w:val="00851209"/>
    <w:rsid w:val="008837AC"/>
    <w:rsid w:val="00887F84"/>
    <w:rsid w:val="008A587D"/>
    <w:rsid w:val="008A6620"/>
    <w:rsid w:val="008B35CD"/>
    <w:rsid w:val="008B5FCC"/>
    <w:rsid w:val="008C5486"/>
    <w:rsid w:val="008C6231"/>
    <w:rsid w:val="008D1661"/>
    <w:rsid w:val="008E7031"/>
    <w:rsid w:val="008E77DE"/>
    <w:rsid w:val="008F07A3"/>
    <w:rsid w:val="00900E1B"/>
    <w:rsid w:val="009233EE"/>
    <w:rsid w:val="00925E9D"/>
    <w:rsid w:val="009460AA"/>
    <w:rsid w:val="00951978"/>
    <w:rsid w:val="00961A4A"/>
    <w:rsid w:val="009661DE"/>
    <w:rsid w:val="009760AB"/>
    <w:rsid w:val="00983926"/>
    <w:rsid w:val="00983C25"/>
    <w:rsid w:val="009856B7"/>
    <w:rsid w:val="00985C86"/>
    <w:rsid w:val="009A5FC3"/>
    <w:rsid w:val="009A6839"/>
    <w:rsid w:val="009B1C1A"/>
    <w:rsid w:val="009B74B0"/>
    <w:rsid w:val="009D6B46"/>
    <w:rsid w:val="009F4940"/>
    <w:rsid w:val="009F5BA1"/>
    <w:rsid w:val="00A02A88"/>
    <w:rsid w:val="00A055C7"/>
    <w:rsid w:val="00A0562E"/>
    <w:rsid w:val="00A0726D"/>
    <w:rsid w:val="00A32FBB"/>
    <w:rsid w:val="00A428EE"/>
    <w:rsid w:val="00A4478A"/>
    <w:rsid w:val="00A44852"/>
    <w:rsid w:val="00A57D04"/>
    <w:rsid w:val="00A60A26"/>
    <w:rsid w:val="00A61598"/>
    <w:rsid w:val="00A711D9"/>
    <w:rsid w:val="00A84A99"/>
    <w:rsid w:val="00A84F46"/>
    <w:rsid w:val="00A871F4"/>
    <w:rsid w:val="00AC1B2C"/>
    <w:rsid w:val="00AC3264"/>
    <w:rsid w:val="00AE1BF1"/>
    <w:rsid w:val="00AF0DD2"/>
    <w:rsid w:val="00AF1F9E"/>
    <w:rsid w:val="00B13048"/>
    <w:rsid w:val="00B1716D"/>
    <w:rsid w:val="00B17A1D"/>
    <w:rsid w:val="00B207A0"/>
    <w:rsid w:val="00B2404D"/>
    <w:rsid w:val="00B514DD"/>
    <w:rsid w:val="00B52AF0"/>
    <w:rsid w:val="00B561BD"/>
    <w:rsid w:val="00B56E03"/>
    <w:rsid w:val="00B8080B"/>
    <w:rsid w:val="00B87BA5"/>
    <w:rsid w:val="00B87C39"/>
    <w:rsid w:val="00BA4665"/>
    <w:rsid w:val="00BA5CF3"/>
    <w:rsid w:val="00BB2FB2"/>
    <w:rsid w:val="00BB3304"/>
    <w:rsid w:val="00BD3446"/>
    <w:rsid w:val="00BE1F1B"/>
    <w:rsid w:val="00BE47B5"/>
    <w:rsid w:val="00BE63ED"/>
    <w:rsid w:val="00C25FA6"/>
    <w:rsid w:val="00C353CF"/>
    <w:rsid w:val="00C538A9"/>
    <w:rsid w:val="00C53B5A"/>
    <w:rsid w:val="00C54F5A"/>
    <w:rsid w:val="00C569B4"/>
    <w:rsid w:val="00C67A92"/>
    <w:rsid w:val="00C86679"/>
    <w:rsid w:val="00CA489E"/>
    <w:rsid w:val="00CB0279"/>
    <w:rsid w:val="00CB3965"/>
    <w:rsid w:val="00CB666B"/>
    <w:rsid w:val="00CC7F1D"/>
    <w:rsid w:val="00CE1FA9"/>
    <w:rsid w:val="00D006AE"/>
    <w:rsid w:val="00D01CF0"/>
    <w:rsid w:val="00D0442A"/>
    <w:rsid w:val="00D0577F"/>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D5364"/>
    <w:rsid w:val="00DE1093"/>
    <w:rsid w:val="00DE4EFA"/>
    <w:rsid w:val="00DE5520"/>
    <w:rsid w:val="00DE563D"/>
    <w:rsid w:val="00E04818"/>
    <w:rsid w:val="00E06442"/>
    <w:rsid w:val="00E23993"/>
    <w:rsid w:val="00E24842"/>
    <w:rsid w:val="00E25B8C"/>
    <w:rsid w:val="00E40823"/>
    <w:rsid w:val="00E65C85"/>
    <w:rsid w:val="00E66199"/>
    <w:rsid w:val="00E755EC"/>
    <w:rsid w:val="00E75B9B"/>
    <w:rsid w:val="00E7624D"/>
    <w:rsid w:val="00EA3D42"/>
    <w:rsid w:val="00EA6B1B"/>
    <w:rsid w:val="00EB1BEC"/>
    <w:rsid w:val="00ED7323"/>
    <w:rsid w:val="00EE28F3"/>
    <w:rsid w:val="00EF1EAC"/>
    <w:rsid w:val="00EF5110"/>
    <w:rsid w:val="00F067BE"/>
    <w:rsid w:val="00F10411"/>
    <w:rsid w:val="00F15882"/>
    <w:rsid w:val="00F171E0"/>
    <w:rsid w:val="00F20BD3"/>
    <w:rsid w:val="00F24F3A"/>
    <w:rsid w:val="00F361D0"/>
    <w:rsid w:val="00F373A5"/>
    <w:rsid w:val="00F474F4"/>
    <w:rsid w:val="00F47559"/>
    <w:rsid w:val="00F64C7B"/>
    <w:rsid w:val="00F676DD"/>
    <w:rsid w:val="00F75A26"/>
    <w:rsid w:val="00F76706"/>
    <w:rsid w:val="00F83FAD"/>
    <w:rsid w:val="00F952A0"/>
    <w:rsid w:val="00F95D94"/>
    <w:rsid w:val="00FA3C7F"/>
    <w:rsid w:val="00FB74E2"/>
    <w:rsid w:val="00FC10C4"/>
    <w:rsid w:val="00FD5614"/>
    <w:rsid w:val="00FE0BE1"/>
    <w:rsid w:val="00FE1DE9"/>
    <w:rsid w:val="00FE36AF"/>
    <w:rsid w:val="00FE39C2"/>
    <w:rsid w:val="00FE3C32"/>
    <w:rsid w:val="00FE64AE"/>
    <w:rsid w:val="00FF3774"/>
    <w:rsid w:val="00FF7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FD8D381B</Template>
  <TotalTime>0</TotalTime>
  <Pages>11</Pages>
  <Words>2099</Words>
  <Characters>11969</Characters>
  <Application>Microsoft Office Word</Application>
  <DocSecurity>4</DocSecurity>
  <Lines>99</Lines>
  <Paragraphs>28</Paragraphs>
  <ScaleCrop>false</ScaleCrop>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2015-04-27T04:06:00Z</dcterms:created>
  <dcterms:modified xsi:type="dcterms:W3CDTF">2015-04-27T04:06:00Z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