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4AA3D69" wp14:editId="2202C62E">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3139FD" w:rsidP="008F07A3">
          <w:pPr>
            <w:pStyle w:val="ReportSubtitle"/>
          </w:pPr>
          <w:r>
            <w:t>Directlink</w:t>
          </w:r>
          <w:r w:rsidR="0070011E">
            <w:t xml:space="preserve"> </w:t>
          </w:r>
          <w:r>
            <w:t>transmission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3139FD">
            <w:t>9</w:t>
          </w:r>
          <w:r>
            <w:rPr>
              <w:rFonts w:cs="Arial"/>
            </w:rPr>
            <w:t>−</w:t>
          </w:r>
          <w:r w:rsidR="003139FD">
            <w:t>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C04223">
            <w:t>4</w:t>
          </w:r>
          <w:r w:rsidR="00DA4752">
            <w:t xml:space="preserve"> </w:t>
          </w:r>
          <w:r w:rsidR="00415F31">
            <w:rPr>
              <w:rFonts w:cs="Arial"/>
            </w:rPr>
            <w:t>–</w:t>
          </w:r>
          <w:r w:rsidR="00DA4752">
            <w:t xml:space="preserve"> </w:t>
          </w:r>
          <w:r w:rsidR="00C04223">
            <w:t>Value of imputation credits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r>
      <w:r w:rsidR="00951C90" w:rsidRPr="00951C90">
        <w:t>53446</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043247"/>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B176EB">
        <w:t>Directlink</w:t>
      </w:r>
      <w:r w:rsidR="0070011E">
        <w:t>’</w:t>
      </w:r>
      <w:r w:rsidR="00415F31">
        <w:t>s revenue proposal 2015</w:t>
      </w:r>
      <w:r w:rsidR="00415F31" w:rsidRPr="00D904FA">
        <w:t>–</w:t>
      </w:r>
      <w:r w:rsidR="00085AAC">
        <w:t>20</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 xml:space="preserve">Attachment 12 - </w:t>
      </w:r>
      <w:r w:rsidR="00477251">
        <w:t>Pricing methodology and negotiated services</w:t>
      </w:r>
    </w:p>
    <w:p w:rsidR="00477251" w:rsidRDefault="0070011E" w:rsidP="0070011E">
      <w:r>
        <w:t xml:space="preserve">Attachment 13 - </w:t>
      </w:r>
      <w:r w:rsidR="00477251">
        <w:t xml:space="preserve">Pass through events </w:t>
      </w:r>
    </w:p>
    <w:p w:rsidR="008F07A3" w:rsidRPr="008F07A3" w:rsidRDefault="008F07A3" w:rsidP="00415F31">
      <w:pPr>
        <w:numPr>
          <w:ilvl w:val="0"/>
          <w:numId w:val="25"/>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043248"/>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3F0AA6" w:rsidRDefault="00993877">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\u \t "Heading 7,1,Heading 8,2" </w:instrText>
          </w:r>
          <w:r>
            <w:rPr>
              <w:color w:val="auto"/>
              <w:sz w:val="22"/>
            </w:rPr>
            <w:fldChar w:fldCharType="separate"/>
          </w:r>
          <w:hyperlink w:anchor="_Toc417043247" w:history="1">
            <w:r w:rsidR="003F0AA6" w:rsidRPr="00056B9F">
              <w:rPr>
                <w:rStyle w:val="Hyperlink"/>
              </w:rPr>
              <w:t>Note</w:t>
            </w:r>
            <w:r w:rsidR="003F0AA6">
              <w:rPr>
                <w:webHidden/>
              </w:rPr>
              <w:tab/>
            </w:r>
            <w:r w:rsidR="003F0AA6">
              <w:rPr>
                <w:webHidden/>
              </w:rPr>
              <w:fldChar w:fldCharType="begin"/>
            </w:r>
            <w:r w:rsidR="003F0AA6">
              <w:rPr>
                <w:webHidden/>
              </w:rPr>
              <w:instrText xml:space="preserve"> PAGEREF _Toc417043247 \h </w:instrText>
            </w:r>
            <w:r w:rsidR="003F0AA6">
              <w:rPr>
                <w:webHidden/>
              </w:rPr>
            </w:r>
            <w:r w:rsidR="003F0AA6">
              <w:rPr>
                <w:webHidden/>
              </w:rPr>
              <w:fldChar w:fldCharType="separate"/>
            </w:r>
            <w:r w:rsidR="003F0AA6">
              <w:rPr>
                <w:webHidden/>
              </w:rPr>
              <w:t>4-2</w:t>
            </w:r>
            <w:r w:rsidR="003F0AA6">
              <w:rPr>
                <w:webHidden/>
              </w:rPr>
              <w:fldChar w:fldCharType="end"/>
            </w:r>
          </w:hyperlink>
        </w:p>
        <w:p w:rsidR="003F0AA6" w:rsidRDefault="00332D56">
          <w:pPr>
            <w:pStyle w:val="TOC1"/>
            <w:rPr>
              <w:rFonts w:asciiTheme="minorHAnsi" w:eastAsiaTheme="minorEastAsia" w:hAnsiTheme="minorHAnsi"/>
              <w:b w:val="0"/>
              <w:color w:val="auto"/>
              <w:sz w:val="22"/>
              <w:lang w:val="en-AU" w:eastAsia="en-AU"/>
            </w:rPr>
          </w:pPr>
          <w:hyperlink w:anchor="_Toc417043248" w:history="1">
            <w:r w:rsidR="003F0AA6" w:rsidRPr="00056B9F">
              <w:rPr>
                <w:rStyle w:val="Hyperlink"/>
              </w:rPr>
              <w:t>Contents</w:t>
            </w:r>
            <w:r w:rsidR="003F0AA6">
              <w:rPr>
                <w:webHidden/>
              </w:rPr>
              <w:tab/>
            </w:r>
            <w:r w:rsidR="003F0AA6">
              <w:rPr>
                <w:webHidden/>
              </w:rPr>
              <w:fldChar w:fldCharType="begin"/>
            </w:r>
            <w:r w:rsidR="003F0AA6">
              <w:rPr>
                <w:webHidden/>
              </w:rPr>
              <w:instrText xml:space="preserve"> PAGEREF _Toc417043248 \h </w:instrText>
            </w:r>
            <w:r w:rsidR="003F0AA6">
              <w:rPr>
                <w:webHidden/>
              </w:rPr>
            </w:r>
            <w:r w:rsidR="003F0AA6">
              <w:rPr>
                <w:webHidden/>
              </w:rPr>
              <w:fldChar w:fldCharType="separate"/>
            </w:r>
            <w:r w:rsidR="003F0AA6">
              <w:rPr>
                <w:webHidden/>
              </w:rPr>
              <w:t>4-3</w:t>
            </w:r>
            <w:r w:rsidR="003F0AA6">
              <w:rPr>
                <w:webHidden/>
              </w:rPr>
              <w:fldChar w:fldCharType="end"/>
            </w:r>
          </w:hyperlink>
        </w:p>
        <w:p w:rsidR="003F0AA6" w:rsidRDefault="00332D56">
          <w:pPr>
            <w:pStyle w:val="TOC1"/>
            <w:rPr>
              <w:rFonts w:asciiTheme="minorHAnsi" w:eastAsiaTheme="minorEastAsia" w:hAnsiTheme="minorHAnsi"/>
              <w:b w:val="0"/>
              <w:color w:val="auto"/>
              <w:sz w:val="22"/>
              <w:lang w:val="en-AU" w:eastAsia="en-AU"/>
            </w:rPr>
          </w:pPr>
          <w:hyperlink w:anchor="_Toc417043249" w:history="1">
            <w:r w:rsidR="003F0AA6" w:rsidRPr="00056B9F">
              <w:rPr>
                <w:rStyle w:val="Hyperlink"/>
              </w:rPr>
              <w:t>Shortened forms</w:t>
            </w:r>
            <w:r w:rsidR="003F0AA6">
              <w:rPr>
                <w:webHidden/>
              </w:rPr>
              <w:tab/>
            </w:r>
            <w:r w:rsidR="003F0AA6">
              <w:rPr>
                <w:webHidden/>
              </w:rPr>
              <w:fldChar w:fldCharType="begin"/>
            </w:r>
            <w:r w:rsidR="003F0AA6">
              <w:rPr>
                <w:webHidden/>
              </w:rPr>
              <w:instrText xml:space="preserve"> PAGEREF _Toc417043249 \h </w:instrText>
            </w:r>
            <w:r w:rsidR="003F0AA6">
              <w:rPr>
                <w:webHidden/>
              </w:rPr>
            </w:r>
            <w:r w:rsidR="003F0AA6">
              <w:rPr>
                <w:webHidden/>
              </w:rPr>
              <w:fldChar w:fldCharType="separate"/>
            </w:r>
            <w:r w:rsidR="003F0AA6">
              <w:rPr>
                <w:webHidden/>
              </w:rPr>
              <w:t>4-5</w:t>
            </w:r>
            <w:r w:rsidR="003F0AA6">
              <w:rPr>
                <w:webHidden/>
              </w:rPr>
              <w:fldChar w:fldCharType="end"/>
            </w:r>
          </w:hyperlink>
        </w:p>
        <w:p w:rsidR="003F0AA6" w:rsidRDefault="00332D56">
          <w:pPr>
            <w:pStyle w:val="TOC1"/>
            <w:rPr>
              <w:rFonts w:asciiTheme="minorHAnsi" w:eastAsiaTheme="minorEastAsia" w:hAnsiTheme="minorHAnsi"/>
              <w:b w:val="0"/>
              <w:color w:val="auto"/>
              <w:sz w:val="22"/>
              <w:lang w:val="en-AU" w:eastAsia="en-AU"/>
            </w:rPr>
          </w:pPr>
          <w:hyperlink w:anchor="_Toc417043250" w:history="1">
            <w:r w:rsidR="003F0AA6" w:rsidRPr="00056B9F">
              <w:rPr>
                <w:rStyle w:val="Hyperlink"/>
              </w:rPr>
              <w:t>4</w:t>
            </w:r>
            <w:r w:rsidR="003F0AA6">
              <w:rPr>
                <w:rFonts w:asciiTheme="minorHAnsi" w:eastAsiaTheme="minorEastAsia" w:hAnsiTheme="minorHAnsi"/>
                <w:b w:val="0"/>
                <w:color w:val="auto"/>
                <w:sz w:val="22"/>
                <w:lang w:val="en-AU" w:eastAsia="en-AU"/>
              </w:rPr>
              <w:tab/>
            </w:r>
            <w:r w:rsidR="003F0AA6" w:rsidRPr="00056B9F">
              <w:rPr>
                <w:rStyle w:val="Hyperlink"/>
              </w:rPr>
              <w:t>Value of imputation credits</w:t>
            </w:r>
            <w:r w:rsidR="003F0AA6">
              <w:rPr>
                <w:webHidden/>
              </w:rPr>
              <w:tab/>
            </w:r>
            <w:r w:rsidR="003F0AA6">
              <w:rPr>
                <w:webHidden/>
              </w:rPr>
              <w:fldChar w:fldCharType="begin"/>
            </w:r>
            <w:r w:rsidR="003F0AA6">
              <w:rPr>
                <w:webHidden/>
              </w:rPr>
              <w:instrText xml:space="preserve"> PAGEREF _Toc417043250 \h </w:instrText>
            </w:r>
            <w:r w:rsidR="003F0AA6">
              <w:rPr>
                <w:webHidden/>
              </w:rPr>
            </w:r>
            <w:r w:rsidR="003F0AA6">
              <w:rPr>
                <w:webHidden/>
              </w:rPr>
              <w:fldChar w:fldCharType="separate"/>
            </w:r>
            <w:r w:rsidR="003F0AA6">
              <w:rPr>
                <w:webHidden/>
              </w:rPr>
              <w:t>4-7</w:t>
            </w:r>
            <w:r w:rsidR="003F0AA6">
              <w:rPr>
                <w:webHidden/>
              </w:rPr>
              <w:fldChar w:fldCharType="end"/>
            </w:r>
          </w:hyperlink>
        </w:p>
        <w:p w:rsidR="003F0AA6" w:rsidRDefault="00332D56">
          <w:pPr>
            <w:pStyle w:val="TOC2"/>
            <w:rPr>
              <w:rFonts w:asciiTheme="minorHAnsi" w:eastAsiaTheme="minorEastAsia" w:hAnsiTheme="minorHAnsi"/>
              <w:b w:val="0"/>
              <w:color w:val="auto"/>
              <w:sz w:val="22"/>
              <w:lang w:eastAsia="en-AU"/>
            </w:rPr>
          </w:pPr>
          <w:hyperlink w:anchor="_Toc417043251" w:history="1">
            <w:r w:rsidR="003F0AA6" w:rsidRPr="00056B9F">
              <w:rPr>
                <w:rStyle w:val="Hyperlink"/>
              </w:rPr>
              <w:t>4.1</w:t>
            </w:r>
            <w:r w:rsidR="003F0AA6">
              <w:rPr>
                <w:rFonts w:asciiTheme="minorHAnsi" w:eastAsiaTheme="minorEastAsia" w:hAnsiTheme="minorHAnsi"/>
                <w:b w:val="0"/>
                <w:color w:val="auto"/>
                <w:sz w:val="22"/>
                <w:lang w:eastAsia="en-AU"/>
              </w:rPr>
              <w:tab/>
            </w:r>
            <w:r w:rsidR="003F0AA6" w:rsidRPr="00056B9F">
              <w:rPr>
                <w:rStyle w:val="Hyperlink"/>
              </w:rPr>
              <w:t>Final decision</w:t>
            </w:r>
            <w:r w:rsidR="003F0AA6">
              <w:rPr>
                <w:webHidden/>
              </w:rPr>
              <w:tab/>
            </w:r>
            <w:r w:rsidR="003F0AA6">
              <w:rPr>
                <w:webHidden/>
              </w:rPr>
              <w:fldChar w:fldCharType="begin"/>
            </w:r>
            <w:r w:rsidR="003F0AA6">
              <w:rPr>
                <w:webHidden/>
              </w:rPr>
              <w:instrText xml:space="preserve"> PAGEREF _Toc417043251 \h </w:instrText>
            </w:r>
            <w:r w:rsidR="003F0AA6">
              <w:rPr>
                <w:webHidden/>
              </w:rPr>
            </w:r>
            <w:r w:rsidR="003F0AA6">
              <w:rPr>
                <w:webHidden/>
              </w:rPr>
              <w:fldChar w:fldCharType="separate"/>
            </w:r>
            <w:r w:rsidR="003F0AA6">
              <w:rPr>
                <w:webHidden/>
              </w:rPr>
              <w:t>4-7</w:t>
            </w:r>
            <w:r w:rsidR="003F0AA6">
              <w:rPr>
                <w:webHidden/>
              </w:rPr>
              <w:fldChar w:fldCharType="end"/>
            </w:r>
          </w:hyperlink>
        </w:p>
        <w:p w:rsidR="003F0AA6" w:rsidRDefault="00332D56">
          <w:pPr>
            <w:pStyle w:val="TOC2"/>
            <w:rPr>
              <w:rFonts w:asciiTheme="minorHAnsi" w:eastAsiaTheme="minorEastAsia" w:hAnsiTheme="minorHAnsi"/>
              <w:b w:val="0"/>
              <w:color w:val="auto"/>
              <w:sz w:val="22"/>
              <w:lang w:eastAsia="en-AU"/>
            </w:rPr>
          </w:pPr>
          <w:hyperlink w:anchor="_Toc417043252" w:history="1">
            <w:r w:rsidR="003F0AA6" w:rsidRPr="00056B9F">
              <w:rPr>
                <w:rStyle w:val="Hyperlink"/>
              </w:rPr>
              <w:t>4.2</w:t>
            </w:r>
            <w:r w:rsidR="003F0AA6">
              <w:rPr>
                <w:rFonts w:asciiTheme="minorHAnsi" w:eastAsiaTheme="minorEastAsia" w:hAnsiTheme="minorHAnsi"/>
                <w:b w:val="0"/>
                <w:color w:val="auto"/>
                <w:sz w:val="22"/>
                <w:lang w:eastAsia="en-AU"/>
              </w:rPr>
              <w:tab/>
            </w:r>
            <w:r w:rsidR="003F0AA6" w:rsidRPr="00056B9F">
              <w:rPr>
                <w:rStyle w:val="Hyperlink"/>
              </w:rPr>
              <w:t>Directlink’s revised proposal</w:t>
            </w:r>
            <w:r w:rsidR="003F0AA6">
              <w:rPr>
                <w:webHidden/>
              </w:rPr>
              <w:tab/>
            </w:r>
            <w:r w:rsidR="003F0AA6">
              <w:rPr>
                <w:webHidden/>
              </w:rPr>
              <w:fldChar w:fldCharType="begin"/>
            </w:r>
            <w:r w:rsidR="003F0AA6">
              <w:rPr>
                <w:webHidden/>
              </w:rPr>
              <w:instrText xml:space="preserve"> PAGEREF _Toc417043252 \h </w:instrText>
            </w:r>
            <w:r w:rsidR="003F0AA6">
              <w:rPr>
                <w:webHidden/>
              </w:rPr>
            </w:r>
            <w:r w:rsidR="003F0AA6">
              <w:rPr>
                <w:webHidden/>
              </w:rPr>
              <w:fldChar w:fldCharType="separate"/>
            </w:r>
            <w:r w:rsidR="003F0AA6">
              <w:rPr>
                <w:webHidden/>
              </w:rPr>
              <w:t>4-8</w:t>
            </w:r>
            <w:r w:rsidR="003F0AA6">
              <w:rPr>
                <w:webHidden/>
              </w:rPr>
              <w:fldChar w:fldCharType="end"/>
            </w:r>
          </w:hyperlink>
        </w:p>
        <w:p w:rsidR="003F0AA6" w:rsidRDefault="00332D56">
          <w:pPr>
            <w:pStyle w:val="TOC2"/>
            <w:rPr>
              <w:rFonts w:asciiTheme="minorHAnsi" w:eastAsiaTheme="minorEastAsia" w:hAnsiTheme="minorHAnsi"/>
              <w:b w:val="0"/>
              <w:color w:val="auto"/>
              <w:sz w:val="22"/>
              <w:lang w:eastAsia="en-AU"/>
            </w:rPr>
          </w:pPr>
          <w:hyperlink w:anchor="_Toc417043253" w:history="1">
            <w:r w:rsidR="003F0AA6" w:rsidRPr="00056B9F">
              <w:rPr>
                <w:rStyle w:val="Hyperlink"/>
              </w:rPr>
              <w:t>4.3</w:t>
            </w:r>
            <w:r w:rsidR="003F0AA6">
              <w:rPr>
                <w:rFonts w:asciiTheme="minorHAnsi" w:eastAsiaTheme="minorEastAsia" w:hAnsiTheme="minorHAnsi"/>
                <w:b w:val="0"/>
                <w:color w:val="auto"/>
                <w:sz w:val="22"/>
                <w:lang w:eastAsia="en-AU"/>
              </w:rPr>
              <w:tab/>
            </w:r>
            <w:r w:rsidR="003F0AA6" w:rsidRPr="00056B9F">
              <w:rPr>
                <w:rStyle w:val="Hyperlink"/>
              </w:rPr>
              <w:t>AER’s assessment approach</w:t>
            </w:r>
            <w:r w:rsidR="003F0AA6">
              <w:rPr>
                <w:webHidden/>
              </w:rPr>
              <w:tab/>
            </w:r>
            <w:r w:rsidR="003F0AA6">
              <w:rPr>
                <w:webHidden/>
              </w:rPr>
              <w:fldChar w:fldCharType="begin"/>
            </w:r>
            <w:r w:rsidR="003F0AA6">
              <w:rPr>
                <w:webHidden/>
              </w:rPr>
              <w:instrText xml:space="preserve"> PAGEREF _Toc417043253 \h </w:instrText>
            </w:r>
            <w:r w:rsidR="003F0AA6">
              <w:rPr>
                <w:webHidden/>
              </w:rPr>
            </w:r>
            <w:r w:rsidR="003F0AA6">
              <w:rPr>
                <w:webHidden/>
              </w:rPr>
              <w:fldChar w:fldCharType="separate"/>
            </w:r>
            <w:r w:rsidR="003F0AA6">
              <w:rPr>
                <w:webHidden/>
              </w:rPr>
              <w:t>4-9</w:t>
            </w:r>
            <w:r w:rsidR="003F0AA6">
              <w:rPr>
                <w:webHidden/>
              </w:rPr>
              <w:fldChar w:fldCharType="end"/>
            </w:r>
          </w:hyperlink>
        </w:p>
        <w:p w:rsidR="003F0AA6" w:rsidRDefault="00332D56">
          <w:pPr>
            <w:pStyle w:val="TOC2"/>
            <w:rPr>
              <w:rFonts w:asciiTheme="minorHAnsi" w:eastAsiaTheme="minorEastAsia" w:hAnsiTheme="minorHAnsi"/>
              <w:b w:val="0"/>
              <w:color w:val="auto"/>
              <w:sz w:val="22"/>
              <w:lang w:eastAsia="en-AU"/>
            </w:rPr>
          </w:pPr>
          <w:hyperlink w:anchor="_Toc417043254" w:history="1">
            <w:r w:rsidR="003F0AA6" w:rsidRPr="00056B9F">
              <w:rPr>
                <w:rStyle w:val="Hyperlink"/>
              </w:rPr>
              <w:t>4.4</w:t>
            </w:r>
            <w:r w:rsidR="003F0AA6">
              <w:rPr>
                <w:rFonts w:asciiTheme="minorHAnsi" w:eastAsiaTheme="minorEastAsia" w:hAnsiTheme="minorHAnsi"/>
                <w:b w:val="0"/>
                <w:color w:val="auto"/>
                <w:sz w:val="22"/>
                <w:lang w:eastAsia="en-AU"/>
              </w:rPr>
              <w:tab/>
            </w:r>
            <w:r w:rsidR="003F0AA6" w:rsidRPr="00056B9F">
              <w:rPr>
                <w:rStyle w:val="Hyperlink"/>
              </w:rPr>
              <w:t>Reasons for final decision</w:t>
            </w:r>
            <w:r w:rsidR="003F0AA6">
              <w:rPr>
                <w:webHidden/>
              </w:rPr>
              <w:tab/>
            </w:r>
            <w:r w:rsidR="003F0AA6">
              <w:rPr>
                <w:webHidden/>
              </w:rPr>
              <w:fldChar w:fldCharType="begin"/>
            </w:r>
            <w:r w:rsidR="003F0AA6">
              <w:rPr>
                <w:webHidden/>
              </w:rPr>
              <w:instrText xml:space="preserve"> PAGEREF _Toc417043254 \h </w:instrText>
            </w:r>
            <w:r w:rsidR="003F0AA6">
              <w:rPr>
                <w:webHidden/>
              </w:rPr>
            </w:r>
            <w:r w:rsidR="003F0AA6">
              <w:rPr>
                <w:webHidden/>
              </w:rPr>
              <w:fldChar w:fldCharType="separate"/>
            </w:r>
            <w:r w:rsidR="003F0AA6">
              <w:rPr>
                <w:webHidden/>
              </w:rPr>
              <w:t>4-16</w:t>
            </w:r>
            <w:r w:rsidR="003F0AA6">
              <w:rPr>
                <w:webHidden/>
              </w:rPr>
              <w:fldChar w:fldCharType="end"/>
            </w:r>
          </w:hyperlink>
        </w:p>
        <w:p w:rsidR="003F0AA6" w:rsidRDefault="00332D56">
          <w:pPr>
            <w:pStyle w:val="TOC1"/>
            <w:rPr>
              <w:rFonts w:asciiTheme="minorHAnsi" w:eastAsiaTheme="minorEastAsia" w:hAnsiTheme="minorHAnsi"/>
              <w:b w:val="0"/>
              <w:color w:val="auto"/>
              <w:sz w:val="22"/>
              <w:lang w:val="en-AU" w:eastAsia="en-AU"/>
            </w:rPr>
          </w:pPr>
          <w:hyperlink w:anchor="_Toc417043255" w:history="1">
            <w:r w:rsidR="003F0AA6" w:rsidRPr="00056B9F">
              <w:rPr>
                <w:rStyle w:val="Hyperlink"/>
              </w:rPr>
              <w:t>A</w:t>
            </w:r>
            <w:r w:rsidR="003F0AA6">
              <w:rPr>
                <w:rFonts w:asciiTheme="minorHAnsi" w:eastAsiaTheme="minorEastAsia" w:hAnsiTheme="minorHAnsi"/>
                <w:b w:val="0"/>
                <w:color w:val="auto"/>
                <w:sz w:val="22"/>
                <w:lang w:val="en-AU" w:eastAsia="en-AU"/>
              </w:rPr>
              <w:tab/>
            </w:r>
            <w:r w:rsidR="003F0AA6" w:rsidRPr="00056B9F">
              <w:rPr>
                <w:rStyle w:val="Hyperlink"/>
              </w:rPr>
              <w:t>Value of imputation credits: Detailed analysis</w:t>
            </w:r>
            <w:r w:rsidR="003F0AA6">
              <w:rPr>
                <w:webHidden/>
              </w:rPr>
              <w:tab/>
            </w:r>
            <w:r w:rsidR="003F0AA6">
              <w:rPr>
                <w:webHidden/>
              </w:rPr>
              <w:fldChar w:fldCharType="begin"/>
            </w:r>
            <w:r w:rsidR="003F0AA6">
              <w:rPr>
                <w:webHidden/>
              </w:rPr>
              <w:instrText xml:space="preserve"> PAGEREF _Toc417043255 \h </w:instrText>
            </w:r>
            <w:r w:rsidR="003F0AA6">
              <w:rPr>
                <w:webHidden/>
              </w:rPr>
            </w:r>
            <w:r w:rsidR="003F0AA6">
              <w:rPr>
                <w:webHidden/>
              </w:rPr>
              <w:fldChar w:fldCharType="separate"/>
            </w:r>
            <w:r w:rsidR="003F0AA6">
              <w:rPr>
                <w:webHidden/>
              </w:rPr>
              <w:t>4-30</w:t>
            </w:r>
            <w:r w:rsidR="003F0AA6">
              <w:rPr>
                <w:webHidden/>
              </w:rPr>
              <w:fldChar w:fldCharType="end"/>
            </w:r>
          </w:hyperlink>
        </w:p>
        <w:p w:rsidR="003F0AA6" w:rsidRDefault="00332D56">
          <w:pPr>
            <w:pStyle w:val="TOC2"/>
            <w:rPr>
              <w:rFonts w:asciiTheme="minorHAnsi" w:eastAsiaTheme="minorEastAsia" w:hAnsiTheme="minorHAnsi"/>
              <w:b w:val="0"/>
              <w:color w:val="auto"/>
              <w:sz w:val="22"/>
              <w:lang w:eastAsia="en-AU"/>
            </w:rPr>
          </w:pPr>
          <w:hyperlink w:anchor="_Toc417043256" w:history="1">
            <w:r w:rsidR="003F0AA6" w:rsidRPr="00056B9F">
              <w:rPr>
                <w:rStyle w:val="Hyperlink"/>
              </w:rPr>
              <w:t>A.1</w:t>
            </w:r>
            <w:r w:rsidR="003F0AA6">
              <w:rPr>
                <w:rFonts w:asciiTheme="minorHAnsi" w:eastAsiaTheme="minorEastAsia" w:hAnsiTheme="minorHAnsi"/>
                <w:b w:val="0"/>
                <w:color w:val="auto"/>
                <w:sz w:val="22"/>
                <w:lang w:eastAsia="en-AU"/>
              </w:rPr>
              <w:tab/>
            </w:r>
            <w:r w:rsidR="003F0AA6" w:rsidRPr="00056B9F">
              <w:rPr>
                <w:rStyle w:val="Hyperlink"/>
              </w:rPr>
              <w:t>Expert views on the value of imputation credits</w:t>
            </w:r>
            <w:r w:rsidR="003F0AA6">
              <w:rPr>
                <w:webHidden/>
              </w:rPr>
              <w:tab/>
            </w:r>
            <w:r w:rsidR="003F0AA6">
              <w:rPr>
                <w:webHidden/>
              </w:rPr>
              <w:fldChar w:fldCharType="begin"/>
            </w:r>
            <w:r w:rsidR="003F0AA6">
              <w:rPr>
                <w:webHidden/>
              </w:rPr>
              <w:instrText xml:space="preserve"> PAGEREF _Toc417043256 \h </w:instrText>
            </w:r>
            <w:r w:rsidR="003F0AA6">
              <w:rPr>
                <w:webHidden/>
              </w:rPr>
            </w:r>
            <w:r w:rsidR="003F0AA6">
              <w:rPr>
                <w:webHidden/>
              </w:rPr>
              <w:fldChar w:fldCharType="separate"/>
            </w:r>
            <w:r w:rsidR="003F0AA6">
              <w:rPr>
                <w:webHidden/>
              </w:rPr>
              <w:t>4-30</w:t>
            </w:r>
            <w:r w:rsidR="003F0AA6">
              <w:rPr>
                <w:webHidden/>
              </w:rPr>
              <w:fldChar w:fldCharType="end"/>
            </w:r>
          </w:hyperlink>
        </w:p>
        <w:p w:rsidR="003F0AA6" w:rsidRDefault="00332D56">
          <w:pPr>
            <w:pStyle w:val="TOC2"/>
            <w:rPr>
              <w:rFonts w:asciiTheme="minorHAnsi" w:eastAsiaTheme="minorEastAsia" w:hAnsiTheme="minorHAnsi"/>
              <w:b w:val="0"/>
              <w:color w:val="auto"/>
              <w:sz w:val="22"/>
              <w:lang w:eastAsia="en-AU"/>
            </w:rPr>
          </w:pPr>
          <w:hyperlink w:anchor="_Toc417043257" w:history="1">
            <w:r w:rsidR="003F0AA6" w:rsidRPr="00056B9F">
              <w:rPr>
                <w:rStyle w:val="Hyperlink"/>
              </w:rPr>
              <w:t>A.2</w:t>
            </w:r>
            <w:r w:rsidR="003F0AA6">
              <w:rPr>
                <w:rFonts w:asciiTheme="minorHAnsi" w:eastAsiaTheme="minorEastAsia" w:hAnsiTheme="minorHAnsi"/>
                <w:b w:val="0"/>
                <w:color w:val="auto"/>
                <w:sz w:val="22"/>
                <w:lang w:eastAsia="en-AU"/>
              </w:rPr>
              <w:tab/>
            </w:r>
            <w:r w:rsidR="003F0AA6" w:rsidRPr="00056B9F">
              <w:rPr>
                <w:rStyle w:val="Hyperlink"/>
              </w:rPr>
              <w:t>The value of imputation credits used by other regulators</w:t>
            </w:r>
            <w:r w:rsidR="003F0AA6">
              <w:rPr>
                <w:webHidden/>
              </w:rPr>
              <w:tab/>
            </w:r>
            <w:r w:rsidR="003F0AA6">
              <w:rPr>
                <w:webHidden/>
              </w:rPr>
              <w:fldChar w:fldCharType="begin"/>
            </w:r>
            <w:r w:rsidR="003F0AA6">
              <w:rPr>
                <w:webHidden/>
              </w:rPr>
              <w:instrText xml:space="preserve"> PAGEREF _Toc417043257 \h </w:instrText>
            </w:r>
            <w:r w:rsidR="003F0AA6">
              <w:rPr>
                <w:webHidden/>
              </w:rPr>
            </w:r>
            <w:r w:rsidR="003F0AA6">
              <w:rPr>
                <w:webHidden/>
              </w:rPr>
              <w:fldChar w:fldCharType="separate"/>
            </w:r>
            <w:r w:rsidR="003F0AA6">
              <w:rPr>
                <w:webHidden/>
              </w:rPr>
              <w:t>4-32</w:t>
            </w:r>
            <w:r w:rsidR="003F0AA6">
              <w:rPr>
                <w:webHidden/>
              </w:rPr>
              <w:fldChar w:fldCharType="end"/>
            </w:r>
          </w:hyperlink>
        </w:p>
        <w:p w:rsidR="003F0AA6" w:rsidRDefault="00332D56">
          <w:pPr>
            <w:pStyle w:val="TOC2"/>
            <w:rPr>
              <w:rFonts w:asciiTheme="minorHAnsi" w:eastAsiaTheme="minorEastAsia" w:hAnsiTheme="minorHAnsi"/>
              <w:b w:val="0"/>
              <w:color w:val="auto"/>
              <w:sz w:val="22"/>
              <w:lang w:eastAsia="en-AU"/>
            </w:rPr>
          </w:pPr>
          <w:hyperlink w:anchor="_Toc417043258" w:history="1">
            <w:r w:rsidR="003F0AA6" w:rsidRPr="00056B9F">
              <w:rPr>
                <w:rStyle w:val="Hyperlink"/>
              </w:rPr>
              <w:t>A.3</w:t>
            </w:r>
            <w:r w:rsidR="003F0AA6">
              <w:rPr>
                <w:rFonts w:asciiTheme="minorHAnsi" w:eastAsiaTheme="minorEastAsia" w:hAnsiTheme="minorHAnsi"/>
                <w:b w:val="0"/>
                <w:color w:val="auto"/>
                <w:sz w:val="22"/>
                <w:lang w:eastAsia="en-AU"/>
              </w:rPr>
              <w:tab/>
            </w:r>
            <w:r w:rsidR="003F0AA6" w:rsidRPr="00056B9F">
              <w:rPr>
                <w:rStyle w:val="Hyperlink"/>
              </w:rPr>
              <w:t>Previous Australian Competition Tribunal considerations</w:t>
            </w:r>
            <w:r w:rsidR="003F0AA6">
              <w:rPr>
                <w:webHidden/>
              </w:rPr>
              <w:tab/>
            </w:r>
            <w:r w:rsidR="003F0AA6">
              <w:rPr>
                <w:webHidden/>
              </w:rPr>
              <w:fldChar w:fldCharType="begin"/>
            </w:r>
            <w:r w:rsidR="003F0AA6">
              <w:rPr>
                <w:webHidden/>
              </w:rPr>
              <w:instrText xml:space="preserve"> PAGEREF _Toc417043258 \h </w:instrText>
            </w:r>
            <w:r w:rsidR="003F0AA6">
              <w:rPr>
                <w:webHidden/>
              </w:rPr>
            </w:r>
            <w:r w:rsidR="003F0AA6">
              <w:rPr>
                <w:webHidden/>
              </w:rPr>
              <w:fldChar w:fldCharType="separate"/>
            </w:r>
            <w:r w:rsidR="003F0AA6">
              <w:rPr>
                <w:webHidden/>
              </w:rPr>
              <w:t>4-33</w:t>
            </w:r>
            <w:r w:rsidR="003F0AA6">
              <w:rPr>
                <w:webHidden/>
              </w:rPr>
              <w:fldChar w:fldCharType="end"/>
            </w:r>
          </w:hyperlink>
        </w:p>
        <w:p w:rsidR="003F0AA6" w:rsidRDefault="00332D56">
          <w:pPr>
            <w:pStyle w:val="TOC2"/>
            <w:rPr>
              <w:rFonts w:asciiTheme="minorHAnsi" w:eastAsiaTheme="minorEastAsia" w:hAnsiTheme="minorHAnsi"/>
              <w:b w:val="0"/>
              <w:color w:val="auto"/>
              <w:sz w:val="22"/>
              <w:lang w:eastAsia="en-AU"/>
            </w:rPr>
          </w:pPr>
          <w:hyperlink w:anchor="_Toc417043259" w:history="1">
            <w:r w:rsidR="003F0AA6" w:rsidRPr="00056B9F">
              <w:rPr>
                <w:rStyle w:val="Hyperlink"/>
              </w:rPr>
              <w:t>A.4</w:t>
            </w:r>
            <w:r w:rsidR="003F0AA6">
              <w:rPr>
                <w:rFonts w:asciiTheme="minorHAnsi" w:eastAsiaTheme="minorEastAsia" w:hAnsiTheme="minorHAnsi"/>
                <w:b w:val="0"/>
                <w:color w:val="auto"/>
                <w:sz w:val="22"/>
                <w:lang w:eastAsia="en-AU"/>
              </w:rPr>
              <w:tab/>
            </w:r>
            <w:r w:rsidR="003F0AA6" w:rsidRPr="00056B9F">
              <w:rPr>
                <w:rStyle w:val="Hyperlink"/>
              </w:rPr>
              <w:t>Key concerns of the service providers</w:t>
            </w:r>
            <w:r w:rsidR="003F0AA6">
              <w:rPr>
                <w:webHidden/>
              </w:rPr>
              <w:tab/>
            </w:r>
            <w:r w:rsidR="003F0AA6">
              <w:rPr>
                <w:webHidden/>
              </w:rPr>
              <w:fldChar w:fldCharType="begin"/>
            </w:r>
            <w:r w:rsidR="003F0AA6">
              <w:rPr>
                <w:webHidden/>
              </w:rPr>
              <w:instrText xml:space="preserve"> PAGEREF _Toc417043259 \h </w:instrText>
            </w:r>
            <w:r w:rsidR="003F0AA6">
              <w:rPr>
                <w:webHidden/>
              </w:rPr>
            </w:r>
            <w:r w:rsidR="003F0AA6">
              <w:rPr>
                <w:webHidden/>
              </w:rPr>
              <w:fldChar w:fldCharType="separate"/>
            </w:r>
            <w:r w:rsidR="003F0AA6">
              <w:rPr>
                <w:webHidden/>
              </w:rPr>
              <w:t>4-39</w:t>
            </w:r>
            <w:r w:rsidR="003F0AA6">
              <w:rPr>
                <w:webHidden/>
              </w:rPr>
              <w:fldChar w:fldCharType="end"/>
            </w:r>
          </w:hyperlink>
        </w:p>
        <w:p w:rsidR="003F0AA6" w:rsidRDefault="00332D56">
          <w:pPr>
            <w:pStyle w:val="TOC2"/>
            <w:rPr>
              <w:rFonts w:asciiTheme="minorHAnsi" w:eastAsiaTheme="minorEastAsia" w:hAnsiTheme="minorHAnsi"/>
              <w:b w:val="0"/>
              <w:color w:val="auto"/>
              <w:sz w:val="22"/>
              <w:lang w:eastAsia="en-AU"/>
            </w:rPr>
          </w:pPr>
          <w:hyperlink w:anchor="_Toc417043260" w:history="1">
            <w:r w:rsidR="003F0AA6" w:rsidRPr="00056B9F">
              <w:rPr>
                <w:rStyle w:val="Hyperlink"/>
              </w:rPr>
              <w:t>A.5</w:t>
            </w:r>
            <w:r w:rsidR="003F0AA6">
              <w:rPr>
                <w:rFonts w:asciiTheme="minorHAnsi" w:eastAsiaTheme="minorEastAsia" w:hAnsiTheme="minorHAnsi"/>
                <w:b w:val="0"/>
                <w:color w:val="auto"/>
                <w:sz w:val="22"/>
                <w:lang w:eastAsia="en-AU"/>
              </w:rPr>
              <w:tab/>
            </w:r>
            <w:r w:rsidR="003F0AA6" w:rsidRPr="00056B9F">
              <w:rPr>
                <w:rStyle w:val="Hyperlink"/>
              </w:rPr>
              <w:t xml:space="preserve">The role of the value of imputation credits in the regulatory </w:t>
            </w:r>
            <w:r w:rsidR="00EE10D7">
              <w:rPr>
                <w:rStyle w:val="Hyperlink"/>
              </w:rPr>
              <w:t xml:space="preserve">   </w:t>
            </w:r>
            <w:r w:rsidR="003F0AA6" w:rsidRPr="00056B9F">
              <w:rPr>
                <w:rStyle w:val="Hyperlink"/>
              </w:rPr>
              <w:t>framework</w:t>
            </w:r>
            <w:r w:rsidR="003F0AA6">
              <w:rPr>
                <w:webHidden/>
              </w:rPr>
              <w:tab/>
            </w:r>
            <w:r w:rsidR="003F0AA6">
              <w:rPr>
                <w:webHidden/>
              </w:rPr>
              <w:fldChar w:fldCharType="begin"/>
            </w:r>
            <w:r w:rsidR="003F0AA6">
              <w:rPr>
                <w:webHidden/>
              </w:rPr>
              <w:instrText xml:space="preserve"> PAGEREF _Toc417043260 \h </w:instrText>
            </w:r>
            <w:r w:rsidR="003F0AA6">
              <w:rPr>
                <w:webHidden/>
              </w:rPr>
            </w:r>
            <w:r w:rsidR="003F0AA6">
              <w:rPr>
                <w:webHidden/>
              </w:rPr>
              <w:fldChar w:fldCharType="separate"/>
            </w:r>
            <w:r w:rsidR="003F0AA6">
              <w:rPr>
                <w:webHidden/>
              </w:rPr>
              <w:t>4-40</w:t>
            </w:r>
            <w:r w:rsidR="003F0AA6">
              <w:rPr>
                <w:webHidden/>
              </w:rPr>
              <w:fldChar w:fldCharType="end"/>
            </w:r>
          </w:hyperlink>
        </w:p>
        <w:p w:rsidR="003F0AA6" w:rsidRDefault="00332D56">
          <w:pPr>
            <w:pStyle w:val="TOC2"/>
            <w:rPr>
              <w:rFonts w:asciiTheme="minorHAnsi" w:eastAsiaTheme="minorEastAsia" w:hAnsiTheme="minorHAnsi"/>
              <w:b w:val="0"/>
              <w:color w:val="auto"/>
              <w:sz w:val="22"/>
              <w:lang w:eastAsia="en-AU"/>
            </w:rPr>
          </w:pPr>
          <w:hyperlink w:anchor="_Toc417043261" w:history="1">
            <w:r w:rsidR="003F0AA6" w:rsidRPr="00056B9F">
              <w:rPr>
                <w:rStyle w:val="Hyperlink"/>
              </w:rPr>
              <w:t>A.6</w:t>
            </w:r>
            <w:r w:rsidR="003F0AA6">
              <w:rPr>
                <w:rFonts w:asciiTheme="minorHAnsi" w:eastAsiaTheme="minorEastAsia" w:hAnsiTheme="minorHAnsi"/>
                <w:b w:val="0"/>
                <w:color w:val="auto"/>
                <w:sz w:val="22"/>
                <w:lang w:eastAsia="en-AU"/>
              </w:rPr>
              <w:tab/>
            </w:r>
            <w:r w:rsidR="003F0AA6" w:rsidRPr="00056B9F">
              <w:rPr>
                <w:rStyle w:val="Hyperlink"/>
              </w:rPr>
              <w:t>The conceptual framework for the value of imputation credits</w:t>
            </w:r>
            <w:r w:rsidR="003F0AA6">
              <w:rPr>
                <w:webHidden/>
              </w:rPr>
              <w:tab/>
            </w:r>
            <w:r w:rsidR="003F0AA6">
              <w:rPr>
                <w:webHidden/>
              </w:rPr>
              <w:fldChar w:fldCharType="begin"/>
            </w:r>
            <w:r w:rsidR="003F0AA6">
              <w:rPr>
                <w:webHidden/>
              </w:rPr>
              <w:instrText xml:space="preserve"> PAGEREF _Toc417043261 \h </w:instrText>
            </w:r>
            <w:r w:rsidR="003F0AA6">
              <w:rPr>
                <w:webHidden/>
              </w:rPr>
            </w:r>
            <w:r w:rsidR="003F0AA6">
              <w:rPr>
                <w:webHidden/>
              </w:rPr>
              <w:fldChar w:fldCharType="separate"/>
            </w:r>
            <w:r w:rsidR="003F0AA6">
              <w:rPr>
                <w:webHidden/>
              </w:rPr>
              <w:t>4-42</w:t>
            </w:r>
            <w:r w:rsidR="003F0AA6">
              <w:rPr>
                <w:webHidden/>
              </w:rPr>
              <w:fldChar w:fldCharType="end"/>
            </w:r>
          </w:hyperlink>
        </w:p>
        <w:p w:rsidR="003F0AA6" w:rsidRDefault="00332D56">
          <w:pPr>
            <w:pStyle w:val="TOC2"/>
            <w:rPr>
              <w:rFonts w:asciiTheme="minorHAnsi" w:eastAsiaTheme="minorEastAsia" w:hAnsiTheme="minorHAnsi"/>
              <w:b w:val="0"/>
              <w:color w:val="auto"/>
              <w:sz w:val="22"/>
              <w:lang w:eastAsia="en-AU"/>
            </w:rPr>
          </w:pPr>
          <w:hyperlink w:anchor="_Toc417043262" w:history="1">
            <w:r w:rsidR="003F0AA6" w:rsidRPr="00056B9F">
              <w:rPr>
                <w:rStyle w:val="Hyperlink"/>
              </w:rPr>
              <w:t>A.7</w:t>
            </w:r>
            <w:r w:rsidR="003F0AA6">
              <w:rPr>
                <w:rFonts w:asciiTheme="minorHAnsi" w:eastAsiaTheme="minorEastAsia" w:hAnsiTheme="minorHAnsi"/>
                <w:b w:val="0"/>
                <w:color w:val="auto"/>
                <w:sz w:val="22"/>
                <w:lang w:eastAsia="en-AU"/>
              </w:rPr>
              <w:tab/>
            </w:r>
            <w:r w:rsidR="003F0AA6" w:rsidRPr="00056B9F">
              <w:rPr>
                <w:rStyle w:val="Hyperlink"/>
              </w:rPr>
              <w:t>SFG's comments on the conceptual framework</w:t>
            </w:r>
            <w:r w:rsidR="003F0AA6">
              <w:rPr>
                <w:webHidden/>
              </w:rPr>
              <w:tab/>
            </w:r>
            <w:r w:rsidR="003F0AA6">
              <w:rPr>
                <w:webHidden/>
              </w:rPr>
              <w:fldChar w:fldCharType="begin"/>
            </w:r>
            <w:r w:rsidR="003F0AA6">
              <w:rPr>
                <w:webHidden/>
              </w:rPr>
              <w:instrText xml:space="preserve"> PAGEREF _Toc417043262 \h </w:instrText>
            </w:r>
            <w:r w:rsidR="003F0AA6">
              <w:rPr>
                <w:webHidden/>
              </w:rPr>
            </w:r>
            <w:r w:rsidR="003F0AA6">
              <w:rPr>
                <w:webHidden/>
              </w:rPr>
              <w:fldChar w:fldCharType="separate"/>
            </w:r>
            <w:r w:rsidR="003F0AA6">
              <w:rPr>
                <w:webHidden/>
              </w:rPr>
              <w:t>4-45</w:t>
            </w:r>
            <w:r w:rsidR="003F0AA6">
              <w:rPr>
                <w:webHidden/>
              </w:rPr>
              <w:fldChar w:fldCharType="end"/>
            </w:r>
          </w:hyperlink>
        </w:p>
        <w:p w:rsidR="003F0AA6" w:rsidRDefault="00332D56">
          <w:pPr>
            <w:pStyle w:val="TOC2"/>
            <w:rPr>
              <w:rFonts w:asciiTheme="minorHAnsi" w:eastAsiaTheme="minorEastAsia" w:hAnsiTheme="minorHAnsi"/>
              <w:b w:val="0"/>
              <w:color w:val="auto"/>
              <w:sz w:val="22"/>
              <w:lang w:eastAsia="en-AU"/>
            </w:rPr>
          </w:pPr>
          <w:hyperlink w:anchor="_Toc417043263" w:history="1">
            <w:r w:rsidR="003F0AA6" w:rsidRPr="00056B9F">
              <w:rPr>
                <w:rStyle w:val="Hyperlink"/>
              </w:rPr>
              <w:t>A.8</w:t>
            </w:r>
            <w:r w:rsidR="003F0AA6">
              <w:rPr>
                <w:rFonts w:asciiTheme="minorHAnsi" w:eastAsiaTheme="minorEastAsia" w:hAnsiTheme="minorHAnsi"/>
                <w:b w:val="0"/>
                <w:color w:val="auto"/>
                <w:sz w:val="22"/>
                <w:lang w:eastAsia="en-AU"/>
              </w:rPr>
              <w:tab/>
            </w:r>
            <w:r w:rsidR="003F0AA6" w:rsidRPr="00056B9F">
              <w:rPr>
                <w:rStyle w:val="Hyperlink"/>
              </w:rPr>
              <w:t>Further issues relating to the utilisation rate</w:t>
            </w:r>
            <w:r w:rsidR="003F0AA6">
              <w:rPr>
                <w:webHidden/>
              </w:rPr>
              <w:tab/>
            </w:r>
            <w:r w:rsidR="003F0AA6">
              <w:rPr>
                <w:webHidden/>
              </w:rPr>
              <w:fldChar w:fldCharType="begin"/>
            </w:r>
            <w:r w:rsidR="003F0AA6">
              <w:rPr>
                <w:webHidden/>
              </w:rPr>
              <w:instrText xml:space="preserve"> PAGEREF _Toc417043263 \h </w:instrText>
            </w:r>
            <w:r w:rsidR="003F0AA6">
              <w:rPr>
                <w:webHidden/>
              </w:rPr>
            </w:r>
            <w:r w:rsidR="003F0AA6">
              <w:rPr>
                <w:webHidden/>
              </w:rPr>
              <w:fldChar w:fldCharType="separate"/>
            </w:r>
            <w:r w:rsidR="003F0AA6">
              <w:rPr>
                <w:webHidden/>
              </w:rPr>
              <w:t>4-51</w:t>
            </w:r>
            <w:r w:rsidR="003F0AA6">
              <w:rPr>
                <w:webHidden/>
              </w:rPr>
              <w:fldChar w:fldCharType="end"/>
            </w:r>
          </w:hyperlink>
        </w:p>
        <w:p w:rsidR="003F0AA6" w:rsidRDefault="00332D56">
          <w:pPr>
            <w:pStyle w:val="TOC2"/>
            <w:rPr>
              <w:rFonts w:asciiTheme="minorHAnsi" w:eastAsiaTheme="minorEastAsia" w:hAnsiTheme="minorHAnsi"/>
              <w:b w:val="0"/>
              <w:color w:val="auto"/>
              <w:sz w:val="22"/>
              <w:lang w:eastAsia="en-AU"/>
            </w:rPr>
          </w:pPr>
          <w:hyperlink w:anchor="_Toc417043264" w:history="1">
            <w:r w:rsidR="003F0AA6" w:rsidRPr="00056B9F">
              <w:rPr>
                <w:rStyle w:val="Hyperlink"/>
              </w:rPr>
              <w:t>A.9</w:t>
            </w:r>
            <w:r w:rsidR="003F0AA6">
              <w:rPr>
                <w:rFonts w:asciiTheme="minorHAnsi" w:eastAsiaTheme="minorEastAsia" w:hAnsiTheme="minorHAnsi"/>
                <w:b w:val="0"/>
                <w:color w:val="auto"/>
                <w:sz w:val="22"/>
                <w:lang w:eastAsia="en-AU"/>
              </w:rPr>
              <w:tab/>
            </w:r>
            <w:r w:rsidR="003F0AA6" w:rsidRPr="00056B9F">
              <w:rPr>
                <w:rStyle w:val="Hyperlink"/>
              </w:rPr>
              <w:t>Estimation approach considerations</w:t>
            </w:r>
            <w:r w:rsidR="003F0AA6">
              <w:rPr>
                <w:webHidden/>
              </w:rPr>
              <w:tab/>
            </w:r>
            <w:r w:rsidR="003F0AA6">
              <w:rPr>
                <w:webHidden/>
              </w:rPr>
              <w:fldChar w:fldCharType="begin"/>
            </w:r>
            <w:r w:rsidR="003F0AA6">
              <w:rPr>
                <w:webHidden/>
              </w:rPr>
              <w:instrText xml:space="preserve"> PAGEREF _Toc417043264 \h </w:instrText>
            </w:r>
            <w:r w:rsidR="003F0AA6">
              <w:rPr>
                <w:webHidden/>
              </w:rPr>
            </w:r>
            <w:r w:rsidR="003F0AA6">
              <w:rPr>
                <w:webHidden/>
              </w:rPr>
              <w:fldChar w:fldCharType="separate"/>
            </w:r>
            <w:r w:rsidR="003F0AA6">
              <w:rPr>
                <w:webHidden/>
              </w:rPr>
              <w:t>4-62</w:t>
            </w:r>
            <w:r w:rsidR="003F0AA6">
              <w:rPr>
                <w:webHidden/>
              </w:rPr>
              <w:fldChar w:fldCharType="end"/>
            </w:r>
          </w:hyperlink>
        </w:p>
        <w:p w:rsidR="003F0AA6" w:rsidRDefault="00332D56">
          <w:pPr>
            <w:pStyle w:val="TOC2"/>
            <w:tabs>
              <w:tab w:val="left" w:pos="1276"/>
            </w:tabs>
            <w:rPr>
              <w:rFonts w:asciiTheme="minorHAnsi" w:eastAsiaTheme="minorEastAsia" w:hAnsiTheme="minorHAnsi"/>
              <w:b w:val="0"/>
              <w:color w:val="auto"/>
              <w:sz w:val="22"/>
              <w:lang w:eastAsia="en-AU"/>
            </w:rPr>
          </w:pPr>
          <w:hyperlink w:anchor="_Toc417043265" w:history="1">
            <w:r w:rsidR="003F0AA6" w:rsidRPr="00056B9F">
              <w:rPr>
                <w:rStyle w:val="Hyperlink"/>
              </w:rPr>
              <w:t>A.10</w:t>
            </w:r>
            <w:r w:rsidR="003F0AA6">
              <w:rPr>
                <w:rFonts w:asciiTheme="minorHAnsi" w:eastAsiaTheme="minorEastAsia" w:hAnsiTheme="minorHAnsi"/>
                <w:b w:val="0"/>
                <w:color w:val="auto"/>
                <w:sz w:val="22"/>
                <w:lang w:eastAsia="en-AU"/>
              </w:rPr>
              <w:tab/>
            </w:r>
            <w:r w:rsidR="003F0AA6" w:rsidRPr="00056B9F">
              <w:rPr>
                <w:rStyle w:val="Hyperlink"/>
              </w:rPr>
              <w:t>Estimating the distribution rate</w:t>
            </w:r>
            <w:r w:rsidR="003F0AA6">
              <w:rPr>
                <w:webHidden/>
              </w:rPr>
              <w:tab/>
            </w:r>
            <w:r w:rsidR="003F0AA6">
              <w:rPr>
                <w:webHidden/>
              </w:rPr>
              <w:fldChar w:fldCharType="begin"/>
            </w:r>
            <w:r w:rsidR="003F0AA6">
              <w:rPr>
                <w:webHidden/>
              </w:rPr>
              <w:instrText xml:space="preserve"> PAGEREF _Toc417043265 \h </w:instrText>
            </w:r>
            <w:r w:rsidR="003F0AA6">
              <w:rPr>
                <w:webHidden/>
              </w:rPr>
            </w:r>
            <w:r w:rsidR="003F0AA6">
              <w:rPr>
                <w:webHidden/>
              </w:rPr>
              <w:fldChar w:fldCharType="separate"/>
            </w:r>
            <w:r w:rsidR="003F0AA6">
              <w:rPr>
                <w:webHidden/>
              </w:rPr>
              <w:t>4-64</w:t>
            </w:r>
            <w:r w:rsidR="003F0AA6">
              <w:rPr>
                <w:webHidden/>
              </w:rPr>
              <w:fldChar w:fldCharType="end"/>
            </w:r>
          </w:hyperlink>
        </w:p>
        <w:p w:rsidR="003F0AA6" w:rsidRDefault="00332D56">
          <w:pPr>
            <w:pStyle w:val="TOC2"/>
            <w:tabs>
              <w:tab w:val="left" w:pos="1276"/>
            </w:tabs>
            <w:rPr>
              <w:rFonts w:asciiTheme="minorHAnsi" w:eastAsiaTheme="minorEastAsia" w:hAnsiTheme="minorHAnsi"/>
              <w:b w:val="0"/>
              <w:color w:val="auto"/>
              <w:sz w:val="22"/>
              <w:lang w:eastAsia="en-AU"/>
            </w:rPr>
          </w:pPr>
          <w:hyperlink w:anchor="_Toc417043266" w:history="1">
            <w:r w:rsidR="003F0AA6" w:rsidRPr="00056B9F">
              <w:rPr>
                <w:rStyle w:val="Hyperlink"/>
              </w:rPr>
              <w:t>A.11</w:t>
            </w:r>
            <w:r w:rsidR="003F0AA6">
              <w:rPr>
                <w:rFonts w:asciiTheme="minorHAnsi" w:eastAsiaTheme="minorEastAsia" w:hAnsiTheme="minorHAnsi"/>
                <w:b w:val="0"/>
                <w:color w:val="auto"/>
                <w:sz w:val="22"/>
                <w:lang w:eastAsia="en-AU"/>
              </w:rPr>
              <w:tab/>
            </w:r>
            <w:r w:rsidR="003F0AA6" w:rsidRPr="00056B9F">
              <w:rPr>
                <w:rStyle w:val="Hyperlink"/>
              </w:rPr>
              <w:t xml:space="preserve">Application of rate of return criteria to evidence on the </w:t>
            </w:r>
            <w:r w:rsidR="00EE10D7">
              <w:rPr>
                <w:rStyle w:val="Hyperlink"/>
              </w:rPr>
              <w:t xml:space="preserve">      </w:t>
            </w:r>
            <w:r w:rsidR="003F0AA6" w:rsidRPr="00056B9F">
              <w:rPr>
                <w:rStyle w:val="Hyperlink"/>
              </w:rPr>
              <w:t>utilisation rate</w:t>
            </w:r>
            <w:r w:rsidR="003F0AA6">
              <w:rPr>
                <w:webHidden/>
              </w:rPr>
              <w:tab/>
            </w:r>
            <w:r w:rsidR="003F0AA6">
              <w:rPr>
                <w:webHidden/>
              </w:rPr>
              <w:fldChar w:fldCharType="begin"/>
            </w:r>
            <w:r w:rsidR="003F0AA6">
              <w:rPr>
                <w:webHidden/>
              </w:rPr>
              <w:instrText xml:space="preserve"> PAGEREF _Toc417043266 \h </w:instrText>
            </w:r>
            <w:r w:rsidR="003F0AA6">
              <w:rPr>
                <w:webHidden/>
              </w:rPr>
            </w:r>
            <w:r w:rsidR="003F0AA6">
              <w:rPr>
                <w:webHidden/>
              </w:rPr>
              <w:fldChar w:fldCharType="separate"/>
            </w:r>
            <w:r w:rsidR="003F0AA6">
              <w:rPr>
                <w:webHidden/>
              </w:rPr>
              <w:t>4-69</w:t>
            </w:r>
            <w:r w:rsidR="003F0AA6">
              <w:rPr>
                <w:webHidden/>
              </w:rPr>
              <w:fldChar w:fldCharType="end"/>
            </w:r>
          </w:hyperlink>
        </w:p>
        <w:p w:rsidR="003F0AA6" w:rsidRDefault="00332D56">
          <w:pPr>
            <w:pStyle w:val="TOC2"/>
            <w:tabs>
              <w:tab w:val="left" w:pos="1276"/>
            </w:tabs>
            <w:rPr>
              <w:rFonts w:asciiTheme="minorHAnsi" w:eastAsiaTheme="minorEastAsia" w:hAnsiTheme="minorHAnsi"/>
              <w:b w:val="0"/>
              <w:color w:val="auto"/>
              <w:sz w:val="22"/>
              <w:lang w:eastAsia="en-AU"/>
            </w:rPr>
          </w:pPr>
          <w:hyperlink w:anchor="_Toc417043267" w:history="1">
            <w:r w:rsidR="003F0AA6" w:rsidRPr="00056B9F">
              <w:rPr>
                <w:rStyle w:val="Hyperlink"/>
              </w:rPr>
              <w:t>A.12</w:t>
            </w:r>
            <w:r w:rsidR="003F0AA6">
              <w:rPr>
                <w:rFonts w:asciiTheme="minorHAnsi" w:eastAsiaTheme="minorEastAsia" w:hAnsiTheme="minorHAnsi"/>
                <w:b w:val="0"/>
                <w:color w:val="auto"/>
                <w:sz w:val="22"/>
                <w:lang w:eastAsia="en-AU"/>
              </w:rPr>
              <w:tab/>
            </w:r>
            <w:r w:rsidR="003F0AA6" w:rsidRPr="00056B9F">
              <w:rPr>
                <w:rStyle w:val="Hyperlink"/>
              </w:rPr>
              <w:t>The equity ownership approach</w:t>
            </w:r>
            <w:r w:rsidR="003F0AA6">
              <w:rPr>
                <w:webHidden/>
              </w:rPr>
              <w:tab/>
            </w:r>
            <w:r w:rsidR="003F0AA6">
              <w:rPr>
                <w:webHidden/>
              </w:rPr>
              <w:fldChar w:fldCharType="begin"/>
            </w:r>
            <w:r w:rsidR="003F0AA6">
              <w:rPr>
                <w:webHidden/>
              </w:rPr>
              <w:instrText xml:space="preserve"> PAGEREF _Toc417043267 \h </w:instrText>
            </w:r>
            <w:r w:rsidR="003F0AA6">
              <w:rPr>
                <w:webHidden/>
              </w:rPr>
            </w:r>
            <w:r w:rsidR="003F0AA6">
              <w:rPr>
                <w:webHidden/>
              </w:rPr>
              <w:fldChar w:fldCharType="separate"/>
            </w:r>
            <w:r w:rsidR="003F0AA6">
              <w:rPr>
                <w:webHidden/>
              </w:rPr>
              <w:t>4-71</w:t>
            </w:r>
            <w:r w:rsidR="003F0AA6">
              <w:rPr>
                <w:webHidden/>
              </w:rPr>
              <w:fldChar w:fldCharType="end"/>
            </w:r>
          </w:hyperlink>
        </w:p>
        <w:p w:rsidR="003F0AA6" w:rsidRDefault="00332D56">
          <w:pPr>
            <w:pStyle w:val="TOC2"/>
            <w:tabs>
              <w:tab w:val="left" w:pos="1276"/>
            </w:tabs>
            <w:rPr>
              <w:rFonts w:asciiTheme="minorHAnsi" w:eastAsiaTheme="minorEastAsia" w:hAnsiTheme="minorHAnsi"/>
              <w:b w:val="0"/>
              <w:color w:val="auto"/>
              <w:sz w:val="22"/>
              <w:lang w:eastAsia="en-AU"/>
            </w:rPr>
          </w:pPr>
          <w:hyperlink w:anchor="_Toc417043268" w:history="1">
            <w:r w:rsidR="003F0AA6" w:rsidRPr="00056B9F">
              <w:rPr>
                <w:rStyle w:val="Hyperlink"/>
              </w:rPr>
              <w:t>A.13</w:t>
            </w:r>
            <w:r w:rsidR="003F0AA6">
              <w:rPr>
                <w:rFonts w:asciiTheme="minorHAnsi" w:eastAsiaTheme="minorEastAsia" w:hAnsiTheme="minorHAnsi"/>
                <w:b w:val="0"/>
                <w:color w:val="auto"/>
                <w:sz w:val="22"/>
                <w:lang w:eastAsia="en-AU"/>
              </w:rPr>
              <w:tab/>
            </w:r>
            <w:r w:rsidR="003F0AA6" w:rsidRPr="00056B9F">
              <w:rPr>
                <w:rStyle w:val="Hyperlink"/>
              </w:rPr>
              <w:t>Tax statistics</w:t>
            </w:r>
            <w:r w:rsidR="003F0AA6">
              <w:rPr>
                <w:webHidden/>
              </w:rPr>
              <w:tab/>
            </w:r>
            <w:r w:rsidR="003F0AA6">
              <w:rPr>
                <w:webHidden/>
              </w:rPr>
              <w:fldChar w:fldCharType="begin"/>
            </w:r>
            <w:r w:rsidR="003F0AA6">
              <w:rPr>
                <w:webHidden/>
              </w:rPr>
              <w:instrText xml:space="preserve"> PAGEREF _Toc417043268 \h </w:instrText>
            </w:r>
            <w:r w:rsidR="003F0AA6">
              <w:rPr>
                <w:webHidden/>
              </w:rPr>
            </w:r>
            <w:r w:rsidR="003F0AA6">
              <w:rPr>
                <w:webHidden/>
              </w:rPr>
              <w:fldChar w:fldCharType="separate"/>
            </w:r>
            <w:r w:rsidR="003F0AA6">
              <w:rPr>
                <w:webHidden/>
              </w:rPr>
              <w:t>4-74</w:t>
            </w:r>
            <w:r w:rsidR="003F0AA6">
              <w:rPr>
                <w:webHidden/>
              </w:rPr>
              <w:fldChar w:fldCharType="end"/>
            </w:r>
          </w:hyperlink>
        </w:p>
        <w:p w:rsidR="003F0AA6" w:rsidRDefault="00332D56">
          <w:pPr>
            <w:pStyle w:val="TOC2"/>
            <w:tabs>
              <w:tab w:val="left" w:pos="1276"/>
            </w:tabs>
            <w:rPr>
              <w:rFonts w:asciiTheme="minorHAnsi" w:eastAsiaTheme="minorEastAsia" w:hAnsiTheme="minorHAnsi"/>
              <w:b w:val="0"/>
              <w:color w:val="auto"/>
              <w:sz w:val="22"/>
              <w:lang w:eastAsia="en-AU"/>
            </w:rPr>
          </w:pPr>
          <w:hyperlink w:anchor="_Toc417043269" w:history="1">
            <w:r w:rsidR="003F0AA6" w:rsidRPr="00056B9F">
              <w:rPr>
                <w:rStyle w:val="Hyperlink"/>
              </w:rPr>
              <w:t>A.14</w:t>
            </w:r>
            <w:r w:rsidR="003F0AA6">
              <w:rPr>
                <w:rFonts w:asciiTheme="minorHAnsi" w:eastAsiaTheme="minorEastAsia" w:hAnsiTheme="minorHAnsi"/>
                <w:b w:val="0"/>
                <w:color w:val="auto"/>
                <w:sz w:val="22"/>
                <w:lang w:eastAsia="en-AU"/>
              </w:rPr>
              <w:tab/>
            </w:r>
            <w:r w:rsidR="003F0AA6" w:rsidRPr="00056B9F">
              <w:rPr>
                <w:rStyle w:val="Hyperlink"/>
              </w:rPr>
              <w:t>Implied market value studies</w:t>
            </w:r>
            <w:r w:rsidR="003F0AA6">
              <w:rPr>
                <w:webHidden/>
              </w:rPr>
              <w:tab/>
            </w:r>
            <w:r w:rsidR="003F0AA6">
              <w:rPr>
                <w:webHidden/>
              </w:rPr>
              <w:fldChar w:fldCharType="begin"/>
            </w:r>
            <w:r w:rsidR="003F0AA6">
              <w:rPr>
                <w:webHidden/>
              </w:rPr>
              <w:instrText xml:space="preserve"> PAGEREF _Toc417043269 \h </w:instrText>
            </w:r>
            <w:r w:rsidR="003F0AA6">
              <w:rPr>
                <w:webHidden/>
              </w:rPr>
            </w:r>
            <w:r w:rsidR="003F0AA6">
              <w:rPr>
                <w:webHidden/>
              </w:rPr>
              <w:fldChar w:fldCharType="separate"/>
            </w:r>
            <w:r w:rsidR="003F0AA6">
              <w:rPr>
                <w:webHidden/>
              </w:rPr>
              <w:t>4-76</w:t>
            </w:r>
            <w:r w:rsidR="003F0AA6">
              <w:rPr>
                <w:webHidden/>
              </w:rPr>
              <w:fldChar w:fldCharType="end"/>
            </w:r>
          </w:hyperlink>
        </w:p>
        <w:p w:rsidR="003F0AA6" w:rsidRDefault="00332D56">
          <w:pPr>
            <w:pStyle w:val="TOC2"/>
            <w:tabs>
              <w:tab w:val="left" w:pos="1276"/>
            </w:tabs>
            <w:rPr>
              <w:rFonts w:asciiTheme="minorHAnsi" w:eastAsiaTheme="minorEastAsia" w:hAnsiTheme="minorHAnsi"/>
              <w:b w:val="0"/>
              <w:color w:val="auto"/>
              <w:sz w:val="22"/>
              <w:lang w:eastAsia="en-AU"/>
            </w:rPr>
          </w:pPr>
          <w:hyperlink w:anchor="_Toc417043270" w:history="1">
            <w:r w:rsidR="003F0AA6" w:rsidRPr="00056B9F">
              <w:rPr>
                <w:rStyle w:val="Hyperlink"/>
              </w:rPr>
              <w:t>A.15</w:t>
            </w:r>
            <w:r w:rsidR="003F0AA6">
              <w:rPr>
                <w:rFonts w:asciiTheme="minorHAnsi" w:eastAsiaTheme="minorEastAsia" w:hAnsiTheme="minorHAnsi"/>
                <w:b w:val="0"/>
                <w:color w:val="auto"/>
                <w:sz w:val="22"/>
                <w:lang w:eastAsia="en-AU"/>
              </w:rPr>
              <w:tab/>
            </w:r>
            <w:r w:rsidR="003F0AA6" w:rsidRPr="00056B9F">
              <w:rPr>
                <w:rStyle w:val="Hyperlink"/>
              </w:rPr>
              <w:t xml:space="preserve">Revised consideration of the conceptual goalposts </w:t>
            </w:r>
            <w:r w:rsidR="00EE10D7">
              <w:rPr>
                <w:rStyle w:val="Hyperlink"/>
              </w:rPr>
              <w:t xml:space="preserve">            </w:t>
            </w:r>
            <w:r w:rsidR="003F0AA6" w:rsidRPr="00056B9F">
              <w:rPr>
                <w:rStyle w:val="Hyperlink"/>
              </w:rPr>
              <w:t>approach</w:t>
            </w:r>
            <w:r w:rsidR="003F0AA6">
              <w:rPr>
                <w:webHidden/>
              </w:rPr>
              <w:tab/>
            </w:r>
            <w:r w:rsidR="003F0AA6">
              <w:rPr>
                <w:webHidden/>
              </w:rPr>
              <w:fldChar w:fldCharType="begin"/>
            </w:r>
            <w:r w:rsidR="003F0AA6">
              <w:rPr>
                <w:webHidden/>
              </w:rPr>
              <w:instrText xml:space="preserve"> PAGEREF _Toc417043270 \h </w:instrText>
            </w:r>
            <w:r w:rsidR="003F0AA6">
              <w:rPr>
                <w:webHidden/>
              </w:rPr>
            </w:r>
            <w:r w:rsidR="003F0AA6">
              <w:rPr>
                <w:webHidden/>
              </w:rPr>
              <w:fldChar w:fldCharType="separate"/>
            </w:r>
            <w:r w:rsidR="003F0AA6">
              <w:rPr>
                <w:webHidden/>
              </w:rPr>
              <w:t>4-92</w:t>
            </w:r>
            <w:r w:rsidR="003F0AA6">
              <w:rPr>
                <w:webHidden/>
              </w:rPr>
              <w:fldChar w:fldCharType="end"/>
            </w:r>
          </w:hyperlink>
        </w:p>
        <w:p w:rsidR="00DE563D" w:rsidRDefault="00993877" w:rsidP="00993877">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7043249"/>
      <w:r>
        <w:lastRenderedPageBreak/>
        <w:t>Shortened forms</w:t>
      </w:r>
      <w:bookmarkEnd w:id="8"/>
      <w:bookmarkEnd w:id="9"/>
    </w:p>
    <w:tbl>
      <w:tblPr>
        <w:tblStyle w:val="AERtable-text0"/>
        <w:tblW w:w="0" w:type="auto"/>
        <w:tblLook w:val="04A0" w:firstRow="1" w:lastRow="0" w:firstColumn="1" w:lastColumn="0" w:noHBand="0" w:noVBand="1"/>
      </w:tblPr>
      <w:tblGrid>
        <w:gridCol w:w="4621"/>
        <w:gridCol w:w="4621"/>
      </w:tblGrid>
      <w:tr w:rsidR="001F05A4" w:rsidTr="00DC0192">
        <w:trPr>
          <w:cnfStyle w:val="100000000000" w:firstRow="1" w:lastRow="0" w:firstColumn="0" w:lastColumn="0" w:oddVBand="0" w:evenVBand="0" w:oddHBand="0" w:evenHBand="0" w:firstRowFirstColumn="0" w:firstRowLastColumn="0" w:lastRowFirstColumn="0" w:lastRowLastColumn="0"/>
          <w:tblHeader/>
        </w:trPr>
        <w:tc>
          <w:tcPr>
            <w:tcW w:w="4621" w:type="dxa"/>
          </w:tcPr>
          <w:p w:rsidR="001F05A4" w:rsidRDefault="001F05A4" w:rsidP="001F05A4">
            <w:pPr>
              <w:numPr>
                <w:ilvl w:val="0"/>
                <w:numId w:val="25"/>
              </w:numPr>
            </w:pPr>
            <w:r>
              <w:t>Shortened form</w:t>
            </w:r>
          </w:p>
        </w:tc>
        <w:tc>
          <w:tcPr>
            <w:tcW w:w="4621" w:type="dxa"/>
          </w:tcPr>
          <w:p w:rsidR="001F05A4" w:rsidRDefault="001F05A4" w:rsidP="001F05A4">
            <w:pPr>
              <w:numPr>
                <w:ilvl w:val="0"/>
                <w:numId w:val="25"/>
              </w:numPr>
            </w:pPr>
            <w:r>
              <w:t>Extended form</w:t>
            </w:r>
          </w:p>
        </w:tc>
      </w:tr>
      <w:tr w:rsidR="001F05A4" w:rsidTr="001F05A4">
        <w:tc>
          <w:tcPr>
            <w:tcW w:w="4621" w:type="dxa"/>
          </w:tcPr>
          <w:p w:rsidR="001F05A4" w:rsidRDefault="001F05A4" w:rsidP="001F05A4">
            <w:pPr>
              <w:numPr>
                <w:ilvl w:val="0"/>
                <w:numId w:val="25"/>
              </w:numPr>
            </w:pPr>
            <w:r>
              <w:t>AARR</w:t>
            </w:r>
          </w:p>
        </w:tc>
        <w:tc>
          <w:tcPr>
            <w:tcW w:w="4621" w:type="dxa"/>
          </w:tcPr>
          <w:p w:rsidR="001F05A4" w:rsidRDefault="001F05A4" w:rsidP="001F05A4">
            <w:pPr>
              <w:numPr>
                <w:ilvl w:val="0"/>
                <w:numId w:val="25"/>
              </w:numPr>
            </w:pPr>
            <w:r>
              <w:t>aggregate annual revenue requirement</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AEMC</w:t>
            </w:r>
          </w:p>
        </w:tc>
        <w:tc>
          <w:tcPr>
            <w:tcW w:w="4621" w:type="dxa"/>
          </w:tcPr>
          <w:p w:rsidR="001F05A4" w:rsidRDefault="001F05A4" w:rsidP="001F05A4">
            <w:pPr>
              <w:numPr>
                <w:ilvl w:val="0"/>
                <w:numId w:val="25"/>
              </w:numPr>
            </w:pPr>
            <w:r>
              <w:t>Australian Energy Market Commission</w:t>
            </w:r>
          </w:p>
        </w:tc>
      </w:tr>
      <w:tr w:rsidR="001F05A4" w:rsidTr="001F05A4">
        <w:tc>
          <w:tcPr>
            <w:tcW w:w="4621" w:type="dxa"/>
          </w:tcPr>
          <w:p w:rsidR="001F05A4" w:rsidRDefault="001F05A4" w:rsidP="001F05A4">
            <w:pPr>
              <w:numPr>
                <w:ilvl w:val="0"/>
                <w:numId w:val="25"/>
              </w:numPr>
            </w:pPr>
            <w:r>
              <w:t>AEMO</w:t>
            </w:r>
          </w:p>
        </w:tc>
        <w:tc>
          <w:tcPr>
            <w:tcW w:w="4621" w:type="dxa"/>
          </w:tcPr>
          <w:p w:rsidR="001F05A4" w:rsidRDefault="001F05A4" w:rsidP="001F05A4">
            <w:pPr>
              <w:numPr>
                <w:ilvl w:val="0"/>
                <w:numId w:val="25"/>
              </w:numPr>
            </w:pPr>
            <w:r>
              <w:t>Australian Energy Market Operator</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AER</w:t>
            </w:r>
          </w:p>
        </w:tc>
        <w:tc>
          <w:tcPr>
            <w:tcW w:w="4621" w:type="dxa"/>
          </w:tcPr>
          <w:p w:rsidR="001F05A4" w:rsidRDefault="001F05A4" w:rsidP="001F05A4">
            <w:pPr>
              <w:numPr>
                <w:ilvl w:val="0"/>
                <w:numId w:val="25"/>
              </w:numPr>
            </w:pPr>
            <w:r>
              <w:t>Australian Energy Regulator</w:t>
            </w:r>
          </w:p>
        </w:tc>
      </w:tr>
      <w:tr w:rsidR="001F05A4" w:rsidTr="001F05A4">
        <w:tc>
          <w:tcPr>
            <w:tcW w:w="4621" w:type="dxa"/>
          </w:tcPr>
          <w:p w:rsidR="001F05A4" w:rsidRDefault="001F05A4" w:rsidP="001F05A4">
            <w:pPr>
              <w:numPr>
                <w:ilvl w:val="0"/>
                <w:numId w:val="25"/>
              </w:numPr>
            </w:pPr>
            <w:r>
              <w:t>ASRR</w:t>
            </w:r>
          </w:p>
        </w:tc>
        <w:tc>
          <w:tcPr>
            <w:tcW w:w="4621" w:type="dxa"/>
          </w:tcPr>
          <w:p w:rsidR="001F05A4" w:rsidRDefault="001F05A4" w:rsidP="001F05A4">
            <w:pPr>
              <w:numPr>
                <w:ilvl w:val="0"/>
                <w:numId w:val="25"/>
              </w:numPr>
            </w:pPr>
            <w:r>
              <w:t>aggregate service revenue requirement</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augex</w:t>
            </w:r>
          </w:p>
        </w:tc>
        <w:tc>
          <w:tcPr>
            <w:tcW w:w="4621" w:type="dxa"/>
          </w:tcPr>
          <w:p w:rsidR="001F05A4" w:rsidRDefault="001F05A4" w:rsidP="001F05A4">
            <w:pPr>
              <w:numPr>
                <w:ilvl w:val="0"/>
                <w:numId w:val="25"/>
              </w:numPr>
            </w:pPr>
            <w:r>
              <w:t>augmentation expenditure</w:t>
            </w:r>
          </w:p>
        </w:tc>
      </w:tr>
      <w:tr w:rsidR="001F05A4" w:rsidTr="001F05A4">
        <w:tc>
          <w:tcPr>
            <w:tcW w:w="4621" w:type="dxa"/>
          </w:tcPr>
          <w:p w:rsidR="001F05A4" w:rsidRDefault="001F05A4" w:rsidP="001F05A4">
            <w:pPr>
              <w:numPr>
                <w:ilvl w:val="0"/>
                <w:numId w:val="25"/>
              </w:numPr>
            </w:pPr>
            <w:r>
              <w:t>capex</w:t>
            </w:r>
          </w:p>
        </w:tc>
        <w:tc>
          <w:tcPr>
            <w:tcW w:w="4621" w:type="dxa"/>
          </w:tcPr>
          <w:p w:rsidR="001F05A4" w:rsidRDefault="001F05A4" w:rsidP="001F05A4">
            <w:pPr>
              <w:numPr>
                <w:ilvl w:val="0"/>
                <w:numId w:val="25"/>
              </w:numPr>
            </w:pPr>
            <w:r>
              <w:t>capital expenditure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CCP</w:t>
            </w:r>
          </w:p>
        </w:tc>
        <w:tc>
          <w:tcPr>
            <w:tcW w:w="4621" w:type="dxa"/>
          </w:tcPr>
          <w:p w:rsidR="001F05A4" w:rsidRDefault="001F05A4" w:rsidP="001F05A4">
            <w:pPr>
              <w:numPr>
                <w:ilvl w:val="0"/>
                <w:numId w:val="25"/>
              </w:numPr>
            </w:pPr>
            <w:r>
              <w:t>Consumer Challenge Panel</w:t>
            </w:r>
          </w:p>
        </w:tc>
      </w:tr>
      <w:tr w:rsidR="001F05A4" w:rsidTr="001F05A4">
        <w:tc>
          <w:tcPr>
            <w:tcW w:w="4621" w:type="dxa"/>
          </w:tcPr>
          <w:p w:rsidR="001F05A4" w:rsidRDefault="001F05A4" w:rsidP="001F05A4">
            <w:pPr>
              <w:numPr>
                <w:ilvl w:val="0"/>
                <w:numId w:val="25"/>
              </w:numPr>
            </w:pPr>
            <w:r>
              <w:t>CESS</w:t>
            </w:r>
          </w:p>
        </w:tc>
        <w:tc>
          <w:tcPr>
            <w:tcW w:w="4621" w:type="dxa"/>
          </w:tcPr>
          <w:p w:rsidR="001F05A4" w:rsidRDefault="001F05A4" w:rsidP="001F05A4">
            <w:pPr>
              <w:numPr>
                <w:ilvl w:val="0"/>
                <w:numId w:val="25"/>
              </w:numPr>
            </w:pPr>
            <w:r>
              <w:t>capital expenditure sharing scheme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CPI</w:t>
            </w:r>
          </w:p>
        </w:tc>
        <w:tc>
          <w:tcPr>
            <w:tcW w:w="4621" w:type="dxa"/>
          </w:tcPr>
          <w:p w:rsidR="001F05A4" w:rsidRDefault="001F05A4" w:rsidP="001F05A4">
            <w:pPr>
              <w:numPr>
                <w:ilvl w:val="0"/>
                <w:numId w:val="25"/>
              </w:numPr>
            </w:pPr>
            <w:r>
              <w:t>consumer price index</w:t>
            </w:r>
          </w:p>
        </w:tc>
      </w:tr>
      <w:tr w:rsidR="001F05A4" w:rsidTr="001F05A4">
        <w:tc>
          <w:tcPr>
            <w:tcW w:w="4621" w:type="dxa"/>
          </w:tcPr>
          <w:p w:rsidR="001F05A4" w:rsidRDefault="001F05A4" w:rsidP="001F05A4">
            <w:pPr>
              <w:numPr>
                <w:ilvl w:val="0"/>
                <w:numId w:val="25"/>
              </w:numPr>
            </w:pPr>
            <w:r>
              <w:t>CPI-X</w:t>
            </w:r>
          </w:p>
        </w:tc>
        <w:tc>
          <w:tcPr>
            <w:tcW w:w="4621" w:type="dxa"/>
          </w:tcPr>
          <w:p w:rsidR="001F05A4" w:rsidRDefault="001F05A4" w:rsidP="001F05A4">
            <w:pPr>
              <w:numPr>
                <w:ilvl w:val="0"/>
                <w:numId w:val="25"/>
              </w:numPr>
            </w:pPr>
            <w:r>
              <w:t>consumer price index minus X</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DRP</w:t>
            </w:r>
          </w:p>
        </w:tc>
        <w:tc>
          <w:tcPr>
            <w:tcW w:w="4621" w:type="dxa"/>
          </w:tcPr>
          <w:p w:rsidR="001F05A4" w:rsidRDefault="001F05A4" w:rsidP="001F05A4">
            <w:pPr>
              <w:numPr>
                <w:ilvl w:val="0"/>
                <w:numId w:val="25"/>
              </w:numPr>
            </w:pPr>
            <w:r>
              <w:t>debt risk premium</w:t>
            </w:r>
          </w:p>
        </w:tc>
      </w:tr>
      <w:tr w:rsidR="001F05A4" w:rsidTr="001F05A4">
        <w:tc>
          <w:tcPr>
            <w:tcW w:w="4621" w:type="dxa"/>
          </w:tcPr>
          <w:p w:rsidR="001F05A4" w:rsidRDefault="001F05A4" w:rsidP="001F05A4">
            <w:pPr>
              <w:numPr>
                <w:ilvl w:val="0"/>
                <w:numId w:val="25"/>
              </w:numPr>
            </w:pPr>
            <w:r>
              <w:t>DMIA</w:t>
            </w:r>
          </w:p>
        </w:tc>
        <w:tc>
          <w:tcPr>
            <w:tcW w:w="4621" w:type="dxa"/>
          </w:tcPr>
          <w:p w:rsidR="001F05A4" w:rsidRDefault="001F05A4" w:rsidP="001F05A4">
            <w:pPr>
              <w:numPr>
                <w:ilvl w:val="0"/>
                <w:numId w:val="25"/>
              </w:numPr>
            </w:pPr>
            <w:r>
              <w:t>demand management innovation allowance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DMIS</w:t>
            </w:r>
          </w:p>
        </w:tc>
        <w:tc>
          <w:tcPr>
            <w:tcW w:w="4621" w:type="dxa"/>
          </w:tcPr>
          <w:p w:rsidR="001F05A4" w:rsidRDefault="001F05A4" w:rsidP="001F05A4">
            <w:pPr>
              <w:numPr>
                <w:ilvl w:val="0"/>
                <w:numId w:val="25"/>
              </w:numPr>
            </w:pPr>
            <w:r>
              <w:t>demand management incentive scheme</w:t>
            </w:r>
          </w:p>
        </w:tc>
      </w:tr>
      <w:tr w:rsidR="001F05A4" w:rsidTr="001F05A4">
        <w:tc>
          <w:tcPr>
            <w:tcW w:w="4621" w:type="dxa"/>
          </w:tcPr>
          <w:p w:rsidR="001F05A4" w:rsidRDefault="001F05A4" w:rsidP="001F05A4">
            <w:pPr>
              <w:numPr>
                <w:ilvl w:val="0"/>
                <w:numId w:val="25"/>
              </w:numPr>
            </w:pPr>
            <w:r>
              <w:t>distributor</w:t>
            </w:r>
          </w:p>
        </w:tc>
        <w:tc>
          <w:tcPr>
            <w:tcW w:w="4621" w:type="dxa"/>
          </w:tcPr>
          <w:p w:rsidR="001F05A4" w:rsidRDefault="001F05A4" w:rsidP="001F05A4">
            <w:pPr>
              <w:numPr>
                <w:ilvl w:val="0"/>
                <w:numId w:val="25"/>
              </w:numPr>
            </w:pPr>
            <w:r>
              <w:t>distribution network service provider</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DUoS</w:t>
            </w:r>
          </w:p>
        </w:tc>
        <w:tc>
          <w:tcPr>
            <w:tcW w:w="4621" w:type="dxa"/>
          </w:tcPr>
          <w:p w:rsidR="001F05A4" w:rsidRDefault="001F05A4" w:rsidP="001F05A4">
            <w:pPr>
              <w:numPr>
                <w:ilvl w:val="0"/>
                <w:numId w:val="25"/>
              </w:numPr>
            </w:pPr>
            <w:r>
              <w:t>distribution use of system</w:t>
            </w:r>
          </w:p>
        </w:tc>
      </w:tr>
      <w:tr w:rsidR="001F05A4" w:rsidTr="001F05A4">
        <w:tc>
          <w:tcPr>
            <w:tcW w:w="4621" w:type="dxa"/>
          </w:tcPr>
          <w:p w:rsidR="001F05A4" w:rsidRDefault="001F05A4" w:rsidP="001F05A4">
            <w:pPr>
              <w:numPr>
                <w:ilvl w:val="0"/>
                <w:numId w:val="25"/>
              </w:numPr>
            </w:pPr>
            <w:r>
              <w:t>EBSS</w:t>
            </w:r>
          </w:p>
        </w:tc>
        <w:tc>
          <w:tcPr>
            <w:tcW w:w="4621" w:type="dxa"/>
          </w:tcPr>
          <w:p w:rsidR="001F05A4" w:rsidRDefault="001F05A4" w:rsidP="001F05A4">
            <w:pPr>
              <w:numPr>
                <w:ilvl w:val="0"/>
                <w:numId w:val="25"/>
              </w:numPr>
            </w:pPr>
            <w:r>
              <w:t>efficiency benefit sharing scheme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ERP</w:t>
            </w:r>
          </w:p>
        </w:tc>
        <w:tc>
          <w:tcPr>
            <w:tcW w:w="4621" w:type="dxa"/>
          </w:tcPr>
          <w:p w:rsidR="001F05A4" w:rsidRDefault="001F05A4" w:rsidP="001F05A4">
            <w:pPr>
              <w:numPr>
                <w:ilvl w:val="0"/>
                <w:numId w:val="25"/>
              </w:numPr>
            </w:pPr>
            <w:r>
              <w:t>equity risk premium</w:t>
            </w:r>
          </w:p>
        </w:tc>
      </w:tr>
      <w:tr w:rsidR="001F05A4" w:rsidTr="001F05A4">
        <w:tc>
          <w:tcPr>
            <w:tcW w:w="4621" w:type="dxa"/>
          </w:tcPr>
          <w:p w:rsidR="001F05A4" w:rsidRDefault="00EE10D7" w:rsidP="00EE10D7">
            <w:pPr>
              <w:numPr>
                <w:ilvl w:val="0"/>
                <w:numId w:val="25"/>
              </w:numPr>
            </w:pPr>
            <w:r>
              <w:t>E</w:t>
            </w:r>
            <w:r w:rsidR="001F05A4">
              <w:t xml:space="preserve">xpenditure </w:t>
            </w:r>
            <w:r>
              <w:t>A</w:t>
            </w:r>
            <w:r w:rsidR="001F05A4">
              <w:t xml:space="preserve">ssessment </w:t>
            </w:r>
            <w:r>
              <w:t>G</w:t>
            </w:r>
            <w:r w:rsidR="001F05A4">
              <w:t>uideline</w:t>
            </w:r>
          </w:p>
        </w:tc>
        <w:tc>
          <w:tcPr>
            <w:tcW w:w="4621" w:type="dxa"/>
          </w:tcPr>
          <w:p w:rsidR="001F05A4" w:rsidRDefault="001F05A4" w:rsidP="00EE10D7">
            <w:pPr>
              <w:numPr>
                <w:ilvl w:val="0"/>
                <w:numId w:val="25"/>
              </w:numPr>
            </w:pPr>
            <w:r>
              <w:t xml:space="preserve">expenditure forecast assessment </w:t>
            </w:r>
            <w:r w:rsidR="00EE10D7">
              <w:t>G</w:t>
            </w:r>
            <w:r>
              <w:t>uideline for electricity distribution</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F&amp;A</w:t>
            </w:r>
          </w:p>
        </w:tc>
        <w:tc>
          <w:tcPr>
            <w:tcW w:w="4621" w:type="dxa"/>
          </w:tcPr>
          <w:p w:rsidR="001F05A4" w:rsidRDefault="001F05A4" w:rsidP="001F05A4">
            <w:pPr>
              <w:numPr>
                <w:ilvl w:val="0"/>
                <w:numId w:val="25"/>
              </w:numPr>
            </w:pPr>
            <w:r>
              <w:t>framework and approach</w:t>
            </w:r>
          </w:p>
        </w:tc>
      </w:tr>
      <w:tr w:rsidR="001F05A4" w:rsidTr="001F05A4">
        <w:tc>
          <w:tcPr>
            <w:tcW w:w="4621" w:type="dxa"/>
          </w:tcPr>
          <w:p w:rsidR="001F05A4" w:rsidRDefault="001F05A4" w:rsidP="001F05A4">
            <w:pPr>
              <w:numPr>
                <w:ilvl w:val="0"/>
                <w:numId w:val="25"/>
              </w:numPr>
            </w:pPr>
            <w:r>
              <w:t>MRP</w:t>
            </w:r>
          </w:p>
        </w:tc>
        <w:tc>
          <w:tcPr>
            <w:tcW w:w="4621" w:type="dxa"/>
          </w:tcPr>
          <w:p w:rsidR="001F05A4" w:rsidRDefault="001F05A4" w:rsidP="001F05A4">
            <w:pPr>
              <w:numPr>
                <w:ilvl w:val="0"/>
                <w:numId w:val="25"/>
              </w:numPr>
            </w:pPr>
            <w:r>
              <w:t>market risk premium</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NEL</w:t>
            </w:r>
          </w:p>
        </w:tc>
        <w:tc>
          <w:tcPr>
            <w:tcW w:w="4621" w:type="dxa"/>
          </w:tcPr>
          <w:p w:rsidR="001F05A4" w:rsidRDefault="001F05A4" w:rsidP="001F05A4">
            <w:pPr>
              <w:numPr>
                <w:ilvl w:val="0"/>
                <w:numId w:val="25"/>
              </w:numPr>
            </w:pPr>
            <w:r>
              <w:t>national electricity law</w:t>
            </w:r>
          </w:p>
        </w:tc>
      </w:tr>
      <w:tr w:rsidR="001F05A4" w:rsidTr="001F05A4">
        <w:tc>
          <w:tcPr>
            <w:tcW w:w="4621" w:type="dxa"/>
          </w:tcPr>
          <w:p w:rsidR="001F05A4" w:rsidRDefault="001F05A4" w:rsidP="001F05A4">
            <w:pPr>
              <w:numPr>
                <w:ilvl w:val="0"/>
                <w:numId w:val="25"/>
              </w:numPr>
            </w:pPr>
            <w:r>
              <w:t>NEM</w:t>
            </w:r>
          </w:p>
        </w:tc>
        <w:tc>
          <w:tcPr>
            <w:tcW w:w="4621" w:type="dxa"/>
          </w:tcPr>
          <w:p w:rsidR="001F05A4" w:rsidRDefault="001F05A4" w:rsidP="001F05A4">
            <w:pPr>
              <w:numPr>
                <w:ilvl w:val="0"/>
                <w:numId w:val="25"/>
              </w:numPr>
            </w:pPr>
            <w:r>
              <w:t>national electricity market</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NEO</w:t>
            </w:r>
          </w:p>
        </w:tc>
        <w:tc>
          <w:tcPr>
            <w:tcW w:w="4621" w:type="dxa"/>
          </w:tcPr>
          <w:p w:rsidR="001F05A4" w:rsidRDefault="001F05A4" w:rsidP="001F05A4">
            <w:pPr>
              <w:numPr>
                <w:ilvl w:val="0"/>
                <w:numId w:val="25"/>
              </w:numPr>
            </w:pPr>
            <w:r>
              <w:t>national electricity objective</w:t>
            </w:r>
          </w:p>
        </w:tc>
      </w:tr>
      <w:tr w:rsidR="001F05A4" w:rsidTr="001F05A4">
        <w:tc>
          <w:tcPr>
            <w:tcW w:w="4621" w:type="dxa"/>
          </w:tcPr>
          <w:p w:rsidR="001F05A4" w:rsidRDefault="001F05A4" w:rsidP="001F05A4">
            <w:pPr>
              <w:numPr>
                <w:ilvl w:val="0"/>
                <w:numId w:val="25"/>
              </w:numPr>
            </w:pPr>
            <w:r>
              <w:t>NER</w:t>
            </w:r>
          </w:p>
        </w:tc>
        <w:tc>
          <w:tcPr>
            <w:tcW w:w="4621" w:type="dxa"/>
          </w:tcPr>
          <w:p w:rsidR="001F05A4" w:rsidRDefault="001F05A4" w:rsidP="001F05A4">
            <w:pPr>
              <w:numPr>
                <w:ilvl w:val="0"/>
                <w:numId w:val="25"/>
              </w:numPr>
            </w:pPr>
            <w:r>
              <w:t>national electricity rules</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NSP</w:t>
            </w:r>
          </w:p>
        </w:tc>
        <w:tc>
          <w:tcPr>
            <w:tcW w:w="4621" w:type="dxa"/>
          </w:tcPr>
          <w:p w:rsidR="001F05A4" w:rsidRDefault="001F05A4" w:rsidP="001F05A4">
            <w:pPr>
              <w:numPr>
                <w:ilvl w:val="0"/>
                <w:numId w:val="25"/>
              </w:numPr>
            </w:pPr>
            <w:r>
              <w:t>network service provider</w:t>
            </w:r>
          </w:p>
        </w:tc>
      </w:tr>
      <w:tr w:rsidR="001F05A4" w:rsidTr="001F05A4">
        <w:tc>
          <w:tcPr>
            <w:tcW w:w="4621" w:type="dxa"/>
          </w:tcPr>
          <w:p w:rsidR="001F05A4" w:rsidRDefault="001F05A4" w:rsidP="001F05A4">
            <w:pPr>
              <w:numPr>
                <w:ilvl w:val="0"/>
                <w:numId w:val="25"/>
              </w:numPr>
            </w:pPr>
            <w:r>
              <w:t>opex</w:t>
            </w:r>
          </w:p>
        </w:tc>
        <w:tc>
          <w:tcPr>
            <w:tcW w:w="4621" w:type="dxa"/>
          </w:tcPr>
          <w:p w:rsidR="001F05A4" w:rsidRDefault="001F05A4" w:rsidP="001F05A4">
            <w:pPr>
              <w:numPr>
                <w:ilvl w:val="0"/>
                <w:numId w:val="25"/>
              </w:numPr>
            </w:pPr>
            <w:r>
              <w:t>operating expenditure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PPI</w:t>
            </w:r>
          </w:p>
        </w:tc>
        <w:tc>
          <w:tcPr>
            <w:tcW w:w="4621" w:type="dxa"/>
          </w:tcPr>
          <w:p w:rsidR="001F05A4" w:rsidRDefault="001F05A4" w:rsidP="001F05A4">
            <w:pPr>
              <w:numPr>
                <w:ilvl w:val="0"/>
                <w:numId w:val="25"/>
              </w:numPr>
            </w:pPr>
            <w:r>
              <w:t>partial performance indicators</w:t>
            </w:r>
          </w:p>
        </w:tc>
      </w:tr>
      <w:tr w:rsidR="001F05A4" w:rsidTr="001F05A4">
        <w:tc>
          <w:tcPr>
            <w:tcW w:w="4621" w:type="dxa"/>
          </w:tcPr>
          <w:p w:rsidR="001F05A4" w:rsidRDefault="001F05A4" w:rsidP="001F05A4">
            <w:pPr>
              <w:numPr>
                <w:ilvl w:val="0"/>
                <w:numId w:val="25"/>
              </w:numPr>
            </w:pPr>
            <w:r>
              <w:t>PTRM</w:t>
            </w:r>
          </w:p>
        </w:tc>
        <w:tc>
          <w:tcPr>
            <w:tcW w:w="4621" w:type="dxa"/>
          </w:tcPr>
          <w:p w:rsidR="001F05A4" w:rsidRDefault="001F05A4" w:rsidP="001F05A4">
            <w:pPr>
              <w:numPr>
                <w:ilvl w:val="0"/>
                <w:numId w:val="25"/>
              </w:numPr>
            </w:pPr>
            <w:r>
              <w:t>post-tax revenue model</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RAB</w:t>
            </w:r>
          </w:p>
        </w:tc>
        <w:tc>
          <w:tcPr>
            <w:tcW w:w="4621" w:type="dxa"/>
          </w:tcPr>
          <w:p w:rsidR="001F05A4" w:rsidRDefault="001F05A4" w:rsidP="001F05A4">
            <w:pPr>
              <w:numPr>
                <w:ilvl w:val="0"/>
                <w:numId w:val="25"/>
              </w:numPr>
            </w:pPr>
            <w:r>
              <w:t>regulatory asset base</w:t>
            </w:r>
          </w:p>
        </w:tc>
      </w:tr>
      <w:tr w:rsidR="001F05A4" w:rsidTr="001F05A4">
        <w:tc>
          <w:tcPr>
            <w:tcW w:w="4621" w:type="dxa"/>
          </w:tcPr>
          <w:p w:rsidR="001F05A4" w:rsidRDefault="001F05A4" w:rsidP="001F05A4">
            <w:pPr>
              <w:numPr>
                <w:ilvl w:val="0"/>
                <w:numId w:val="25"/>
              </w:numPr>
            </w:pPr>
            <w:r>
              <w:lastRenderedPageBreak/>
              <w:t>RBA</w:t>
            </w:r>
          </w:p>
        </w:tc>
        <w:tc>
          <w:tcPr>
            <w:tcW w:w="4621" w:type="dxa"/>
          </w:tcPr>
          <w:p w:rsidR="001F05A4" w:rsidRDefault="001F05A4" w:rsidP="001F05A4">
            <w:pPr>
              <w:numPr>
                <w:ilvl w:val="0"/>
                <w:numId w:val="25"/>
              </w:numPr>
            </w:pPr>
            <w:r>
              <w:t>Reserve Bank of Australia</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repex</w:t>
            </w:r>
          </w:p>
        </w:tc>
        <w:tc>
          <w:tcPr>
            <w:tcW w:w="4621" w:type="dxa"/>
          </w:tcPr>
          <w:p w:rsidR="001F05A4" w:rsidRDefault="001F05A4" w:rsidP="001F05A4">
            <w:pPr>
              <w:numPr>
                <w:ilvl w:val="0"/>
                <w:numId w:val="25"/>
              </w:numPr>
            </w:pPr>
            <w:r>
              <w:t>replacement expenditure</w:t>
            </w:r>
          </w:p>
        </w:tc>
      </w:tr>
      <w:tr w:rsidR="001F05A4" w:rsidTr="001F05A4">
        <w:tc>
          <w:tcPr>
            <w:tcW w:w="4621" w:type="dxa"/>
          </w:tcPr>
          <w:p w:rsidR="001F05A4" w:rsidRDefault="001F05A4" w:rsidP="001F05A4">
            <w:pPr>
              <w:numPr>
                <w:ilvl w:val="0"/>
                <w:numId w:val="25"/>
              </w:numPr>
            </w:pPr>
            <w:r>
              <w:t>RFM</w:t>
            </w:r>
          </w:p>
        </w:tc>
        <w:tc>
          <w:tcPr>
            <w:tcW w:w="4621" w:type="dxa"/>
          </w:tcPr>
          <w:p w:rsidR="001F05A4" w:rsidRDefault="001F05A4" w:rsidP="001F05A4">
            <w:pPr>
              <w:numPr>
                <w:ilvl w:val="0"/>
                <w:numId w:val="25"/>
              </w:numPr>
            </w:pPr>
            <w:r>
              <w:t>roll forward model</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RIN</w:t>
            </w:r>
          </w:p>
        </w:tc>
        <w:tc>
          <w:tcPr>
            <w:tcW w:w="4621" w:type="dxa"/>
          </w:tcPr>
          <w:p w:rsidR="001F05A4" w:rsidRDefault="001F05A4" w:rsidP="001F05A4">
            <w:pPr>
              <w:numPr>
                <w:ilvl w:val="0"/>
                <w:numId w:val="25"/>
              </w:numPr>
            </w:pPr>
            <w:r>
              <w:t>regulatory information notice</w:t>
            </w:r>
          </w:p>
        </w:tc>
      </w:tr>
      <w:tr w:rsidR="001F05A4" w:rsidTr="001F05A4">
        <w:tc>
          <w:tcPr>
            <w:tcW w:w="4621" w:type="dxa"/>
          </w:tcPr>
          <w:p w:rsidR="001F05A4" w:rsidRDefault="001F05A4" w:rsidP="001F05A4">
            <w:pPr>
              <w:numPr>
                <w:ilvl w:val="0"/>
                <w:numId w:val="25"/>
              </w:numPr>
            </w:pPr>
            <w:r>
              <w:t>RPP</w:t>
            </w:r>
          </w:p>
        </w:tc>
        <w:tc>
          <w:tcPr>
            <w:tcW w:w="4621" w:type="dxa"/>
          </w:tcPr>
          <w:p w:rsidR="001F05A4" w:rsidRDefault="001F05A4" w:rsidP="001F05A4">
            <w:pPr>
              <w:numPr>
                <w:ilvl w:val="0"/>
                <w:numId w:val="25"/>
              </w:numPr>
            </w:pPr>
            <w:r>
              <w:t>revenue pricing principles</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SAIDI</w:t>
            </w:r>
          </w:p>
        </w:tc>
        <w:tc>
          <w:tcPr>
            <w:tcW w:w="4621" w:type="dxa"/>
          </w:tcPr>
          <w:p w:rsidR="001F05A4" w:rsidRDefault="001F05A4" w:rsidP="001F05A4">
            <w:pPr>
              <w:numPr>
                <w:ilvl w:val="0"/>
                <w:numId w:val="25"/>
              </w:numPr>
            </w:pPr>
            <w:r>
              <w:t>system average interruption duration index</w:t>
            </w:r>
          </w:p>
        </w:tc>
      </w:tr>
      <w:tr w:rsidR="001F05A4" w:rsidTr="001F05A4">
        <w:tc>
          <w:tcPr>
            <w:tcW w:w="4621" w:type="dxa"/>
          </w:tcPr>
          <w:p w:rsidR="001F05A4" w:rsidRDefault="001F05A4" w:rsidP="001F05A4">
            <w:pPr>
              <w:numPr>
                <w:ilvl w:val="0"/>
                <w:numId w:val="25"/>
              </w:numPr>
            </w:pPr>
            <w:r>
              <w:t>SAIFI</w:t>
            </w:r>
          </w:p>
        </w:tc>
        <w:tc>
          <w:tcPr>
            <w:tcW w:w="4621" w:type="dxa"/>
          </w:tcPr>
          <w:p w:rsidR="001F05A4" w:rsidRDefault="001F05A4" w:rsidP="001F05A4">
            <w:pPr>
              <w:numPr>
                <w:ilvl w:val="0"/>
                <w:numId w:val="25"/>
              </w:numPr>
            </w:pPr>
            <w:r>
              <w:t>system average interruption frequency index</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SLCAPM</w:t>
            </w:r>
          </w:p>
        </w:tc>
        <w:tc>
          <w:tcPr>
            <w:tcW w:w="4621" w:type="dxa"/>
          </w:tcPr>
          <w:p w:rsidR="001F05A4" w:rsidRDefault="001F05A4" w:rsidP="001F05A4">
            <w:pPr>
              <w:numPr>
                <w:ilvl w:val="0"/>
                <w:numId w:val="25"/>
              </w:numPr>
            </w:pPr>
            <w:r>
              <w:t>Sharpe-Lintner capital asset pricing model</w:t>
            </w:r>
          </w:p>
        </w:tc>
      </w:tr>
      <w:tr w:rsidR="001F05A4" w:rsidTr="001F05A4">
        <w:tc>
          <w:tcPr>
            <w:tcW w:w="4621" w:type="dxa"/>
          </w:tcPr>
          <w:p w:rsidR="001F05A4" w:rsidRDefault="001F05A4" w:rsidP="001F05A4">
            <w:pPr>
              <w:numPr>
                <w:ilvl w:val="0"/>
                <w:numId w:val="25"/>
              </w:numPr>
            </w:pPr>
            <w:r>
              <w:t>STPIS</w:t>
            </w:r>
          </w:p>
        </w:tc>
        <w:tc>
          <w:tcPr>
            <w:tcW w:w="4621" w:type="dxa"/>
          </w:tcPr>
          <w:p w:rsidR="001F05A4" w:rsidRDefault="001F05A4" w:rsidP="001F05A4">
            <w:pPr>
              <w:numPr>
                <w:ilvl w:val="0"/>
                <w:numId w:val="25"/>
              </w:numPr>
            </w:pPr>
            <w:r>
              <w:t>service target performance incentive scheme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WACC</w:t>
            </w:r>
          </w:p>
        </w:tc>
        <w:tc>
          <w:tcPr>
            <w:tcW w:w="4621" w:type="dxa"/>
          </w:tcPr>
          <w:p w:rsidR="001F05A4" w:rsidRDefault="001F05A4" w:rsidP="001F05A4">
            <w:pPr>
              <w:numPr>
                <w:ilvl w:val="0"/>
                <w:numId w:val="25"/>
              </w:numPr>
            </w:pPr>
            <w:r>
              <w:t>weighted average cost of capital</w:t>
            </w:r>
          </w:p>
        </w:tc>
      </w:tr>
    </w:tbl>
    <w:p w:rsidR="00DE563D" w:rsidRPr="00436A39" w:rsidRDefault="00DE563D" w:rsidP="00DE563D">
      <w:pPr>
        <w:numPr>
          <w:ilvl w:val="0"/>
          <w:numId w:val="25"/>
        </w:numPr>
      </w:pPr>
    </w:p>
    <w:p w:rsidR="00DE563D" w:rsidRDefault="00DE563D" w:rsidP="00DE563D"/>
    <w:p w:rsidR="00DE563D" w:rsidRDefault="00C04223" w:rsidP="00C04223">
      <w:pPr>
        <w:pStyle w:val="Heading1"/>
      </w:pPr>
      <w:bookmarkStart w:id="10" w:name="_Toc417043250"/>
      <w:r>
        <w:lastRenderedPageBreak/>
        <w:t>Value of imputation credits</w:t>
      </w:r>
      <w:bookmarkEnd w:id="10"/>
    </w:p>
    <w:p w:rsidR="00E356F9" w:rsidRDefault="00E356F9" w:rsidP="00E356F9">
      <w:pPr>
        <w:numPr>
          <w:ilvl w:val="0"/>
          <w:numId w:val="25"/>
        </w:numPr>
      </w:pP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1"/>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w:t>
      </w:r>
      <w:r>
        <w:t xml:space="preserve">valuable to investors and are </w:t>
      </w:r>
      <w:r w:rsidRPr="00A3318E">
        <w:t xml:space="preserve">a benefit to investors in addition to any cash dividend or capital gains </w:t>
      </w:r>
      <w:r>
        <w:t xml:space="preserve">they receive </w:t>
      </w:r>
      <w:r w:rsidRPr="00A3318E">
        <w:t>from owning shares.</w:t>
      </w:r>
    </w:p>
    <w:p w:rsidR="00E356F9" w:rsidRPr="00E356F9" w:rsidRDefault="004569D9" w:rsidP="00A971D2">
      <w:pPr>
        <w:numPr>
          <w:ilvl w:val="0"/>
          <w:numId w:val="25"/>
        </w:numPr>
      </w:pPr>
      <w:r>
        <w:t>The NER/NGR recognise</w:t>
      </w:r>
      <w:r w:rsidR="006479AE">
        <w:t xml:space="preserve"> that a service provider</w:t>
      </w:r>
      <w:r w:rsidR="005828FB">
        <w:t>'s allowed revenue does not</w:t>
      </w:r>
      <w:r w:rsidR="006479AE">
        <w:t xml:space="preserve"> need </w:t>
      </w:r>
      <w:r w:rsidR="005828FB">
        <w:t xml:space="preserve">to include </w:t>
      </w:r>
      <w:r w:rsidR="006479AE">
        <w:t xml:space="preserve">the value of imputation credits. </w:t>
      </w:r>
      <w:r w:rsidR="00B23437">
        <w:t xml:space="preserve">Under the </w:t>
      </w:r>
      <w:r w:rsidR="00AD351F">
        <w:t>NER/NGR</w:t>
      </w:r>
      <w:r w:rsidR="00B23437">
        <w:t xml:space="preserve">, service providers are to </w:t>
      </w:r>
      <w:r w:rsidR="0028481C">
        <w:t>recover</w:t>
      </w:r>
      <w:r w:rsidR="00B23437">
        <w:t xml:space="preserve"> revenue that compensates them for their efficient costs</w:t>
      </w:r>
      <w:r w:rsidR="006479AE">
        <w:t xml:space="preserve"> in providing regulated services. This includes, among other things,</w:t>
      </w:r>
      <w:r w:rsidR="00B23437">
        <w:t xml:space="preserve"> a return </w:t>
      </w:r>
      <w:r w:rsidR="006479AE">
        <w:t>to be provided to investors (return on equity) that is required to promote</w:t>
      </w:r>
      <w:r w:rsidR="00B23437">
        <w:t xml:space="preserve"> </w:t>
      </w:r>
      <w:r w:rsidR="00F50D64">
        <w:t>efficient levels of investment</w:t>
      </w:r>
      <w:r w:rsidR="00B23437">
        <w:t>.</w:t>
      </w:r>
      <w:r w:rsidR="006479AE">
        <w:t xml:space="preserve"> </w:t>
      </w:r>
      <w:r w:rsidR="00F50D64">
        <w:t>The more that imputation credits are valuable, the less return</w:t>
      </w:r>
      <w:r w:rsidR="005E63F7">
        <w:t xml:space="preserve"> that</w:t>
      </w:r>
      <w:r w:rsidR="00F50D64">
        <w:t xml:space="preserve"> investors require from dividends and capital gains. </w:t>
      </w:r>
      <w:r w:rsidR="005E63F7">
        <w:t>However, t</w:t>
      </w:r>
      <w:r w:rsidR="00F50D64">
        <w:t xml:space="preserve">he </w:t>
      </w:r>
      <w:r w:rsidR="006479AE">
        <w:t>estimation of the return on equity does not take imputation credits</w:t>
      </w:r>
      <w:r w:rsidR="005E63F7">
        <w:t xml:space="preserve"> into account</w:t>
      </w:r>
      <w:r w:rsidR="006479AE">
        <w:t>.</w:t>
      </w:r>
      <w:r w:rsidR="008D59B7">
        <w:rPr>
          <w:rStyle w:val="FootnoteReference"/>
        </w:rPr>
        <w:footnoteReference w:id="2"/>
      </w:r>
      <w:r w:rsidR="006479AE">
        <w:t xml:space="preserve"> </w:t>
      </w:r>
      <w:r w:rsidR="005E63F7">
        <w:t>Therefore, an adjustment for the value of imputation credits is required. This adjustment could take the form of a decrease in the estimated return on equity itself. An alternative but equivalent form of adjustment, which is employed by the NER/NGR, is via the revenue granted to a service provider to cover its expected tax liability.</w:t>
      </w:r>
      <w:r w:rsidR="00A971D2">
        <w:t xml:space="preserve"> Specifically, </w:t>
      </w:r>
      <w:r w:rsidR="00E356F9">
        <w:t xml:space="preserve">the </w:t>
      </w:r>
      <w:r>
        <w:t>NER/NGR</w:t>
      </w:r>
      <w:r w:rsidR="00E356F9">
        <w:t xml:space="preserve">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rsidR="00E356F9">
        <w:t>, 'gamma').</w:t>
      </w:r>
      <w:r w:rsidR="00E356F9">
        <w:rPr>
          <w:rStyle w:val="FootnoteReference"/>
        </w:rPr>
        <w:footnoteReference w:id="3"/>
      </w:r>
      <w:r w:rsidR="00E356F9">
        <w:t xml:space="preserve"> </w:t>
      </w:r>
      <w:r w:rsidR="00D66291">
        <w:t xml:space="preserve">This form of adjustment recognises that it is the payment of corporate </w:t>
      </w:r>
      <w:r w:rsidR="00477251">
        <w:t>tax that</w:t>
      </w:r>
      <w:r w:rsidR="00D66291">
        <w:t xml:space="preserve"> is the source of the imputation credit return to investors.</w:t>
      </w:r>
    </w:p>
    <w:p w:rsidR="00E356F9" w:rsidRDefault="00E356F9" w:rsidP="00E356F9">
      <w:pPr>
        <w:numPr>
          <w:ilvl w:val="0"/>
          <w:numId w:val="25"/>
        </w:numPr>
      </w:pPr>
      <w:r>
        <w:t xml:space="preserve">In this attachment, we set out our </w:t>
      </w:r>
      <w:r w:rsidR="00CE2DEA">
        <w:t>final</w:t>
      </w:r>
      <w:r>
        <w:t xml:space="preserve"> decision on the value of imputation credits and our key reasons for this </w:t>
      </w:r>
      <w:r w:rsidR="007661C9">
        <w:t>decision</w:t>
      </w:r>
      <w:r>
        <w:t xml:space="preserve">. We also consider </w:t>
      </w:r>
      <w:r w:rsidR="00B176EB">
        <w:t>Directlink</w:t>
      </w:r>
      <w:r>
        <w:t xml:space="preserve">'s proposed value of imputation credits and the key reasons for its proposal. In appendix A, we include further supporting detail on our position on the value of imputation credits and also respond to </w:t>
      </w:r>
      <w:r w:rsidR="00B176EB">
        <w:t>Directlink</w:t>
      </w:r>
      <w:r>
        <w:t xml:space="preserve">'s proposal in more detail. </w:t>
      </w:r>
    </w:p>
    <w:p w:rsidR="00DE563D" w:rsidRPr="001754EE" w:rsidRDefault="00415F31" w:rsidP="001754EE">
      <w:pPr>
        <w:pStyle w:val="Heading2"/>
      </w:pPr>
      <w:bookmarkStart w:id="11" w:name="_Toc403144136"/>
      <w:bookmarkStart w:id="12" w:name="_Toc417043251"/>
      <w:r w:rsidRPr="001754EE">
        <w:t>Final</w:t>
      </w:r>
      <w:r w:rsidR="00DE563D" w:rsidRPr="001754EE">
        <w:t xml:space="preserve"> decision</w:t>
      </w:r>
      <w:bookmarkEnd w:id="11"/>
      <w:bookmarkEnd w:id="12"/>
    </w:p>
    <w:p w:rsidR="002C233C" w:rsidRDefault="00AA4E4D" w:rsidP="002C233C">
      <w:bookmarkStart w:id="13" w:name="_Toc403144137"/>
      <w:r>
        <w:t xml:space="preserve">We do not accept </w:t>
      </w:r>
      <w:r w:rsidR="00B176EB">
        <w:t>Directlink</w:t>
      </w:r>
      <w:r>
        <w:t>'s proposed value of imputation credits of 0.25. Instead, we adopt a value of imputation credits of 0.4.</w:t>
      </w:r>
    </w:p>
    <w:p w:rsidR="006F0FAC" w:rsidRDefault="006F0FAC" w:rsidP="006F0FAC">
      <w:pPr>
        <w:numPr>
          <w:ilvl w:val="0"/>
          <w:numId w:val="25"/>
        </w:numPr>
      </w:pPr>
      <w:r>
        <w:t>Estimating the value of imputation credits is a complex and imprecise task. There is no consensus among experts on the appropriate value or estimation techniques to use.</w:t>
      </w:r>
      <w:r>
        <w:rPr>
          <w:rStyle w:val="FootnoteReference"/>
        </w:rPr>
        <w:footnoteReference w:id="4"/>
      </w:r>
      <w:r>
        <w:t xml:space="preserve"> Further, with each estimation technique there are often a number of ways these may be </w:t>
      </w:r>
      <w:r>
        <w:lastRenderedPageBreak/>
        <w:t xml:space="preserve">applied resulting in different outcomes. </w:t>
      </w:r>
      <w:r w:rsidR="00477251">
        <w:t>Conceptually, the value of imputation credits must be between zero and one, and the range of expert views on the value of imputation credits is almost this wide.</w:t>
      </w:r>
      <w:r w:rsidR="00477251">
        <w:rPr>
          <w:rStyle w:val="FootnoteReference"/>
        </w:rPr>
        <w:footnoteReference w:id="5"/>
      </w:r>
    </w:p>
    <w:p w:rsidR="006F0FAC" w:rsidRDefault="006F0FAC" w:rsidP="006F0FAC">
      <w:pPr>
        <w:numPr>
          <w:ilvl w:val="0"/>
          <w:numId w:val="25"/>
        </w:numPr>
      </w:pPr>
      <w:r>
        <w:t xml:space="preserve">In coming to a value of imputation credits of 0.4, we have considered the </w:t>
      </w:r>
      <w:r w:rsidR="00A40349">
        <w:t>full range</w:t>
      </w:r>
      <w:r>
        <w:t xml:space="preserve"> of evidence before us with regard to its merits. Specifically, we use the widely accepted approach of estimating the value of imputation credits as the product of two sub-parameters: the 'distribution rate' and the 'utilisation rate'.</w:t>
      </w:r>
      <w:r>
        <w:rPr>
          <w:rStyle w:val="FootnoteReference"/>
        </w:rPr>
        <w:footnoteReference w:id="6"/>
      </w:r>
      <w:r>
        <w:t xml:space="preserve"> Moreover, we have regard to: </w:t>
      </w:r>
    </w:p>
    <w:p w:rsidR="006F0FAC" w:rsidRPr="006F0FAC" w:rsidRDefault="006F0FAC" w:rsidP="006F0FAC">
      <w:pPr>
        <w:pStyle w:val="AERbulletlistfirststyle"/>
      </w:pPr>
      <w:r>
        <w:t>t</w:t>
      </w:r>
      <w:r w:rsidRPr="006F0FAC">
        <w:t>he widely accepted approach to e</w:t>
      </w:r>
      <w:r w:rsidR="00511C9E">
        <w:t>stimating the distribution rate, and</w:t>
      </w:r>
    </w:p>
    <w:p w:rsidR="006F0FAC" w:rsidRPr="006F0FAC" w:rsidRDefault="006F0FAC" w:rsidP="006F0FAC">
      <w:pPr>
        <w:pStyle w:val="AERbulletlistfirststyle"/>
      </w:pPr>
      <w:r>
        <w:t>t</w:t>
      </w:r>
      <w:r w:rsidRPr="006F0FAC">
        <w:t>he range of approaches relevant to estimating the utilisation rate, with due regard to the merit of each approach.</w:t>
      </w:r>
    </w:p>
    <w:p w:rsidR="006F0FAC" w:rsidRDefault="006F0FAC" w:rsidP="006F0FAC">
      <w:pPr>
        <w:numPr>
          <w:ilvl w:val="0"/>
          <w:numId w:val="25"/>
        </w:numPr>
      </w:pPr>
      <w:r>
        <w:t xml:space="preserve">Overall, this evidence suggests that a range of estimates for the value of imputation credits might be reasonable. With regard to the merits of the evidence before us, we choose a value </w:t>
      </w:r>
      <w:r w:rsidR="00D11729">
        <w:t>of</w:t>
      </w:r>
      <w:r>
        <w:t xml:space="preserve"> imputation credits of 0.4 from within a range</w:t>
      </w:r>
      <w:r w:rsidR="00F05353">
        <w:t xml:space="preserve"> of 0.3</w:t>
      </w:r>
      <w:r w:rsidR="00AD45FF">
        <w:t xml:space="preserve"> to 0.5</w:t>
      </w:r>
      <w:r w:rsidR="00674847">
        <w:t>.</w:t>
      </w:r>
    </w:p>
    <w:p w:rsidR="00AA4E4D" w:rsidRDefault="006F0FAC" w:rsidP="006F0FAC">
      <w:r>
        <w:t>In considering the evidence on the distribution and utilisation rates, we have broadly maintained the approach set out in the rate of return guideline (the Guideline), but have re-examined the relevant evidence and estimates. This re-examination, and new evidence and advice considered since the Guideline, led us to depart from the 0.5 value of imputation credits we proposed in the Guideline.</w:t>
      </w:r>
    </w:p>
    <w:p w:rsidR="00DE563D" w:rsidRPr="001754EE" w:rsidRDefault="00B176EB" w:rsidP="001754EE">
      <w:pPr>
        <w:pStyle w:val="Heading2"/>
      </w:pPr>
      <w:bookmarkStart w:id="14" w:name="_Ref414621796"/>
      <w:bookmarkStart w:id="15" w:name="_Toc417043252"/>
      <w:r>
        <w:t>Directlink</w:t>
      </w:r>
      <w:r w:rsidR="00415F31" w:rsidRPr="001754EE">
        <w:t>’s revised</w:t>
      </w:r>
      <w:r w:rsidR="00DE563D" w:rsidRPr="001754EE">
        <w:t xml:space="preserve"> proposal</w:t>
      </w:r>
      <w:bookmarkEnd w:id="13"/>
      <w:bookmarkEnd w:id="14"/>
      <w:bookmarkEnd w:id="15"/>
    </w:p>
    <w:p w:rsidR="006F0FAC" w:rsidRDefault="006F0FAC" w:rsidP="001029F3">
      <w:pPr>
        <w:numPr>
          <w:ilvl w:val="0"/>
          <w:numId w:val="25"/>
        </w:numPr>
      </w:pPr>
      <w:r>
        <w:t xml:space="preserve">In its revised proposal, </w:t>
      </w:r>
      <w:r w:rsidR="00B176EB">
        <w:t>Directlink</w:t>
      </w:r>
      <w:r>
        <w:t xml:space="preserve"> did not </w:t>
      </w:r>
      <w:r w:rsidR="003B0C3D">
        <w:t>adopt</w:t>
      </w:r>
      <w:r>
        <w:t xml:space="preserve"> our draft decision and maintained the position in its initial proposal.</w:t>
      </w:r>
      <w:r w:rsidR="00C903FF">
        <w:rPr>
          <w:rStyle w:val="FootnoteReference"/>
        </w:rPr>
        <w:footnoteReference w:id="7"/>
      </w:r>
      <w:r>
        <w:t xml:space="preserve"> This was </w:t>
      </w:r>
      <w:r w:rsidR="00A35A6E">
        <w:t xml:space="preserve">for </w:t>
      </w:r>
      <w:r>
        <w:t>a value of imputation credits of 0.25, calculated as the product of a distribution rate of 0.7 and a utilisation rate of 0.35.</w:t>
      </w:r>
      <w:r>
        <w:rPr>
          <w:rStyle w:val="FootnoteReference"/>
        </w:rPr>
        <w:footnoteReference w:id="8"/>
      </w:r>
      <w:r>
        <w:t xml:space="preserve"> Its proposed distribution rate of 0.7 was consistent with</w:t>
      </w:r>
      <w:r w:rsidR="008E3B4F">
        <w:t xml:space="preserve"> the value in the Guideline and</w:t>
      </w:r>
      <w:r>
        <w:t xml:space="preserve"> </w:t>
      </w:r>
      <w:r w:rsidR="00A35A6E">
        <w:t>our value in the draft decision when estimated over all companies. However, in the draft decision we also relied in part on a distribution rate estimated over just public companies</w:t>
      </w:r>
      <w:r w:rsidR="00254F30">
        <w:t>,</w:t>
      </w:r>
      <w:r w:rsidR="00DE0079">
        <w:t xml:space="preserve"> of 0.8</w:t>
      </w:r>
      <w:r w:rsidR="00A35A6E">
        <w:t>.</w:t>
      </w:r>
      <w:r>
        <w:t xml:space="preserve"> </w:t>
      </w:r>
      <w:r w:rsidR="00B176EB">
        <w:t>Directlink</w:t>
      </w:r>
      <w:r w:rsidR="00DE0079">
        <w:t>'s</w:t>
      </w:r>
      <w:r>
        <w:t xml:space="preserve"> proposed utilisation rate of 0.35</w:t>
      </w:r>
      <w:r w:rsidR="009E2B76">
        <w:t xml:space="preserve"> was lower than </w:t>
      </w:r>
      <w:r w:rsidR="008E3B4F">
        <w:t xml:space="preserve">the value in the Guideline and </w:t>
      </w:r>
      <w:r w:rsidR="009E2B76">
        <w:t>a number of estimates on which we placed reliance in the draft decision</w:t>
      </w:r>
      <w:r>
        <w:t xml:space="preserve">. </w:t>
      </w:r>
      <w:r w:rsidR="00254F30">
        <w:t>In proposing its estimate of the</w:t>
      </w:r>
      <w:r>
        <w:t xml:space="preserve"> utilisation rate, </w:t>
      </w:r>
      <w:r w:rsidR="00B176EB">
        <w:t>Directlink</w:t>
      </w:r>
      <w:r>
        <w:t xml:space="preserve"> considered that the only source of relevant evidence were studies that seek to infer from market prices the value to investors of distributed imputation credits ('implied market value studies'). Further, </w:t>
      </w:r>
      <w:r w:rsidR="00B176EB">
        <w:t>Directlink</w:t>
      </w:r>
      <w:r>
        <w:t xml:space="preserve"> proposed that the best estimate of the utilisation rate from implied market value studies was 0.35</w:t>
      </w:r>
      <w:r w:rsidR="000A539A">
        <w:t>.</w:t>
      </w:r>
      <w:r w:rsidR="000A539A">
        <w:rPr>
          <w:rStyle w:val="FootnoteReference"/>
        </w:rPr>
        <w:footnoteReference w:id="9"/>
      </w:r>
    </w:p>
    <w:p w:rsidR="002C233C" w:rsidRDefault="00B176EB" w:rsidP="006F0FAC">
      <w:r>
        <w:lastRenderedPageBreak/>
        <w:t>Directlink</w:t>
      </w:r>
      <w:r w:rsidR="006F0FAC">
        <w:t>'s proposed value of imputation credits of 0.25 and supporting reasons were consistent with the proposals we have received from a number of other service providers with current regulatory decisions.</w:t>
      </w:r>
      <w:r w:rsidR="006F0FAC">
        <w:rPr>
          <w:rStyle w:val="FootnoteReference"/>
        </w:rPr>
        <w:footnoteReference w:id="10"/>
      </w:r>
      <w:r w:rsidR="006F0FAC">
        <w:t xml:space="preserve"> </w:t>
      </w:r>
      <w:r w:rsidR="00240132">
        <w:t xml:space="preserve">These service providers maintained in their revised proposals their position in their initial proposals. </w:t>
      </w:r>
      <w:r w:rsidR="006F0FAC">
        <w:t xml:space="preserve">Further, these service </w:t>
      </w:r>
      <w:r w:rsidR="00240132">
        <w:t>providers jointly commissioned two</w:t>
      </w:r>
      <w:r w:rsidR="006F0FAC">
        <w:t xml:space="preserve"> report</w:t>
      </w:r>
      <w:r w:rsidR="00240132">
        <w:t>s from SFG</w:t>
      </w:r>
      <w:r w:rsidR="00D11729">
        <w:t xml:space="preserve"> Consulting (SFG)</w:t>
      </w:r>
      <w:r w:rsidR="00240132">
        <w:t xml:space="preserve"> and relied on the</w:t>
      </w:r>
      <w:r w:rsidR="006F0FAC">
        <w:t>s</w:t>
      </w:r>
      <w:r w:rsidR="00240132">
        <w:t>e</w:t>
      </w:r>
      <w:r w:rsidR="006F0FAC">
        <w:t xml:space="preserve"> report</w:t>
      </w:r>
      <w:r w:rsidR="00240132">
        <w:t>s</w:t>
      </w:r>
      <w:r w:rsidR="006F0FAC">
        <w:t xml:space="preserve"> in their </w:t>
      </w:r>
      <w:r w:rsidR="00240132">
        <w:t xml:space="preserve">initial and revised </w:t>
      </w:r>
      <w:r w:rsidR="006F0FAC">
        <w:t xml:space="preserve">proposals. Accordingly, our analysis of </w:t>
      </w:r>
      <w:r>
        <w:t>Directlink</w:t>
      </w:r>
      <w:r w:rsidR="006F0FAC">
        <w:t xml:space="preserve">'s </w:t>
      </w:r>
      <w:r w:rsidR="00240132">
        <w:t xml:space="preserve">revised </w:t>
      </w:r>
      <w:r w:rsidR="006F0FAC">
        <w:t xml:space="preserve">proposal is also applicable and consistent with our analysis of the </w:t>
      </w:r>
      <w:r w:rsidR="00240132">
        <w:t xml:space="preserve">revised </w:t>
      </w:r>
      <w:r w:rsidR="006F0FAC">
        <w:t>proposals from those other service providers.</w:t>
      </w:r>
    </w:p>
    <w:p w:rsidR="00DE563D" w:rsidRDefault="00DE563D" w:rsidP="001754EE">
      <w:pPr>
        <w:pStyle w:val="Heading2"/>
      </w:pPr>
      <w:bookmarkStart w:id="16" w:name="_Toc403144138"/>
      <w:bookmarkStart w:id="17" w:name="_Toc417043253"/>
      <w:r w:rsidRPr="001754EE">
        <w:t>AER’s</w:t>
      </w:r>
      <w:r>
        <w:t xml:space="preserve"> assessment approach</w:t>
      </w:r>
      <w:bookmarkEnd w:id="16"/>
      <w:bookmarkEnd w:id="17"/>
    </w:p>
    <w:p w:rsidR="00A90D90" w:rsidRDefault="00A90D90" w:rsidP="00A90D90">
      <w:pPr>
        <w:numPr>
          <w:ilvl w:val="0"/>
          <w:numId w:val="25"/>
        </w:numPr>
      </w:pPr>
      <w:r>
        <w:t xml:space="preserve">In this section we set out the approach we have taken to assessing the service providers' revised proposals on the value of imputation credits. This approach </w:t>
      </w:r>
      <w:r w:rsidR="00E24213">
        <w:t>includes</w:t>
      </w:r>
      <w:r>
        <w:t xml:space="preserve"> consideration of:</w:t>
      </w:r>
    </w:p>
    <w:p w:rsidR="00A90D90" w:rsidRPr="00A90D90" w:rsidRDefault="00A90D90" w:rsidP="00A90D90">
      <w:pPr>
        <w:pStyle w:val="AERbulletlistfirststyle"/>
      </w:pPr>
      <w:r>
        <w:t>the re</w:t>
      </w:r>
      <w:r w:rsidRPr="00A90D90">
        <w:t xml:space="preserve">quirements of the </w:t>
      </w:r>
      <w:r w:rsidR="005D59BA">
        <w:t>NEL/NGL and NER/NGR</w:t>
      </w:r>
    </w:p>
    <w:p w:rsidR="00A90D90" w:rsidRPr="00A90D90" w:rsidRDefault="00A90D90" w:rsidP="00A90D90">
      <w:pPr>
        <w:pStyle w:val="AERbulletlistfirststyle"/>
      </w:pPr>
      <w:r>
        <w:t>the Guideline</w:t>
      </w:r>
    </w:p>
    <w:p w:rsidR="00A90D90" w:rsidRDefault="00A90D90" w:rsidP="00A90D90">
      <w:pPr>
        <w:pStyle w:val="AERbulletlistfirststyle"/>
      </w:pPr>
      <w:r>
        <w:t>our definition of the benchmark efficient entity</w:t>
      </w:r>
    </w:p>
    <w:p w:rsidR="00F8556F" w:rsidRPr="00A90D90" w:rsidRDefault="00F8556F" w:rsidP="00A90D90">
      <w:pPr>
        <w:pStyle w:val="AERbulletlistfirststyle"/>
      </w:pPr>
      <w:r>
        <w:t>interrelationships with other aspects of the decision</w:t>
      </w:r>
    </w:p>
    <w:p w:rsidR="00A90D90" w:rsidRPr="00A90D90" w:rsidRDefault="00A90D90" w:rsidP="00A90D90">
      <w:pPr>
        <w:pStyle w:val="AERbulletlistfirststyle"/>
      </w:pPr>
      <w:r>
        <w:t>expert reports</w:t>
      </w:r>
      <w:r w:rsidRPr="00A90D90">
        <w:t>, and</w:t>
      </w:r>
    </w:p>
    <w:p w:rsidR="00A90D90" w:rsidRPr="00A90D90" w:rsidRDefault="00A90D90" w:rsidP="00A90D90">
      <w:pPr>
        <w:pStyle w:val="AERbulletlistfirststyle"/>
      </w:pPr>
      <w:r>
        <w:t>our approach to determining the value of imputation credits.</w:t>
      </w:r>
    </w:p>
    <w:p w:rsidR="00A90D90" w:rsidRPr="00A90D90" w:rsidRDefault="00A90D90" w:rsidP="00A90D90">
      <w:pPr>
        <w:pStyle w:val="Heading3"/>
      </w:pPr>
      <w:bookmarkStart w:id="18" w:name="_Ref400272912"/>
      <w:bookmarkStart w:id="19" w:name="_Ref416802130"/>
      <w:bookmarkStart w:id="20" w:name="_Ref416802459"/>
      <w:r w:rsidRPr="00EA24D2">
        <w:t>Requirements</w:t>
      </w:r>
      <w:r w:rsidRPr="00A90D90">
        <w:t xml:space="preserve"> of the </w:t>
      </w:r>
      <w:bookmarkEnd w:id="18"/>
      <w:r w:rsidR="005D59BA">
        <w:t>NEL/NGL and NER/NGR</w:t>
      </w:r>
      <w:bookmarkEnd w:id="19"/>
      <w:bookmarkEnd w:id="20"/>
    </w:p>
    <w:p w:rsidR="00A90D90" w:rsidRPr="00EA5C1A" w:rsidRDefault="00A90D90" w:rsidP="00A90D90">
      <w:pPr>
        <w:numPr>
          <w:ilvl w:val="0"/>
          <w:numId w:val="25"/>
        </w:numPr>
      </w:pPr>
      <w:r>
        <w:t xml:space="preserve">The </w:t>
      </w:r>
      <w:r w:rsidR="005D59BA">
        <w:t>NER/NGR</w:t>
      </w:r>
      <w:r>
        <w:t xml:space="preserve"> require that t</w:t>
      </w:r>
      <w:r w:rsidRPr="00EA5C1A">
        <w:t xml:space="preserve">he estimated cost of corporate income tax of a </w:t>
      </w:r>
      <w:r>
        <w:t>service provider</w:t>
      </w:r>
      <w:r w:rsidRPr="006D6E12">
        <w:t xml:space="preserve"> for each regulatory year</w:t>
      </w:r>
      <w:r w:rsidRPr="00EA5C1A">
        <w:t xml:space="preserve"> (</w:t>
      </w:r>
      <w:bookmarkStart w:id="21"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21"/>
      <w:r w:rsidRPr="00EA5C1A">
        <w:t>) must be estimated in accordance with the following formula:</w:t>
      </w:r>
      <w:r>
        <w:rPr>
          <w:rStyle w:val="FootnoteReference"/>
        </w:rPr>
        <w:footnoteReference w:id="11"/>
      </w:r>
    </w:p>
    <w:p w:rsidR="00A90D90" w:rsidRPr="00EA5C1A" w:rsidRDefault="00332D56" w:rsidP="00A90D90">
      <w:pPr>
        <w:numPr>
          <w:ilvl w:val="0"/>
          <w:numId w:val="25"/>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A90D90" w:rsidRPr="00EA5C1A" w:rsidRDefault="00A90D90" w:rsidP="00A90D90">
      <w:pPr>
        <w:numPr>
          <w:ilvl w:val="0"/>
          <w:numId w:val="25"/>
        </w:numPr>
      </w:pPr>
      <w:r w:rsidRPr="00EA5C1A">
        <w:t>where:</w:t>
      </w:r>
    </w:p>
    <w:p w:rsidR="00A90D90" w:rsidRPr="00A90D90" w:rsidRDefault="00332D56" w:rsidP="00A90D90">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A90D90" w:rsidRPr="00A90D90">
        <w:t> is an estimate of the taxable income for that regulatory year that would be earned by a benchmark efficient entity as a result of the provision of regulated services if such an entity, rather than the service provider, operated the business of the service provider, such estimate being determined in accordance with the post-tax revenue model.</w:t>
      </w:r>
    </w:p>
    <w:p w:rsidR="00A90D90" w:rsidRPr="00A90D90" w:rsidRDefault="00332D56" w:rsidP="00A90D90">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A90D90" w:rsidRPr="00A90D90">
        <w:t> is the expected statutory income tax rate for that regulatory year as determined by the AER.</w:t>
      </w:r>
    </w:p>
    <w:p w:rsidR="00A90D90" w:rsidRPr="00A90D90" w:rsidRDefault="00A90D90" w:rsidP="00A90D90">
      <w:pPr>
        <w:pStyle w:val="AERbulletlistfirststyle"/>
      </w:pPr>
      <m:oMath>
        <m:r>
          <w:rPr>
            <w:rFonts w:ascii="Cambria Math" w:hAnsi="Cambria Math"/>
          </w:rPr>
          <m:t>γ</m:t>
        </m:r>
      </m:oMath>
      <w:r w:rsidRPr="00A90D90">
        <w:t> is the value of imputation credits.</w:t>
      </w:r>
    </w:p>
    <w:p w:rsidR="00A90D90" w:rsidRDefault="00A90D90" w:rsidP="00A90D90">
      <w:pPr>
        <w:numPr>
          <w:ilvl w:val="0"/>
          <w:numId w:val="25"/>
        </w:numPr>
      </w:pPr>
      <w:r w:rsidRPr="00FA0554">
        <w:lastRenderedPageBreak/>
        <w:t xml:space="preserve">Unlike many other aspects of the </w:t>
      </w:r>
      <w:r w:rsidR="005D59BA">
        <w:t>NER/NGR</w:t>
      </w:r>
      <w:r w:rsidRPr="00FA0554">
        <w:t xml:space="preserve">, there is no specific objective </w:t>
      </w:r>
      <w:r>
        <w:t>we</w:t>
      </w:r>
      <w:r w:rsidRPr="00FA0554">
        <w:t xml:space="preserve"> must achieve </w:t>
      </w:r>
      <w:r>
        <w:t>for the value of imputation credits and no specific factors we</w:t>
      </w:r>
      <w:r w:rsidRPr="00FA0554">
        <w:t xml:space="preserve"> must take into account in estimating </w:t>
      </w:r>
      <w:r>
        <w:t xml:space="preserve">it. </w:t>
      </w:r>
      <w:r w:rsidR="00B61A9F">
        <w:t>T</w:t>
      </w:r>
      <w:r w:rsidRPr="00FA0554">
        <w:t>he rate of return objective does not specifi</w:t>
      </w:r>
      <w:r>
        <w:t>cally apply to the value of imputation credits</w:t>
      </w:r>
      <w:r w:rsidRPr="00FA0554">
        <w:t xml:space="preserve">. However, the rate of return must be determined on a nominal vanilla basis consistent with </w:t>
      </w:r>
      <w:r>
        <w:t>our</w:t>
      </w:r>
      <w:r w:rsidRPr="00FA0554">
        <w:t xml:space="preserve"> value of imputation credits.</w:t>
      </w:r>
      <w:r>
        <w:rPr>
          <w:rStyle w:val="FootnoteReference"/>
        </w:rPr>
        <w:footnoteReference w:id="12"/>
      </w:r>
    </w:p>
    <w:p w:rsidR="008C1870" w:rsidRDefault="00B61A9F" w:rsidP="008C1870">
      <w:pPr>
        <w:numPr>
          <w:ilvl w:val="0"/>
          <w:numId w:val="25"/>
        </w:numPr>
      </w:pPr>
      <w:r>
        <w:t>In this context</w:t>
      </w:r>
      <w:r w:rsidR="008C1870">
        <w:t xml:space="preserve">, </w:t>
      </w:r>
      <w:r w:rsidR="00504808">
        <w:t xml:space="preserve">the conceptual rate of return framework </w:t>
      </w:r>
      <w:r w:rsidR="00D11729">
        <w:t>developed by</w:t>
      </w:r>
      <w:r w:rsidR="00504808">
        <w:t xml:space="preserve"> Officer in a 1994 paper informs our </w:t>
      </w:r>
      <w:r w:rsidR="008C1870">
        <w:t>approach to interpreting and estimating the value of imputation credits.</w:t>
      </w:r>
      <w:r w:rsidR="008C1870">
        <w:rPr>
          <w:rStyle w:val="FootnoteReference"/>
        </w:rPr>
        <w:footnoteReference w:id="13"/>
      </w:r>
      <w:r w:rsidR="008C1870">
        <w:t xml:space="preserve"> This is because:</w:t>
      </w:r>
    </w:p>
    <w:p w:rsidR="008C1870" w:rsidRPr="00A3557D" w:rsidRDefault="008C1870" w:rsidP="008C1870">
      <w:pPr>
        <w:pStyle w:val="AERbulletlistfirststyle"/>
      </w:pPr>
      <w:r>
        <w:t xml:space="preserve">The </w:t>
      </w:r>
      <w:r w:rsidR="00504808">
        <w:t>NER</w:t>
      </w:r>
      <w:r w:rsidR="00D11729">
        <w:t>/NGR</w:t>
      </w:r>
      <w:r w:rsidR="00504808">
        <w:t xml:space="preserve">'s </w:t>
      </w:r>
      <w:r>
        <w:t xml:space="preserve">cost of corporate income tax formula (shown above) mirrors </w:t>
      </w:r>
      <w:r w:rsidR="00504808">
        <w:t xml:space="preserve">Officer's framework for </w:t>
      </w:r>
      <w:r>
        <w:t>the treatment of imputation credits, including through use of the parameter denoted by the Greek letter 'gamma'.</w:t>
      </w:r>
      <w:r w:rsidRPr="00A3557D">
        <w:rPr>
          <w:rStyle w:val="FootnoteReference"/>
        </w:rPr>
        <w:footnoteReference w:id="14"/>
      </w:r>
    </w:p>
    <w:p w:rsidR="00975A16" w:rsidRDefault="00B61A9F" w:rsidP="00713D13">
      <w:pPr>
        <w:pStyle w:val="AERbulletlistfirststyle"/>
      </w:pPr>
      <w:r>
        <w:t>We have received expert advice</w:t>
      </w:r>
      <w:r w:rsidR="008C1870">
        <w:t xml:space="preserve"> that Officer's definition of the nominal vanilla rate of return provides the basis for the rate of return framework in the NER/NGR.</w:t>
      </w:r>
      <w:r w:rsidR="008C1870" w:rsidRPr="00A3557D">
        <w:rPr>
          <w:rStyle w:val="FootnoteReference"/>
        </w:rPr>
        <w:footnoteReference w:id="15"/>
      </w:r>
      <w:r>
        <w:t xml:space="preserve"> </w:t>
      </w:r>
      <w:r w:rsidR="00F34737">
        <w:t>Previous statements by t</w:t>
      </w:r>
      <w:r w:rsidR="00975A16">
        <w:t>he service providers</w:t>
      </w:r>
      <w:r w:rsidR="00F34737">
        <w:t>' consultant, SFG,</w:t>
      </w:r>
      <w:r w:rsidR="00975A16">
        <w:t xml:space="preserve"> and their </w:t>
      </w:r>
      <w:r w:rsidR="00F34737">
        <w:t>industry association appear to support this consideration</w:t>
      </w:r>
      <w:r w:rsidR="00975A16">
        <w:t>:</w:t>
      </w:r>
    </w:p>
    <w:p w:rsidR="00975A16" w:rsidRDefault="00975A16" w:rsidP="007C38AD">
      <w:pPr>
        <w:pStyle w:val="AERbulletlistsecondstyle"/>
      </w:pPr>
      <w:r>
        <w:t>During the AEMC's 2012 rule change process, SFG advised the AEMC that '…</w:t>
      </w:r>
      <w:r w:rsidRPr="00975A16">
        <w:t>there are a number of different WACC formulas that can all be identified as post-tax nominal definitions of WACC. Officer (1994), in the paper that forms the basis for the regulatory rate of return framework, sets out four such definitions</w:t>
      </w:r>
      <w:r>
        <w:t>…'.</w:t>
      </w:r>
      <w:r w:rsidR="00CB622C">
        <w:rPr>
          <w:rStyle w:val="FootnoteReference"/>
        </w:rPr>
        <w:footnoteReference w:id="16"/>
      </w:r>
    </w:p>
    <w:p w:rsidR="00975A16" w:rsidRDefault="00975A16" w:rsidP="007C38AD">
      <w:pPr>
        <w:pStyle w:val="AERbulletlistsecondstyle"/>
      </w:pPr>
      <w:r>
        <w:t>D</w:t>
      </w:r>
      <w:r w:rsidR="00713D13">
        <w:t>uring the development of the Guideline</w:t>
      </w:r>
      <w:r>
        <w:t>,</w:t>
      </w:r>
      <w:r w:rsidR="00713D13">
        <w:t xml:space="preserve"> the Energy Networks Association (ENA) submitted '[t]</w:t>
      </w:r>
      <w:r w:rsidR="00713D13" w:rsidRPr="00713D13">
        <w:t>he fundamental economic framework in relation to dividend imputation was set out by Officer</w:t>
      </w:r>
      <w:r w:rsidR="00713D13">
        <w:t xml:space="preserve"> </w:t>
      </w:r>
      <w:r w:rsidR="00713D13" w:rsidRPr="00713D13">
        <w:t>(1994)</w:t>
      </w:r>
      <w:r w:rsidR="00A221E7">
        <w:t>…</w:t>
      </w:r>
      <w:r w:rsidR="00713D13">
        <w:t>'.</w:t>
      </w:r>
      <w:r w:rsidR="00CB622C">
        <w:rPr>
          <w:rStyle w:val="FootnoteReference"/>
        </w:rPr>
        <w:footnoteReference w:id="17"/>
      </w:r>
      <w:r w:rsidR="00713D13">
        <w:t xml:space="preserve"> </w:t>
      </w:r>
    </w:p>
    <w:p w:rsidR="008A4877" w:rsidRDefault="00BB0325" w:rsidP="007C38AD">
      <w:r>
        <w:t>T</w:t>
      </w:r>
      <w:r w:rsidR="008C1870">
        <w:t xml:space="preserve">he NER/NGR require that we determine the rate of return </w:t>
      </w:r>
      <w:r w:rsidR="008C1870" w:rsidRPr="00A3557D">
        <w:t>on a nominal vanilla basis that is consistent with our estimate of the value of imputation credits.</w:t>
      </w:r>
      <w:r w:rsidR="008C1870" w:rsidRPr="00A3557D">
        <w:rPr>
          <w:rStyle w:val="FootnoteReference"/>
        </w:rPr>
        <w:footnoteReference w:id="18"/>
      </w:r>
      <w:r w:rsidR="007A5DF9">
        <w:t xml:space="preserve"> The Officer framework provides a means for doing </w:t>
      </w:r>
      <w:r w:rsidR="00391221">
        <w:t>this</w:t>
      </w:r>
      <w:r w:rsidR="007A5DF9">
        <w:t>. It provides a consistent framework for determining the rate of return for a business</w:t>
      </w:r>
      <w:r w:rsidR="00E874BD">
        <w:t>,</w:t>
      </w:r>
      <w:r w:rsidR="007A5DF9">
        <w:t xml:space="preserve"> </w:t>
      </w:r>
      <w:r w:rsidR="00E874BD">
        <w:t>which</w:t>
      </w:r>
      <w:r w:rsidR="00CC70EE">
        <w:t xml:space="preserve"> takes into account the value that investors receive from imputation credits.</w:t>
      </w:r>
      <w:r w:rsidR="00CC70EE">
        <w:rPr>
          <w:rStyle w:val="FootnoteReference"/>
        </w:rPr>
        <w:footnoteReference w:id="19"/>
      </w:r>
      <w:r w:rsidR="008006B0">
        <w:t xml:space="preserve"> An important implication of this is that gamma is not a standalone concept or parameter. It is part of a broader framework, and should be interpreted and estimated accordingly.</w:t>
      </w:r>
    </w:p>
    <w:p w:rsidR="00322B99" w:rsidRDefault="00391221" w:rsidP="00A90D90">
      <w:pPr>
        <w:numPr>
          <w:ilvl w:val="0"/>
          <w:numId w:val="25"/>
        </w:numPr>
      </w:pPr>
      <w:r>
        <w:lastRenderedPageBreak/>
        <w:t>Consistent with the expert advice we have received,</w:t>
      </w:r>
      <w:r w:rsidR="00F34737">
        <w:t xml:space="preserve"> we consider that the Officer framework provides the basis for the rate of </w:t>
      </w:r>
      <w:r>
        <w:t>return framework in the NER/NGR</w:t>
      </w:r>
      <w:r w:rsidR="005B011C">
        <w:t>. W</w:t>
      </w:r>
      <w:r w:rsidR="00F34737">
        <w:t xml:space="preserve">e </w:t>
      </w:r>
      <w:r w:rsidR="005B011C">
        <w:t xml:space="preserve">therefore </w:t>
      </w:r>
      <w:r w:rsidR="00F34737">
        <w:t xml:space="preserve">also consider that estimating the value of imputation credits consistently with the Officer framework will best promote the </w:t>
      </w:r>
      <w:r w:rsidR="00C925F8">
        <w:t>NEO/NGO</w:t>
      </w:r>
      <w:r w:rsidR="00F34737">
        <w:t xml:space="preserve"> and </w:t>
      </w:r>
      <w:r w:rsidR="00C925F8">
        <w:t xml:space="preserve">other </w:t>
      </w:r>
      <w:r w:rsidR="00F34737">
        <w:t xml:space="preserve">requirements of the NER/NGR. </w:t>
      </w:r>
    </w:p>
    <w:p w:rsidR="00F34737" w:rsidRDefault="00741647" w:rsidP="00A90D90">
      <w:pPr>
        <w:numPr>
          <w:ilvl w:val="0"/>
          <w:numId w:val="25"/>
        </w:numPr>
      </w:pPr>
      <w:r>
        <w:t>To this end, w</w:t>
      </w:r>
      <w:r w:rsidR="00AF1508">
        <w:t>e have</w:t>
      </w:r>
      <w:r>
        <w:t xml:space="preserve"> had</w:t>
      </w:r>
      <w:r w:rsidR="00AF1508">
        <w:t xml:space="preserve"> regard to </w:t>
      </w:r>
      <w:r w:rsidR="00322B99">
        <w:t xml:space="preserve">the </w:t>
      </w:r>
      <w:r w:rsidR="00AF1508">
        <w:t xml:space="preserve">differing expert opinions on the proper interpretation of </w:t>
      </w:r>
      <w:r w:rsidR="00322B99">
        <w:t xml:space="preserve">the </w:t>
      </w:r>
      <w:r w:rsidR="00AF1508">
        <w:t xml:space="preserve">gamma </w:t>
      </w:r>
      <w:r w:rsidR="00322B99">
        <w:t xml:space="preserve">parameter </w:t>
      </w:r>
      <w:r w:rsidR="00AF1508">
        <w:t xml:space="preserve">in the Officer framework. </w:t>
      </w:r>
      <w:r w:rsidR="00322B99">
        <w:t xml:space="preserve">As discussed in section </w:t>
      </w:r>
      <w:r w:rsidR="00322B99">
        <w:fldChar w:fldCharType="begin"/>
      </w:r>
      <w:r w:rsidR="00322B99">
        <w:instrText xml:space="preserve"> REF _Ref414028398 \r \h </w:instrText>
      </w:r>
      <w:r w:rsidR="00322B99">
        <w:fldChar w:fldCharType="separate"/>
      </w:r>
      <w:r w:rsidR="003F0AA6">
        <w:t>A.7.3</w:t>
      </w:r>
      <w:r w:rsidR="00322B99">
        <w:fldChar w:fldCharType="end"/>
      </w:r>
      <w:r w:rsidR="00322B99">
        <w:t xml:space="preserve"> of appendix A, we accept </w:t>
      </w:r>
      <w:r w:rsidR="0028481C">
        <w:t>Handley's expert advice</w:t>
      </w:r>
      <w:r w:rsidR="00322B99">
        <w:t xml:space="preserve"> </w:t>
      </w:r>
      <w:r w:rsidR="007C38AD">
        <w:t xml:space="preserve">on the Officer framework. </w:t>
      </w:r>
      <w:r w:rsidR="00322B99">
        <w:t xml:space="preserve">An important aspect of </w:t>
      </w:r>
      <w:r w:rsidR="007C38AD">
        <w:t>this</w:t>
      </w:r>
      <w:r w:rsidR="00322B99">
        <w:t xml:space="preserve"> advice is that the framework is on a 'before-personal-tax and before-personal-costs' basis</w:t>
      </w:r>
      <w:r w:rsidR="000E0997">
        <w:t>.</w:t>
      </w:r>
      <w:r w:rsidR="00976FE8">
        <w:rPr>
          <w:rStyle w:val="FootnoteReference"/>
        </w:rPr>
        <w:footnoteReference w:id="20"/>
      </w:r>
      <w:r w:rsidR="000E0997">
        <w:t xml:space="preserve"> That is, 'the per dollar value of an imputation credit </w:t>
      </w:r>
      <m:oMath>
        <m:r>
          <w:rPr>
            <w:rFonts w:ascii="Cambria Math" w:hAnsi="Cambria Math"/>
          </w:rPr>
          <m:t>γ</m:t>
        </m:r>
      </m:oMath>
      <w:r w:rsidR="000E0997">
        <w:t xml:space="preserve"> gamma should be measured prior to any personal tax on the credit and prior to any personal costs associated with the receipt of the credit'.</w:t>
      </w:r>
      <w:r w:rsidR="000E0997">
        <w:rPr>
          <w:rStyle w:val="FootnoteReference"/>
        </w:rPr>
        <w:footnoteReference w:id="21"/>
      </w:r>
    </w:p>
    <w:p w:rsidR="00112FED" w:rsidRDefault="00A35C46" w:rsidP="00A90D90">
      <w:pPr>
        <w:numPr>
          <w:ilvl w:val="0"/>
          <w:numId w:val="25"/>
        </w:numPr>
      </w:pPr>
      <w:r>
        <w:t>By determining a value of imputation credits in a manner consistent with the Officer framework, w</w:t>
      </w:r>
      <w:r w:rsidR="00A90D90">
        <w:t xml:space="preserve">e </w:t>
      </w:r>
      <w:r>
        <w:t xml:space="preserve">consider that we are making </w:t>
      </w:r>
      <w:r w:rsidR="00A90D90">
        <w:t xml:space="preserve">our decision in a manner that will or is likely to contribute to the achievement of the </w:t>
      </w:r>
      <w:r w:rsidR="005D59BA">
        <w:t>NEO/NGO</w:t>
      </w:r>
      <w:r w:rsidR="00A90D90">
        <w:t>.</w:t>
      </w:r>
      <w:r w:rsidR="00A90D90">
        <w:rPr>
          <w:rStyle w:val="FootnoteReference"/>
        </w:rPr>
        <w:footnoteReference w:id="22"/>
      </w:r>
      <w:r w:rsidR="00A90D90">
        <w:t xml:space="preserve"> Further, when exercising a discretion in making the relevant parts of a decision, we must take into account the </w:t>
      </w:r>
      <w:r w:rsidR="00566FF4">
        <w:t>RPP</w:t>
      </w:r>
      <w:r w:rsidR="00A90D90">
        <w:t>.</w:t>
      </w:r>
      <w:r w:rsidR="00A90D90">
        <w:rPr>
          <w:rStyle w:val="FootnoteReference"/>
        </w:rPr>
        <w:footnoteReference w:id="23"/>
      </w:r>
      <w:r w:rsidR="00A90D90">
        <w:t xml:space="preserve"> The </w:t>
      </w:r>
      <w:r w:rsidR="00566FF4">
        <w:t>RPP</w:t>
      </w:r>
      <w:r w:rsidR="00A90D90">
        <w:t xml:space="preserve"> provide, amongst other things, that</w:t>
      </w:r>
      <w:r w:rsidR="00112FED">
        <w:t>:</w:t>
      </w:r>
      <w:r w:rsidR="00112FED">
        <w:rPr>
          <w:rStyle w:val="FootnoteReference"/>
        </w:rPr>
        <w:footnoteReference w:id="24"/>
      </w:r>
    </w:p>
    <w:p w:rsidR="00112FED" w:rsidRDefault="00A90D90" w:rsidP="00112FED">
      <w:pPr>
        <w:pStyle w:val="AERbulletlistfirststyle"/>
      </w:pPr>
      <w:r>
        <w:t>a service provider should be provided with a reasonable opportunity to recover at least the efficient costs the operator incurs providing regulated services and comply</w:t>
      </w:r>
      <w:r w:rsidR="00F8556F">
        <w:t>ing with regulatory obligations</w:t>
      </w:r>
    </w:p>
    <w:p w:rsidR="00112FED" w:rsidRDefault="00112FED" w:rsidP="00112FED">
      <w:pPr>
        <w:pStyle w:val="AERbulletlistfirststyle"/>
      </w:pPr>
      <w:r>
        <w:t>a</w:t>
      </w:r>
      <w:r w:rsidRPr="00112FED">
        <w:t xml:space="preserve"> service provider should be provided with effective incentives in order to promote economic efficiency with respect to </w:t>
      </w:r>
      <w:r>
        <w:t>the regulated services</w:t>
      </w:r>
      <w:r w:rsidRPr="00112FED">
        <w:t xml:space="preserve"> </w:t>
      </w:r>
      <w:r>
        <w:t>it provides, and</w:t>
      </w:r>
      <w:r w:rsidR="00A90D90">
        <w:t xml:space="preserve"> </w:t>
      </w:r>
    </w:p>
    <w:p w:rsidR="00112FED" w:rsidRDefault="00A90D90" w:rsidP="00112FED">
      <w:pPr>
        <w:pStyle w:val="AERbulletlistfirststyle"/>
      </w:pPr>
      <w:r>
        <w:t xml:space="preserve">a price, charge or tariff for the provision of a regulated service should allow for a return commensurate with the regulatory and commercial risks involved in providing the regulated service. </w:t>
      </w:r>
    </w:p>
    <w:p w:rsidR="00A90D90" w:rsidRDefault="00A90D90" w:rsidP="00A90D90">
      <w:pPr>
        <w:numPr>
          <w:ilvl w:val="0"/>
          <w:numId w:val="25"/>
        </w:numPr>
      </w:pPr>
      <w:r>
        <w:t xml:space="preserve">Therefore, the value of imputation credits we adopt must ultimately promote the achievement of the </w:t>
      </w:r>
      <w:r w:rsidR="005D59BA">
        <w:t>NEO/NGO</w:t>
      </w:r>
      <w:r>
        <w:t xml:space="preserve"> (via its application in the estimated cost of corporate income tax building block) and must take into account the </w:t>
      </w:r>
      <w:r w:rsidR="00566FF4">
        <w:t>RPP</w:t>
      </w:r>
      <w:r>
        <w:t xml:space="preserve">. </w:t>
      </w:r>
    </w:p>
    <w:p w:rsidR="00A90D90" w:rsidRDefault="00A90D90" w:rsidP="00A90D90">
      <w:pPr>
        <w:numPr>
          <w:ilvl w:val="0"/>
          <w:numId w:val="25"/>
        </w:numPr>
      </w:pPr>
      <w:r>
        <w:t xml:space="preserve">With reference to the language of </w:t>
      </w:r>
      <w:r w:rsidR="00566FF4">
        <w:t>the RPP</w:t>
      </w:r>
      <w:r>
        <w:t>, this requires the exercise of our discretion in determining a tax building block (including the exercise of our discretion in determining the adjustment for the value of imputation credits) that is:</w:t>
      </w:r>
    </w:p>
    <w:p w:rsidR="00A90D90" w:rsidRPr="00A90D90" w:rsidRDefault="00A90D90" w:rsidP="00A90D90">
      <w:pPr>
        <w:pStyle w:val="AERbulletlistfirststyle"/>
      </w:pPr>
      <w:r>
        <w:t xml:space="preserve">not too </w:t>
      </w:r>
      <w:r w:rsidRPr="00A90D90">
        <w:t>low, in that it contributes to providing a reasonable opportunity to recover at least efficient corporate tax costs, and</w:t>
      </w:r>
    </w:p>
    <w:p w:rsidR="00A90D90" w:rsidRPr="00A90D90" w:rsidRDefault="00A90D90" w:rsidP="00A90D90">
      <w:pPr>
        <w:pStyle w:val="AERbulletlistfirststyle"/>
      </w:pPr>
      <w:r>
        <w:lastRenderedPageBreak/>
        <w:t xml:space="preserve">not too </w:t>
      </w:r>
      <w:r w:rsidRPr="00A90D90">
        <w:t>high, in that it contributes to a return that is not excessive and is commensurate with the relevant risks.</w:t>
      </w:r>
    </w:p>
    <w:p w:rsidR="00A90D90" w:rsidRDefault="00A90D90" w:rsidP="008A4877">
      <w:pPr>
        <w:numPr>
          <w:ilvl w:val="0"/>
          <w:numId w:val="25"/>
        </w:numPr>
      </w:pPr>
      <w:r>
        <w:t>We consider that finding the right balance is best served by havin</w:t>
      </w:r>
      <w:r w:rsidR="00B56F09">
        <w:t>g regard to the merits of the full</w:t>
      </w:r>
      <w:r>
        <w:t xml:space="preserve"> range of relevant evidence. We explain our consideration of, and reliance upon, the range of relevant evidence in this attachment. We have determined a value of imputation credits that </w:t>
      </w:r>
      <w:r w:rsidR="003A55DC">
        <w:t xml:space="preserve">we are satisfied </w:t>
      </w:r>
      <w:r>
        <w:t>achieves a balance between the opportunity for service providers to recover at least efficient costs but that is commensurate with relevant risks.</w:t>
      </w:r>
    </w:p>
    <w:p w:rsidR="00A90D90" w:rsidRPr="00A90D90" w:rsidRDefault="00A90D90" w:rsidP="00A90D90">
      <w:pPr>
        <w:pStyle w:val="Heading3"/>
      </w:pPr>
      <w:bookmarkStart w:id="22" w:name="_Ref401234016"/>
      <w:r>
        <w:t>Rate of return guideline</w:t>
      </w:r>
      <w:bookmarkEnd w:id="22"/>
    </w:p>
    <w:p w:rsidR="00A90D90" w:rsidRDefault="00A90D90" w:rsidP="00A90D90">
      <w:pPr>
        <w:numPr>
          <w:ilvl w:val="0"/>
          <w:numId w:val="25"/>
        </w:numPr>
      </w:pPr>
      <w:r>
        <w:t>In December 2013, we published the Guideline which is available on our website.</w:t>
      </w:r>
      <w:r>
        <w:rPr>
          <w:rStyle w:val="FootnoteReference"/>
        </w:rPr>
        <w:footnoteReference w:id="25"/>
      </w:r>
      <w:r>
        <w:t xml:space="preserve"> Within it we </w:t>
      </w:r>
      <w:r w:rsidRPr="007968DE">
        <w:t>specif</w:t>
      </w:r>
      <w:r>
        <w:t>ied</w:t>
      </w:r>
      <w:r w:rsidRPr="007968DE">
        <w:t>:</w:t>
      </w:r>
      <w:r w:rsidRPr="000709A4">
        <w:rPr>
          <w:rStyle w:val="FootnoteReference"/>
        </w:rPr>
        <w:footnoteReference w:id="26"/>
      </w:r>
    </w:p>
    <w:p w:rsidR="00A90D90" w:rsidRPr="00A90D90" w:rsidRDefault="00A90D90" w:rsidP="00A90D90">
      <w:pPr>
        <w:pStyle w:val="AERbulletlistfirststyle"/>
      </w:pPr>
      <w:r w:rsidRPr="000709A4">
        <w:t>The method</w:t>
      </w:r>
      <w:r w:rsidRPr="00A90D90">
        <w:t>ologies we propose to use to estimate the allowed rate of return (derived from the expected return on equity and the return on debt) for electricity and gas network service providers.</w:t>
      </w:r>
    </w:p>
    <w:p w:rsidR="00A90D90" w:rsidRPr="00A90D90" w:rsidRDefault="00A90D90" w:rsidP="00A90D90">
      <w:pPr>
        <w:pStyle w:val="AERbulletlistfirststyle"/>
      </w:pPr>
      <w:r w:rsidRPr="000709A4">
        <w:t>The method we propose to use to estimate the value of imputation credits.</w:t>
      </w:r>
    </w:p>
    <w:p w:rsidR="00A90D90" w:rsidRPr="00A90D90" w:rsidRDefault="00A90D90" w:rsidP="00A90D90">
      <w:pPr>
        <w:pStyle w:val="AERbulletlistfirststyle"/>
      </w:pPr>
      <w:r w:rsidRPr="000709A4">
        <w:t xml:space="preserve">How these methods will result in an allowed return on </w:t>
      </w:r>
      <w:r w:rsidRPr="00A90D90">
        <w:t>equity and return on debt which we are satisfied achieve the allowed rate of return objective.</w:t>
      </w:r>
    </w:p>
    <w:p w:rsidR="00A90D90" w:rsidRDefault="00A90D90" w:rsidP="00A90D90">
      <w:pPr>
        <w:numPr>
          <w:ilvl w:val="0"/>
          <w:numId w:val="25"/>
        </w:numPr>
      </w:pPr>
      <w:r>
        <w:t>I</w:t>
      </w:r>
      <w:r w:rsidRPr="000709A4">
        <w:t xml:space="preserve">n the </w:t>
      </w:r>
      <w:r>
        <w:t>Guideline we</w:t>
      </w:r>
      <w:r w:rsidRPr="000709A4">
        <w:t xml:space="preserve"> also set out the estimation methods, financial models, market data and other evidence that we propose to take into account in estimating the expected return on equity, return on debt and the value of imputation credits.</w:t>
      </w:r>
      <w:r w:rsidRPr="000709A4">
        <w:rPr>
          <w:rStyle w:val="FootnoteReference"/>
        </w:rPr>
        <w:footnoteReference w:id="27"/>
      </w:r>
      <w:r>
        <w:t xml:space="preserve"> We discuss in detail in attachment 3 on the rate of return our development of the Guideline.  </w:t>
      </w:r>
    </w:p>
    <w:p w:rsidR="00A90D90" w:rsidRDefault="00A90D90" w:rsidP="00A90D90">
      <w:pPr>
        <w:numPr>
          <w:ilvl w:val="0"/>
          <w:numId w:val="25"/>
        </w:numPr>
      </w:pPr>
      <w:r>
        <w:t xml:space="preserve">The Guideline </w:t>
      </w:r>
      <w:r w:rsidRPr="00696EC1">
        <w:t xml:space="preserve">is not binding in determining the </w:t>
      </w:r>
      <w:r>
        <w:t>value of imputation credits.</w:t>
      </w:r>
      <w:r w:rsidRPr="00696EC1">
        <w:t xml:space="preserve"> However, should we decide to depart from the </w:t>
      </w:r>
      <w:r>
        <w:t>Guideline</w:t>
      </w:r>
      <w:r w:rsidRPr="00696EC1">
        <w:t xml:space="preserve"> we </w:t>
      </w:r>
      <w:r>
        <w:t>must</w:t>
      </w:r>
      <w:r w:rsidRPr="00696EC1">
        <w:t xml:space="preserve"> provide reasons for doing so.</w:t>
      </w:r>
      <w:r>
        <w:rPr>
          <w:rStyle w:val="FootnoteReference"/>
        </w:rPr>
        <w:footnoteReference w:id="28"/>
      </w:r>
      <w:r w:rsidRPr="00696EC1">
        <w:t xml:space="preserve"> Equally, it is open to </w:t>
      </w:r>
      <w:r>
        <w:t>service providers</w:t>
      </w:r>
      <w:r w:rsidRPr="00696EC1">
        <w:t xml:space="preserve"> to </w:t>
      </w:r>
      <w:r>
        <w:t>propose departures f</w:t>
      </w:r>
      <w:r w:rsidRPr="00696EC1">
        <w:t xml:space="preserve">rom the </w:t>
      </w:r>
      <w:r>
        <w:t>Guideline,</w:t>
      </w:r>
      <w:r w:rsidRPr="00696EC1">
        <w:t xml:space="preserve"> </w:t>
      </w:r>
      <w:r>
        <w:t>so long as</w:t>
      </w:r>
      <w:r w:rsidRPr="00696EC1">
        <w:t xml:space="preserve"> they provide reasons.</w:t>
      </w:r>
      <w:r>
        <w:rPr>
          <w:rStyle w:val="FootnoteReference"/>
        </w:rPr>
        <w:footnoteReference w:id="29"/>
      </w:r>
      <w:r>
        <w:t xml:space="preserve"> We have identified in section</w:t>
      </w:r>
      <w:r w:rsidR="008E3B4F">
        <w:t xml:space="preserve"> </w:t>
      </w:r>
      <w:r w:rsidR="008E3B4F">
        <w:fldChar w:fldCharType="begin"/>
      </w:r>
      <w:r w:rsidR="008E3B4F">
        <w:instrText xml:space="preserve"> REF _Ref414621796 \r \h </w:instrText>
      </w:r>
      <w:r w:rsidR="008E3B4F">
        <w:fldChar w:fldCharType="separate"/>
      </w:r>
      <w:r w:rsidR="003F0AA6">
        <w:t>4.2</w:t>
      </w:r>
      <w:r w:rsidR="008E3B4F">
        <w:fldChar w:fldCharType="end"/>
      </w:r>
      <w:r>
        <w:t xml:space="preserve"> where </w:t>
      </w:r>
      <w:r w:rsidR="008E3B4F">
        <w:t xml:space="preserve">revised </w:t>
      </w:r>
      <w:r>
        <w:t xml:space="preserve">proposals have departed from the Guideline. We identify in section </w:t>
      </w:r>
      <w:r w:rsidR="008E3B4F">
        <w:fldChar w:fldCharType="begin"/>
      </w:r>
      <w:r w:rsidR="008E3B4F">
        <w:instrText xml:space="preserve"> REF _Ref414621836 \r \h </w:instrText>
      </w:r>
      <w:r w:rsidR="008E3B4F">
        <w:fldChar w:fldCharType="separate"/>
      </w:r>
      <w:r w:rsidR="003F0AA6">
        <w:t>4.4</w:t>
      </w:r>
      <w:r w:rsidR="008E3B4F">
        <w:fldChar w:fldCharType="end"/>
      </w:r>
      <w:r w:rsidR="008E3B4F">
        <w:t xml:space="preserve"> </w:t>
      </w:r>
      <w:r>
        <w:t>the departures we have made from the Guideline position on the value of imputation credits.</w:t>
      </w:r>
    </w:p>
    <w:p w:rsidR="00A90D90" w:rsidRPr="00A90D90" w:rsidRDefault="00A90D90" w:rsidP="00A90D90">
      <w:pPr>
        <w:pStyle w:val="Heading3"/>
      </w:pPr>
      <w:bookmarkStart w:id="23" w:name="_Ref404065332"/>
      <w:r>
        <w:t>Definition of benchmark efficient</w:t>
      </w:r>
      <w:r w:rsidRPr="00A90D90">
        <w:t xml:space="preserve"> entity</w:t>
      </w:r>
      <w:bookmarkEnd w:id="23"/>
    </w:p>
    <w:p w:rsidR="00A90D90" w:rsidRPr="003E6517" w:rsidRDefault="00A90D90" w:rsidP="00A90D90">
      <w:pPr>
        <w:numPr>
          <w:ilvl w:val="0"/>
          <w:numId w:val="25"/>
        </w:numPr>
      </w:pPr>
      <w:r>
        <w:t xml:space="preserve">As shown in section </w:t>
      </w:r>
      <w:r>
        <w:fldChar w:fldCharType="begin"/>
      </w:r>
      <w:r>
        <w:instrText xml:space="preserve"> REF _Ref400272912 \r \h </w:instrText>
      </w:r>
      <w:r>
        <w:fldChar w:fldCharType="separate"/>
      </w:r>
      <w:r w:rsidR="003F0AA6">
        <w:t>4.3.1</w:t>
      </w:r>
      <w:r>
        <w:fldChar w:fldCharType="end"/>
      </w:r>
      <w:r>
        <w:t xml:space="preserve">, the </w:t>
      </w:r>
      <w:r w:rsidR="004569D9">
        <w:t>NER/NGR</w:t>
      </w:r>
      <w:r>
        <w:t xml:space="preserve"> </w:t>
      </w:r>
      <w:proofErr w:type="gramStart"/>
      <w:r>
        <w:t>refer</w:t>
      </w:r>
      <w:proofErr w:type="gramEnd"/>
      <w:r>
        <w:t xml:space="preserve"> to a 'benchmark efficient entity'. For the benchmark efficient entity, we have adopted:</w:t>
      </w:r>
    </w:p>
    <w:p w:rsidR="00A90D90" w:rsidRPr="00A90D90" w:rsidRDefault="00A90D90" w:rsidP="00A90D90">
      <w:pPr>
        <w:pStyle w:val="AERbulletlistfirststyle"/>
      </w:pPr>
      <w:r>
        <w:t>a s</w:t>
      </w:r>
      <w:r w:rsidRPr="00A90D90">
        <w:t>ingle benchmark across gas, electricity, transmission and distribution, and</w:t>
      </w:r>
    </w:p>
    <w:p w:rsidR="00A90D90" w:rsidRPr="00A90D90" w:rsidRDefault="00A90D90" w:rsidP="00A90D90">
      <w:pPr>
        <w:pStyle w:val="AERbulletlistfirststyle"/>
      </w:pPr>
      <w:r>
        <w:lastRenderedPageBreak/>
        <w:t xml:space="preserve">a </w:t>
      </w:r>
      <w:r w:rsidRPr="00A90D90">
        <w:t xml:space="preserve">conceptual definition of the benchmark efficient entity as 'a </w:t>
      </w:r>
      <w:r w:rsidR="0021566A">
        <w:t>'</w:t>
      </w:r>
      <w:r w:rsidRPr="00A90D90">
        <w:t>pure play</w:t>
      </w:r>
      <w:r w:rsidR="0021566A">
        <w:t>'</w:t>
      </w:r>
      <w:r w:rsidRPr="00A90D90">
        <w:t>, regulated energy network business operating within Australia'.</w:t>
      </w:r>
      <w:r w:rsidRPr="00A90D90">
        <w:rPr>
          <w:rStyle w:val="FootnoteReference"/>
        </w:rPr>
        <w:footnoteReference w:id="30"/>
      </w:r>
    </w:p>
    <w:p w:rsidR="00A90D90" w:rsidRPr="0046739D" w:rsidRDefault="00A90D90" w:rsidP="00A90D90">
      <w:pPr>
        <w:numPr>
          <w:ilvl w:val="0"/>
          <w:numId w:val="25"/>
        </w:numPr>
      </w:pPr>
      <w:r>
        <w:t xml:space="preserve">Our benchmark efficient entity includes the following sub-components as defined below. </w:t>
      </w:r>
    </w:p>
    <w:p w:rsidR="00A90D90" w:rsidRPr="008E0B16" w:rsidRDefault="00A90D90" w:rsidP="00A90D90">
      <w:pPr>
        <w:pStyle w:val="HeadingBoldBlue"/>
        <w:numPr>
          <w:ilvl w:val="0"/>
          <w:numId w:val="25"/>
        </w:numPr>
        <w:rPr>
          <w:rStyle w:val="Strong"/>
        </w:rPr>
      </w:pPr>
      <w:r>
        <w:t>Pure play</w:t>
      </w:r>
    </w:p>
    <w:p w:rsidR="00A90D90" w:rsidRPr="00440CEC" w:rsidRDefault="00A90D90" w:rsidP="00A90D90">
      <w:pPr>
        <w:numPr>
          <w:ilvl w:val="0"/>
          <w:numId w:val="25"/>
        </w:numPr>
      </w:pPr>
      <w:r w:rsidRPr="00440CEC">
        <w:t>A pure play business is one which offers services focused in one industry or product area. In this context, it means that the benchmark efficient entity provides only regulated energy network services.</w:t>
      </w:r>
    </w:p>
    <w:p w:rsidR="00A90D90" w:rsidRDefault="00A90D90" w:rsidP="00A90D90">
      <w:pPr>
        <w:pStyle w:val="HeadingBoldBlue"/>
        <w:numPr>
          <w:ilvl w:val="0"/>
          <w:numId w:val="25"/>
        </w:numPr>
      </w:pPr>
      <w:r>
        <w:t>Regulated</w:t>
      </w:r>
    </w:p>
    <w:p w:rsidR="00A90D90" w:rsidRPr="00637A60" w:rsidRDefault="00A90D90" w:rsidP="00A90D90">
      <w:pPr>
        <w:numPr>
          <w:ilvl w:val="0"/>
          <w:numId w:val="25"/>
        </w:numPr>
      </w:pPr>
      <w:r w:rsidRPr="00440CEC">
        <w:t>A regulated entity for the purposes of our benchmark is one which is subject to economic regulation (</w:t>
      </w:r>
      <w:r w:rsidR="00D25EE1">
        <w:t>for example, its revenue is controlled by a revenue cap or price cap</w:t>
      </w:r>
      <w:r w:rsidRPr="00440CEC">
        <w:t xml:space="preserve">) under the </w:t>
      </w:r>
      <w:r w:rsidR="00F36FE9">
        <w:t>NER</w:t>
      </w:r>
      <w:r w:rsidRPr="00440CEC">
        <w:t xml:space="preserve"> and/or the </w:t>
      </w:r>
      <w:r w:rsidR="00F36FE9">
        <w:t>NGR</w:t>
      </w:r>
      <w:r w:rsidRPr="00440CEC">
        <w:t>.</w:t>
      </w:r>
    </w:p>
    <w:p w:rsidR="00A90D90" w:rsidRDefault="00A90D90" w:rsidP="00A90D90">
      <w:pPr>
        <w:pStyle w:val="HeadingBoldBlue"/>
        <w:numPr>
          <w:ilvl w:val="0"/>
          <w:numId w:val="25"/>
        </w:numPr>
      </w:pPr>
      <w:r>
        <w:t>Energy network business</w:t>
      </w:r>
    </w:p>
    <w:p w:rsidR="00A90D90" w:rsidRPr="00637A60" w:rsidRDefault="00A90D90" w:rsidP="00A90D90">
      <w:pPr>
        <w:numPr>
          <w:ilvl w:val="0"/>
          <w:numId w:val="25"/>
        </w:numPr>
      </w:pPr>
      <w:r w:rsidRPr="00440CEC">
        <w:t>Energy network refers to a gas distribution, gas transmission, electricity distribution or electricity transmission business.</w:t>
      </w:r>
    </w:p>
    <w:p w:rsidR="00A90D90" w:rsidRDefault="00A90D90" w:rsidP="00A90D90">
      <w:pPr>
        <w:pStyle w:val="HeadingBoldBlue"/>
        <w:numPr>
          <w:ilvl w:val="0"/>
          <w:numId w:val="25"/>
        </w:numPr>
      </w:pPr>
      <w:r>
        <w:t>Operating within Australia</w:t>
      </w:r>
    </w:p>
    <w:p w:rsidR="00A90D90" w:rsidRDefault="00A90D90" w:rsidP="00A90D90">
      <w:pPr>
        <w:numPr>
          <w:ilvl w:val="0"/>
          <w:numId w:val="25"/>
        </w:numPr>
      </w:pPr>
      <w:r>
        <w:t>T</w:t>
      </w:r>
      <w:r w:rsidRPr="00637A60">
        <w:t>he benchmark efficient entity should be operating within Australia as the location of a business determines the conditions unde</w:t>
      </w:r>
      <w:r>
        <w:t xml:space="preserve">r which the business operates. </w:t>
      </w:r>
      <w:r w:rsidRPr="00EB2FFB">
        <w:t>This includes the regulat</w:t>
      </w:r>
      <w:r>
        <w:t xml:space="preserve">ory regime, </w:t>
      </w:r>
      <w:r w:rsidRPr="00EB2FFB">
        <w:t>tax laws, industry structure and broader economic environment.</w:t>
      </w:r>
      <w:r>
        <w:t xml:space="preserve"> An additional consideration that is particularly relevant to the value of imputation credits is that we recognise that both domestic and foreign investors participate in the Australian market. That is, we consider that the defined market is an Australian domestic market that recognises the presence of foreign investors to the extent that they invest in the Australian market. This is important for determining a value of imputation credits because typically domestic investors are eligible to utilise imputation credits while foreign investors are not. </w:t>
      </w:r>
    </w:p>
    <w:p w:rsidR="009E59CE" w:rsidRDefault="009E59CE" w:rsidP="00A90D90">
      <w:pPr>
        <w:pStyle w:val="Heading3"/>
      </w:pPr>
      <w:bookmarkStart w:id="24" w:name="_Ref415070818"/>
      <w:r>
        <w:t>Interrelationships</w:t>
      </w:r>
      <w:bookmarkEnd w:id="24"/>
    </w:p>
    <w:p w:rsidR="009E59CE" w:rsidRDefault="00140344" w:rsidP="009E59CE">
      <w:r>
        <w:t>The NER/NGR recognise</w:t>
      </w:r>
      <w:r w:rsidR="00392DDE">
        <w:t xml:space="preserve"> that a service provider</w:t>
      </w:r>
      <w:r w:rsidR="0050152B">
        <w:t>'s allowed revenue does not</w:t>
      </w:r>
      <w:r w:rsidR="00392DDE">
        <w:t xml:space="preserve"> need </w:t>
      </w:r>
      <w:r w:rsidR="0050152B">
        <w:t>to include</w:t>
      </w:r>
      <w:r w:rsidR="00392DDE">
        <w:t xml:space="preserve"> the value of imputation credits. The NER/NGR </w:t>
      </w:r>
      <w:r>
        <w:t>adjust</w:t>
      </w:r>
      <w:r w:rsidR="00392DDE">
        <w:t xml:space="preserve"> for the value of imputation credits via the revenue granted to a service provider to cover its expected tax liability. This form of adjustment recognises that it is the payment of corporate tax which is the source of the imputation credit return to investors.</w:t>
      </w:r>
    </w:p>
    <w:p w:rsidR="00A736D1" w:rsidRDefault="00140344" w:rsidP="009E59CE">
      <w:r>
        <w:t xml:space="preserve">The CCP's view suggests that we should </w:t>
      </w:r>
      <w:r w:rsidR="00A736D1">
        <w:t xml:space="preserve">take </w:t>
      </w:r>
      <w:r>
        <w:t xml:space="preserve">into account the interrelationship with the corporate tax allowance when determining the value of imputation credits. The CCP </w:t>
      </w:r>
      <w:r>
        <w:lastRenderedPageBreak/>
        <w:t>submitted evidence that our benchmark tax allowance was substantially higher than the corporate tax actually paid by service providers.</w:t>
      </w:r>
      <w:r>
        <w:rPr>
          <w:rStyle w:val="FootnoteReference"/>
        </w:rPr>
        <w:footnoteReference w:id="31"/>
      </w:r>
      <w:r w:rsidR="00A736D1">
        <w:t xml:space="preserve"> The CCP then concluded:</w:t>
      </w:r>
      <w:r w:rsidR="00A736D1">
        <w:rPr>
          <w:rStyle w:val="FootnoteReference"/>
        </w:rPr>
        <w:footnoteReference w:id="32"/>
      </w:r>
    </w:p>
    <w:p w:rsidR="00A736D1" w:rsidRDefault="00A736D1" w:rsidP="00A736D1">
      <w:pPr>
        <w:pStyle w:val="AERquote"/>
      </w:pPr>
      <w:r w:rsidRPr="00A736D1">
        <w:t>Regarding gamma, it is difficult for the CCP to support a gamma of 0.5 as being better or worse than 1 or 0 or any number in between, we simply do not know enough about the vagaries of such calculations.  Though the lack of tax paid would suggest a gamma nearer 1 than 0.</w:t>
      </w:r>
    </w:p>
    <w:p w:rsidR="00D37196" w:rsidRDefault="00B40F68" w:rsidP="00A736D1">
      <w:r>
        <w:t>We agree</w:t>
      </w:r>
      <w:r w:rsidR="005D46A7">
        <w:t xml:space="preserve"> with the CCP's suggestion</w:t>
      </w:r>
      <w:r>
        <w:t xml:space="preserve"> that </w:t>
      </w:r>
      <w:r w:rsidR="00486FC1">
        <w:t>it would be</w:t>
      </w:r>
      <w:r>
        <w:t xml:space="preserve"> reasonable </w:t>
      </w:r>
      <w:r w:rsidR="00486FC1">
        <w:t xml:space="preserve">to </w:t>
      </w:r>
      <w:r>
        <w:t>consider</w:t>
      </w:r>
      <w:r w:rsidR="00AF1A4A">
        <w:t xml:space="preserve"> the tax building block as a whole</w:t>
      </w:r>
      <w:r w:rsidR="005D46A7">
        <w:t xml:space="preserve"> when determining the value of imputation credits</w:t>
      </w:r>
      <w:r w:rsidR="00AF1A4A">
        <w:t xml:space="preserve">. </w:t>
      </w:r>
      <w:r w:rsidR="009F4D7E">
        <w:t>Under this approach</w:t>
      </w:r>
      <w:r w:rsidR="00AF1A4A">
        <w:t xml:space="preserve">, a </w:t>
      </w:r>
      <w:r w:rsidR="00CC09CE">
        <w:t xml:space="preserve">tendency toward a </w:t>
      </w:r>
      <w:r w:rsidR="00AF1A4A">
        <w:t xml:space="preserve">higher </w:t>
      </w:r>
      <w:r w:rsidR="009F4D7E">
        <w:t>value of imputation credits</w:t>
      </w:r>
      <w:r w:rsidR="00AF1A4A">
        <w:t xml:space="preserve"> (and therefore greater reduction in the tax building block) </w:t>
      </w:r>
      <w:r w:rsidR="00486FC1">
        <w:t>might be</w:t>
      </w:r>
      <w:r>
        <w:t xml:space="preserve"> reasonable if</w:t>
      </w:r>
      <w:r w:rsidR="009F4D7E">
        <w:t xml:space="preserve"> the benchmark tax allowance is above the efficient cost of tax. However,</w:t>
      </w:r>
      <w:r w:rsidR="00072EB6">
        <w:t xml:space="preserve"> in the Guideline and this final decision </w:t>
      </w:r>
      <w:r>
        <w:t xml:space="preserve">our determination of the value of imputation credits </w:t>
      </w:r>
      <w:r w:rsidR="00072EB6">
        <w:t>is guided by</w:t>
      </w:r>
      <w:r w:rsidR="009F4D7E" w:rsidDel="00AF1A4A">
        <w:t xml:space="preserve"> the relevant theoretical framework and </w:t>
      </w:r>
      <w:r w:rsidR="00072EB6">
        <w:t>associated</w:t>
      </w:r>
      <w:r w:rsidR="009F4D7E" w:rsidDel="00AF1A4A">
        <w:t xml:space="preserve"> evidence.</w:t>
      </w:r>
    </w:p>
    <w:p w:rsidR="00392DDE" w:rsidRPr="009E59CE" w:rsidRDefault="00D37196" w:rsidP="00A736D1">
      <w:r>
        <w:t>The value of imputation credits is also interrelated with the</w:t>
      </w:r>
      <w:r w:rsidR="005D2A97">
        <w:t xml:space="preserve"> </w:t>
      </w:r>
      <w:r w:rsidR="00B01263">
        <w:t>MRP</w:t>
      </w:r>
      <w:r w:rsidR="005D2A97">
        <w:t xml:space="preserve">. </w:t>
      </w:r>
      <w:r w:rsidR="002C0A37">
        <w:t xml:space="preserve">As discussed in attachment 3, </w:t>
      </w:r>
      <w:r w:rsidR="002C0A37" w:rsidRPr="002C0A37">
        <w:t xml:space="preserve">the definition of the </w:t>
      </w:r>
      <w:r w:rsidR="00B01263">
        <w:t>MRP</w:t>
      </w:r>
      <w:r w:rsidR="002C0A37" w:rsidRPr="002C0A37">
        <w:t xml:space="preserve"> in</w:t>
      </w:r>
      <w:r w:rsidR="006A237E">
        <w:t xml:space="preserve"> the</w:t>
      </w:r>
      <w:r w:rsidR="002C0A37" w:rsidRPr="002C0A37">
        <w:t xml:space="preserve"> SLCAPM should account for the capitalised value of </w:t>
      </w:r>
      <w:r w:rsidR="002C0A37">
        <w:t>imputation</w:t>
      </w:r>
      <w:r w:rsidR="002C0A37" w:rsidRPr="002C0A37">
        <w:t xml:space="preserve"> credits. </w:t>
      </w:r>
      <w:r w:rsidR="00B01263">
        <w:t>Accordingly, in our determination of the return on equity in attachment 3 we adjust estimates of the MRP in a manner consistent with our determination of the value of imputation credits</w:t>
      </w:r>
      <w:r w:rsidR="00F622DF">
        <w:t xml:space="preserve"> </w:t>
      </w:r>
      <w:r w:rsidR="00B01263">
        <w:t>in this attachment.</w:t>
      </w:r>
      <w:r w:rsidR="003A55CA">
        <w:t xml:space="preserve"> </w:t>
      </w:r>
      <w:r w:rsidR="009661BA">
        <w:t>This is also required by the NER/NGR.</w:t>
      </w:r>
      <w:r w:rsidR="009661BA">
        <w:rPr>
          <w:rStyle w:val="FootnoteReference"/>
        </w:rPr>
        <w:footnoteReference w:id="33"/>
      </w:r>
    </w:p>
    <w:p w:rsidR="00A90D90" w:rsidRPr="00A90D90" w:rsidRDefault="00A90D90" w:rsidP="00A90D90">
      <w:pPr>
        <w:pStyle w:val="Heading3"/>
      </w:pPr>
      <w:r>
        <w:t xml:space="preserve">Expert </w:t>
      </w:r>
      <w:r w:rsidRPr="00A90D90">
        <w:t>reports</w:t>
      </w:r>
    </w:p>
    <w:p w:rsidR="00016F8E" w:rsidRDefault="00016F8E" w:rsidP="00A90D90">
      <w:pPr>
        <w:numPr>
          <w:ilvl w:val="0"/>
          <w:numId w:val="25"/>
        </w:numPr>
      </w:pPr>
      <w:r>
        <w:t>During the development of the Guideline, we commissioned expert advice on the value of imputation credits from Associate Professor Martin Lally of the Victoria University of Wellington.</w:t>
      </w:r>
      <w:r w:rsidRPr="004B0617">
        <w:rPr>
          <w:rStyle w:val="FootnoteReference"/>
        </w:rPr>
        <w:footnoteReference w:id="34"/>
      </w:r>
    </w:p>
    <w:p w:rsidR="00A90D90" w:rsidRDefault="00A90D90" w:rsidP="00A90D90">
      <w:pPr>
        <w:numPr>
          <w:ilvl w:val="0"/>
          <w:numId w:val="25"/>
        </w:numPr>
      </w:pPr>
      <w:r>
        <w:t>To assist us i</w:t>
      </w:r>
      <w:r w:rsidRPr="00867688">
        <w:t xml:space="preserve">n making </w:t>
      </w:r>
      <w:r w:rsidR="00324438">
        <w:t>our</w:t>
      </w:r>
      <w:r w:rsidRPr="00867688">
        <w:t xml:space="preserve"> draft</w:t>
      </w:r>
      <w:r w:rsidR="00324438">
        <w:t xml:space="preserve"> and final</w:t>
      </w:r>
      <w:r w:rsidRPr="00867688">
        <w:t xml:space="preserve"> decision</w:t>
      </w:r>
      <w:r w:rsidR="00324438">
        <w:t>s</w:t>
      </w:r>
      <w:r w:rsidRPr="00867688">
        <w:t xml:space="preserve"> on the </w:t>
      </w:r>
      <w:r>
        <w:t>value of imputation credits</w:t>
      </w:r>
      <w:r w:rsidRPr="00867688">
        <w:t xml:space="preserve"> proposed by the service providers</w:t>
      </w:r>
      <w:r>
        <w:t xml:space="preserve">, we </w:t>
      </w:r>
      <w:r w:rsidRPr="00867688">
        <w:t xml:space="preserve">commissioned </w:t>
      </w:r>
      <w:r>
        <w:t xml:space="preserve">further </w:t>
      </w:r>
      <w:r w:rsidRPr="00867688">
        <w:t xml:space="preserve">expert advice from </w:t>
      </w:r>
      <w:r>
        <w:t>Associate Professor John Handley of the University of Melbourne.</w:t>
      </w:r>
      <w:r>
        <w:rPr>
          <w:rStyle w:val="FootnoteReference"/>
        </w:rPr>
        <w:footnoteReference w:id="35"/>
      </w:r>
      <w:r>
        <w:t xml:space="preserve"> We have also had regard to, among other things:</w:t>
      </w:r>
    </w:p>
    <w:p w:rsidR="00A90D90" w:rsidRPr="00A90D90" w:rsidRDefault="00A90D90" w:rsidP="00A90D90">
      <w:pPr>
        <w:pStyle w:val="AERbulletlistfirststyle"/>
      </w:pPr>
      <w:r>
        <w:t>t</w:t>
      </w:r>
      <w:r w:rsidRPr="00A90D90">
        <w:t>he May 2014</w:t>
      </w:r>
      <w:r w:rsidR="00332A53">
        <w:t xml:space="preserve"> and February 2015</w:t>
      </w:r>
      <w:r w:rsidRPr="00A90D90">
        <w:t xml:space="preserve"> report</w:t>
      </w:r>
      <w:r w:rsidR="00332A53">
        <w:t>s</w:t>
      </w:r>
      <w:r w:rsidRPr="00A90D90">
        <w:t xml:space="preserve"> from SFG that </w:t>
      </w:r>
      <w:r w:rsidR="00332A53">
        <w:t>were</w:t>
      </w:r>
      <w:r w:rsidRPr="00A90D90">
        <w:t xml:space="preserve"> jointly commissioned by the service providers and submitted to us with their </w:t>
      </w:r>
      <w:r w:rsidR="00332A53">
        <w:t xml:space="preserve">initial and revised </w:t>
      </w:r>
      <w:r w:rsidRPr="00A90D90">
        <w:t>proposals</w:t>
      </w:r>
      <w:r w:rsidR="00332A53">
        <w:t>, respectively</w:t>
      </w:r>
      <w:r w:rsidRPr="00A90D90">
        <w:t>.</w:t>
      </w:r>
      <w:r w:rsidRPr="00A90D90">
        <w:rPr>
          <w:rStyle w:val="FootnoteReference"/>
        </w:rPr>
        <w:footnoteReference w:id="36"/>
      </w:r>
    </w:p>
    <w:p w:rsidR="00A90D90" w:rsidRPr="00A90D90" w:rsidRDefault="00A90D90" w:rsidP="00A90D90">
      <w:pPr>
        <w:pStyle w:val="AERbulletlistfirststyle"/>
      </w:pPr>
      <w:r>
        <w:t>a</w:t>
      </w:r>
      <w:r w:rsidRPr="00A90D90">
        <w:t xml:space="preserve"> March 2014 report by Associate Professor Lally that was commissioned by the Queensland Competition Authority.</w:t>
      </w:r>
      <w:r w:rsidRPr="00A90D90">
        <w:rPr>
          <w:rStyle w:val="FootnoteReference"/>
        </w:rPr>
        <w:footnoteReference w:id="37"/>
      </w:r>
    </w:p>
    <w:p w:rsidR="00A90D90" w:rsidRPr="00A90D90" w:rsidRDefault="00A90D90" w:rsidP="00A90D90">
      <w:pPr>
        <w:pStyle w:val="AERbulletlistfirststyle"/>
      </w:pPr>
      <w:r>
        <w:lastRenderedPageBreak/>
        <w:t>a</w:t>
      </w:r>
      <w:r w:rsidRPr="00A90D90">
        <w:t>n October 2013 review of a network rail access undertaking by Professor Michael McKenzie of the University of Liverpool and Associate Professor Graham Partington of the University of Sydney.</w:t>
      </w:r>
      <w:r w:rsidRPr="00A90D90">
        <w:rPr>
          <w:rStyle w:val="FootnoteReference"/>
        </w:rPr>
        <w:footnoteReference w:id="38"/>
      </w:r>
      <w:r w:rsidRPr="00A90D90">
        <w:t xml:space="preserve"> This review was commissioned by the Queensland Resources Council and submitted to the Queensland Competition Authority.</w:t>
      </w:r>
    </w:p>
    <w:p w:rsidR="00A90D90" w:rsidRPr="00A90D90" w:rsidRDefault="00A90D90" w:rsidP="00A90D90">
      <w:pPr>
        <w:pStyle w:val="AERbulletlistfirststyle"/>
      </w:pPr>
      <w:r>
        <w:t>a</w:t>
      </w:r>
      <w:r w:rsidRPr="00A90D90">
        <w:t xml:space="preserve"> September 2013 report on tax statistics by Dr. Neville Hathaway that was commissioned by the Energy Networks Association.</w:t>
      </w:r>
      <w:r w:rsidRPr="00A90D90">
        <w:rPr>
          <w:rStyle w:val="FootnoteReference"/>
        </w:rPr>
        <w:footnoteReference w:id="39"/>
      </w:r>
    </w:p>
    <w:p w:rsidR="00A90D90" w:rsidRPr="00A90D90" w:rsidRDefault="00A90D90" w:rsidP="00A90D90">
      <w:pPr>
        <w:pStyle w:val="AERbulletlistfirststyle"/>
      </w:pPr>
      <w:r>
        <w:t>a</w:t>
      </w:r>
      <w:r w:rsidRPr="00A90D90">
        <w:t xml:space="preserve"> June 2013 report on the distribution rate by NERA Economic Consulting (NERA) that was commissioned by the Energy Networks Association.</w:t>
      </w:r>
      <w:r w:rsidRPr="00A90D90">
        <w:rPr>
          <w:rStyle w:val="FootnoteReference"/>
        </w:rPr>
        <w:footnoteReference w:id="40"/>
      </w:r>
    </w:p>
    <w:p w:rsidR="00062AC8" w:rsidRDefault="00A90D90" w:rsidP="00062AC8">
      <w:pPr>
        <w:numPr>
          <w:ilvl w:val="0"/>
          <w:numId w:val="25"/>
        </w:numPr>
      </w:pPr>
      <w:r>
        <w:t>We took into account the reports from Lally, Hathaway and NERA in the Guideline. We consider</w:t>
      </w:r>
      <w:r w:rsidR="00870597">
        <w:t>ed</w:t>
      </w:r>
      <w:r>
        <w:t xml:space="preserve"> the other reports</w:t>
      </w:r>
      <w:r w:rsidR="00870597">
        <w:t>, with the exception of Handley's and SFG's 2015 reports,</w:t>
      </w:r>
      <w:r>
        <w:t xml:space="preserve"> for the </w:t>
      </w:r>
      <w:r w:rsidR="00870597">
        <w:t>first time in our draft</w:t>
      </w:r>
      <w:r>
        <w:t xml:space="preserve"> decision</w:t>
      </w:r>
      <w:r w:rsidR="00895E9C">
        <w:t>s</w:t>
      </w:r>
      <w:r>
        <w:t>.</w:t>
      </w:r>
    </w:p>
    <w:p w:rsidR="00A90D90" w:rsidRPr="00A90D90" w:rsidRDefault="00A90D90" w:rsidP="00A90D90">
      <w:pPr>
        <w:pStyle w:val="Heading3"/>
      </w:pPr>
      <w:bookmarkStart w:id="25" w:name="_Ref415048973"/>
      <w:r w:rsidRPr="00784B2C">
        <w:t xml:space="preserve">Approach to </w:t>
      </w:r>
      <w:r w:rsidRPr="00A90D90">
        <w:t>determining the value of imputation credits</w:t>
      </w:r>
      <w:bookmarkEnd w:id="25"/>
    </w:p>
    <w:p w:rsidR="00A90D90" w:rsidRDefault="00A90D90" w:rsidP="00A90D90">
      <w:pPr>
        <w:numPr>
          <w:ilvl w:val="0"/>
          <w:numId w:val="25"/>
        </w:numPr>
      </w:pPr>
      <w:r>
        <w:t>There is no consensus among experts or regulators on the value of imputation credits or the techniques to use to estimate it.</w:t>
      </w:r>
      <w:r>
        <w:rPr>
          <w:rStyle w:val="FootnoteReference"/>
        </w:rPr>
        <w:footnoteReference w:id="41"/>
      </w:r>
      <w:r>
        <w:t xml:space="preserve"> Our approach to determining the value of imputation credits is guided by:</w:t>
      </w:r>
    </w:p>
    <w:p w:rsidR="00A90D90" w:rsidRPr="00A90D90" w:rsidRDefault="00A90D90" w:rsidP="00A90D90">
      <w:pPr>
        <w:pStyle w:val="AERbulletlistfirststyle"/>
      </w:pPr>
      <w:proofErr w:type="gramStart"/>
      <w:r>
        <w:t>t</w:t>
      </w:r>
      <w:r w:rsidRPr="00A90D90">
        <w:t>he</w:t>
      </w:r>
      <w:proofErr w:type="gramEnd"/>
      <w:r w:rsidRPr="00A90D90">
        <w:t xml:space="preserve"> requirements of the </w:t>
      </w:r>
      <w:r w:rsidR="00ED498D">
        <w:t>NER/NGR</w:t>
      </w:r>
      <w:r w:rsidRPr="00A90D90">
        <w:t xml:space="preserve">—see section </w:t>
      </w:r>
      <w:r w:rsidRPr="00A90D90">
        <w:fldChar w:fldCharType="begin"/>
      </w:r>
      <w:r w:rsidRPr="00A90D90">
        <w:instrText xml:space="preserve"> REF _Ref400272912 \r \h </w:instrText>
      </w:r>
      <w:r w:rsidRPr="00A90D90">
        <w:fldChar w:fldCharType="separate"/>
      </w:r>
      <w:r w:rsidR="003F0AA6">
        <w:t>4.3.1</w:t>
      </w:r>
      <w:r w:rsidRPr="00A90D90">
        <w:fldChar w:fldCharType="end"/>
      </w:r>
      <w:r w:rsidRPr="00A90D90">
        <w:t>.</w:t>
      </w:r>
    </w:p>
    <w:p w:rsidR="00A90D90" w:rsidRPr="00A90D90" w:rsidRDefault="00A90D90" w:rsidP="00A90D90">
      <w:pPr>
        <w:pStyle w:val="AERbulletlistfirststyle"/>
      </w:pPr>
      <w:r>
        <w:t>t</w:t>
      </w:r>
      <w:r w:rsidRPr="00A90D90">
        <w:t>he role of the value of the imputation credits in the revenue building block framework—this suggests that the value of imputation credits is intended to reflect the value of imputation credits to investors in the benchmark efficient entity.</w:t>
      </w:r>
      <w:r w:rsidRPr="00A90D90">
        <w:rPr>
          <w:rStyle w:val="FootnoteReference"/>
        </w:rPr>
        <w:footnoteReference w:id="42"/>
      </w:r>
    </w:p>
    <w:p w:rsidR="00A90D90" w:rsidRPr="00A90D90" w:rsidRDefault="00A90D90" w:rsidP="00A90D90">
      <w:pPr>
        <w:pStyle w:val="AERbulletlistfirststyle"/>
      </w:pPr>
      <w:r>
        <w:t>r</w:t>
      </w:r>
      <w:r w:rsidRPr="00A90D90">
        <w:t>elevant academic literature—the framework developed in a 1994 paper by Officer is widely recognised as providing the basis for the value of imputation credits in the building block framework.</w:t>
      </w:r>
      <w:r w:rsidRPr="00A90D90">
        <w:rPr>
          <w:rStyle w:val="FootnoteReference"/>
        </w:rPr>
        <w:footnoteReference w:id="43"/>
      </w:r>
      <w:r w:rsidRPr="00A90D90">
        <w:t xml:space="preserve"> </w:t>
      </w:r>
      <w:r w:rsidR="002711F2">
        <w:t xml:space="preserve">A key implication of Officer's framework is that the value of imputation credits should be estimated on a before-personal-tax and before-personal-costs basis. </w:t>
      </w:r>
      <w:r w:rsidRPr="00A90D90">
        <w:t>The work of Monkhouse (and others) extends the Officer framework, and shows that the value of imputation credits can be estimated as the product of two parameters:</w:t>
      </w:r>
    </w:p>
    <w:p w:rsidR="00A90D90" w:rsidRPr="00A90D90" w:rsidRDefault="00A90D90" w:rsidP="00A90D90">
      <w:pPr>
        <w:pStyle w:val="AERbulletlistsecondstyle"/>
      </w:pPr>
      <w:r w:rsidRPr="00423E59">
        <w:t>the proportion of imputation credits generated that is distributed to investors</w:t>
      </w:r>
      <w:r w:rsidRPr="00A90D90">
        <w:t xml:space="preserve"> (the distribution rate), and </w:t>
      </w:r>
    </w:p>
    <w:p w:rsidR="00A90D90" w:rsidRPr="00A90D90" w:rsidRDefault="00A90D90" w:rsidP="00A90D90">
      <w:pPr>
        <w:pStyle w:val="AERbulletlistsecondstyle"/>
      </w:pPr>
      <w:r w:rsidRPr="00423E59">
        <w:t xml:space="preserve">the utilisation value to investors in the market per dollar of imputation credits distributed </w:t>
      </w:r>
      <w:r w:rsidRPr="00A90D90">
        <w:t>(the utilisation rate).</w:t>
      </w:r>
      <w:r w:rsidRPr="00A90D90">
        <w:rPr>
          <w:rStyle w:val="FootnoteReference"/>
        </w:rPr>
        <w:footnoteReference w:id="44"/>
      </w:r>
      <w:r w:rsidRPr="00A90D90">
        <w:t xml:space="preserve"> </w:t>
      </w:r>
    </w:p>
    <w:p w:rsidR="00A90D90" w:rsidRPr="00A90D90" w:rsidRDefault="00A90D90" w:rsidP="00A91589">
      <w:pPr>
        <w:pStyle w:val="AERbulletlistfirststyle"/>
        <w:numPr>
          <w:ilvl w:val="0"/>
          <w:numId w:val="0"/>
        </w:numPr>
        <w:ind w:left="357"/>
      </w:pPr>
      <w:r>
        <w:t xml:space="preserve">Consistent with this </w:t>
      </w:r>
      <w:r w:rsidRPr="00A90D90">
        <w:t>literature, we determine the value of imputation credits as the product of these two parameters.</w:t>
      </w:r>
    </w:p>
    <w:p w:rsidR="00A90D90" w:rsidRPr="00A90D90" w:rsidRDefault="00A90D90" w:rsidP="00A90D90">
      <w:pPr>
        <w:pStyle w:val="AERbulletlistfirststyle"/>
      </w:pPr>
      <w:r>
        <w:lastRenderedPageBreak/>
        <w:t xml:space="preserve">A wide range of relevant </w:t>
      </w:r>
      <w:r w:rsidRPr="00A90D90">
        <w:t>evidence—while there is a widely accepted approach to estimating the distribution rate, there is no single accepted approach to estimating the utilisation rate and there is a range of evidence relevant to the utilisation rate. This includes:</w:t>
      </w:r>
    </w:p>
    <w:p w:rsidR="00A90D90" w:rsidRPr="00A90D90" w:rsidRDefault="00A90D90" w:rsidP="00A90D90">
      <w:pPr>
        <w:pStyle w:val="AERbulletlistsecondstyle"/>
      </w:pPr>
      <w:r>
        <w:t>t</w:t>
      </w:r>
      <w:r w:rsidRPr="00A90D90">
        <w:t>he proportion of Australian equity held by domestic investors (the 'equity ownership approach').</w:t>
      </w:r>
    </w:p>
    <w:p w:rsidR="00A90D90" w:rsidRPr="00A90D90" w:rsidRDefault="00A90D90" w:rsidP="00A90D90">
      <w:pPr>
        <w:pStyle w:val="AERbulletlistsecondstyle"/>
      </w:pPr>
      <w:r>
        <w:t>t</w:t>
      </w:r>
      <w:r w:rsidRPr="00A90D90">
        <w:t>he reported value of credits utilised by investors in Australian Taxation Office (ATO) statistics ('tax statistics').</w:t>
      </w:r>
    </w:p>
    <w:p w:rsidR="00A90D90" w:rsidRPr="00A90D90" w:rsidRDefault="00A90D90" w:rsidP="00A90D90">
      <w:pPr>
        <w:pStyle w:val="AERbulletlistsecondstyle"/>
      </w:pPr>
      <w:r>
        <w:t>s</w:t>
      </w:r>
      <w:r w:rsidRPr="00A90D90">
        <w:t>tudies that seek to infer from market prices the value to investors of distributed imputation credits ('implied market value studies').</w:t>
      </w:r>
    </w:p>
    <w:p w:rsidR="00A90D90" w:rsidRPr="00A90D90" w:rsidRDefault="00A90D90" w:rsidP="001A29C8">
      <w:pPr>
        <w:pStyle w:val="AERbulletlistfirststyle"/>
        <w:numPr>
          <w:ilvl w:val="0"/>
          <w:numId w:val="0"/>
        </w:numPr>
        <w:ind w:left="357"/>
      </w:pPr>
      <w:r>
        <w:t xml:space="preserve">Also, when estimating the distribution rate and the utilisation rate there is </w:t>
      </w:r>
      <w:r w:rsidRPr="00A90D90">
        <w:t>no consensus regarding whether evidence and data should be used on all companies and their investors (all equity) or just listed companies and their investors (</w:t>
      </w:r>
      <w:r w:rsidR="001C274C">
        <w:t>only listed equity</w:t>
      </w:r>
      <w:r w:rsidRPr="00A90D90">
        <w:t>).</w:t>
      </w:r>
      <w:r w:rsidRPr="00A90D90">
        <w:rPr>
          <w:rStyle w:val="FootnoteReference"/>
        </w:rPr>
        <w:footnoteReference w:id="45"/>
      </w:r>
      <w:r w:rsidRPr="00A90D90">
        <w:t xml:space="preserve"> In determining the value of imputation credits, we rely on the results from both approaches.</w:t>
      </w:r>
    </w:p>
    <w:p w:rsidR="00A90D90" w:rsidRPr="00A90D90" w:rsidRDefault="00A90D90" w:rsidP="00A90D90">
      <w:pPr>
        <w:pStyle w:val="AERbulletlistfirststyle"/>
      </w:pPr>
      <w:r>
        <w:t>The views of experts</w:t>
      </w:r>
      <w:r w:rsidRPr="00A90D90">
        <w:t>—experts differ in their interpretations of the:</w:t>
      </w:r>
    </w:p>
    <w:p w:rsidR="00A90D90" w:rsidRPr="00A90D90" w:rsidRDefault="00A90D90" w:rsidP="00A90D90">
      <w:pPr>
        <w:pStyle w:val="AERbulletlistsecondstyle"/>
      </w:pPr>
      <w:r>
        <w:t>role of the value of imputation credits in the regulatory framework</w:t>
      </w:r>
    </w:p>
    <w:p w:rsidR="00FD000C" w:rsidRDefault="00A90D90" w:rsidP="00A90D90">
      <w:pPr>
        <w:pStyle w:val="AERbulletlistsecondstyle"/>
      </w:pPr>
      <w:r>
        <w:t>underlying theory and academic literature</w:t>
      </w:r>
      <w:r w:rsidRPr="00A90D90">
        <w:t>, and</w:t>
      </w:r>
    </w:p>
    <w:p w:rsidR="002C233C" w:rsidRDefault="00A90D90" w:rsidP="00A90D90">
      <w:pPr>
        <w:pStyle w:val="AERbulletlistsecondstyle"/>
      </w:pPr>
      <w:r>
        <w:t>relevance of different estimation techniques, particularly for the utilisation rate.</w:t>
      </w:r>
    </w:p>
    <w:p w:rsidR="00DE563D" w:rsidRDefault="00DE563D" w:rsidP="001754EE">
      <w:pPr>
        <w:pStyle w:val="Heading2"/>
      </w:pPr>
      <w:bookmarkStart w:id="26" w:name="_Toc403144140"/>
      <w:bookmarkStart w:id="27" w:name="_Ref414621693"/>
      <w:bookmarkStart w:id="28" w:name="_Ref414621836"/>
      <w:bookmarkStart w:id="29" w:name="_Ref414907434"/>
      <w:bookmarkStart w:id="30" w:name="_Ref415068229"/>
      <w:bookmarkStart w:id="31" w:name="_Toc417043254"/>
      <w:r w:rsidRPr="001754EE">
        <w:t>Reasons</w:t>
      </w:r>
      <w:r>
        <w:t xml:space="preserve"> for </w:t>
      </w:r>
      <w:r w:rsidR="002016E7">
        <w:t>final</w:t>
      </w:r>
      <w:r>
        <w:t xml:space="preserve"> decision</w:t>
      </w:r>
      <w:bookmarkEnd w:id="26"/>
      <w:bookmarkEnd w:id="27"/>
      <w:bookmarkEnd w:id="28"/>
      <w:bookmarkEnd w:id="29"/>
      <w:bookmarkEnd w:id="30"/>
      <w:bookmarkEnd w:id="31"/>
      <w:r>
        <w:t xml:space="preserve"> </w:t>
      </w:r>
    </w:p>
    <w:p w:rsidR="00730504" w:rsidRDefault="00730504" w:rsidP="00730504">
      <w:pPr>
        <w:numPr>
          <w:ilvl w:val="0"/>
          <w:numId w:val="25"/>
        </w:numPr>
      </w:pPr>
      <w:r>
        <w:t xml:space="preserve">In determining the value of imputation credits, we have considered the </w:t>
      </w:r>
      <w:r w:rsidR="00B71AA2">
        <w:t>full</w:t>
      </w:r>
      <w:r>
        <w:t xml:space="preserve"> range of evidence before us with regard to its merits. We consider that a value of imputation credits of 0.4, selected fr</w:t>
      </w:r>
      <w:r w:rsidR="003B3322">
        <w:t>om within a range of 0.3 to 0.5</w:t>
      </w:r>
      <w:r>
        <w:t>, is reasonable because:</w:t>
      </w:r>
    </w:p>
    <w:p w:rsidR="00730504" w:rsidRPr="00730504" w:rsidRDefault="00730504" w:rsidP="00730504">
      <w:pPr>
        <w:pStyle w:val="AERbulletlistfirststyle"/>
      </w:pPr>
      <w:r>
        <w:t>It is within the range of values indicated by the evidence, and the relevance of the evidence is supported by the expert opinion of Handley, Lally</w:t>
      </w:r>
      <w:r w:rsidR="007632C9">
        <w:t>,</w:t>
      </w:r>
      <w:r>
        <w:t xml:space="preserve"> and McKenzie and Partington</w:t>
      </w:r>
      <w:r w:rsidRPr="00730504">
        <w:t>.</w:t>
      </w:r>
    </w:p>
    <w:p w:rsidR="00730504" w:rsidRPr="00730504" w:rsidRDefault="00730504" w:rsidP="00730504">
      <w:pPr>
        <w:pStyle w:val="AERbulletlistfirststyle"/>
      </w:pPr>
      <w:r>
        <w:t>It primarily reflects an estimate of the utilisation rate fro</w:t>
      </w:r>
      <w:r w:rsidRPr="00730504">
        <w:t>m the equity ownership approach. Handley considered this the most important approach to estimating the utilisation rate, relative to the alternatives of tax statistics and implied market value studies.</w:t>
      </w:r>
      <w:r w:rsidRPr="00730504">
        <w:rPr>
          <w:rStyle w:val="FootnoteReference"/>
        </w:rPr>
        <w:footnoteReference w:id="46"/>
      </w:r>
      <w:r w:rsidRPr="00730504">
        <w:t xml:space="preserve"> The equity ownership approach was Lally's second preference after his recommendation for a utilisation rate of 1.</w:t>
      </w:r>
      <w:r w:rsidRPr="00730504">
        <w:rPr>
          <w:rStyle w:val="FootnoteReference"/>
        </w:rPr>
        <w:footnoteReference w:id="47"/>
      </w:r>
    </w:p>
    <w:p w:rsidR="00730504" w:rsidRPr="00730504" w:rsidRDefault="00730504" w:rsidP="00730504">
      <w:pPr>
        <w:pStyle w:val="AERbulletlistfirststyle"/>
      </w:pPr>
      <w:r>
        <w:lastRenderedPageBreak/>
        <w:t xml:space="preserve">It is within the 'preferred' range for the value of imputation credits </w:t>
      </w:r>
      <w:r w:rsidRPr="00730504">
        <w:t xml:space="preserve">(0.4 to 0.5) in Handley's </w:t>
      </w:r>
      <w:r>
        <w:t>September 2014</w:t>
      </w:r>
      <w:r w:rsidRPr="00730504">
        <w:t xml:space="preserve"> advice.</w:t>
      </w:r>
      <w:r w:rsidRPr="00730504">
        <w:rPr>
          <w:rStyle w:val="FootnoteReference"/>
        </w:rPr>
        <w:footnoteReference w:id="48"/>
      </w:r>
    </w:p>
    <w:p w:rsidR="00730504" w:rsidRPr="00730504" w:rsidRDefault="00730504" w:rsidP="00730504">
      <w:pPr>
        <w:pStyle w:val="AERbulletlistfirststyle"/>
      </w:pPr>
      <w:r>
        <w:t>Based on the evidence before us at this time, a</w:t>
      </w:r>
      <w:r w:rsidRPr="00730504">
        <w:t>dopting a value of imputation credits that is rounded to one decimal place appropriately reflects the uncertainty and imprecision associated with this parameter. This uncertainty is evident in the range of views and values that have been espoused by experts, and was recognised by Handley and McKenzie and Partington.</w:t>
      </w:r>
      <w:r w:rsidRPr="00730504">
        <w:rPr>
          <w:rStyle w:val="FootnoteReference"/>
        </w:rPr>
        <w:footnoteReference w:id="49"/>
      </w:r>
      <w:r w:rsidRPr="00730504">
        <w:t xml:space="preserve"> The imprecision of determining the value of imputation credits was emphasised by Handley.</w:t>
      </w:r>
      <w:r w:rsidRPr="00730504">
        <w:rPr>
          <w:rStyle w:val="FootnoteReference"/>
        </w:rPr>
        <w:footnoteReference w:id="50"/>
      </w:r>
    </w:p>
    <w:p w:rsidR="00730504" w:rsidRDefault="00730504" w:rsidP="00730504">
      <w:pPr>
        <w:numPr>
          <w:ilvl w:val="0"/>
          <w:numId w:val="25"/>
        </w:numPr>
      </w:pPr>
      <w:r>
        <w:t xml:space="preserve">In considering the evidence on the distribution and utilisation rates, we have broadly maintained the approach set out in the Guideline, but have re-examined the relevant evidence and estimates. This re-examination, and new evidence and advice considered since the Guideline, led us to depart from the Guideline value of imputation credits of 0.5. Departures from specific aspects of the Guideline are noted in the discussion of the distribution rate and utilisation rate below. </w:t>
      </w:r>
    </w:p>
    <w:p w:rsidR="00730504" w:rsidRDefault="00730504" w:rsidP="00730504">
      <w:pPr>
        <w:numPr>
          <w:ilvl w:val="0"/>
          <w:numId w:val="25"/>
        </w:numPr>
      </w:pPr>
      <w:r>
        <w:t>Further to the Guideline approach, in this final decision we consider that:</w:t>
      </w:r>
    </w:p>
    <w:p w:rsidR="00730504" w:rsidRPr="00730504" w:rsidRDefault="00730504" w:rsidP="00730504">
      <w:pPr>
        <w:pStyle w:val="AERbulletlistfirststyle"/>
      </w:pPr>
      <w:r>
        <w:t>We may</w:t>
      </w:r>
      <w:r w:rsidRPr="00730504">
        <w:t xml:space="preserve"> have regard to evidence from all equity and/or </w:t>
      </w:r>
      <w:r w:rsidR="001C274C">
        <w:t xml:space="preserve">only </w:t>
      </w:r>
      <w:r w:rsidRPr="00730504">
        <w:t xml:space="preserve">listed equity. Some experts advocate use of evidence on only listed companies and their investors because </w:t>
      </w:r>
      <w:r w:rsidR="0055021B">
        <w:t>they consider it</w:t>
      </w:r>
      <w:r w:rsidRPr="00730504">
        <w:t xml:space="preserve"> to be more reflective of the benchmark efficient entity and its investors, or because</w:t>
      </w:r>
      <w:r w:rsidR="0055021B">
        <w:t xml:space="preserve"> they consider</w:t>
      </w:r>
      <w:r w:rsidRPr="00730504">
        <w:t xml:space="preserve"> this is consistent with the use of evidence from only listed companies when estimating the market risk premium. However, there is no consensus on this point. We discuss the issue further in section </w:t>
      </w:r>
      <w:r w:rsidRPr="00730504">
        <w:fldChar w:fldCharType="begin"/>
      </w:r>
      <w:r w:rsidRPr="00730504">
        <w:instrText xml:space="preserve"> REF _Ref401048631 \r \h </w:instrText>
      </w:r>
      <w:r w:rsidRPr="00730504">
        <w:fldChar w:fldCharType="separate"/>
      </w:r>
      <w:r w:rsidR="003F0AA6">
        <w:t>A.9.1</w:t>
      </w:r>
      <w:r w:rsidRPr="00730504">
        <w:fldChar w:fldCharType="end"/>
      </w:r>
      <w:r w:rsidRPr="00730504">
        <w:t xml:space="preserve"> of appendix A. We did not consider this issue in the Guideline.</w:t>
      </w:r>
    </w:p>
    <w:p w:rsidR="00730504" w:rsidRPr="00730504" w:rsidRDefault="00730504" w:rsidP="00730504">
      <w:pPr>
        <w:pStyle w:val="AERbulletlistfirststyle"/>
      </w:pPr>
      <w:r>
        <w:t>It would be i</w:t>
      </w:r>
      <w:r w:rsidRPr="00730504">
        <w:t xml:space="preserve">nappropriate to pair an estimate of the utilisation rate from </w:t>
      </w:r>
      <w:r w:rsidR="001C274C">
        <w:t xml:space="preserve">only </w:t>
      </w:r>
      <w:r w:rsidRPr="00730504">
        <w:t xml:space="preserve">listed equity with an estimate of the distribution rate from all equity (and vice versa). There is a relationship between definitions and estimates of the distribution rate and utilisation rate that should be recognised when estimating the value of imputation credits. In the Guideline, we estimated the distribution and utilisation rates independently, and did not recognise this relationship. We discuss this relationship further in section </w:t>
      </w:r>
      <w:r w:rsidRPr="00730504">
        <w:fldChar w:fldCharType="begin"/>
      </w:r>
      <w:r w:rsidRPr="00730504">
        <w:instrText xml:space="preserve"> REF _Ref403481194 \r \h </w:instrText>
      </w:r>
      <w:r w:rsidRPr="00730504">
        <w:fldChar w:fldCharType="separate"/>
      </w:r>
      <w:r w:rsidR="003F0AA6">
        <w:t>A.9.2</w:t>
      </w:r>
      <w:r w:rsidRPr="00730504">
        <w:fldChar w:fldCharType="end"/>
      </w:r>
      <w:r w:rsidRPr="00730504">
        <w:t xml:space="preserve"> of appendix A. </w:t>
      </w:r>
    </w:p>
    <w:p w:rsidR="00730504" w:rsidRPr="00EB588E" w:rsidRDefault="00730504" w:rsidP="00730504">
      <w:pPr>
        <w:numPr>
          <w:ilvl w:val="0"/>
          <w:numId w:val="25"/>
        </w:numPr>
      </w:pPr>
      <w:r>
        <w:t xml:space="preserve">Recognising these considerations, </w:t>
      </w:r>
      <w:r>
        <w:fldChar w:fldCharType="begin"/>
      </w:r>
      <w:r>
        <w:instrText xml:space="preserve"> REF  _Ref400900366 \* Lower \h </w:instrText>
      </w:r>
      <w:r>
        <w:fldChar w:fldCharType="separate"/>
      </w:r>
      <w:r w:rsidR="003F0AA6">
        <w:t xml:space="preserve">table </w:t>
      </w:r>
      <w:r w:rsidR="003F0AA6">
        <w:rPr>
          <w:noProof/>
        </w:rPr>
        <w:t>4</w:t>
      </w:r>
      <w:r w:rsidR="003F0AA6">
        <w:noBreakHyphen/>
      </w:r>
      <w:r w:rsidR="003F0AA6">
        <w:rPr>
          <w:noProof/>
        </w:rPr>
        <w:t>1</w:t>
      </w:r>
      <w:r>
        <w:fldChar w:fldCharType="end"/>
      </w:r>
      <w:r>
        <w:t xml:space="preserve"> and </w:t>
      </w:r>
      <w:r>
        <w:fldChar w:fldCharType="begin"/>
      </w:r>
      <w:r>
        <w:instrText xml:space="preserve"> REF  _Ref404072148 \* Lower \h </w:instrText>
      </w:r>
      <w:r>
        <w:fldChar w:fldCharType="separate"/>
      </w:r>
      <w:proofErr w:type="gramStart"/>
      <w:r w:rsidR="003F0AA6">
        <w:t xml:space="preserve">table </w:t>
      </w:r>
      <w:r w:rsidR="003F0AA6">
        <w:rPr>
          <w:noProof/>
        </w:rPr>
        <w:t>4</w:t>
      </w:r>
      <w:r w:rsidR="003F0AA6">
        <w:noBreakHyphen/>
      </w:r>
      <w:r w:rsidR="003F0AA6">
        <w:rPr>
          <w:noProof/>
        </w:rPr>
        <w:t>2</w:t>
      </w:r>
      <w:r>
        <w:fldChar w:fldCharType="end"/>
      </w:r>
      <w:r>
        <w:t xml:space="preserve"> </w:t>
      </w:r>
      <w:r w:rsidRPr="00EB588E">
        <w:t>show estimates</w:t>
      </w:r>
      <w:proofErr w:type="gramEnd"/>
      <w:r w:rsidRPr="00EB588E">
        <w:t xml:space="preserve"> of the value of imputation credits that arise from internally consistent evidence from all equity and </w:t>
      </w:r>
      <w:r w:rsidR="001C274C">
        <w:t>only listed equity</w:t>
      </w:r>
      <w:r w:rsidRPr="00EB588E">
        <w:t>, respectively.</w:t>
      </w:r>
      <w:r w:rsidR="00F27BB2">
        <w:rPr>
          <w:rStyle w:val="FootnoteReference"/>
        </w:rPr>
        <w:footnoteReference w:id="51"/>
      </w:r>
      <w:r w:rsidRPr="00EB588E">
        <w:t xml:space="preserve"> These individual sources of evidence allow us to present estimates to </w:t>
      </w:r>
      <w:r w:rsidRPr="00EB588E">
        <w:lastRenderedPageBreak/>
        <w:t>two decimal places. However, we consider it reasonable to determine a value of imputation credits to only one decimal place when determining a single value from across this evidence.</w:t>
      </w:r>
    </w:p>
    <w:p w:rsidR="00730504" w:rsidRDefault="00730504" w:rsidP="00730504">
      <w:pPr>
        <w:pStyle w:val="Caption"/>
      </w:pPr>
      <w:bookmarkStart w:id="32" w:name="_Ref400900366"/>
      <w:bookmarkStart w:id="33" w:name="_Ref400900335"/>
      <w:r>
        <w:t xml:space="preserve">Table </w:t>
      </w:r>
      <w:r w:rsidR="00332D56">
        <w:fldChar w:fldCharType="begin"/>
      </w:r>
      <w:r w:rsidR="00332D56">
        <w:instrText xml:space="preserve"> STYLEREF 1 \s </w:instrText>
      </w:r>
      <w:r w:rsidR="00332D56">
        <w:fldChar w:fldCharType="separate"/>
      </w:r>
      <w:r w:rsidR="003F0AA6">
        <w:rPr>
          <w:noProof/>
        </w:rPr>
        <w:t>4</w:t>
      </w:r>
      <w:r w:rsidR="00332D56">
        <w:rPr>
          <w:noProof/>
        </w:rPr>
        <w:fldChar w:fldCharType="end"/>
      </w:r>
      <w:r w:rsidR="00257FBE">
        <w:noBreakHyphen/>
      </w:r>
      <w:r w:rsidR="00332D56">
        <w:fldChar w:fldCharType="begin"/>
      </w:r>
      <w:r w:rsidR="00332D56">
        <w:instrText xml:space="preserve"> SEQ Table \* ARABIC \s 1 </w:instrText>
      </w:r>
      <w:r w:rsidR="00332D56">
        <w:fldChar w:fldCharType="separate"/>
      </w:r>
      <w:r w:rsidR="003F0AA6">
        <w:rPr>
          <w:noProof/>
        </w:rPr>
        <w:t>1</w:t>
      </w:r>
      <w:r w:rsidR="00332D56">
        <w:rPr>
          <w:noProof/>
        </w:rPr>
        <w:fldChar w:fldCharType="end"/>
      </w:r>
      <w:bookmarkEnd w:id="32"/>
      <w:r>
        <w:tab/>
        <w:t>Estimates of the value of imputation credits—evidence from all equity</w:t>
      </w:r>
      <w:bookmarkEnd w:id="33"/>
    </w:p>
    <w:tbl>
      <w:tblPr>
        <w:tblStyle w:val="AERtable-numbers"/>
        <w:tblW w:w="0" w:type="auto"/>
        <w:tblLook w:val="04A0" w:firstRow="1" w:lastRow="0" w:firstColumn="1" w:lastColumn="0" w:noHBand="0" w:noVBand="1"/>
      </w:tblPr>
      <w:tblGrid>
        <w:gridCol w:w="3085"/>
        <w:gridCol w:w="2052"/>
        <w:gridCol w:w="2052"/>
        <w:gridCol w:w="2053"/>
      </w:tblGrid>
      <w:tr w:rsidR="00730504" w:rsidTr="00D71DD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Evidence on utilisation rate</w:t>
            </w:r>
          </w:p>
        </w:tc>
        <w:tc>
          <w:tcPr>
            <w:tcW w:w="2052"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Utilisation rate</w:t>
            </w:r>
          </w:p>
        </w:tc>
        <w:tc>
          <w:tcPr>
            <w:tcW w:w="2052"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Distribution rate</w:t>
            </w:r>
          </w:p>
        </w:tc>
        <w:tc>
          <w:tcPr>
            <w:tcW w:w="2053"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Value of Imputation Credits</w:t>
            </w:r>
          </w:p>
        </w:tc>
      </w:tr>
      <w:tr w:rsidR="00730504" w:rsidTr="00D71DDD">
        <w:trPr>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Equity ownership approach</w:t>
            </w:r>
          </w:p>
        </w:tc>
        <w:tc>
          <w:tcPr>
            <w:tcW w:w="2052" w:type="dxa"/>
          </w:tcPr>
          <w:p w:rsidR="00730504" w:rsidRPr="00730504" w:rsidRDefault="00647254" w:rsidP="00D71DDD">
            <w:pPr>
              <w:keepNext/>
              <w:cnfStyle w:val="000000000000" w:firstRow="0" w:lastRow="0" w:firstColumn="0" w:lastColumn="0" w:oddVBand="0" w:evenVBand="0" w:oddHBand="0" w:evenHBand="0" w:firstRowFirstColumn="0" w:firstRowLastColumn="0" w:lastRowFirstColumn="0" w:lastRowLastColumn="0"/>
            </w:pPr>
            <w:r>
              <w:t>0.56</w:t>
            </w:r>
            <w:r w:rsidR="00730504">
              <w:t xml:space="preserve"> to 0.</w:t>
            </w:r>
            <w:r w:rsidR="00FE3331">
              <w:t>6</w:t>
            </w:r>
            <w:r>
              <w:t>8</w:t>
            </w:r>
          </w:p>
        </w:tc>
        <w:tc>
          <w:tcPr>
            <w:tcW w:w="2052" w:type="dxa"/>
          </w:tcPr>
          <w:p w:rsidR="00730504" w:rsidRDefault="0073050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0.7</w:t>
            </w:r>
          </w:p>
        </w:tc>
        <w:tc>
          <w:tcPr>
            <w:tcW w:w="2053" w:type="dxa"/>
          </w:tcPr>
          <w:p w:rsidR="00730504" w:rsidRDefault="0064725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0.40</w:t>
            </w:r>
            <w:r w:rsidR="00730504">
              <w:t xml:space="preserve"> to 0.4</w:t>
            </w:r>
            <w:r>
              <w:t>7</w:t>
            </w:r>
          </w:p>
        </w:tc>
      </w:tr>
      <w:tr w:rsidR="00730504"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Tax statistics</w:t>
            </w:r>
          </w:p>
        </w:tc>
        <w:tc>
          <w:tcPr>
            <w:tcW w:w="2052"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0.43</w:t>
            </w:r>
          </w:p>
        </w:tc>
        <w:tc>
          <w:tcPr>
            <w:tcW w:w="2052"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0.7</w:t>
            </w:r>
          </w:p>
        </w:tc>
        <w:tc>
          <w:tcPr>
            <w:tcW w:w="2053"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0.3</w:t>
            </w:r>
          </w:p>
        </w:tc>
      </w:tr>
    </w:tbl>
    <w:p w:rsidR="00730504" w:rsidRPr="001B2B55" w:rsidRDefault="00730504" w:rsidP="00730504">
      <w:pPr>
        <w:pStyle w:val="AERtablesource"/>
      </w:pPr>
      <w:r>
        <w:t>Source:</w:t>
      </w:r>
      <w:r>
        <w:tab/>
        <w:t>AER analysis.</w:t>
      </w:r>
      <w:bookmarkStart w:id="34" w:name="_Ref400900373"/>
    </w:p>
    <w:p w:rsidR="00730504" w:rsidRDefault="00730504" w:rsidP="00730504">
      <w:pPr>
        <w:pStyle w:val="Caption"/>
      </w:pPr>
      <w:bookmarkStart w:id="35" w:name="_Ref404072148"/>
      <w:r>
        <w:t xml:space="preserve">Table </w:t>
      </w:r>
      <w:r w:rsidR="00332D56">
        <w:fldChar w:fldCharType="begin"/>
      </w:r>
      <w:r w:rsidR="00332D56">
        <w:instrText xml:space="preserve"> STYLEREF 1 \s </w:instrText>
      </w:r>
      <w:r w:rsidR="00332D56">
        <w:fldChar w:fldCharType="separate"/>
      </w:r>
      <w:r w:rsidR="003F0AA6">
        <w:rPr>
          <w:noProof/>
        </w:rPr>
        <w:t>4</w:t>
      </w:r>
      <w:r w:rsidR="00332D56">
        <w:rPr>
          <w:noProof/>
        </w:rPr>
        <w:fldChar w:fldCharType="end"/>
      </w:r>
      <w:r w:rsidR="00257FBE">
        <w:noBreakHyphen/>
      </w:r>
      <w:r w:rsidR="00332D56">
        <w:fldChar w:fldCharType="begin"/>
      </w:r>
      <w:r w:rsidR="00332D56">
        <w:instrText xml:space="preserve"> SEQ Table \* ARABIC \s 1 </w:instrText>
      </w:r>
      <w:r w:rsidR="00332D56">
        <w:fldChar w:fldCharType="separate"/>
      </w:r>
      <w:r w:rsidR="003F0AA6">
        <w:rPr>
          <w:noProof/>
        </w:rPr>
        <w:t>2</w:t>
      </w:r>
      <w:r w:rsidR="00332D56">
        <w:rPr>
          <w:noProof/>
        </w:rPr>
        <w:fldChar w:fldCharType="end"/>
      </w:r>
      <w:bookmarkEnd w:id="34"/>
      <w:bookmarkEnd w:id="35"/>
      <w:r>
        <w:tab/>
        <w:t>Estimates of the value of imputation credits—evidence from listed equity</w:t>
      </w:r>
    </w:p>
    <w:tbl>
      <w:tblPr>
        <w:tblStyle w:val="AERtable-numbers"/>
        <w:tblW w:w="0" w:type="auto"/>
        <w:tblLook w:val="04A0" w:firstRow="1" w:lastRow="0" w:firstColumn="1" w:lastColumn="0" w:noHBand="0" w:noVBand="1"/>
      </w:tblPr>
      <w:tblGrid>
        <w:gridCol w:w="2802"/>
        <w:gridCol w:w="2146"/>
        <w:gridCol w:w="2147"/>
        <w:gridCol w:w="2147"/>
      </w:tblGrid>
      <w:tr w:rsidR="00730504" w:rsidTr="00D71DD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730504" w:rsidRDefault="00730504" w:rsidP="00D71DDD">
            <w:pPr>
              <w:keepNext/>
              <w:numPr>
                <w:ilvl w:val="0"/>
                <w:numId w:val="25"/>
              </w:numPr>
            </w:pPr>
            <w:r>
              <w:t>Evidence on utilisation rate</w:t>
            </w:r>
          </w:p>
        </w:tc>
        <w:tc>
          <w:tcPr>
            <w:tcW w:w="2146"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U</w:t>
            </w:r>
            <w:r w:rsidRPr="00052838">
              <w:t>tilisation rate</w:t>
            </w:r>
          </w:p>
        </w:tc>
        <w:tc>
          <w:tcPr>
            <w:tcW w:w="2147"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D</w:t>
            </w:r>
            <w:r w:rsidRPr="00052838">
              <w:t>istribution rate</w:t>
            </w:r>
          </w:p>
        </w:tc>
        <w:tc>
          <w:tcPr>
            <w:tcW w:w="2147"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V</w:t>
            </w:r>
            <w:r w:rsidRPr="00052838">
              <w:t>alue of Imputation Credits</w:t>
            </w:r>
          </w:p>
        </w:tc>
      </w:tr>
      <w:tr w:rsidR="00730504" w:rsidTr="00D71DDD">
        <w:trPr>
          <w:cantSplit/>
        </w:trPr>
        <w:tc>
          <w:tcPr>
            <w:cnfStyle w:val="001000000000" w:firstRow="0" w:lastRow="0" w:firstColumn="1" w:lastColumn="0" w:oddVBand="0" w:evenVBand="0" w:oddHBand="0" w:evenHBand="0" w:firstRowFirstColumn="0" w:firstRowLastColumn="0" w:lastRowFirstColumn="0" w:lastRowLastColumn="0"/>
            <w:tcW w:w="2802" w:type="dxa"/>
          </w:tcPr>
          <w:p w:rsidR="00730504" w:rsidRDefault="00730504" w:rsidP="00D71DDD">
            <w:pPr>
              <w:keepNext/>
              <w:numPr>
                <w:ilvl w:val="0"/>
                <w:numId w:val="25"/>
              </w:numPr>
            </w:pPr>
            <w:r>
              <w:t>Equity ownership approach</w:t>
            </w:r>
          </w:p>
        </w:tc>
        <w:tc>
          <w:tcPr>
            <w:tcW w:w="2146" w:type="dxa"/>
          </w:tcPr>
          <w:p w:rsidR="00730504" w:rsidRDefault="00C20C67"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0.38</w:t>
            </w:r>
            <w:r w:rsidR="00730504">
              <w:t xml:space="preserve"> to 0.</w:t>
            </w:r>
            <w:r>
              <w:t>5</w:t>
            </w:r>
            <w:r w:rsidR="00647254">
              <w:t>5</w:t>
            </w:r>
          </w:p>
        </w:tc>
        <w:tc>
          <w:tcPr>
            <w:tcW w:w="2147" w:type="dxa"/>
          </w:tcPr>
          <w:p w:rsidR="00730504" w:rsidRPr="00730504" w:rsidRDefault="00730504" w:rsidP="00D71DDD">
            <w:pPr>
              <w:keepNext/>
              <w:cnfStyle w:val="000000000000" w:firstRow="0" w:lastRow="0" w:firstColumn="0" w:lastColumn="0" w:oddVBand="0" w:evenVBand="0" w:oddHBand="0" w:evenHBand="0" w:firstRowFirstColumn="0" w:firstRowLastColumn="0" w:lastRowFirstColumn="0" w:lastRowLastColumn="0"/>
            </w:pPr>
            <w:r>
              <w:t>0.8</w:t>
            </w:r>
          </w:p>
        </w:tc>
        <w:tc>
          <w:tcPr>
            <w:tcW w:w="2147" w:type="dxa"/>
          </w:tcPr>
          <w:p w:rsidR="00730504" w:rsidRDefault="0064725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0.31</w:t>
            </w:r>
            <w:r w:rsidR="00730504">
              <w:t xml:space="preserve"> to 0.4</w:t>
            </w:r>
            <w:r>
              <w:t>4</w:t>
            </w:r>
          </w:p>
        </w:tc>
      </w:tr>
      <w:tr w:rsidR="00884B75"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vAlign w:val="top"/>
          </w:tcPr>
          <w:p w:rsidR="00884B75" w:rsidRDefault="00884B75" w:rsidP="00D71DDD">
            <w:pPr>
              <w:keepNext/>
            </w:pPr>
            <w:r>
              <w:t>Implied market value studies</w:t>
            </w:r>
          </w:p>
          <w:p w:rsidR="00884B75" w:rsidRPr="00884B75" w:rsidRDefault="00884B75" w:rsidP="00D71DDD">
            <w:pPr>
              <w:keepNext/>
              <w:rPr>
                <w:rStyle w:val="AERtextitalic"/>
              </w:rPr>
            </w:pPr>
            <w:r w:rsidRPr="00884B75">
              <w:rPr>
                <w:rStyle w:val="AERtextitalic"/>
              </w:rPr>
              <w:t>SFG dividend drop off study</w:t>
            </w:r>
          </w:p>
        </w:tc>
        <w:tc>
          <w:tcPr>
            <w:tcW w:w="2146" w:type="dxa"/>
            <w:vAlign w:val="top"/>
          </w:tcPr>
          <w:p w:rsidR="00884B75" w:rsidRDefault="00884B75" w:rsidP="00D71DDD">
            <w:pPr>
              <w:keepNext/>
              <w:cnfStyle w:val="000000010000" w:firstRow="0" w:lastRow="0" w:firstColumn="0" w:lastColumn="0" w:oddVBand="0" w:evenVBand="0" w:oddHBand="0" w:evenHBand="1" w:firstRowFirstColumn="0" w:firstRowLastColumn="0" w:lastRowFirstColumn="0" w:lastRowLastColumn="0"/>
            </w:pPr>
            <w:r>
              <w:t>0 to 1</w:t>
            </w:r>
          </w:p>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rsidRPr="00884B75">
              <w:rPr>
                <w:rStyle w:val="AERtextitalic"/>
              </w:rPr>
              <w:t>0.35 (0.4)</w:t>
            </w:r>
            <w:r>
              <w:rPr>
                <w:rStyle w:val="AERsuperscript"/>
              </w:rPr>
              <w:t>(a</w:t>
            </w:r>
            <w:r w:rsidRPr="00884B75">
              <w:rPr>
                <w:rStyle w:val="AERsuperscript"/>
              </w:rPr>
              <w:t>)</w:t>
            </w:r>
          </w:p>
        </w:tc>
        <w:tc>
          <w:tcPr>
            <w:tcW w:w="2147" w:type="dxa"/>
            <w:vAlign w:val="top"/>
          </w:tcPr>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t xml:space="preserve">  0.8</w:t>
            </w:r>
          </w:p>
        </w:tc>
        <w:tc>
          <w:tcPr>
            <w:tcW w:w="2147" w:type="dxa"/>
            <w:vAlign w:val="top"/>
          </w:tcPr>
          <w:p w:rsidR="00884B75" w:rsidRDefault="00884B75" w:rsidP="00D71DDD">
            <w:pPr>
              <w:keepNext/>
              <w:cnfStyle w:val="000000010000" w:firstRow="0" w:lastRow="0" w:firstColumn="0" w:lastColumn="0" w:oddVBand="0" w:evenVBand="0" w:oddHBand="0" w:evenHBand="1" w:firstRowFirstColumn="0" w:firstRowLastColumn="0" w:lastRowFirstColumn="0" w:lastRowLastColumn="0"/>
            </w:pPr>
            <w:r>
              <w:t>0 to 0.8</w:t>
            </w:r>
          </w:p>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rsidRPr="00884B75">
              <w:rPr>
                <w:rStyle w:val="AERtextitalic"/>
              </w:rPr>
              <w:t>0.28 (0.32)</w:t>
            </w:r>
            <w:r>
              <w:rPr>
                <w:rStyle w:val="AERsuperscript"/>
              </w:rPr>
              <w:t>(a</w:t>
            </w:r>
            <w:r w:rsidRPr="00884B75">
              <w:rPr>
                <w:rStyle w:val="AERsuperscript"/>
              </w:rPr>
              <w:t>)</w:t>
            </w:r>
          </w:p>
        </w:tc>
      </w:tr>
    </w:tbl>
    <w:p w:rsidR="00730504" w:rsidRDefault="00730504" w:rsidP="00730504">
      <w:pPr>
        <w:pStyle w:val="AERtablesource"/>
      </w:pPr>
      <w:r>
        <w:t>Source:</w:t>
      </w:r>
      <w:r>
        <w:tab/>
        <w:t>AER analysis.</w:t>
      </w:r>
    </w:p>
    <w:p w:rsidR="00730504" w:rsidRDefault="00884B75" w:rsidP="00530F0A">
      <w:pPr>
        <w:pStyle w:val="AERtablesource"/>
      </w:pPr>
      <w:r>
        <w:t>(a</w:t>
      </w:r>
      <w:r w:rsidR="00730504">
        <w:t>):</w:t>
      </w:r>
      <w:r w:rsidR="00730504">
        <w:tab/>
      </w:r>
      <w:r w:rsidR="00530F0A">
        <w:t xml:space="preserve">Following the adjustment proposed by Handley and Lally. This adjustment </w:t>
      </w:r>
      <w:proofErr w:type="gramStart"/>
      <w:r w:rsidR="00530F0A">
        <w:t>is discussed</w:t>
      </w:r>
      <w:proofErr w:type="gramEnd"/>
      <w:r w:rsidR="00530F0A">
        <w:t xml:space="preserve"> further in section</w:t>
      </w:r>
      <w:r w:rsidR="00EF0918">
        <w:t xml:space="preserve"> </w:t>
      </w:r>
      <w:r w:rsidR="00EF0918">
        <w:fldChar w:fldCharType="begin"/>
      </w:r>
      <w:r w:rsidR="00EF0918">
        <w:instrText xml:space="preserve"> REF _Ref414289593 \r \h </w:instrText>
      </w:r>
      <w:r w:rsidR="00EF0918">
        <w:fldChar w:fldCharType="separate"/>
      </w:r>
      <w:r w:rsidR="003F0AA6">
        <w:t>4.4.2</w:t>
      </w:r>
      <w:r w:rsidR="00EF0918">
        <w:fldChar w:fldCharType="end"/>
      </w:r>
      <w:r w:rsidR="00EF0918">
        <w:t>.</w:t>
      </w:r>
      <w:r w:rsidR="00530F0A">
        <w:t xml:space="preserve"> </w:t>
      </w:r>
    </w:p>
    <w:p w:rsidR="00730504" w:rsidRDefault="00730504" w:rsidP="00730504">
      <w:pPr>
        <w:numPr>
          <w:ilvl w:val="0"/>
          <w:numId w:val="25"/>
        </w:numPr>
      </w:pPr>
      <w:r>
        <w:t>Overall, the evidence suggests that a reasonable estimate of the value of imputation credits is within the range 0.3 to 0.</w:t>
      </w:r>
      <w:r w:rsidR="003B3322">
        <w:t>5</w:t>
      </w:r>
      <w:r>
        <w:t>.</w:t>
      </w:r>
      <w:r>
        <w:rPr>
          <w:rStyle w:val="FootnoteReference"/>
        </w:rPr>
        <w:footnoteReference w:id="52"/>
      </w:r>
      <w:r>
        <w:t xml:space="preserve"> From within this range, we choose a value of 0.4. This is because:</w:t>
      </w:r>
    </w:p>
    <w:p w:rsidR="00730504" w:rsidRPr="00730504" w:rsidRDefault="00730504" w:rsidP="00730504">
      <w:pPr>
        <w:pStyle w:val="AERbulletlistfirststyle"/>
      </w:pPr>
      <w:r>
        <w:t>The equity ownership approach, on which we have placed the most relian</w:t>
      </w:r>
      <w:r w:rsidR="00C20C67">
        <w:t xml:space="preserve">ce, suggests a value </w:t>
      </w:r>
      <w:r w:rsidR="00361EF1">
        <w:t>between 0.4</w:t>
      </w:r>
      <w:r w:rsidR="005E0668">
        <w:t>0</w:t>
      </w:r>
      <w:r>
        <w:t xml:space="preserve"> and 0.</w:t>
      </w:r>
      <w:r w:rsidR="00C20C67">
        <w:t>4</w:t>
      </w:r>
      <w:r w:rsidR="00361EF1">
        <w:t>7</w:t>
      </w:r>
      <w:r>
        <w:t xml:space="preserve"> when applied to al</w:t>
      </w:r>
      <w:r w:rsidR="00C20C67">
        <w:t>l equity and between 0.3</w:t>
      </w:r>
      <w:r w:rsidR="00361EF1">
        <w:t>1 and 0.44</w:t>
      </w:r>
      <w:r>
        <w:t xml:space="preserve"> when applied to </w:t>
      </w:r>
      <w:r w:rsidR="001C274C">
        <w:t>only listed equity</w:t>
      </w:r>
      <w:r>
        <w:t>. Therefore, t</w:t>
      </w:r>
      <w:r w:rsidRPr="00730504">
        <w:t xml:space="preserve">he </w:t>
      </w:r>
      <w:r w:rsidR="00960EBC">
        <w:t>overlap</w:t>
      </w:r>
      <w:r w:rsidRPr="00730504">
        <w:t xml:space="preserve"> of </w:t>
      </w:r>
      <w:r w:rsidR="00960EBC">
        <w:t xml:space="preserve">the </w:t>
      </w:r>
      <w:r w:rsidRPr="00730504">
        <w:t>evidence from the equity ownership a</w:t>
      </w:r>
      <w:r w:rsidR="00361EF1">
        <w:t>pproach suggests a value between 0.4</w:t>
      </w:r>
      <w:r w:rsidR="005E0668">
        <w:t>0</w:t>
      </w:r>
      <w:r w:rsidR="00361EF1">
        <w:t xml:space="preserve"> and 0.44</w:t>
      </w:r>
      <w:r w:rsidRPr="00730504">
        <w:t>.</w:t>
      </w:r>
    </w:p>
    <w:p w:rsidR="00730504" w:rsidRDefault="00730504" w:rsidP="00730504">
      <w:pPr>
        <w:pStyle w:val="AERbulletlistfirststyle"/>
      </w:pPr>
      <w:r>
        <w:t>The evidence from tax statistics</w:t>
      </w:r>
      <w:r w:rsidR="00361EF1">
        <w:t xml:space="preserve"> suggest</w:t>
      </w:r>
      <w:r w:rsidR="00A015CD">
        <w:t>s</w:t>
      </w:r>
      <w:r w:rsidRPr="00730504">
        <w:t xml:space="preserve"> the value could be lower than 0.4. Therefore</w:t>
      </w:r>
      <w:r w:rsidR="0031438A">
        <w:t>, with regard to this evidenc</w:t>
      </w:r>
      <w:r w:rsidR="00297C4E">
        <w:t>e and the less reliance we place on it,</w:t>
      </w:r>
      <w:r w:rsidRPr="00730504">
        <w:t xml:space="preserve"> we choose a value at the lower e</w:t>
      </w:r>
      <w:r w:rsidR="00960EBC">
        <w:t>nd of the range suggested by the overlap</w:t>
      </w:r>
      <w:r w:rsidRPr="00730504">
        <w:t xml:space="preserve"> of evidence from the equity ownership approach (that is, 0.4).</w:t>
      </w:r>
    </w:p>
    <w:p w:rsidR="00884B75" w:rsidRPr="00730504" w:rsidRDefault="005C7BE1" w:rsidP="005C7BE1">
      <w:pPr>
        <w:pStyle w:val="AERbulletlistfirststyle"/>
      </w:pPr>
      <w:r w:rsidRPr="005C7BE1">
        <w:t xml:space="preserve">The evidence from SFG's dividend drop off study also suggests that the value could be lower than 0.4. However, we place even less reliance on this evidence. We therefore consider that choosing a value at the lower end of the range suggested by the overlap of </w:t>
      </w:r>
      <w:r w:rsidRPr="005C7BE1">
        <w:lastRenderedPageBreak/>
        <w:t>evidence from the equity ownership approach (that is, 0.4) has appropriate regard to the merits of SFG’s evidence. Moreover, evidence from other implied market value studies suggests that the value could be both higher or lower than 0.4.</w:t>
      </w:r>
    </w:p>
    <w:p w:rsidR="00730504" w:rsidRDefault="00730504" w:rsidP="00730504">
      <w:pPr>
        <w:numPr>
          <w:ilvl w:val="0"/>
          <w:numId w:val="25"/>
        </w:numPr>
      </w:pPr>
      <w:r>
        <w:t>The reasons for the relative levels of reliance that we place on different types of evidence are set out in this attachment and appendix A.</w:t>
      </w:r>
    </w:p>
    <w:p w:rsidR="00730504" w:rsidRPr="00730504" w:rsidRDefault="00730504" w:rsidP="00CB42DF">
      <w:pPr>
        <w:numPr>
          <w:ilvl w:val="0"/>
          <w:numId w:val="25"/>
        </w:numPr>
      </w:pPr>
      <w:r>
        <w:t>We therefore do not accept the service providers' proposed value of imputation credits of 0.25, calculated as the product of a distribution rate of 0.7 and a utilisation rate of 0.35. Specifically, we do not accept the service providers' proposed estimate of the utilisation rate of 0.35. This is because</w:t>
      </w:r>
      <w:r w:rsidR="00CB42DF">
        <w:t xml:space="preserve"> w</w:t>
      </w:r>
      <w:r>
        <w:t xml:space="preserve">e do not consider it </w:t>
      </w:r>
      <w:r w:rsidR="00C9626B">
        <w:t>appropriate</w:t>
      </w:r>
      <w:r>
        <w:t xml:space="preserve"> to rely exclusively on </w:t>
      </w:r>
      <w:r w:rsidR="001534F5">
        <w:t xml:space="preserve">implied market value studies (or </w:t>
      </w:r>
      <w:r w:rsidR="00CB42DF">
        <w:t xml:space="preserve">SFG's </w:t>
      </w:r>
      <w:r w:rsidR="00C9626B">
        <w:t xml:space="preserve">single </w:t>
      </w:r>
      <w:r w:rsidR="00CB42DF">
        <w:t>dividend drop off study</w:t>
      </w:r>
      <w:r w:rsidR="001534F5">
        <w:t>)</w:t>
      </w:r>
      <w:r>
        <w:t>. Handley and Lally advise</w:t>
      </w:r>
      <w:r w:rsidRPr="00730504">
        <w:t xml:space="preserve">d that other classes of evidence are more </w:t>
      </w:r>
      <w:r w:rsidR="00C9626B">
        <w:t>valuable</w:t>
      </w:r>
      <w:r w:rsidRPr="00730504">
        <w:t>.</w:t>
      </w:r>
      <w:r w:rsidRPr="00730504">
        <w:rPr>
          <w:rStyle w:val="FootnoteReference"/>
        </w:rPr>
        <w:footnoteReference w:id="53"/>
      </w:r>
      <w:r w:rsidRPr="00730504">
        <w:t xml:space="preserve"> McKenzie and Partington's report for the Queensland Resources Council suggested that it is reasonable to have regard to other classes of evidence.</w:t>
      </w:r>
      <w:r w:rsidRPr="00730504">
        <w:rPr>
          <w:rStyle w:val="FootnoteReference"/>
        </w:rPr>
        <w:footnoteReference w:id="54"/>
      </w:r>
      <w:r w:rsidR="00792483">
        <w:t xml:space="preserve"> The South Australian Centre for E</w:t>
      </w:r>
      <w:r w:rsidR="003B4139">
        <w:t>conomic Studies</w:t>
      </w:r>
      <w:r w:rsidR="00792483">
        <w:t xml:space="preserve"> report for the South Australian Council of Social Service suggested that</w:t>
      </w:r>
      <w:r w:rsidR="005612D9">
        <w:t xml:space="preserve"> </w:t>
      </w:r>
      <w:r w:rsidR="001534F5">
        <w:t>dividend drop off studies</w:t>
      </w:r>
      <w:r w:rsidR="005612D9">
        <w:t xml:space="preserve"> </w:t>
      </w:r>
      <w:r w:rsidR="00792483">
        <w:t>be disregarded entirely.</w:t>
      </w:r>
      <w:r w:rsidR="005170E4">
        <w:rPr>
          <w:rStyle w:val="FootnoteReference"/>
        </w:rPr>
        <w:footnoteReference w:id="55"/>
      </w:r>
    </w:p>
    <w:p w:rsidR="00730504" w:rsidRDefault="00E424CC" w:rsidP="00730504">
      <w:pPr>
        <w:numPr>
          <w:ilvl w:val="0"/>
          <w:numId w:val="25"/>
        </w:numPr>
      </w:pPr>
      <w:r>
        <w:t>Even if</w:t>
      </w:r>
      <w:r w:rsidR="005D795E">
        <w:t xml:space="preserve"> we were to rely solely on the</w:t>
      </w:r>
      <w:r w:rsidR="00730504">
        <w:t xml:space="preserve"> estimate of the utilisation rate of 0.35 from SFG's study, we consider that a value of imputation credits of 0.25 is unreasonable. This is because:</w:t>
      </w:r>
    </w:p>
    <w:p w:rsidR="00730504" w:rsidRPr="00730504" w:rsidRDefault="00730504" w:rsidP="00730504">
      <w:pPr>
        <w:pStyle w:val="AERbulletlistfirststyle"/>
      </w:pPr>
      <w:r>
        <w:t>Handley and Lally advise</w:t>
      </w:r>
      <w:r w:rsidRPr="00730504">
        <w:t>d that the proper use of this estimate of the utilisation rate requires its adjustment to 0.4.</w:t>
      </w:r>
      <w:r w:rsidRPr="00730504">
        <w:rPr>
          <w:rStyle w:val="FootnoteReference"/>
        </w:rPr>
        <w:footnoteReference w:id="56"/>
      </w:r>
      <w:r w:rsidRPr="00730504">
        <w:t xml:space="preserve"> We </w:t>
      </w:r>
      <w:r w:rsidR="00C9626B">
        <w:t>agree</w:t>
      </w:r>
      <w:r w:rsidRPr="00730504">
        <w:t>.</w:t>
      </w:r>
    </w:p>
    <w:p w:rsidR="00730504" w:rsidRPr="00730504" w:rsidRDefault="00730504" w:rsidP="00730504">
      <w:pPr>
        <w:pStyle w:val="AERbulletlistfirststyle"/>
      </w:pPr>
      <w:r>
        <w:t xml:space="preserve">This is an estimate of </w:t>
      </w:r>
      <w:r w:rsidRPr="00730504">
        <w:t xml:space="preserve">the utilisation rate of investors in </w:t>
      </w:r>
      <w:r w:rsidR="001C274C">
        <w:t>only listed equity</w:t>
      </w:r>
      <w:r w:rsidRPr="00730504">
        <w:t xml:space="preserve">, and therefore it should be paired with an estimate of the distribution rate from </w:t>
      </w:r>
      <w:r w:rsidR="001C274C">
        <w:t>only listed equity</w:t>
      </w:r>
      <w:r w:rsidRPr="00730504">
        <w:t xml:space="preserve"> (that is, 0.8).</w:t>
      </w:r>
    </w:p>
    <w:p w:rsidR="00730504" w:rsidRDefault="00730504" w:rsidP="00730504">
      <w:pPr>
        <w:numPr>
          <w:ilvl w:val="0"/>
          <w:numId w:val="25"/>
        </w:numPr>
      </w:pPr>
      <w:r>
        <w:t xml:space="preserve">Therefore, even if the service providers' proposed utilisation rate is used, it yields a value of imputation credits of (0.4 x 0.8) 0.32 rather than 0.25. However, with regard to </w:t>
      </w:r>
      <w:r w:rsidR="008A6898">
        <w:t xml:space="preserve">the </w:t>
      </w:r>
      <w:r>
        <w:t xml:space="preserve">discussion above, our </w:t>
      </w:r>
      <w:r w:rsidR="00C9626B">
        <w:t>estimated</w:t>
      </w:r>
      <w:r>
        <w:t xml:space="preserve"> value of imputation credits is higher than 0.32.</w:t>
      </w:r>
    </w:p>
    <w:p w:rsidR="002C233C" w:rsidRDefault="00730504" w:rsidP="00730504">
      <w:r>
        <w:t>In the sections</w:t>
      </w:r>
      <w:r w:rsidR="008D1665">
        <w:t xml:space="preserve"> </w:t>
      </w:r>
      <w:r w:rsidR="008D1665">
        <w:fldChar w:fldCharType="begin"/>
      </w:r>
      <w:r w:rsidR="008D1665">
        <w:instrText xml:space="preserve"> REF _Ref403482746 \r \h </w:instrText>
      </w:r>
      <w:r w:rsidR="008D1665">
        <w:fldChar w:fldCharType="separate"/>
      </w:r>
      <w:r w:rsidR="003F0AA6">
        <w:t>4.4.1</w:t>
      </w:r>
      <w:r w:rsidR="008D1665">
        <w:fldChar w:fldCharType="end"/>
      </w:r>
      <w:r w:rsidR="008D1665">
        <w:t xml:space="preserve"> and </w:t>
      </w:r>
      <w:r w:rsidR="008D1665">
        <w:fldChar w:fldCharType="begin"/>
      </w:r>
      <w:r w:rsidR="008D1665">
        <w:instrText xml:space="preserve"> REF _Ref414289593 \r \h </w:instrText>
      </w:r>
      <w:r w:rsidR="008D1665">
        <w:fldChar w:fldCharType="separate"/>
      </w:r>
      <w:r w:rsidR="003F0AA6">
        <w:t>4.4.2</w:t>
      </w:r>
      <w:r w:rsidR="008D1665">
        <w:fldChar w:fldCharType="end"/>
      </w:r>
      <w:r>
        <w:t xml:space="preserve">, we describe the sources of the estimates in </w:t>
      </w:r>
      <w:r>
        <w:fldChar w:fldCharType="begin"/>
      </w:r>
      <w:r>
        <w:instrText xml:space="preserve"> REF  _Ref400900366 \* Lower \h </w:instrText>
      </w:r>
      <w:r>
        <w:fldChar w:fldCharType="separate"/>
      </w:r>
      <w:r w:rsidR="003F0AA6">
        <w:t xml:space="preserve">table </w:t>
      </w:r>
      <w:r w:rsidR="003F0AA6">
        <w:rPr>
          <w:noProof/>
        </w:rPr>
        <w:t>4</w:t>
      </w:r>
      <w:r w:rsidR="003F0AA6">
        <w:noBreakHyphen/>
      </w:r>
      <w:r w:rsidR="003F0AA6">
        <w:rPr>
          <w:noProof/>
        </w:rPr>
        <w:t>1</w:t>
      </w:r>
      <w:r>
        <w:fldChar w:fldCharType="end"/>
      </w:r>
      <w:r>
        <w:t xml:space="preserve"> and </w:t>
      </w:r>
      <w:r>
        <w:fldChar w:fldCharType="begin"/>
      </w:r>
      <w:r>
        <w:instrText xml:space="preserve"> REF  _Ref404072148 \* Lower \h </w:instrText>
      </w:r>
      <w:r>
        <w:fldChar w:fldCharType="separate"/>
      </w:r>
      <w:r w:rsidR="003F0AA6">
        <w:t xml:space="preserve">table </w:t>
      </w:r>
      <w:r w:rsidR="003F0AA6">
        <w:rPr>
          <w:noProof/>
        </w:rPr>
        <w:t>4</w:t>
      </w:r>
      <w:r w:rsidR="003F0AA6">
        <w:noBreakHyphen/>
      </w:r>
      <w:r w:rsidR="003F0AA6">
        <w:rPr>
          <w:noProof/>
        </w:rPr>
        <w:t>2</w:t>
      </w:r>
      <w:r>
        <w:fldChar w:fldCharType="end"/>
      </w:r>
      <w:r>
        <w:t>, and we present our assessment of the underlying evidence.</w:t>
      </w:r>
    </w:p>
    <w:p w:rsidR="00570EA2" w:rsidRDefault="008D1665" w:rsidP="00215D70">
      <w:pPr>
        <w:pStyle w:val="HeadingBoldItalic"/>
      </w:pPr>
      <w:r>
        <w:lastRenderedPageBreak/>
        <w:t>Responses to key issues raised by stakeholders</w:t>
      </w:r>
    </w:p>
    <w:p w:rsidR="007D7B91" w:rsidRDefault="007D7B91" w:rsidP="008D1665">
      <w:r>
        <w:t xml:space="preserve">The issues raised by the service providers are addressed in the relevant sections below and in various sections of appendix A. In section </w:t>
      </w:r>
      <w:r>
        <w:fldChar w:fldCharType="begin"/>
      </w:r>
      <w:r>
        <w:instrText xml:space="preserve"> REF _Ref415070393 \r \h </w:instrText>
      </w:r>
      <w:r>
        <w:fldChar w:fldCharType="separate"/>
      </w:r>
      <w:r w:rsidR="003F0AA6">
        <w:t>A.4</w:t>
      </w:r>
      <w:r>
        <w:fldChar w:fldCharType="end"/>
      </w:r>
      <w:r>
        <w:t xml:space="preserve"> of appendix A</w:t>
      </w:r>
      <w:r w:rsidR="001943F7">
        <w:t>,</w:t>
      </w:r>
      <w:r>
        <w:t xml:space="preserve"> we identify where in this final decision we have responded to the eight </w:t>
      </w:r>
      <w:r w:rsidR="0046390C">
        <w:t xml:space="preserve">key concerns of </w:t>
      </w:r>
      <w:r>
        <w:t>the service providers.</w:t>
      </w:r>
    </w:p>
    <w:p w:rsidR="008D1665" w:rsidRDefault="00F42728" w:rsidP="008D1665">
      <w:r>
        <w:t>Submissions</w:t>
      </w:r>
      <w:r w:rsidR="007C6807">
        <w:t xml:space="preserve"> on the value of imputation credits from consumer representatives </w:t>
      </w:r>
      <w:r>
        <w:t>are summarised below</w:t>
      </w:r>
      <w:r w:rsidR="007C6807">
        <w:t>:</w:t>
      </w:r>
    </w:p>
    <w:p w:rsidR="007C6807" w:rsidRDefault="007C6807" w:rsidP="007C6807">
      <w:pPr>
        <w:pStyle w:val="AERbulletlistfirststyle"/>
      </w:pPr>
      <w:r>
        <w:t xml:space="preserve">The CCP expressed a view that </w:t>
      </w:r>
      <w:r w:rsidRPr="007C6807">
        <w:t>suggests we should take into account the interrelationship with the corporate tax allowance when determining the value of imputation credits.</w:t>
      </w:r>
      <w:r>
        <w:rPr>
          <w:rStyle w:val="FootnoteReference"/>
        </w:rPr>
        <w:footnoteReference w:id="57"/>
      </w:r>
      <w:r w:rsidR="00997F72">
        <w:t xml:space="preserve"> We address this in section </w:t>
      </w:r>
      <w:r w:rsidR="00997F72">
        <w:fldChar w:fldCharType="begin"/>
      </w:r>
      <w:r w:rsidR="00997F72">
        <w:instrText xml:space="preserve"> REF _Ref415070818 \r \h </w:instrText>
      </w:r>
      <w:r w:rsidR="00997F72">
        <w:fldChar w:fldCharType="separate"/>
      </w:r>
      <w:r w:rsidR="003F0AA6">
        <w:t>4.3.4</w:t>
      </w:r>
      <w:r w:rsidR="00997F72">
        <w:fldChar w:fldCharType="end"/>
      </w:r>
      <w:r w:rsidR="00997F72">
        <w:t>.</w:t>
      </w:r>
    </w:p>
    <w:p w:rsidR="005401BC" w:rsidRPr="005401BC" w:rsidRDefault="005401BC" w:rsidP="005401BC">
      <w:pPr>
        <w:pStyle w:val="AERbulletlistfirststyle"/>
      </w:pPr>
      <w:r>
        <w:t xml:space="preserve">The Public Interest Advocacy Centre (PIAC) submitted that the Australian Competition Tribunal's </w:t>
      </w:r>
      <w:r w:rsidR="00EE10D7">
        <w:t xml:space="preserve">(the Tribunal) </w:t>
      </w:r>
      <w:r>
        <w:t>decision in 2011 to rely on an estimate of the utilisation rate from</w:t>
      </w:r>
      <w:r w:rsidR="00CE55B5">
        <w:t xml:space="preserve"> the 2011 version of</w:t>
      </w:r>
      <w:r>
        <w:t xml:space="preserve"> SFG's dividend drop off study should not be viewed as permanently determinative.</w:t>
      </w:r>
      <w:r w:rsidRPr="005401BC">
        <w:rPr>
          <w:rStyle w:val="FootnoteReference"/>
        </w:rPr>
        <w:footnoteReference w:id="58"/>
      </w:r>
      <w:r w:rsidRPr="005401BC">
        <w:t xml:space="preserve"> We agree with these comments in light of the Tribunal's finding that:</w:t>
      </w:r>
      <w:r w:rsidRPr="005401BC">
        <w:rPr>
          <w:rStyle w:val="FootnoteReference"/>
        </w:rPr>
        <w:footnoteReference w:id="59"/>
      </w:r>
    </w:p>
    <w:p w:rsidR="005401BC" w:rsidRDefault="005401BC" w:rsidP="005401BC">
      <w:pPr>
        <w:pStyle w:val="AERquote"/>
      </w:pPr>
      <w:r>
        <w:t xml:space="preserve">Further, the Tribunal notes that estimation of a parameter such as </w:t>
      </w:r>
      <w:r w:rsidR="0046390C">
        <w:t xml:space="preserve">gamma </w:t>
      </w:r>
      <w:r>
        <w:t>[the value of imputation credits] is necessarily, and desirably, an ongoing intellectual and empirical endeavour. Its decision in these proceedings is based on the material before it.</w:t>
      </w:r>
    </w:p>
    <w:p w:rsidR="005401BC" w:rsidRDefault="005401BC" w:rsidP="005401BC">
      <w:pPr>
        <w:pStyle w:val="AERbulletlistfirststyle"/>
        <w:numPr>
          <w:ilvl w:val="0"/>
          <w:numId w:val="0"/>
        </w:numPr>
        <w:ind w:left="357"/>
      </w:pPr>
      <w:r>
        <w:t>PIAC also submitted that our draft decisions adequately set out the reasons for departing from the value of imputation credits in the Guideline.</w:t>
      </w:r>
      <w:r>
        <w:rPr>
          <w:rStyle w:val="FootnoteReference"/>
        </w:rPr>
        <w:footnoteReference w:id="60"/>
      </w:r>
    </w:p>
    <w:p w:rsidR="00700E74" w:rsidRDefault="005B539D" w:rsidP="005B539D">
      <w:pPr>
        <w:pStyle w:val="AERbulletlistfirststyle"/>
      </w:pPr>
      <w:r>
        <w:t>T</w:t>
      </w:r>
      <w:r w:rsidRPr="005B539D">
        <w:t>he E</w:t>
      </w:r>
      <w:r>
        <w:t xml:space="preserve">nergy </w:t>
      </w:r>
      <w:r w:rsidRPr="005B539D">
        <w:t>M</w:t>
      </w:r>
      <w:r>
        <w:t xml:space="preserve">arkets </w:t>
      </w:r>
      <w:r w:rsidRPr="005B539D">
        <w:t>R</w:t>
      </w:r>
      <w:r>
        <w:t xml:space="preserve">eform </w:t>
      </w:r>
      <w:r w:rsidRPr="005B539D">
        <w:t>F</w:t>
      </w:r>
      <w:r>
        <w:t>orum</w:t>
      </w:r>
      <w:r w:rsidRPr="005B539D">
        <w:t xml:space="preserve"> </w:t>
      </w:r>
      <w:r>
        <w:t>submitted</w:t>
      </w:r>
      <w:r w:rsidRPr="005B539D">
        <w:t xml:space="preserve"> that </w:t>
      </w:r>
      <w:r>
        <w:t>our</w:t>
      </w:r>
      <w:r w:rsidRPr="005B539D">
        <w:t xml:space="preserve"> estimates of the utilisation and distribution rates are lower</w:t>
      </w:r>
      <w:r w:rsidR="0046390C">
        <w:t xml:space="preserve"> (and, therefore more favourable to service providers)</w:t>
      </w:r>
      <w:r w:rsidRPr="005B539D">
        <w:t xml:space="preserve"> than those relevant to a pure play energy network (which is the benchmark </w:t>
      </w:r>
      <w:r w:rsidR="0046390C">
        <w:t xml:space="preserve">efficient </w:t>
      </w:r>
      <w:r w:rsidRPr="005B539D">
        <w:t xml:space="preserve">entity for setting the </w:t>
      </w:r>
      <w:r>
        <w:t>rate of return</w:t>
      </w:r>
      <w:r w:rsidRPr="005B539D">
        <w:t>).</w:t>
      </w:r>
      <w:r>
        <w:rPr>
          <w:rStyle w:val="FootnoteReference"/>
        </w:rPr>
        <w:footnoteReference w:id="61"/>
      </w:r>
      <w:r>
        <w:t xml:space="preserve"> To clarify, w</w:t>
      </w:r>
      <w:r w:rsidRPr="005B539D">
        <w:t xml:space="preserve">e have interpreted and estimated </w:t>
      </w:r>
      <w:r w:rsidR="007632C9">
        <w:t>the value of imputation credits</w:t>
      </w:r>
      <w:r w:rsidRPr="005B539D">
        <w:t xml:space="preserve"> consistently with Officer</w:t>
      </w:r>
      <w:r>
        <w:t>'s 1994 paper</w:t>
      </w:r>
      <w:r w:rsidRPr="005B539D">
        <w:t xml:space="preserve"> and related literature, such </w:t>
      </w:r>
      <w:r w:rsidR="0046390C">
        <w:t xml:space="preserve">as </w:t>
      </w:r>
      <w:r w:rsidRPr="005B539D">
        <w:t xml:space="preserve">Monkhouse. Under this literature, the </w:t>
      </w:r>
      <w:r w:rsidR="007632C9" w:rsidRPr="005B539D">
        <w:t xml:space="preserve">utilisation rate is </w:t>
      </w:r>
      <w:r w:rsidR="00A92655">
        <w:t xml:space="preserve">a </w:t>
      </w:r>
      <w:r w:rsidR="007632C9" w:rsidRPr="005B539D">
        <w:t xml:space="preserve">market-wide parameter </w:t>
      </w:r>
      <w:r w:rsidR="007632C9">
        <w:t xml:space="preserve">and the </w:t>
      </w:r>
      <w:r w:rsidRPr="005B539D">
        <w:t>distribution rate is a firm specific parameter</w:t>
      </w:r>
      <w:r w:rsidR="007632C9">
        <w:t>.</w:t>
      </w:r>
      <w:r w:rsidRPr="005B539D">
        <w:t xml:space="preserve"> </w:t>
      </w:r>
      <w:r w:rsidR="007632C9">
        <w:t>We estimate the utilisation rate on a market-wide</w:t>
      </w:r>
      <w:r w:rsidR="00366244">
        <w:t xml:space="preserve"> basis</w:t>
      </w:r>
      <w:r w:rsidR="007632C9">
        <w:t>. A</w:t>
      </w:r>
      <w:r w:rsidRPr="005B539D">
        <w:t xml:space="preserve">lthough the distribution rate is a firm specific parameter, we estimate it on a market-wide basis </w:t>
      </w:r>
      <w:r w:rsidR="007632C9">
        <w:t xml:space="preserve">also </w:t>
      </w:r>
      <w:r w:rsidRPr="005B539D">
        <w:t>and our reasons for doing so are set out i</w:t>
      </w:r>
      <w:r>
        <w:t>n the Guideline</w:t>
      </w:r>
      <w:r w:rsidRPr="005B539D">
        <w:t>.</w:t>
      </w:r>
      <w:r>
        <w:rPr>
          <w:rStyle w:val="FootnoteReference"/>
        </w:rPr>
        <w:footnoteReference w:id="62"/>
      </w:r>
    </w:p>
    <w:p w:rsidR="0034249A" w:rsidRDefault="0034249A" w:rsidP="005B539D">
      <w:pPr>
        <w:pStyle w:val="AERbulletlistfirststyle"/>
      </w:pPr>
      <w:r>
        <w:t xml:space="preserve">The South Australian Council of Social Service (SACOSS) submitted, based on advice received from the South Australian Centre for Economic Studies, that evidence was </w:t>
      </w:r>
      <w:r>
        <w:lastRenderedPageBreak/>
        <w:t>emerging for a value of imputation credits lower than the 0.5 in the Guideline.</w:t>
      </w:r>
      <w:r w:rsidR="00B36753">
        <w:rPr>
          <w:rStyle w:val="FootnoteReference"/>
        </w:rPr>
        <w:footnoteReference w:id="63"/>
      </w:r>
      <w:r>
        <w:t xml:space="preserve"> SACOSS supported a value of imputation credits of at least 0.4.</w:t>
      </w:r>
    </w:p>
    <w:p w:rsidR="00F17B34" w:rsidRDefault="00F17B34" w:rsidP="00F17B34">
      <w:pPr>
        <w:pStyle w:val="AERbulletlistfirststyle"/>
      </w:pPr>
      <w:r>
        <w:t>The Energy Consumers Coalition of South Australia considered that the service providers submitted no new evidence</w:t>
      </w:r>
      <w:r w:rsidR="003504FC">
        <w:t xml:space="preserve"> to change our conclusions in the Guideline regarding the value of imputation credits.</w:t>
      </w:r>
      <w:r w:rsidR="003504FC">
        <w:rPr>
          <w:rStyle w:val="FootnoteReference"/>
        </w:rPr>
        <w:footnoteReference w:id="64"/>
      </w:r>
      <w:r w:rsidR="003504FC">
        <w:t xml:space="preserve"> </w:t>
      </w:r>
      <w:r w:rsidR="00E32943">
        <w:t>W</w:t>
      </w:r>
      <w:r w:rsidR="003504FC">
        <w:t>e set out in this decision how and why we have departed from the Guideline.</w:t>
      </w:r>
    </w:p>
    <w:p w:rsidR="00913C57" w:rsidRDefault="0044559A" w:rsidP="0044559A">
      <w:pPr>
        <w:pStyle w:val="AERbulletlistfirststyle"/>
      </w:pPr>
      <w:r>
        <w:t>The Queensland Council of Social Service</w:t>
      </w:r>
      <w:r w:rsidR="0014196F">
        <w:t xml:space="preserve"> (QCOSS)</w:t>
      </w:r>
      <w:r>
        <w:t xml:space="preserve"> submitted a 'more </w:t>
      </w:r>
      <w:r w:rsidRPr="0044559A">
        <w:t>even-handed and consistent approach</w:t>
      </w:r>
      <w:r>
        <w:t>' would be a value of imputation credits of 0.5 as per the Guideline.</w:t>
      </w:r>
      <w:r w:rsidR="0014196F">
        <w:rPr>
          <w:rStyle w:val="FootnoteReference"/>
        </w:rPr>
        <w:footnoteReference w:id="65"/>
      </w:r>
      <w:r w:rsidR="0014196F">
        <w:t xml:space="preserve"> QCOSS had regard to a recent decision by the Queensland Competition Authority for a value of 0.47. We set out in this decision why we consider 0.4 to be the best estimate from within the range 0.3 to 0.5.</w:t>
      </w:r>
    </w:p>
    <w:p w:rsidR="003009F6" w:rsidRDefault="003009F6" w:rsidP="0044559A">
      <w:pPr>
        <w:pStyle w:val="AERbulletlistfirststyle"/>
      </w:pPr>
      <w:r>
        <w:t>The Alliance of Electricity Consumers</w:t>
      </w:r>
      <w:r w:rsidR="008F5248">
        <w:t xml:space="preserve"> (the Alliance) employed</w:t>
      </w:r>
      <w:r>
        <w:t xml:space="preserve"> a value of imputation credits of 0.25 in its estimation of an efficient rate of </w:t>
      </w:r>
      <w:r w:rsidR="008F5248">
        <w:t>return.</w:t>
      </w:r>
      <w:r w:rsidR="00F31D12">
        <w:rPr>
          <w:rStyle w:val="FootnoteReference"/>
        </w:rPr>
        <w:footnoteReference w:id="66"/>
      </w:r>
      <w:r w:rsidR="008F5248">
        <w:t xml:space="preserve"> However, the Alliance provided no discussion or justification for the use of this estimate. Regardless, the Alliance submitted that the appropriate rate of return was 3.76 per cent, which is less than half the rate of return typically proposed by the service providers.</w:t>
      </w:r>
    </w:p>
    <w:p w:rsidR="009B2ABF" w:rsidRPr="009B2ABF" w:rsidRDefault="009B2ABF" w:rsidP="00FD5BE7">
      <w:pPr>
        <w:pStyle w:val="Heading3"/>
      </w:pPr>
      <w:bookmarkStart w:id="36" w:name="_Ref403482746"/>
      <w:r>
        <w:t xml:space="preserve">The </w:t>
      </w:r>
      <w:r w:rsidRPr="00FD5BE7">
        <w:t>distribution</w:t>
      </w:r>
      <w:r>
        <w:t xml:space="preserve"> rate</w:t>
      </w:r>
      <w:bookmarkEnd w:id="36"/>
    </w:p>
    <w:p w:rsidR="009B2ABF" w:rsidRDefault="00D44750" w:rsidP="00FD5BE7">
      <w:r>
        <w:t>T</w:t>
      </w:r>
      <w:r w:rsidR="009B2ABF">
        <w:t xml:space="preserve">he distribution rate </w:t>
      </w:r>
      <w:r>
        <w:t>is</w:t>
      </w:r>
      <w:r w:rsidR="009B2ABF">
        <w:t xml:space="preserve"> the proportion of imputation credits generated by the benchmark efficient entity that is distributed to investors.</w:t>
      </w:r>
      <w:r w:rsidR="009B2ABF">
        <w:rPr>
          <w:rStyle w:val="FootnoteReference"/>
        </w:rPr>
        <w:footnoteReference w:id="67"/>
      </w:r>
      <w:r w:rsidR="009B2ABF">
        <w:t xml:space="preserve"> We use a</w:t>
      </w:r>
      <w:r w:rsidR="00E424CC">
        <w:t>n</w:t>
      </w:r>
      <w:r w:rsidR="009B2ABF">
        <w:t xml:space="preserve"> estimate of </w:t>
      </w:r>
      <w:r w:rsidR="00E424CC">
        <w:t xml:space="preserve">0.8 for </w:t>
      </w:r>
      <w:r w:rsidR="009B2ABF">
        <w:t xml:space="preserve">the distribution rate </w:t>
      </w:r>
      <w:r>
        <w:t>when considering</w:t>
      </w:r>
      <w:r w:rsidR="009B2ABF">
        <w:t xml:space="preserve"> estimates of the utilisation rate </w:t>
      </w:r>
      <w:r>
        <w:t>that relate to</w:t>
      </w:r>
      <w:r w:rsidR="009B2ABF">
        <w:t xml:space="preserve"> </w:t>
      </w:r>
      <w:r w:rsidR="001C274C">
        <w:t>only listed equity</w:t>
      </w:r>
      <w:r w:rsidR="009B2ABF">
        <w:t>, and a</w:t>
      </w:r>
      <w:r w:rsidR="00E424CC">
        <w:t>n</w:t>
      </w:r>
      <w:r w:rsidR="009B2ABF">
        <w:t xml:space="preserve"> estimate of</w:t>
      </w:r>
      <w:r w:rsidR="00E424CC">
        <w:t xml:space="preserve"> 0.7 for</w:t>
      </w:r>
      <w:r w:rsidR="009B2ABF">
        <w:t xml:space="preserve"> the distribution rate </w:t>
      </w:r>
      <w:r>
        <w:t xml:space="preserve">when considering </w:t>
      </w:r>
      <w:r w:rsidR="009B2ABF">
        <w:t xml:space="preserve">estimates of the utilisation rate </w:t>
      </w:r>
      <w:r>
        <w:t>that relate to</w:t>
      </w:r>
      <w:r w:rsidR="009B2ABF">
        <w:t xml:space="preserve"> all equity.</w:t>
      </w:r>
    </w:p>
    <w:p w:rsidR="009B2ABF" w:rsidRDefault="009B2ABF" w:rsidP="009B2ABF">
      <w:pPr>
        <w:numPr>
          <w:ilvl w:val="0"/>
          <w:numId w:val="25"/>
        </w:numPr>
      </w:pPr>
      <w:r>
        <w:t>Consistent with the Guideline, we estimate the distribution rate using the 'cumulative payout ratio approach', which uses data from the ATO on the accounts used by companies to track their stocks of imputation credits ('franking account balances').</w:t>
      </w:r>
      <w:r>
        <w:rPr>
          <w:rStyle w:val="FootnoteReference"/>
        </w:rPr>
        <w:footnoteReference w:id="68"/>
      </w:r>
      <w:r>
        <w:t xml:space="preserve"> Using this approach, NERA estimated a distribution rate across all equity of 0.7 for the period 1987 to 2011.</w:t>
      </w:r>
      <w:r>
        <w:rPr>
          <w:rStyle w:val="FootnoteReference"/>
        </w:rPr>
        <w:footnoteReference w:id="69"/>
      </w:r>
      <w:r>
        <w:t xml:space="preserve"> Hathaway found a similar estimate for the period 2004 to 2011.</w:t>
      </w:r>
      <w:r>
        <w:rPr>
          <w:rStyle w:val="FootnoteReference"/>
        </w:rPr>
        <w:footnoteReference w:id="70"/>
      </w:r>
      <w:r>
        <w:t xml:space="preserve"> </w:t>
      </w:r>
    </w:p>
    <w:p w:rsidR="009B2ABF" w:rsidRDefault="009B2ABF" w:rsidP="009B2ABF">
      <w:pPr>
        <w:numPr>
          <w:ilvl w:val="0"/>
          <w:numId w:val="25"/>
        </w:numPr>
      </w:pPr>
      <w:r>
        <w:lastRenderedPageBreak/>
        <w:t>We use the cumulative payout ratio approach because it:</w:t>
      </w:r>
    </w:p>
    <w:p w:rsidR="009B2ABF" w:rsidRPr="009B2ABF" w:rsidRDefault="009B2ABF" w:rsidP="009B2ABF">
      <w:pPr>
        <w:pStyle w:val="AERbulletlistfirststyle"/>
      </w:pPr>
      <w:r>
        <w:t>uses long-term, published data</w:t>
      </w:r>
    </w:p>
    <w:p w:rsidR="009B2ABF" w:rsidRDefault="009B2ABF" w:rsidP="009B2ABF">
      <w:pPr>
        <w:pStyle w:val="AERbulletlistfirststyle"/>
      </w:pPr>
      <w:r>
        <w:t>is supported by the s</w:t>
      </w:r>
      <w:r w:rsidRPr="009B2ABF">
        <w:t>ervice providers, SFG, Handley</w:t>
      </w:r>
      <w:r w:rsidR="005D5322">
        <w:t>,</w:t>
      </w:r>
      <w:r w:rsidRPr="009B2ABF">
        <w:t xml:space="preserve"> and McKenzie and Partington</w:t>
      </w:r>
      <w:r w:rsidR="000F0BB8">
        <w:t>,</w:t>
      </w:r>
      <w:r w:rsidRPr="009B2ABF">
        <w:rPr>
          <w:rStyle w:val="FootnoteReference"/>
        </w:rPr>
        <w:footnoteReference w:id="71"/>
      </w:r>
      <w:r w:rsidR="000F0BB8">
        <w:t xml:space="preserve"> and</w:t>
      </w:r>
    </w:p>
    <w:p w:rsidR="000F0BB8" w:rsidRPr="009B2ABF" w:rsidRDefault="000F0BB8" w:rsidP="000F0BB8">
      <w:pPr>
        <w:pStyle w:val="AERbulletlistfirststyle"/>
      </w:pPr>
      <w:r>
        <w:t>is simple and intuitive.</w:t>
      </w:r>
    </w:p>
    <w:p w:rsidR="009B2ABF" w:rsidRDefault="009B2ABF" w:rsidP="009B2ABF">
      <w:pPr>
        <w:numPr>
          <w:ilvl w:val="0"/>
          <w:numId w:val="25"/>
        </w:numPr>
      </w:pPr>
      <w:r>
        <w:t xml:space="preserve">Also using this approach, Handley estimated a distribution rate across </w:t>
      </w:r>
      <w:r w:rsidR="001C274C">
        <w:t>only listed equity</w:t>
      </w:r>
      <w:r>
        <w:t xml:space="preserve"> of 0.8 for the period 1987 to 2011.</w:t>
      </w:r>
      <w:r>
        <w:rPr>
          <w:rStyle w:val="FootnoteReference"/>
        </w:rPr>
        <w:footnoteReference w:id="72"/>
      </w:r>
      <w:r>
        <w:t xml:space="preserve"> </w:t>
      </w:r>
      <w:r w:rsidR="00CE7F4B">
        <w:t xml:space="preserve">Our own analysis indicates that the distribution rate over </w:t>
      </w:r>
      <w:r w:rsidR="001C274C">
        <w:t>only listed equity</w:t>
      </w:r>
      <w:r w:rsidR="00CE7F4B">
        <w:t xml:space="preserve"> remains 0.8 for the period 2004 to 2011.</w:t>
      </w:r>
      <w:r w:rsidR="00AE0135">
        <w:rPr>
          <w:rStyle w:val="FootnoteReference"/>
        </w:rPr>
        <w:footnoteReference w:id="73"/>
      </w:r>
      <w:r w:rsidR="00CE7F4B">
        <w:t xml:space="preserve"> </w:t>
      </w:r>
      <w:r>
        <w:t xml:space="preserve">A distribution rate across </w:t>
      </w:r>
      <w:r w:rsidR="001C274C">
        <w:t>only listed equity</w:t>
      </w:r>
      <w:r>
        <w:t xml:space="preserve"> was not presented in the Guideline. However, as set out above, we now consider that:</w:t>
      </w:r>
    </w:p>
    <w:p w:rsidR="009B2ABF" w:rsidRPr="009B2ABF" w:rsidRDefault="009B2ABF" w:rsidP="009B2ABF">
      <w:pPr>
        <w:pStyle w:val="AERbulletlistfirststyle"/>
      </w:pPr>
      <w:r>
        <w:t>It is o</w:t>
      </w:r>
      <w:r w:rsidRPr="009B2ABF">
        <w:t xml:space="preserve">pen to us to have regard to evidence from all equity and/or </w:t>
      </w:r>
      <w:r w:rsidR="001C274C">
        <w:t>only listed equity</w:t>
      </w:r>
      <w:r w:rsidRPr="009B2ABF">
        <w:t>.</w:t>
      </w:r>
    </w:p>
    <w:p w:rsidR="002C233C" w:rsidRDefault="009B2ABF" w:rsidP="00371C1E">
      <w:pPr>
        <w:pStyle w:val="AERbulletlistfirststyle"/>
      </w:pPr>
      <w:r>
        <w:t>It would be inconsistent</w:t>
      </w:r>
      <w:r w:rsidRPr="00F5531F">
        <w:t xml:space="preserve"> to pair an estimate of the utilisation rate from </w:t>
      </w:r>
      <w:r w:rsidR="001C274C">
        <w:t>only listed equity</w:t>
      </w:r>
      <w:r w:rsidRPr="00F5531F">
        <w:t xml:space="preserve"> with an estimate of the distribution rate from all equity (and vice versa).</w:t>
      </w:r>
    </w:p>
    <w:p w:rsidR="00722823" w:rsidRDefault="00722823" w:rsidP="00722823">
      <w:r>
        <w:t>We discuss our approach to estimating the distribution</w:t>
      </w:r>
      <w:r w:rsidR="00E323D7">
        <w:t xml:space="preserve"> rate further in section </w:t>
      </w:r>
      <w:r w:rsidR="00E323D7">
        <w:fldChar w:fldCharType="begin"/>
      </w:r>
      <w:r w:rsidR="00E323D7">
        <w:instrText xml:space="preserve"> REF _Ref401133206 \r \h </w:instrText>
      </w:r>
      <w:r w:rsidR="00E323D7">
        <w:fldChar w:fldCharType="separate"/>
      </w:r>
      <w:r w:rsidR="003F0AA6">
        <w:t>A.10</w:t>
      </w:r>
      <w:r w:rsidR="00E323D7">
        <w:fldChar w:fldCharType="end"/>
      </w:r>
      <w:r w:rsidR="00946639">
        <w:t xml:space="preserve"> of appendix A.</w:t>
      </w:r>
    </w:p>
    <w:p w:rsidR="00CE7F4B" w:rsidRDefault="00CE7F4B" w:rsidP="00FE182A">
      <w:pPr>
        <w:pStyle w:val="HeadingBoldItalic"/>
      </w:pPr>
      <w:r>
        <w:t>Responses to key issues raised by stakeholders</w:t>
      </w:r>
    </w:p>
    <w:p w:rsidR="00CE7F4B" w:rsidRDefault="00CE7F4B" w:rsidP="00CE7F4B">
      <w:r w:rsidRPr="00CE7F4B">
        <w:t xml:space="preserve">The service providers submitted that </w:t>
      </w:r>
      <w:r w:rsidR="00E547E2">
        <w:t>we should not</w:t>
      </w:r>
      <w:r w:rsidRPr="00CE7F4B">
        <w:t xml:space="preserve"> apply a distribution rate of 0.8 based on evidence from </w:t>
      </w:r>
      <w:r w:rsidR="001C274C">
        <w:t>only listed equity</w:t>
      </w:r>
      <w:r w:rsidRPr="00CE7F4B">
        <w:t>.</w:t>
      </w:r>
      <w:r>
        <w:rPr>
          <w:rStyle w:val="FootnoteReference"/>
        </w:rPr>
        <w:footnoteReference w:id="74"/>
      </w:r>
      <w:r w:rsidRPr="00CE7F4B">
        <w:t xml:space="preserve"> We disagr</w:t>
      </w:r>
      <w:r>
        <w:t xml:space="preserve">ee and set out our reasons in section </w:t>
      </w:r>
      <w:r>
        <w:fldChar w:fldCharType="begin"/>
      </w:r>
      <w:r>
        <w:instrText xml:space="preserve"> REF _Ref414289334 \r \h </w:instrText>
      </w:r>
      <w:r>
        <w:fldChar w:fldCharType="separate"/>
      </w:r>
      <w:r w:rsidR="003F0AA6">
        <w:t>A.10.1</w:t>
      </w:r>
      <w:r>
        <w:fldChar w:fldCharType="end"/>
      </w:r>
      <w:r>
        <w:t xml:space="preserve"> of appendix A</w:t>
      </w:r>
      <w:r w:rsidRPr="00CE7F4B">
        <w:t>.</w:t>
      </w:r>
    </w:p>
    <w:p w:rsidR="00FE182A" w:rsidRDefault="00FE182A" w:rsidP="001754EE">
      <w:pPr>
        <w:pStyle w:val="Heading3"/>
      </w:pPr>
      <w:bookmarkStart w:id="37" w:name="_Ref414289593"/>
      <w:r>
        <w:t>The utilisation rate</w:t>
      </w:r>
      <w:bookmarkEnd w:id="37"/>
    </w:p>
    <w:p w:rsidR="008D1665" w:rsidRDefault="008D1665" w:rsidP="008D1665">
      <w:pPr>
        <w:numPr>
          <w:ilvl w:val="0"/>
          <w:numId w:val="25"/>
        </w:numPr>
      </w:pPr>
      <w:r>
        <w:t xml:space="preserve">We </w:t>
      </w:r>
      <w:r w:rsidR="00E547E2">
        <w:t>understand</w:t>
      </w:r>
      <w:r>
        <w:t xml:space="preserve"> the utilisation rate </w:t>
      </w:r>
      <w:r w:rsidR="00E547E2">
        <w:t>to be</w:t>
      </w:r>
      <w:r>
        <w:t xml:space="preserve"> the utilisation value to investors in the market per dollar of imputation credits distributed. In the Monkhouse framework, the utilisation rate is equal to the weighted average, by wealth and risk aversion, of the utilisation rates of individual investors. </w:t>
      </w:r>
      <w:r w:rsidRPr="00EB5361">
        <w:t xml:space="preserve">For an ‘eligible’ investor, each dollar of imputation credit received can be fully </w:t>
      </w:r>
      <w:r>
        <w:t>returned to the investor</w:t>
      </w:r>
      <w:r w:rsidRPr="00EB5361">
        <w:t xml:space="preserve"> </w:t>
      </w:r>
      <w:r>
        <w:t xml:space="preserve">in </w:t>
      </w:r>
      <w:r w:rsidRPr="00EB5361">
        <w:t>the form of a reducti</w:t>
      </w:r>
      <w:r>
        <w:t>on in tax payable or a refund.</w:t>
      </w:r>
      <w:r>
        <w:rPr>
          <w:rStyle w:val="FootnoteReference"/>
        </w:rPr>
        <w:footnoteReference w:id="75"/>
      </w:r>
      <w:r>
        <w:t xml:space="preserve"> </w:t>
      </w:r>
      <w:r w:rsidRPr="00EB5361">
        <w:t xml:space="preserve">Therefore, we consider that eligible investors have a utilisation rate of 1. Conversely, </w:t>
      </w:r>
      <w:r w:rsidRPr="00EB5361">
        <w:lastRenderedPageBreak/>
        <w:t xml:space="preserve">‘ineligible’ investors cannot </w:t>
      </w:r>
      <w:r>
        <w:t>utilise</w:t>
      </w:r>
      <w:r w:rsidRPr="00EB5361">
        <w:t xml:space="preserve"> imputation credits and have a utilisation rate of 0.</w:t>
      </w:r>
      <w:r>
        <w:t xml:space="preserve"> It follows that the utilisation rate reflects the extent to which investors can utilise the imputation credits they receive to reduce their tax or </w:t>
      </w:r>
      <w:r w:rsidR="00F470A2">
        <w:t>obtain</w:t>
      </w:r>
      <w:r>
        <w:t xml:space="preserve"> a refund. We discuss our interpretation and definition of the utilisation rate further in sections </w:t>
      </w:r>
      <w:r w:rsidR="001311D0">
        <w:fldChar w:fldCharType="begin"/>
      </w:r>
      <w:r w:rsidR="001311D0">
        <w:instrText xml:space="preserve"> REF _Ref400965182 \r \h </w:instrText>
      </w:r>
      <w:r w:rsidR="001311D0">
        <w:fldChar w:fldCharType="separate"/>
      </w:r>
      <w:r w:rsidR="003F0AA6">
        <w:t>A.6</w:t>
      </w:r>
      <w:r w:rsidR="001311D0">
        <w:fldChar w:fldCharType="end"/>
      </w:r>
      <w:r w:rsidR="001311D0">
        <w:t xml:space="preserve"> </w:t>
      </w:r>
      <w:r>
        <w:t xml:space="preserve">and </w:t>
      </w:r>
      <w:r w:rsidR="00E57690">
        <w:fldChar w:fldCharType="begin"/>
      </w:r>
      <w:r w:rsidR="00E57690">
        <w:instrText xml:space="preserve"> REF _Ref414623120 \r \h </w:instrText>
      </w:r>
      <w:r w:rsidR="00E57690">
        <w:fldChar w:fldCharType="separate"/>
      </w:r>
      <w:r w:rsidR="003F0AA6">
        <w:t>A.8</w:t>
      </w:r>
      <w:r w:rsidR="00E57690">
        <w:fldChar w:fldCharType="end"/>
      </w:r>
      <w:r w:rsidR="00E57690">
        <w:t xml:space="preserve"> </w:t>
      </w:r>
      <w:r>
        <w:t xml:space="preserve">of appendix A. </w:t>
      </w:r>
    </w:p>
    <w:p w:rsidR="008D1665" w:rsidRDefault="008D1665" w:rsidP="008D1665">
      <w:pPr>
        <w:numPr>
          <w:ilvl w:val="0"/>
          <w:numId w:val="25"/>
        </w:numPr>
      </w:pPr>
      <w:r>
        <w:t>Consistent with the Guideline, when estimating the utilisation rate we place:</w:t>
      </w:r>
    </w:p>
    <w:p w:rsidR="008D1665" w:rsidRPr="008D1665" w:rsidRDefault="008D1665" w:rsidP="008D1665">
      <w:pPr>
        <w:pStyle w:val="AERbulletlistfirststyle"/>
      </w:pPr>
      <w:r>
        <w:t xml:space="preserve">significant </w:t>
      </w:r>
      <w:r w:rsidRPr="008D1665">
        <w:t>reliance upon the equity ownership approach</w:t>
      </w:r>
    </w:p>
    <w:p w:rsidR="008D1665" w:rsidRPr="008D1665" w:rsidRDefault="008D1665" w:rsidP="008D1665">
      <w:pPr>
        <w:pStyle w:val="AERbulletlistfirststyle"/>
      </w:pPr>
      <w:r>
        <w:t xml:space="preserve">some </w:t>
      </w:r>
      <w:r w:rsidRPr="008D1665">
        <w:t>reliance upon tax statistics, and</w:t>
      </w:r>
    </w:p>
    <w:p w:rsidR="008D1665" w:rsidRPr="008D1665" w:rsidRDefault="008D1665" w:rsidP="008D1665">
      <w:pPr>
        <w:pStyle w:val="AERbulletlistfirststyle"/>
      </w:pPr>
      <w:r>
        <w:t xml:space="preserve">less </w:t>
      </w:r>
      <w:r w:rsidRPr="008D1665">
        <w:t>reliance upon implied market value studies.</w:t>
      </w:r>
    </w:p>
    <w:p w:rsidR="008D1665" w:rsidRDefault="008D1665" w:rsidP="008D1665">
      <w:pPr>
        <w:numPr>
          <w:ilvl w:val="0"/>
          <w:numId w:val="25"/>
        </w:numPr>
      </w:pPr>
      <w:r>
        <w:t xml:space="preserve">The results from those classes of evidence on which we place reliance are summarised in </w:t>
      </w:r>
      <w:r>
        <w:fldChar w:fldCharType="begin"/>
      </w:r>
      <w:r>
        <w:instrText xml:space="preserve"> REF  _Ref400900366 \* Lower \h </w:instrText>
      </w:r>
      <w:r>
        <w:fldChar w:fldCharType="separate"/>
      </w:r>
      <w:r w:rsidR="003F0AA6">
        <w:t xml:space="preserve">table </w:t>
      </w:r>
      <w:r w:rsidR="003F0AA6">
        <w:rPr>
          <w:noProof/>
        </w:rPr>
        <w:t>4</w:t>
      </w:r>
      <w:r w:rsidR="003F0AA6">
        <w:noBreakHyphen/>
      </w:r>
      <w:r w:rsidR="003F0AA6">
        <w:rPr>
          <w:noProof/>
        </w:rPr>
        <w:t>1</w:t>
      </w:r>
      <w:r>
        <w:fldChar w:fldCharType="end"/>
      </w:r>
      <w:r>
        <w:t xml:space="preserve"> and </w:t>
      </w:r>
      <w:r>
        <w:fldChar w:fldCharType="begin"/>
      </w:r>
      <w:r>
        <w:instrText xml:space="preserve"> REF  _Ref404072148 \* Lower \h </w:instrText>
      </w:r>
      <w:r>
        <w:fldChar w:fldCharType="separate"/>
      </w:r>
      <w:r w:rsidR="003F0AA6">
        <w:t xml:space="preserve">table </w:t>
      </w:r>
      <w:r w:rsidR="003F0AA6">
        <w:rPr>
          <w:noProof/>
        </w:rPr>
        <w:t>4</w:t>
      </w:r>
      <w:r w:rsidR="003F0AA6">
        <w:noBreakHyphen/>
      </w:r>
      <w:r w:rsidR="003F0AA6">
        <w:rPr>
          <w:noProof/>
        </w:rPr>
        <w:t>2</w:t>
      </w:r>
      <w:r>
        <w:fldChar w:fldCharType="end"/>
      </w:r>
      <w:r>
        <w:t>.</w:t>
      </w:r>
    </w:p>
    <w:p w:rsidR="008D1665" w:rsidRDefault="008D1665" w:rsidP="008D1665">
      <w:pPr>
        <w:numPr>
          <w:ilvl w:val="0"/>
          <w:numId w:val="25"/>
        </w:numPr>
      </w:pPr>
      <w:r>
        <w:t>The relative importance that we assign to each approach is supported by Handley and Lally, while McKenzie and Partington's report for the Queensland Resources Council suggested that having regard to all of these approaches is reasonable.</w:t>
      </w:r>
      <w:r>
        <w:rPr>
          <w:rStyle w:val="FootnoteReference"/>
        </w:rPr>
        <w:footnoteReference w:id="76"/>
      </w:r>
      <w:r>
        <w:t xml:space="preserve"> We discuss each approach in the sections below.</w:t>
      </w:r>
      <w:r>
        <w:rPr>
          <w:rStyle w:val="FootnoteReference"/>
        </w:rPr>
        <w:footnoteReference w:id="77"/>
      </w:r>
      <w:r>
        <w:t xml:space="preserve"> We depart from the Guideline by not relying upon the 'conceptual goalposts approach'. We discuss this approach and our revised consideration of it in section </w:t>
      </w:r>
      <w:r w:rsidR="001311D0">
        <w:fldChar w:fldCharType="begin"/>
      </w:r>
      <w:r w:rsidR="001311D0">
        <w:instrText xml:space="preserve"> REF _Ref403481482 \r \h </w:instrText>
      </w:r>
      <w:r w:rsidR="001311D0">
        <w:fldChar w:fldCharType="separate"/>
      </w:r>
      <w:r w:rsidR="003F0AA6">
        <w:t>A.15</w:t>
      </w:r>
      <w:r w:rsidR="001311D0">
        <w:fldChar w:fldCharType="end"/>
      </w:r>
      <w:r w:rsidR="001311D0">
        <w:t xml:space="preserve"> </w:t>
      </w:r>
      <w:r>
        <w:t>of appendix A.</w:t>
      </w:r>
    </w:p>
    <w:p w:rsidR="008D1665" w:rsidRDefault="008D1665" w:rsidP="008D1665">
      <w:pPr>
        <w:pStyle w:val="HeadingBoldBlue"/>
      </w:pPr>
      <w:r>
        <w:t>The equity ownership approach</w:t>
      </w:r>
    </w:p>
    <w:p w:rsidR="008D1665" w:rsidRDefault="008D1665" w:rsidP="008D1665">
      <w:pPr>
        <w:numPr>
          <w:ilvl w:val="0"/>
          <w:numId w:val="25"/>
        </w:numPr>
      </w:pPr>
      <w:r>
        <w:t xml:space="preserve">We consider that </w:t>
      </w:r>
      <w:r w:rsidRPr="0029614B">
        <w:t>the value-weighted proportion of domestic investors in th</w:t>
      </w:r>
      <w:r>
        <w:t>e Australian equity market is a reasonable</w:t>
      </w:r>
      <w:r w:rsidRPr="0029614B">
        <w:t xml:space="preserve"> estimate of the utilisation rate</w:t>
      </w:r>
      <w:r>
        <w:t xml:space="preserve">. This is because, in general, domestic investors are eligible to utilise imputation credits and foreign investors are not. Moreover, as discussed above, we consider that </w:t>
      </w:r>
      <w:r w:rsidRPr="00EB5361">
        <w:t>eligible investors have a utilisation rate of 1</w:t>
      </w:r>
      <w:r>
        <w:t xml:space="preserve"> because </w:t>
      </w:r>
      <w:r w:rsidRPr="00EB5361">
        <w:t xml:space="preserve">each dollar of imputation credit received </w:t>
      </w:r>
      <w:r>
        <w:t xml:space="preserve">by these investors </w:t>
      </w:r>
      <w:r w:rsidRPr="00EB5361">
        <w:t xml:space="preserve">can be fully </w:t>
      </w:r>
      <w:r>
        <w:t>returned to them</w:t>
      </w:r>
      <w:r w:rsidRPr="00EB5361">
        <w:t xml:space="preserve"> </w:t>
      </w:r>
      <w:r>
        <w:t xml:space="preserve">in </w:t>
      </w:r>
      <w:r w:rsidRPr="00EB5361">
        <w:t>the form of a reducti</w:t>
      </w:r>
      <w:r>
        <w:t>on in tax payable or a refund.</w:t>
      </w:r>
      <w:r w:rsidRPr="003A2E5B">
        <w:t xml:space="preserve"> We refer to this approach as </w:t>
      </w:r>
      <w:r>
        <w:t>the 'equity ownership approach', and we use data from the National Accounts of the Australian Bureau of Statistics (ABS) to estimate the domestic ownership share.</w:t>
      </w:r>
      <w:r>
        <w:rPr>
          <w:rStyle w:val="FootnoteReference"/>
        </w:rPr>
        <w:footnoteReference w:id="78"/>
      </w:r>
    </w:p>
    <w:p w:rsidR="008D1665" w:rsidRDefault="008D1665" w:rsidP="008D1665">
      <w:pPr>
        <w:numPr>
          <w:ilvl w:val="0"/>
          <w:numId w:val="25"/>
        </w:numPr>
      </w:pPr>
      <w:r>
        <w:t>We place significant reliance upon the equity ownership approach when considering estimates of the utilisation rate. This is because:</w:t>
      </w:r>
    </w:p>
    <w:p w:rsidR="008D1665" w:rsidRPr="008D1665" w:rsidRDefault="008D1665" w:rsidP="008D1665">
      <w:pPr>
        <w:pStyle w:val="AERbulletlistfirststyle"/>
      </w:pPr>
      <w:r>
        <w:t>it is well aligned with the definition of the utilisation rate in the Monkhouse framework</w:t>
      </w:r>
    </w:p>
    <w:p w:rsidR="008D1665" w:rsidRPr="008D1665" w:rsidRDefault="008D1665" w:rsidP="008D1665">
      <w:pPr>
        <w:pStyle w:val="AERbulletlistfirststyle"/>
      </w:pPr>
      <w:r>
        <w:t>it employs a relatively simple and intuitive methodology</w:t>
      </w:r>
    </w:p>
    <w:p w:rsidR="008D1665" w:rsidRPr="008D1665" w:rsidRDefault="008D1665" w:rsidP="008D1665">
      <w:pPr>
        <w:pStyle w:val="AERbulletlistfirststyle"/>
      </w:pPr>
      <w:r>
        <w:t>it uses a reliable and transparent source of data</w:t>
      </w:r>
      <w:r w:rsidRPr="008D1665">
        <w:t>, and</w:t>
      </w:r>
    </w:p>
    <w:p w:rsidR="008D1665" w:rsidRPr="008D1665" w:rsidRDefault="008D1665" w:rsidP="008D1665">
      <w:pPr>
        <w:pStyle w:val="AERbulletlistfirststyle"/>
      </w:pPr>
      <w:r>
        <w:t xml:space="preserve">it provides </w:t>
      </w:r>
      <w:r w:rsidRPr="008D1665">
        <w:t xml:space="preserve">estimates of the utilisation rate for investors in both all equity and </w:t>
      </w:r>
      <w:r w:rsidR="001C274C">
        <w:t>only listed equity</w:t>
      </w:r>
      <w:r w:rsidRPr="008D1665">
        <w:t>.</w:t>
      </w:r>
    </w:p>
    <w:p w:rsidR="008D1665" w:rsidRDefault="008D1665" w:rsidP="008D1665">
      <w:pPr>
        <w:numPr>
          <w:ilvl w:val="0"/>
          <w:numId w:val="25"/>
        </w:numPr>
      </w:pPr>
      <w:r>
        <w:lastRenderedPageBreak/>
        <w:t xml:space="preserve">We </w:t>
      </w:r>
      <w:r w:rsidR="00E547E2">
        <w:t>are aware of</w:t>
      </w:r>
      <w:r>
        <w:t xml:space="preserve"> the limitations </w:t>
      </w:r>
      <w:r w:rsidR="00E547E2">
        <w:t>with this approach. B</w:t>
      </w:r>
      <w:r>
        <w:t>ut</w:t>
      </w:r>
      <w:r w:rsidR="00E547E2">
        <w:t>,</w:t>
      </w:r>
      <w:r>
        <w:t xml:space="preserve"> we do not consider them significant. We discuss these limitations in section </w:t>
      </w:r>
      <w:r w:rsidR="005D5322">
        <w:fldChar w:fldCharType="begin"/>
      </w:r>
      <w:r w:rsidR="005D5322">
        <w:instrText xml:space="preserve"> REF _Ref415049811 \r \h </w:instrText>
      </w:r>
      <w:r w:rsidR="005D5322">
        <w:fldChar w:fldCharType="separate"/>
      </w:r>
      <w:r w:rsidR="003F0AA6">
        <w:t>A.12</w:t>
      </w:r>
      <w:r w:rsidR="005D5322">
        <w:fldChar w:fldCharType="end"/>
      </w:r>
      <w:r w:rsidR="005D5322">
        <w:t xml:space="preserve"> </w:t>
      </w:r>
      <w:r>
        <w:t>of appendix A.</w:t>
      </w:r>
    </w:p>
    <w:p w:rsidR="008D1665" w:rsidRDefault="008D1665" w:rsidP="008D1665">
      <w:pPr>
        <w:numPr>
          <w:ilvl w:val="0"/>
          <w:numId w:val="25"/>
        </w:numPr>
      </w:pPr>
      <w:r>
        <w:t>We consider that a reasonable estimate for the utilisation rate from the equity ownership approach is between:</w:t>
      </w:r>
    </w:p>
    <w:p w:rsidR="001D4E2C" w:rsidRPr="001D4E2C" w:rsidRDefault="00647254" w:rsidP="001D4E2C">
      <w:pPr>
        <w:pStyle w:val="AERbulletlistfirststyle"/>
      </w:pPr>
      <w:r>
        <w:t>0.5</w:t>
      </w:r>
      <w:r w:rsidR="00C66D02">
        <w:t>6</w:t>
      </w:r>
      <w:r w:rsidR="001D4E2C" w:rsidRPr="001D4E2C">
        <w:t xml:space="preserve"> and </w:t>
      </w:r>
      <w:r>
        <w:t>0.6</w:t>
      </w:r>
      <w:r w:rsidR="00C66D02">
        <w:t>8</w:t>
      </w:r>
      <w:r w:rsidR="001D4E2C" w:rsidRPr="001D4E2C">
        <w:t>, if all equity is considered, and</w:t>
      </w:r>
    </w:p>
    <w:p w:rsidR="001D4E2C" w:rsidRPr="001D4E2C" w:rsidRDefault="001D4E2C" w:rsidP="001D4E2C">
      <w:pPr>
        <w:pStyle w:val="AERbulletlistfirststyle"/>
      </w:pPr>
      <w:r w:rsidRPr="001D4E2C">
        <w:t xml:space="preserve">0.38 and </w:t>
      </w:r>
      <w:r w:rsidR="00647254">
        <w:t>0.5</w:t>
      </w:r>
      <w:r w:rsidR="00C66D02">
        <w:t>5</w:t>
      </w:r>
      <w:r w:rsidRPr="001D4E2C">
        <w:t>, if only listed equity is considered.</w:t>
      </w:r>
    </w:p>
    <w:p w:rsidR="008D1665" w:rsidRDefault="0027049E" w:rsidP="008D1665">
      <w:pPr>
        <w:numPr>
          <w:ilvl w:val="0"/>
          <w:numId w:val="25"/>
        </w:numPr>
      </w:pPr>
      <w:r>
        <w:t>This differs from the Guideline. I</w:t>
      </w:r>
      <w:r w:rsidR="008D1665">
        <w:t>n</w:t>
      </w:r>
      <w:r>
        <w:t xml:space="preserve"> the Guideline,</w:t>
      </w:r>
      <w:r w:rsidR="008D1665">
        <w:t xml:space="preserve"> we considered that the equity ownership approach supported a utilisation rate between 0.7 and 0.8. Since the Guideline's publication, we have examined more closely the relevant data from the National Accounts. This has allowed us to update and refine our estimates. We describe our application of the equity ownership approach and our re-examination of this source of evidence since the Guideline in detail in section </w:t>
      </w:r>
      <w:r w:rsidR="00F30705">
        <w:fldChar w:fldCharType="begin"/>
      </w:r>
      <w:r w:rsidR="00F30705">
        <w:instrText xml:space="preserve"> REF _Ref415049811 \r \h </w:instrText>
      </w:r>
      <w:r w:rsidR="00F30705">
        <w:fldChar w:fldCharType="separate"/>
      </w:r>
      <w:r w:rsidR="003F0AA6">
        <w:t>A.12</w:t>
      </w:r>
      <w:r w:rsidR="00F30705">
        <w:fldChar w:fldCharType="end"/>
      </w:r>
      <w:r w:rsidR="00F30705">
        <w:t xml:space="preserve"> </w:t>
      </w:r>
      <w:r w:rsidR="008D1665">
        <w:t>of appendix A.</w:t>
      </w:r>
    </w:p>
    <w:p w:rsidR="008D1665" w:rsidRPr="004E1702" w:rsidRDefault="008D1665" w:rsidP="008D1665">
      <w:pPr>
        <w:pStyle w:val="HeadingBoldItalic"/>
        <w:numPr>
          <w:ilvl w:val="0"/>
          <w:numId w:val="25"/>
        </w:numPr>
      </w:pPr>
      <w:r w:rsidRPr="004E1702">
        <w:t>Responses to key issues raised by stakeholders</w:t>
      </w:r>
    </w:p>
    <w:p w:rsidR="008D1665" w:rsidRDefault="008D1665" w:rsidP="008D1665">
      <w:pPr>
        <w:numPr>
          <w:ilvl w:val="0"/>
          <w:numId w:val="25"/>
        </w:numPr>
      </w:pPr>
      <w:r>
        <w:t xml:space="preserve">The service providers submitted that the equity ownership </w:t>
      </w:r>
      <w:proofErr w:type="gramStart"/>
      <w:r>
        <w:t>approach, and other measures of the utilisation or redemption of imputation credits, do</w:t>
      </w:r>
      <w:proofErr w:type="gramEnd"/>
      <w:r>
        <w:t xml:space="preserve"> not reflect a number of factors which affect investors' valuation of imputation credits.</w:t>
      </w:r>
      <w:r>
        <w:rPr>
          <w:rStyle w:val="FootnoteReference"/>
        </w:rPr>
        <w:footnoteReference w:id="79"/>
      </w:r>
      <w:r>
        <w:t xml:space="preserve"> We have received advice from Handley on these factors, and our responses are set out in detail in section </w:t>
      </w:r>
      <w:r w:rsidR="00E478F1">
        <w:fldChar w:fldCharType="begin"/>
      </w:r>
      <w:r w:rsidR="00E478F1">
        <w:instrText xml:space="preserve"> REF _Ref414099389 \r \h </w:instrText>
      </w:r>
      <w:r w:rsidR="00E478F1">
        <w:fldChar w:fldCharType="separate"/>
      </w:r>
      <w:r w:rsidR="003F0AA6">
        <w:t>A.8.2</w:t>
      </w:r>
      <w:r w:rsidR="00E478F1">
        <w:fldChar w:fldCharType="end"/>
      </w:r>
      <w:r w:rsidR="00E478F1">
        <w:t xml:space="preserve"> </w:t>
      </w:r>
      <w:r>
        <w:t>of appendix A. In summary, we consider that such factors are either immaterial or should not be accounted for when estimating the properly defined utilisation rate.</w:t>
      </w:r>
    </w:p>
    <w:p w:rsidR="008D1665" w:rsidRDefault="008D1665" w:rsidP="008D1665">
      <w:pPr>
        <w:pStyle w:val="HeadingBoldBlue"/>
      </w:pPr>
      <w:r>
        <w:t>Tax statistics</w:t>
      </w:r>
    </w:p>
    <w:p w:rsidR="008D1665" w:rsidRDefault="008D1665" w:rsidP="008D1665">
      <w:pPr>
        <w:numPr>
          <w:ilvl w:val="0"/>
          <w:numId w:val="25"/>
        </w:numPr>
      </w:pPr>
      <w:r w:rsidRPr="00863CA4">
        <w:t xml:space="preserve">The ATO publishes aggregate statistics on the tax returns submitted by individuals, superannuation funds and companies, as well as on the imputation credits refunded to </w:t>
      </w:r>
      <w:r>
        <w:t>certain income tax exempt entities (for example,</w:t>
      </w:r>
      <w:r w:rsidRPr="00863CA4">
        <w:t xml:space="preserve"> charities).</w:t>
      </w:r>
      <w:r>
        <w:rPr>
          <w:rStyle w:val="FootnoteReference"/>
        </w:rPr>
        <w:footnoteReference w:id="80"/>
      </w:r>
      <w:r w:rsidRPr="00863CA4">
        <w:t xml:space="preserve"> </w:t>
      </w:r>
      <w:r w:rsidR="00FD7FDB">
        <w:t>In theory, t</w:t>
      </w:r>
      <w:r w:rsidRPr="00863CA4">
        <w:t xml:space="preserve">hese statistics can be used to derive a measure of the total </w:t>
      </w:r>
      <w:r>
        <w:t>amount</w:t>
      </w:r>
      <w:r w:rsidRPr="00863CA4">
        <w:t xml:space="preserve"> of imputation credits </w:t>
      </w:r>
      <w:r>
        <w:t>utilised</w:t>
      </w:r>
      <w:r w:rsidRPr="00863CA4">
        <w:t xml:space="preserve"> by eligible investors to offset tax or to be refunded.</w:t>
      </w:r>
      <w:r>
        <w:t xml:space="preserve"> As discussed in relation to the distribution rate, ATO statistics also provide estimates of the amount of imputation credits distributed. We consider that the reported </w:t>
      </w:r>
      <w:r w:rsidR="00E7661A">
        <w:t>value</w:t>
      </w:r>
      <w:r>
        <w:t xml:space="preserve"> of credits utilised divided by the reported </w:t>
      </w:r>
      <w:r w:rsidR="00E7661A">
        <w:t>value</w:t>
      </w:r>
      <w:r>
        <w:t xml:space="preserve"> of credits distributed is a reasonable estimate of the utilisation rate</w:t>
      </w:r>
      <w:r w:rsidR="00E61699">
        <w:t xml:space="preserve">. </w:t>
      </w:r>
    </w:p>
    <w:p w:rsidR="008D1665" w:rsidRDefault="008D1665" w:rsidP="008D1665">
      <w:pPr>
        <w:numPr>
          <w:ilvl w:val="0"/>
          <w:numId w:val="25"/>
        </w:numPr>
      </w:pPr>
      <w:r>
        <w:t xml:space="preserve">We have had regard to tax statistics when considering estimates of the utilisation rate. We place a degree of reliance upon tax statistics that is less than that placed upon the equity ownership approach, but which is more than that placed on implied market value studies. Our position on tax statistics is consistent with the advice from Handley and Lally. Handley </w:t>
      </w:r>
      <w:r>
        <w:lastRenderedPageBreak/>
        <w:t>considered tax statistics to be the second most important approach to estimating the utilisation rate after the equity ownership approach.</w:t>
      </w:r>
      <w:r>
        <w:rPr>
          <w:rStyle w:val="FootnoteReference"/>
        </w:rPr>
        <w:footnoteReference w:id="81"/>
      </w:r>
      <w:r>
        <w:t xml:space="preserve"> Lally considered that the tax statistics approach lacks precision, and he did not prefer it to the equity ownership approach.</w:t>
      </w:r>
      <w:r>
        <w:rPr>
          <w:rStyle w:val="FootnoteReference"/>
        </w:rPr>
        <w:footnoteReference w:id="82"/>
      </w:r>
      <w:r>
        <w:t xml:space="preserve">  However, Lally still preferred tax statistics to implied market value studies which he considered to be even more problematic.</w:t>
      </w:r>
      <w:r w:rsidR="002C640C">
        <w:rPr>
          <w:rStyle w:val="FootnoteReference"/>
        </w:rPr>
        <w:footnoteReference w:id="83"/>
      </w:r>
    </w:p>
    <w:p w:rsidR="008D1665" w:rsidRDefault="008D1665" w:rsidP="008D1665">
      <w:pPr>
        <w:numPr>
          <w:ilvl w:val="0"/>
          <w:numId w:val="25"/>
        </w:numPr>
      </w:pPr>
      <w:r>
        <w:t>We have placed less reliance upon tax statistics compared with the equity ownership approach because we consider that tax statistics have a number of limitations:</w:t>
      </w:r>
    </w:p>
    <w:p w:rsidR="0044032A" w:rsidRPr="008D1665" w:rsidRDefault="0044032A" w:rsidP="0044032A">
      <w:pPr>
        <w:pStyle w:val="AERbulletlistfirststyle"/>
      </w:pPr>
      <w:r w:rsidRPr="0081765E">
        <w:t xml:space="preserve">There are residual concerns regarding the </w:t>
      </w:r>
      <w:r w:rsidRPr="008D1665">
        <w:t>data. While Hathaway considered that the amounts of tax paid and credits utilised can be concluded ‘with some confidence’ and that they are ‘unlikely to be in major error’, Hathaway also identified a significant discrepancy associated with the tracking of imputation credits in the data that led him to 'urge all caution in using ATO statistics for any estimates of parameters concerned with [imputation] credits'.</w:t>
      </w:r>
      <w:r w:rsidRPr="008D1665">
        <w:rPr>
          <w:rStyle w:val="FootnoteReference"/>
        </w:rPr>
        <w:footnoteReference w:id="84"/>
      </w:r>
    </w:p>
    <w:p w:rsidR="008D1665" w:rsidRPr="008D1665" w:rsidRDefault="008D1665" w:rsidP="008D1665">
      <w:pPr>
        <w:pStyle w:val="AERbulletlistfirststyle"/>
      </w:pPr>
      <w:r>
        <w:t>They do not reflect</w:t>
      </w:r>
      <w:r w:rsidRPr="008D1665">
        <w:t xml:space="preserve"> the amount of credits refunded to individuals that do not have to fill out a tax return.</w:t>
      </w:r>
    </w:p>
    <w:p w:rsidR="008D1665" w:rsidRPr="008D1665" w:rsidRDefault="008D1665" w:rsidP="008D1665">
      <w:pPr>
        <w:pStyle w:val="AERbulletlistfirststyle"/>
      </w:pPr>
      <w:r>
        <w:t xml:space="preserve">They might not reflect the </w:t>
      </w:r>
      <w:r w:rsidRPr="008D1665">
        <w:t>amount of credits refunded to certain types of entities.</w:t>
      </w:r>
      <w:r w:rsidRPr="008D1665">
        <w:rPr>
          <w:rStyle w:val="FootnoteReference"/>
        </w:rPr>
        <w:footnoteReference w:id="85"/>
      </w:r>
      <w:r w:rsidRPr="008D1665">
        <w:t xml:space="preserve"> </w:t>
      </w:r>
    </w:p>
    <w:p w:rsidR="001F6A3E" w:rsidRDefault="008D1665" w:rsidP="001F6A3E">
      <w:pPr>
        <w:pStyle w:val="AERbulletlistfirststyle"/>
      </w:pPr>
      <w:r>
        <w:t xml:space="preserve">They do not provide </w:t>
      </w:r>
      <w:r w:rsidRPr="008D1665">
        <w:t xml:space="preserve">estimates of the utilisation rate for investors in </w:t>
      </w:r>
      <w:r w:rsidR="001C274C">
        <w:t>only listed equity</w:t>
      </w:r>
      <w:r w:rsidRPr="008D1665">
        <w:t>. Handley suggested that evidence from listed equity is more relevant to the benchmark efficient entity.</w:t>
      </w:r>
      <w:r w:rsidRPr="008D1665">
        <w:rPr>
          <w:rStyle w:val="FootnoteReference"/>
        </w:rPr>
        <w:footnoteReference w:id="86"/>
      </w:r>
      <w:r w:rsidR="00846525">
        <w:t xml:space="preserve"> </w:t>
      </w:r>
    </w:p>
    <w:p w:rsidR="008D1665" w:rsidRDefault="008D1665" w:rsidP="008D1665">
      <w:pPr>
        <w:numPr>
          <w:ilvl w:val="0"/>
          <w:numId w:val="25"/>
        </w:numPr>
      </w:pPr>
      <w:r>
        <w:t>With regard to Hathaway's analysis, we consider that tax statistics support an estimate of the utilisation rate between 0.4 and 0.6.</w:t>
      </w:r>
      <w:r>
        <w:rPr>
          <w:rStyle w:val="FootnoteReference"/>
        </w:rPr>
        <w:footnoteReference w:id="87"/>
      </w:r>
      <w:r>
        <w:t xml:space="preserve"> However, our estimate of the distribution rate implies that we should adopt a utilisation rate of around 0.43 from within this range for consistency. This differs from the Guideline, in which we considered that tax statistics supported an estimate of the utilisation rate between 0.4 and 0.8. </w:t>
      </w:r>
    </w:p>
    <w:p w:rsidR="008D1665" w:rsidRDefault="008D1665" w:rsidP="008D1665">
      <w:pPr>
        <w:numPr>
          <w:ilvl w:val="0"/>
          <w:numId w:val="25"/>
        </w:numPr>
      </w:pPr>
      <w:r>
        <w:t>Since the Guideline, we have continued to examine this evidence. We now consider that greater reliance should be placed upon estimates that are:</w:t>
      </w:r>
    </w:p>
    <w:p w:rsidR="008D1665" w:rsidRPr="008D1665" w:rsidRDefault="008D1665" w:rsidP="008D1665">
      <w:pPr>
        <w:pStyle w:val="AERbulletlistfirststyle"/>
      </w:pPr>
      <w:r>
        <w:lastRenderedPageBreak/>
        <w:t>d</w:t>
      </w:r>
      <w:r w:rsidRPr="008D1665">
        <w:t>erived from post-2004 data, consistent with Hathaway's findings that the ATO statistics are subject to a number of issues prior to 2004,</w:t>
      </w:r>
      <w:r w:rsidRPr="008D1665">
        <w:rPr>
          <w:rStyle w:val="FootnoteReference"/>
        </w:rPr>
        <w:footnoteReference w:id="88"/>
      </w:r>
      <w:r w:rsidRPr="008D1665">
        <w:t xml:space="preserve"> and</w:t>
      </w:r>
    </w:p>
    <w:p w:rsidR="008D1665" w:rsidRPr="008D1665" w:rsidRDefault="008D1665" w:rsidP="008D1665">
      <w:pPr>
        <w:pStyle w:val="AERbulletlistfirststyle"/>
      </w:pPr>
      <w:r>
        <w:t>c</w:t>
      </w:r>
      <w:r w:rsidRPr="008D1665">
        <w:t>onsistent with our estimates of the distribution rate.</w:t>
      </w:r>
    </w:p>
    <w:p w:rsidR="008D1665" w:rsidRDefault="008D1665" w:rsidP="008D1665">
      <w:pPr>
        <w:numPr>
          <w:ilvl w:val="0"/>
          <w:numId w:val="25"/>
        </w:numPr>
      </w:pPr>
      <w:r>
        <w:t xml:space="preserve">We discuss our revised consideration of tax statistics in more detail in section </w:t>
      </w:r>
      <w:r w:rsidR="003E4F74">
        <w:fldChar w:fldCharType="begin"/>
      </w:r>
      <w:r w:rsidR="003E4F74">
        <w:instrText xml:space="preserve"> REF _Ref402179420 \r \h </w:instrText>
      </w:r>
      <w:r w:rsidR="003E4F74">
        <w:fldChar w:fldCharType="separate"/>
      </w:r>
      <w:r w:rsidR="003F0AA6">
        <w:t>A.13</w:t>
      </w:r>
      <w:r w:rsidR="003E4F74">
        <w:fldChar w:fldCharType="end"/>
      </w:r>
      <w:r w:rsidR="003E4F74">
        <w:t xml:space="preserve"> </w:t>
      </w:r>
      <w:r>
        <w:t>of appendix A.</w:t>
      </w:r>
    </w:p>
    <w:p w:rsidR="008D1665" w:rsidRPr="004C6F08" w:rsidRDefault="008D1665" w:rsidP="008D1665">
      <w:pPr>
        <w:pStyle w:val="HeadingBoldItalic"/>
        <w:numPr>
          <w:ilvl w:val="0"/>
          <w:numId w:val="25"/>
        </w:numPr>
      </w:pPr>
      <w:r w:rsidRPr="004C6F08">
        <w:t>Responses to key issues raised by stakeholders</w:t>
      </w:r>
    </w:p>
    <w:p w:rsidR="008D1665" w:rsidRDefault="008D1665" w:rsidP="008D1665">
      <w:pPr>
        <w:numPr>
          <w:ilvl w:val="0"/>
          <w:numId w:val="25"/>
        </w:numPr>
      </w:pPr>
      <w:r>
        <w:t xml:space="preserve">The service providers submitted that tax statistics, and other measures of the utilisation or redemption of imputation credits, do not reflect a number of </w:t>
      </w:r>
      <w:proofErr w:type="gramStart"/>
      <w:r>
        <w:t>factors which</w:t>
      </w:r>
      <w:proofErr w:type="gramEnd"/>
      <w:r>
        <w:t xml:space="preserve"> affect investors' valuation of imputation credits.</w:t>
      </w:r>
      <w:r>
        <w:rPr>
          <w:rStyle w:val="FootnoteReference"/>
        </w:rPr>
        <w:footnoteReference w:id="89"/>
      </w:r>
      <w:r>
        <w:t xml:space="preserve"> We have received advice from Handley on these factors, and our responses are set out in detail in </w:t>
      </w:r>
      <w:r w:rsidRPr="00132F9A">
        <w:t xml:space="preserve">section </w:t>
      </w:r>
      <w:r w:rsidR="00311850">
        <w:fldChar w:fldCharType="begin"/>
      </w:r>
      <w:r w:rsidR="00311850">
        <w:instrText xml:space="preserve"> REF _Ref414099389 \r \h </w:instrText>
      </w:r>
      <w:r w:rsidR="00311850">
        <w:fldChar w:fldCharType="separate"/>
      </w:r>
      <w:r w:rsidR="003F0AA6">
        <w:t>A.8.2</w:t>
      </w:r>
      <w:r w:rsidR="00311850">
        <w:fldChar w:fldCharType="end"/>
      </w:r>
      <w:r w:rsidR="00311850">
        <w:t xml:space="preserve"> </w:t>
      </w:r>
      <w:r w:rsidRPr="00132F9A">
        <w:t xml:space="preserve">of </w:t>
      </w:r>
      <w:r>
        <w:t>appendix A. In summary, we consider that such factors are either immaterial or should not be accounted for when estimating the properly defined utilisation rate.</w:t>
      </w:r>
    </w:p>
    <w:p w:rsidR="008D1665" w:rsidRDefault="008D1665" w:rsidP="008D1665">
      <w:pPr>
        <w:pStyle w:val="HeadingBoldBlue"/>
        <w:numPr>
          <w:ilvl w:val="0"/>
          <w:numId w:val="25"/>
        </w:numPr>
      </w:pPr>
      <w:r>
        <w:t>Implied market value studies</w:t>
      </w:r>
    </w:p>
    <w:p w:rsidR="008D1665" w:rsidRDefault="008D1665" w:rsidP="008D1665">
      <w:pPr>
        <w:numPr>
          <w:ilvl w:val="0"/>
          <w:numId w:val="25"/>
        </w:numPr>
      </w:pPr>
      <w:r>
        <w:t xml:space="preserve">Implied market value studies seek to infer from market prices the </w:t>
      </w:r>
      <w:r w:rsidRPr="007E6C27">
        <w:t>value of distributed imputation credit</w:t>
      </w:r>
      <w:r>
        <w:t xml:space="preserve">s. A wide range of such studies have been conducted over time, employing a variety of techniques. A common type of implied market value study are dividend drop off studies. These studies compare the price of a security </w:t>
      </w:r>
      <w:r w:rsidR="00F30705">
        <w:t>with and without the entitlement to a dividend</w:t>
      </w:r>
      <w:r>
        <w:t xml:space="preserve">. Econometric techniques are then used to infer the value of the imputation credits attached to these dividends. We discuss the different types of implied market value study in section </w:t>
      </w:r>
      <w:r w:rsidR="003E4F74">
        <w:fldChar w:fldCharType="begin"/>
      </w:r>
      <w:r w:rsidR="003E4F74">
        <w:instrText xml:space="preserve"> REF _Ref402791521 \r \h </w:instrText>
      </w:r>
      <w:r w:rsidR="003E4F74">
        <w:fldChar w:fldCharType="separate"/>
      </w:r>
      <w:r w:rsidR="003F0AA6">
        <w:t>A.14.1</w:t>
      </w:r>
      <w:r w:rsidR="003E4F74">
        <w:fldChar w:fldCharType="end"/>
      </w:r>
      <w:r w:rsidR="003E4F74">
        <w:t xml:space="preserve"> </w:t>
      </w:r>
      <w:r>
        <w:t>of appendix A.</w:t>
      </w:r>
    </w:p>
    <w:p w:rsidR="008D1665" w:rsidRDefault="00371865" w:rsidP="00371865">
      <w:pPr>
        <w:numPr>
          <w:ilvl w:val="0"/>
          <w:numId w:val="25"/>
        </w:numPr>
      </w:pPr>
      <w:r>
        <w:t xml:space="preserve">We consider that the equity ownership approach and tax statistics provide </w:t>
      </w:r>
      <w:r w:rsidR="004E4BF6">
        <w:t xml:space="preserve">more direct </w:t>
      </w:r>
      <w:r>
        <w:t xml:space="preserve">and </w:t>
      </w:r>
      <w:r w:rsidR="004E4BF6">
        <w:t xml:space="preserve">simpler </w:t>
      </w:r>
      <w:r>
        <w:t xml:space="preserve">evidence on the utilisation rate than implied market value studies. </w:t>
      </w:r>
      <w:r w:rsidR="008D1665" w:rsidRPr="00F70D3C">
        <w:t>Handley</w:t>
      </w:r>
      <w:r w:rsidR="005F0A6F">
        <w:t xml:space="preserve"> supported this view;</w:t>
      </w:r>
      <w:r>
        <w:t xml:space="preserve"> </w:t>
      </w:r>
      <w:r w:rsidR="005F0A6F">
        <w:t>h</w:t>
      </w:r>
      <w:r w:rsidR="004E4BF6">
        <w:t>e</w:t>
      </w:r>
      <w:r>
        <w:t xml:space="preserve"> noted</w:t>
      </w:r>
      <w:r w:rsidR="008D1665">
        <w:t xml:space="preserve"> that dividend drop off studies are the most relevant clas</w:t>
      </w:r>
      <w:r w:rsidR="004E4BF6">
        <w:t>s of implied market value study</w:t>
      </w:r>
      <w:r w:rsidR="005F0A6F">
        <w:t>, but</w:t>
      </w:r>
      <w:r w:rsidR="004E4BF6">
        <w:t xml:space="preserve"> considered them</w:t>
      </w:r>
      <w:r w:rsidR="008D1665">
        <w:t xml:space="preserve"> less important to estimating the utilisation rate than the equity ownership approach and tax statistics.</w:t>
      </w:r>
      <w:r w:rsidR="008D1665">
        <w:rPr>
          <w:rStyle w:val="FootnoteReference"/>
        </w:rPr>
        <w:footnoteReference w:id="90"/>
      </w:r>
      <w:r w:rsidR="008D1665">
        <w:t xml:space="preserve"> Lally identified a number of issues with using market prices t</w:t>
      </w:r>
      <w:r w:rsidR="004E4BF6">
        <w:t>o estimate the utilisation rate</w:t>
      </w:r>
      <w:r w:rsidR="008D1665">
        <w:t xml:space="preserve"> and</w:t>
      </w:r>
      <w:r w:rsidR="004E4BF6">
        <w:t>, therefore,</w:t>
      </w:r>
      <w:r w:rsidR="008D1665">
        <w:t xml:space="preserve"> </w:t>
      </w:r>
      <w:r w:rsidR="004E4BF6">
        <w:t xml:space="preserve">preferred </w:t>
      </w:r>
      <w:r w:rsidR="008D1665">
        <w:t>the equity ownership approach.</w:t>
      </w:r>
      <w:r w:rsidR="008D1665">
        <w:rPr>
          <w:rStyle w:val="FootnoteReference"/>
        </w:rPr>
        <w:footnoteReference w:id="91"/>
      </w:r>
    </w:p>
    <w:p w:rsidR="008D1665" w:rsidRDefault="00371865" w:rsidP="008D1665">
      <w:pPr>
        <w:numPr>
          <w:ilvl w:val="0"/>
          <w:numId w:val="25"/>
        </w:numPr>
      </w:pPr>
      <w:r>
        <w:t xml:space="preserve">We also consider that these studies can be subject to a number of limitations. </w:t>
      </w:r>
      <w:r w:rsidR="008D1665">
        <w:t>The limitations of implied market value studies</w:t>
      </w:r>
      <w:r w:rsidR="00F05353">
        <w:t xml:space="preserve"> can</w:t>
      </w:r>
      <w:r w:rsidR="008D1665">
        <w:t xml:space="preserve"> include:</w:t>
      </w:r>
    </w:p>
    <w:p w:rsidR="008D1665" w:rsidRPr="008D1665" w:rsidRDefault="00477251" w:rsidP="008D1665">
      <w:pPr>
        <w:pStyle w:val="AERbulletlistfirststyle"/>
      </w:pPr>
      <w:r>
        <w:lastRenderedPageBreak/>
        <w:t>T</w:t>
      </w:r>
      <w:r w:rsidRPr="008D1665">
        <w:t>hese studies can produce nonsensical estimates of the utilisation rate</w:t>
      </w:r>
      <w:r>
        <w:t>,</w:t>
      </w:r>
      <w:r w:rsidRPr="008D1665">
        <w:t xml:space="preserve"> that is, greater than one or less than zero.</w:t>
      </w:r>
    </w:p>
    <w:p w:rsidR="008D1665" w:rsidRPr="008D1665" w:rsidRDefault="008D1665" w:rsidP="008D1665">
      <w:pPr>
        <w:pStyle w:val="AERbulletlistfirststyle"/>
      </w:pPr>
      <w:r>
        <w:t>T</w:t>
      </w:r>
      <w:r w:rsidRPr="008D1665">
        <w:t>he results of these studies can reflect factors, such as differential personal taxes and risk, which are not relevant to the utilisation rate.</w:t>
      </w:r>
    </w:p>
    <w:p w:rsidR="008D1665" w:rsidRPr="008D1665" w:rsidRDefault="008D1665" w:rsidP="008D1665">
      <w:pPr>
        <w:pStyle w:val="AERbulletlistfirststyle"/>
      </w:pPr>
      <w:r>
        <w:t>T</w:t>
      </w:r>
      <w:r w:rsidRPr="008D1665">
        <w:t xml:space="preserve">he results of these studies might not be reflective of the value of imputation credits to investors in the market as a whole. </w:t>
      </w:r>
    </w:p>
    <w:p w:rsidR="008D1665" w:rsidRPr="008D1665" w:rsidRDefault="008D1665" w:rsidP="008D1665">
      <w:pPr>
        <w:pStyle w:val="AERbulletlistfirststyle"/>
      </w:pPr>
      <w:r>
        <w:t>T</w:t>
      </w:r>
      <w:r w:rsidRPr="008D1665">
        <w:t>hese studies can be data intensive and employ complex and sometimes problematic estimation methodologies.</w:t>
      </w:r>
    </w:p>
    <w:p w:rsidR="008D1665" w:rsidRPr="008D1665" w:rsidRDefault="008D1665" w:rsidP="008D1665">
      <w:pPr>
        <w:pStyle w:val="AERbulletlistfirststyle"/>
      </w:pPr>
      <w:r>
        <w:t>R</w:t>
      </w:r>
      <w:r w:rsidRPr="008D1665">
        <w:t>egarding dividend drop off studies, it is only the value of the combined package of dividends and imputation credits tha</w:t>
      </w:r>
      <w:r w:rsidR="00984362">
        <w:t>t can be observed in the market. However,</w:t>
      </w:r>
      <w:r w:rsidRPr="008D1665">
        <w:t xml:space="preserve"> there is no consensus among experts on how to separate the value to the market of dividends from the value to the market of imputation credits (this is referred to as the 'allocation problem').</w:t>
      </w:r>
    </w:p>
    <w:p w:rsidR="008D1665" w:rsidRDefault="008D1665" w:rsidP="008D1665">
      <w:pPr>
        <w:numPr>
          <w:ilvl w:val="0"/>
          <w:numId w:val="25"/>
        </w:numPr>
      </w:pPr>
      <w:r>
        <w:t xml:space="preserve">The limitations of dividend drop off studies </w:t>
      </w:r>
      <w:proofErr w:type="gramStart"/>
      <w:r>
        <w:t>are discussed</w:t>
      </w:r>
      <w:proofErr w:type="gramEnd"/>
      <w:r>
        <w:t xml:space="preserve"> in more detail in </w:t>
      </w:r>
      <w:r w:rsidRPr="003854B2">
        <w:t xml:space="preserve">section </w:t>
      </w:r>
      <w:r w:rsidR="00FD3811">
        <w:fldChar w:fldCharType="begin"/>
      </w:r>
      <w:r w:rsidR="00FD3811">
        <w:instrText xml:space="preserve"> REF _Ref414619467 \r \h </w:instrText>
      </w:r>
      <w:r w:rsidR="00FD3811">
        <w:fldChar w:fldCharType="separate"/>
      </w:r>
      <w:r w:rsidR="003F0AA6">
        <w:t>A.14.6</w:t>
      </w:r>
      <w:r w:rsidR="00FD3811">
        <w:fldChar w:fldCharType="end"/>
      </w:r>
      <w:r w:rsidR="00FD3811">
        <w:t xml:space="preserve"> </w:t>
      </w:r>
      <w:r w:rsidRPr="003854B2">
        <w:t xml:space="preserve">of </w:t>
      </w:r>
      <w:r>
        <w:t>appendix A.</w:t>
      </w:r>
    </w:p>
    <w:p w:rsidR="008D1665" w:rsidRDefault="008D1665" w:rsidP="008D1665">
      <w:pPr>
        <w:numPr>
          <w:ilvl w:val="0"/>
          <w:numId w:val="25"/>
        </w:numPr>
      </w:pPr>
      <w:r>
        <w:t xml:space="preserve">The available implied market value studies produce estimates for the utilisation rate between 0 and 1, with some studies even producing estimates outside this range. We summarise the available studies and their results in </w:t>
      </w:r>
      <w:r w:rsidRPr="003854B2">
        <w:t xml:space="preserve">section </w:t>
      </w:r>
      <w:r w:rsidR="00311850">
        <w:fldChar w:fldCharType="begin"/>
      </w:r>
      <w:r w:rsidR="00311850">
        <w:instrText xml:space="preserve"> REF _Ref403482459 \r \h </w:instrText>
      </w:r>
      <w:r w:rsidR="00311850">
        <w:fldChar w:fldCharType="separate"/>
      </w:r>
      <w:r w:rsidR="003F0AA6">
        <w:t>A.14.2</w:t>
      </w:r>
      <w:r w:rsidR="00311850">
        <w:fldChar w:fldCharType="end"/>
      </w:r>
      <w:r w:rsidR="00311850">
        <w:t xml:space="preserve"> </w:t>
      </w:r>
      <w:r w:rsidRPr="003854B2">
        <w:t xml:space="preserve">of </w:t>
      </w:r>
      <w:r>
        <w:t>appendix A. Opinion on the merits of the various studies differs:</w:t>
      </w:r>
    </w:p>
    <w:p w:rsidR="008D1665" w:rsidRPr="008D1665" w:rsidRDefault="008D1665" w:rsidP="008D1665">
      <w:pPr>
        <w:pStyle w:val="AERbulletlistfirststyle"/>
      </w:pPr>
      <w:r>
        <w:t>SFG consider</w:t>
      </w:r>
      <w:r w:rsidRPr="008D1665">
        <w:t xml:space="preserve">ed that implied market value studies should be relied upon exclusively when estimating the </w:t>
      </w:r>
      <w:r w:rsidR="00725A26">
        <w:t>(after-personal-tax and after-personal-costs) utilisation rate</w:t>
      </w:r>
      <w:r w:rsidRPr="008D1665">
        <w:t>. Moreover, it considered that dividend drop off studies should be preferre</w:t>
      </w:r>
      <w:r w:rsidR="00984362">
        <w:t>d to alternative market studies. In SFG's view,</w:t>
      </w:r>
      <w:r w:rsidRPr="008D1665">
        <w:t xml:space="preserve"> there is no reasonable basis for adopting an estimate from dividend drop off analysis above the 0.35 estimate from its study.</w:t>
      </w:r>
      <w:r w:rsidRPr="008D1665">
        <w:rPr>
          <w:rStyle w:val="FootnoteReference"/>
        </w:rPr>
        <w:footnoteReference w:id="92"/>
      </w:r>
    </w:p>
    <w:p w:rsidR="008D1665" w:rsidRPr="008D1665" w:rsidRDefault="008D1665" w:rsidP="008D1665">
      <w:pPr>
        <w:pStyle w:val="AERbulletlistfirststyle"/>
      </w:pPr>
      <w:r>
        <w:t xml:space="preserve">The </w:t>
      </w:r>
      <w:r w:rsidRPr="008D1665">
        <w:t>Economic Regulation Authority of Western Australia (ERA)</w:t>
      </w:r>
      <w:r w:rsidR="00062164">
        <w:t xml:space="preserve"> </w:t>
      </w:r>
      <w:r w:rsidRPr="008D1665">
        <w:t>conducted its own dividend drop off study and concluded that a reasonable estimate is between 0.35 and 0.55.</w:t>
      </w:r>
      <w:r w:rsidRPr="008D1665">
        <w:rPr>
          <w:rStyle w:val="FootnoteReference"/>
        </w:rPr>
        <w:footnoteReference w:id="93"/>
      </w:r>
    </w:p>
    <w:p w:rsidR="008D1665" w:rsidRPr="008D1665" w:rsidRDefault="008D1665" w:rsidP="008D1665">
      <w:pPr>
        <w:pStyle w:val="AERbulletlistfirststyle"/>
      </w:pPr>
      <w:r>
        <w:t xml:space="preserve">Lally </w:t>
      </w:r>
      <w:r w:rsidRPr="008D1665">
        <w:t>concurred with the view that implied market value studies 'warrant low weight', but suggested that some studies are more useful than others based on their characteristics.</w:t>
      </w:r>
      <w:r w:rsidRPr="008D1665">
        <w:rPr>
          <w:rStyle w:val="FootnoteReference"/>
        </w:rPr>
        <w:footnoteReference w:id="94"/>
      </w:r>
      <w:r w:rsidR="00725A26">
        <w:t xml:space="preserve"> Lally also raised a number of issues in relation to SFG</w:t>
      </w:r>
      <w:r w:rsidR="00EB4959">
        <w:t>'s</w:t>
      </w:r>
      <w:r w:rsidR="00725A26">
        <w:t xml:space="preserve"> dividend drop off study.</w:t>
      </w:r>
      <w:r w:rsidR="00725A26">
        <w:rPr>
          <w:rStyle w:val="FootnoteReference"/>
        </w:rPr>
        <w:footnoteReference w:id="95"/>
      </w:r>
    </w:p>
    <w:p w:rsidR="008D1665" w:rsidRPr="008D1665" w:rsidRDefault="008D1665" w:rsidP="008D1665">
      <w:pPr>
        <w:pStyle w:val="AERbulletlistfirststyle"/>
      </w:pPr>
      <w:r>
        <w:t>McKenzie and Partington consider</w:t>
      </w:r>
      <w:r w:rsidRPr="008D1665">
        <w:t xml:space="preserve">ed that there is no obvious manner in which to weigh the results from various studies based on their characteristics. They observed that a simple average of the results from a reasonably comprehensive sample of studies </w:t>
      </w:r>
      <w:r w:rsidRPr="008D1665">
        <w:lastRenderedPageBreak/>
        <w:t>suggests an estimate of the utilisation rate of 0.53. They also noted that their own studies suggest a significantly higher estimate of 0.83.</w:t>
      </w:r>
      <w:r w:rsidRPr="008D1665">
        <w:rPr>
          <w:rStyle w:val="FootnoteReference"/>
        </w:rPr>
        <w:footnoteReference w:id="96"/>
      </w:r>
    </w:p>
    <w:p w:rsidR="00733809" w:rsidRDefault="00733809" w:rsidP="00733809">
      <w:pPr>
        <w:numPr>
          <w:ilvl w:val="0"/>
          <w:numId w:val="25"/>
        </w:numPr>
      </w:pPr>
      <w:r>
        <w:t>A further issue regarding implied market value studies is the appropriate interpretation of their results. Handley and Lally both advised that in the rate of return framework investors are assumed to value a dollar of dividends at one dollar</w:t>
      </w:r>
      <w:r w:rsidR="00F17A22">
        <w:t xml:space="preserve"> (on a pre-personal-tax basis)</w:t>
      </w:r>
      <w:r>
        <w:t xml:space="preserve">. However, the results of implied market value studies can reflect certain factors that </w:t>
      </w:r>
      <w:r w:rsidR="00863D70">
        <w:t>suggest that</w:t>
      </w:r>
      <w:r>
        <w:t xml:space="preserve"> investor</w:t>
      </w:r>
      <w:r w:rsidR="00863D70">
        <w:t>s</w:t>
      </w:r>
      <w:r>
        <w:t xml:space="preserve"> value a dollar of dividends at less than one dollar (such as differential personal taxes on dividends and capital gains). Moreover, any such factors will </w:t>
      </w:r>
      <w:r w:rsidR="00422781">
        <w:t xml:space="preserve">affect </w:t>
      </w:r>
      <w:r w:rsidR="00863D70">
        <w:t>these studies' results for</w:t>
      </w:r>
      <w:r>
        <w:t xml:space="preserve"> investors' valuation of imputation credits. Handley and Lally advised that the desired estimate of the utilisation rate should exclude the effect of these factors.</w:t>
      </w:r>
      <w:r w:rsidR="00984362">
        <w:rPr>
          <w:rStyle w:val="FootnoteReference"/>
        </w:rPr>
        <w:footnoteReference w:id="97"/>
      </w:r>
      <w:r>
        <w:t xml:space="preserve"> To remove the effect, they advised that the estimate of the utilisation rate from a given study can be divided by investors' estimated valuation of dividends from the same study.</w:t>
      </w:r>
      <w:r>
        <w:rPr>
          <w:rStyle w:val="FootnoteReference"/>
        </w:rPr>
        <w:footnoteReference w:id="98"/>
      </w:r>
      <w:r>
        <w:t xml:space="preserve"> Therefore, Handley and Lally advised that the 0.35 estimate from SFG's dividend drop off study should in fact be interpreted as an estimate of around 0.4. </w:t>
      </w:r>
    </w:p>
    <w:p w:rsidR="002030C9" w:rsidRDefault="00733809" w:rsidP="002030C9">
      <w:pPr>
        <w:numPr>
          <w:ilvl w:val="0"/>
          <w:numId w:val="25"/>
        </w:numPr>
      </w:pPr>
      <w:r>
        <w:t xml:space="preserve">In light of the differing views on these studies and the range of estimates they produce, we consider that implied market value studies provide limited guidance. </w:t>
      </w:r>
      <w:r w:rsidR="002030C9">
        <w:t>In the Guideline, we considered that implied market value studies supported an estimate of the utilisation rate between 0 and 0.5. This range was determined with regard to a range of studies, with higher regard given to those studies that:</w:t>
      </w:r>
    </w:p>
    <w:p w:rsidR="002030C9" w:rsidRPr="008D1665" w:rsidRDefault="002030C9" w:rsidP="002030C9">
      <w:pPr>
        <w:pStyle w:val="AERbulletlistfirststyle"/>
      </w:pPr>
      <w:r>
        <w:t>u</w:t>
      </w:r>
      <w:r w:rsidRPr="008D1665">
        <w:t>sed longer data periods</w:t>
      </w:r>
    </w:p>
    <w:p w:rsidR="002030C9" w:rsidRPr="008D1665" w:rsidRDefault="002030C9" w:rsidP="002030C9">
      <w:pPr>
        <w:pStyle w:val="AERbulletlistfirststyle"/>
      </w:pPr>
      <w:r>
        <w:t>u</w:t>
      </w:r>
      <w:r w:rsidRPr="008D1665">
        <w:t>sed data since 2000, when the change in tax law entitled eligible investors to a refund of credits that exceeded their tax liability</w:t>
      </w:r>
    </w:p>
    <w:p w:rsidR="002030C9" w:rsidRPr="008D1665" w:rsidRDefault="002030C9" w:rsidP="002030C9">
      <w:pPr>
        <w:pStyle w:val="AERbulletlistfirststyle"/>
      </w:pPr>
      <w:r>
        <w:t>e</w:t>
      </w:r>
      <w:r w:rsidRPr="008D1665">
        <w:t>ncompassed the breadth of the market instead of just selected firms, and</w:t>
      </w:r>
    </w:p>
    <w:p w:rsidR="00733809" w:rsidRDefault="002030C9" w:rsidP="002030C9">
      <w:pPr>
        <w:pStyle w:val="AERbulletlistfirststyle"/>
      </w:pPr>
      <w:r>
        <w:t>appeared to use more reasonable and robust econometric treatments.</w:t>
      </w:r>
    </w:p>
    <w:p w:rsidR="002030C9" w:rsidRDefault="00EF7EC0" w:rsidP="008D1665">
      <w:pPr>
        <w:numPr>
          <w:ilvl w:val="0"/>
          <w:numId w:val="25"/>
        </w:numPr>
      </w:pPr>
      <w:r>
        <w:t xml:space="preserve">However, in this final decision we recognise </w:t>
      </w:r>
      <w:r w:rsidR="00566D1D">
        <w:t>that</w:t>
      </w:r>
      <w:r>
        <w:t xml:space="preserve"> experts advocate both broader and narrower assessments of the evidence from implied market value studies. McKenzie and Partington considered it reasonable to have regard to </w:t>
      </w:r>
      <w:r w:rsidR="00D83801">
        <w:t xml:space="preserve">a range of </w:t>
      </w:r>
      <w:r>
        <w:t>studies</w:t>
      </w:r>
      <w:r w:rsidR="00D83801">
        <w:t>, including those</w:t>
      </w:r>
      <w:r>
        <w:t xml:space="preserve"> th</w:t>
      </w:r>
      <w:r w:rsidR="00566D1D">
        <w:t>at produced estimates above 0.5.</w:t>
      </w:r>
      <w:r w:rsidR="00120E2C">
        <w:rPr>
          <w:rStyle w:val="FootnoteReference"/>
        </w:rPr>
        <w:footnoteReference w:id="99"/>
      </w:r>
      <w:r>
        <w:t xml:space="preserve"> </w:t>
      </w:r>
      <w:r w:rsidR="00566D1D">
        <w:t>In</w:t>
      </w:r>
      <w:r>
        <w:t xml:space="preserve"> SFG</w:t>
      </w:r>
      <w:r w:rsidR="00566D1D">
        <w:t>'s view,</w:t>
      </w:r>
      <w:r>
        <w:t xml:space="preserve"> </w:t>
      </w:r>
      <w:r w:rsidRPr="008D1665">
        <w:t>there is no reasonable basis for adopting an estimate from dividend drop off analysis above the 0.35 estimate from its study</w:t>
      </w:r>
      <w:r>
        <w:t>.</w:t>
      </w:r>
      <w:r w:rsidR="00120E2C">
        <w:rPr>
          <w:rStyle w:val="FootnoteReference"/>
        </w:rPr>
        <w:footnoteReference w:id="100"/>
      </w:r>
      <w:r w:rsidR="00313C79">
        <w:t xml:space="preserve"> </w:t>
      </w:r>
    </w:p>
    <w:p w:rsidR="002030C9" w:rsidRDefault="002030C9" w:rsidP="008D1665">
      <w:pPr>
        <w:numPr>
          <w:ilvl w:val="0"/>
          <w:numId w:val="25"/>
        </w:numPr>
      </w:pPr>
      <w:r>
        <w:lastRenderedPageBreak/>
        <w:t>Ultimate</w:t>
      </w:r>
      <w:r w:rsidR="00367EDE">
        <w:t xml:space="preserve">ly, as discussed in section </w:t>
      </w:r>
      <w:r w:rsidR="003663DE">
        <w:fldChar w:fldCharType="begin"/>
      </w:r>
      <w:r w:rsidR="003663DE">
        <w:instrText xml:space="preserve"> REF _Ref414907434 \r \h </w:instrText>
      </w:r>
      <w:r w:rsidR="003663DE">
        <w:fldChar w:fldCharType="separate"/>
      </w:r>
      <w:r w:rsidR="003F0AA6">
        <w:t>4.4</w:t>
      </w:r>
      <w:r w:rsidR="003663DE">
        <w:fldChar w:fldCharType="end"/>
      </w:r>
      <w:r>
        <w:t>, estimates from implied market value studies and the level of reliance we place on them (including SFG's dividend drop off study) do not give us cause to move from the estimate</w:t>
      </w:r>
      <w:r w:rsidR="00313C79">
        <w:t xml:space="preserve"> of the value of imputation credits that we</w:t>
      </w:r>
      <w:r>
        <w:t xml:space="preserve"> </w:t>
      </w:r>
      <w:r w:rsidR="00313C79">
        <w:t>determine</w:t>
      </w:r>
      <w:r>
        <w:t xml:space="preserve"> with regard to evidence from </w:t>
      </w:r>
      <w:r w:rsidR="00313C79">
        <w:t xml:space="preserve">the </w:t>
      </w:r>
      <w:r>
        <w:t>equity ownership approach and tax statistics.</w:t>
      </w:r>
    </w:p>
    <w:p w:rsidR="008D1665" w:rsidRPr="004C6F08" w:rsidRDefault="008D1665" w:rsidP="008D1665">
      <w:pPr>
        <w:pStyle w:val="HeadingBoldItalic"/>
        <w:numPr>
          <w:ilvl w:val="0"/>
          <w:numId w:val="25"/>
        </w:numPr>
      </w:pPr>
      <w:r w:rsidRPr="004C6F08">
        <w:t>Responses to key issues raised by stakeholders</w:t>
      </w:r>
    </w:p>
    <w:p w:rsidR="006E1716" w:rsidRDefault="006E1716" w:rsidP="008D1665">
      <w:pPr>
        <w:numPr>
          <w:ilvl w:val="0"/>
          <w:numId w:val="25"/>
        </w:numPr>
      </w:pPr>
      <w:r>
        <w:t>The service providers submitted that implied market value studies are direct evidence on the value of imputation credits to investors, and that this value will reflect the transactions costs or other personal costs incurred in redeeming credits.</w:t>
      </w:r>
      <w:r>
        <w:rPr>
          <w:rStyle w:val="FootnoteReference"/>
        </w:rPr>
        <w:footnoteReference w:id="101"/>
      </w:r>
      <w:r>
        <w:t xml:space="preserve"> </w:t>
      </w:r>
      <w:r w:rsidR="000D5ED8">
        <w:t>However</w:t>
      </w:r>
      <w:r>
        <w:t>, we consider that the utilisation rate relates to the before-personal-tax and before-personal-costs utilisation value to investors in the market per dollar of imputation credits distributed.</w:t>
      </w:r>
      <w:r w:rsidR="000D5ED8">
        <w:t xml:space="preserve"> As discussed in section</w:t>
      </w:r>
      <w:r w:rsidR="00650984">
        <w:t xml:space="preserve">s </w:t>
      </w:r>
      <w:r w:rsidR="00650984">
        <w:fldChar w:fldCharType="begin"/>
      </w:r>
      <w:r w:rsidR="00650984">
        <w:instrText xml:space="preserve"> REF _Ref415144114 \r \h </w:instrText>
      </w:r>
      <w:r w:rsidR="00650984">
        <w:fldChar w:fldCharType="separate"/>
      </w:r>
      <w:r w:rsidR="003F0AA6">
        <w:t>A.5</w:t>
      </w:r>
      <w:r w:rsidR="00650984">
        <w:fldChar w:fldCharType="end"/>
      </w:r>
      <w:r w:rsidR="00650984">
        <w:t>,</w:t>
      </w:r>
      <w:r w:rsidR="000D5ED8">
        <w:t xml:space="preserve"> </w:t>
      </w:r>
      <w:r w:rsidR="000D5ED8">
        <w:fldChar w:fldCharType="begin"/>
      </w:r>
      <w:r w:rsidR="000D5ED8">
        <w:instrText xml:space="preserve"> REF _Ref400965182 \r \h </w:instrText>
      </w:r>
      <w:r w:rsidR="000D5ED8">
        <w:fldChar w:fldCharType="separate"/>
      </w:r>
      <w:r w:rsidR="003F0AA6">
        <w:t>A.6</w:t>
      </w:r>
      <w:r w:rsidR="000D5ED8">
        <w:fldChar w:fldCharType="end"/>
      </w:r>
      <w:r w:rsidR="000D5ED8">
        <w:t>,</w:t>
      </w:r>
      <w:r w:rsidR="00650984">
        <w:t xml:space="preserve"> </w:t>
      </w:r>
      <w:r w:rsidR="00650984">
        <w:fldChar w:fldCharType="begin"/>
      </w:r>
      <w:r w:rsidR="00650984">
        <w:instrText xml:space="preserve"> REF _Ref414282622 \r \h </w:instrText>
      </w:r>
      <w:r w:rsidR="00650984">
        <w:fldChar w:fldCharType="separate"/>
      </w:r>
      <w:r w:rsidR="003F0AA6">
        <w:t>A.7</w:t>
      </w:r>
      <w:r w:rsidR="00650984">
        <w:fldChar w:fldCharType="end"/>
      </w:r>
      <w:r w:rsidR="00650984">
        <w:t xml:space="preserve"> and </w:t>
      </w:r>
      <w:r w:rsidR="00650984">
        <w:fldChar w:fldCharType="begin"/>
      </w:r>
      <w:r w:rsidR="00650984">
        <w:instrText xml:space="preserve"> REF _Ref401748758 \r \h </w:instrText>
      </w:r>
      <w:r w:rsidR="00650984">
        <w:fldChar w:fldCharType="separate"/>
      </w:r>
      <w:r w:rsidR="003F0AA6">
        <w:t>A.8.1</w:t>
      </w:r>
      <w:r w:rsidR="00650984">
        <w:fldChar w:fldCharType="end"/>
      </w:r>
      <w:r w:rsidR="00650984">
        <w:t>,</w:t>
      </w:r>
      <w:r w:rsidR="000D5ED8">
        <w:t xml:space="preserve"> we estimate the utilisation rate in this way in order to be consistent with the Officer framework, </w:t>
      </w:r>
      <w:r w:rsidR="00481511">
        <w:t xml:space="preserve">which provides the </w:t>
      </w:r>
      <w:r w:rsidR="000D5ED8">
        <w:t>basis for the rate of return framework in the NER/NGR.</w:t>
      </w:r>
      <w:r>
        <w:t xml:space="preserve"> Therefore, we do not consider that implied market value studies provide direct evidence on the utilisation rate, and this is reflected in the lower level of reliance we place on these studies.</w:t>
      </w:r>
    </w:p>
    <w:p w:rsidR="00A96BBA" w:rsidRDefault="006E1716" w:rsidP="008D1665">
      <w:pPr>
        <w:numPr>
          <w:ilvl w:val="0"/>
          <w:numId w:val="25"/>
        </w:numPr>
      </w:pPr>
      <w:r>
        <w:t>The service providers also submitted that:</w:t>
      </w:r>
    </w:p>
    <w:p w:rsidR="006E1716" w:rsidRDefault="006E1716" w:rsidP="006E1716">
      <w:pPr>
        <w:pStyle w:val="AERbulletlistfirststyle"/>
      </w:pPr>
      <w:r>
        <w:t>The use of implied market value studies to estimate the value of imputation credits is consistent with the approach to estimating other rate of return parameters.</w:t>
      </w:r>
    </w:p>
    <w:p w:rsidR="006E1716" w:rsidRDefault="00C20980" w:rsidP="006E1716">
      <w:pPr>
        <w:pStyle w:val="AERbulletlistfirststyle"/>
      </w:pPr>
      <w:r>
        <w:t>An adjustment can be made to the results of SFG's dividend drop off study to account for the differences between our and the service providers' interpretation</w:t>
      </w:r>
      <w:r w:rsidR="00E76C30">
        <w:t>s</w:t>
      </w:r>
      <w:r>
        <w:t xml:space="preserve"> of the utilisation rate.</w:t>
      </w:r>
    </w:p>
    <w:p w:rsidR="00C20980" w:rsidRDefault="00C20980" w:rsidP="006E1716">
      <w:pPr>
        <w:pStyle w:val="AERbulletlistfirststyle"/>
      </w:pPr>
      <w:r>
        <w:t xml:space="preserve">Several of the limitations </w:t>
      </w:r>
      <w:r w:rsidR="00E76C30">
        <w:t>that</w:t>
      </w:r>
      <w:r>
        <w:t xml:space="preserve"> we have identified as potentially applying to implied market value studies do not apply to SFG's dividend drop off study.</w:t>
      </w:r>
    </w:p>
    <w:p w:rsidR="004F6A0E" w:rsidRDefault="00193E3A" w:rsidP="002C233C">
      <w:pPr>
        <w:numPr>
          <w:ilvl w:val="0"/>
          <w:numId w:val="25"/>
        </w:numPr>
      </w:pPr>
      <w:r>
        <w:t>We disagree with all of these points and our rea</w:t>
      </w:r>
      <w:r w:rsidR="00C31B22">
        <w:t xml:space="preserve">sons are set out in section </w:t>
      </w:r>
      <w:r w:rsidR="00C31B22">
        <w:fldChar w:fldCharType="begin"/>
      </w:r>
      <w:r w:rsidR="00C31B22">
        <w:instrText xml:space="preserve"> REF _Ref401080753 \r \h </w:instrText>
      </w:r>
      <w:r w:rsidR="00C31B22">
        <w:fldChar w:fldCharType="separate"/>
      </w:r>
      <w:r w:rsidR="003F0AA6">
        <w:t>A.14</w:t>
      </w:r>
      <w:r w:rsidR="00C31B22">
        <w:fldChar w:fldCharType="end"/>
      </w:r>
      <w:r>
        <w:t xml:space="preserve"> of appendix A.</w:t>
      </w:r>
    </w:p>
    <w:p w:rsidR="00091B15" w:rsidRDefault="00B168A4" w:rsidP="00091B15">
      <w:pPr>
        <w:pStyle w:val="Heading7"/>
      </w:pPr>
      <w:bookmarkStart w:id="38" w:name="_Toc417043255"/>
      <w:r>
        <w:lastRenderedPageBreak/>
        <w:t>Value of imputation credits: Detailed analysis</w:t>
      </w:r>
      <w:bookmarkEnd w:id="38"/>
    </w:p>
    <w:p w:rsidR="00076A67" w:rsidRPr="00076A67" w:rsidRDefault="00076A67" w:rsidP="00076A67">
      <w:r w:rsidRPr="00076A67">
        <w:t xml:space="preserve">In attachment 4, we set out our </w:t>
      </w:r>
      <w:r w:rsidR="00491828">
        <w:t>decision</w:t>
      </w:r>
      <w:r w:rsidRPr="00076A67">
        <w:t xml:space="preserve"> on the value of imputation credits—which is to adopt a value of 0.4—and our key reasons for that </w:t>
      </w:r>
      <w:r w:rsidR="00491828">
        <w:t>view</w:t>
      </w:r>
      <w:r w:rsidRPr="00076A67">
        <w:t xml:space="preserve">. We also indicated the position submitted to us by service providers with current regulatory decisions, and briefly set out our consideration of that position. In this appendix, we set out further supporting material for our </w:t>
      </w:r>
      <w:r w:rsidR="00491828">
        <w:t>decision</w:t>
      </w:r>
      <w:r w:rsidRPr="00076A67">
        <w:t xml:space="preserve"> on the value of imputation credits. We also respond in more detail to the position submitted to us by service providers.</w:t>
      </w:r>
    </w:p>
    <w:p w:rsidR="00B168A4" w:rsidRPr="00B168A4" w:rsidRDefault="00076A67" w:rsidP="00076A67">
      <w:r w:rsidRPr="00076A67">
        <w:t xml:space="preserve">All service providers with current regulatory decisions (ActewAGL, Ausgrid, Directlink, Endeavour Energy, Essential Energy, JGN and TransGrid), with the exception of TasNetworks, proposed a value of imputation credits of 0.25. The reasons submitted by those service providers </w:t>
      </w:r>
      <w:r w:rsidR="00777A49">
        <w:t xml:space="preserve">in their initial and revised proposals </w:t>
      </w:r>
      <w:r w:rsidRPr="00076A67">
        <w:t>were largely the same and the service p</w:t>
      </w:r>
      <w:r w:rsidR="00777A49">
        <w:t xml:space="preserve">roviders jointly commissioned </w:t>
      </w:r>
      <w:r w:rsidRPr="00076A67">
        <w:t>report</w:t>
      </w:r>
      <w:r w:rsidR="00777A49">
        <w:t>s</w:t>
      </w:r>
      <w:r w:rsidRPr="00076A67">
        <w:t xml:space="preserve"> from SFG and relied on </w:t>
      </w:r>
      <w:r w:rsidR="00777A49">
        <w:t>those</w:t>
      </w:r>
      <w:r w:rsidRPr="00076A67">
        <w:t xml:space="preserve"> report</w:t>
      </w:r>
      <w:r w:rsidR="00777A49">
        <w:t>s</w:t>
      </w:r>
      <w:r w:rsidRPr="00076A67">
        <w:t xml:space="preserve"> in their proposals. Accordingly, our analysis in this appendix is applicable and consistent with our analysis of the proposals from those other service providers.</w:t>
      </w:r>
    </w:p>
    <w:p w:rsidR="00091B15" w:rsidRDefault="000222ED" w:rsidP="00091B15">
      <w:pPr>
        <w:pStyle w:val="Heading8"/>
      </w:pPr>
      <w:bookmarkStart w:id="39" w:name="_Ref414621676"/>
      <w:bookmarkStart w:id="40" w:name="_Toc417043256"/>
      <w:r>
        <w:t>Expert views on the value of imputation credits</w:t>
      </w:r>
      <w:bookmarkEnd w:id="39"/>
      <w:bookmarkEnd w:id="40"/>
    </w:p>
    <w:p w:rsidR="000222ED" w:rsidRDefault="00A36459" w:rsidP="000222ED">
      <w:r>
        <w:t xml:space="preserve">We, other regulators, service providers and consumer representatives have commissioned expert advice on the value of imputation credits from a range of experts in the context of a number of regulatory processes. These expert reports demonstrate that there is no consensus among experts on either the value of imputation credits (particularly for the utilisation rate parameter), nor on the techniques to estimate it. </w:t>
      </w:r>
      <w:r>
        <w:fldChar w:fldCharType="begin"/>
      </w:r>
      <w:r>
        <w:instrText xml:space="preserve"> REF _Ref400609043 \h </w:instrText>
      </w:r>
      <w:r>
        <w:fldChar w:fldCharType="separate"/>
      </w:r>
      <w:r w:rsidR="003F0AA6" w:rsidRPr="009421A7">
        <w:t xml:space="preserve">Table </w:t>
      </w:r>
      <w:r w:rsidR="003F0AA6">
        <w:rPr>
          <w:noProof/>
        </w:rPr>
        <w:t>4</w:t>
      </w:r>
      <w:r w:rsidR="003F0AA6">
        <w:noBreakHyphen/>
      </w:r>
      <w:r w:rsidR="003F0AA6">
        <w:rPr>
          <w:noProof/>
        </w:rPr>
        <w:t>3</w:t>
      </w:r>
      <w:r>
        <w:fldChar w:fldCharType="end"/>
      </w:r>
      <w:r>
        <w:t xml:space="preserve"> summarises recent expert advice of which we are aware. We have considered the advice from each of these experts in forming our position on the value of imputation credits.</w:t>
      </w:r>
    </w:p>
    <w:p w:rsidR="00A36459" w:rsidRDefault="00A36459" w:rsidP="00A36459">
      <w:pPr>
        <w:pStyle w:val="Caption"/>
      </w:pPr>
      <w:bookmarkStart w:id="41" w:name="_Ref400609043"/>
      <w:r w:rsidRPr="009421A7">
        <w:t xml:space="preserve">Table </w:t>
      </w:r>
      <w:r w:rsidR="00332D56">
        <w:fldChar w:fldCharType="begin"/>
      </w:r>
      <w:r w:rsidR="00332D56">
        <w:instrText xml:space="preserve"> STYLEREF 1 \s </w:instrText>
      </w:r>
      <w:r w:rsidR="00332D56">
        <w:fldChar w:fldCharType="separate"/>
      </w:r>
      <w:r w:rsidR="003F0AA6">
        <w:rPr>
          <w:noProof/>
        </w:rPr>
        <w:t>4</w:t>
      </w:r>
      <w:r w:rsidR="00332D56">
        <w:rPr>
          <w:noProof/>
        </w:rPr>
        <w:fldChar w:fldCharType="end"/>
      </w:r>
      <w:r w:rsidR="00257FBE">
        <w:noBreakHyphen/>
      </w:r>
      <w:r w:rsidR="00332D56">
        <w:fldChar w:fldCharType="begin"/>
      </w:r>
      <w:r w:rsidR="00332D56">
        <w:instrText xml:space="preserve"> SEQ Table \* ARABIC \s 1 </w:instrText>
      </w:r>
      <w:r w:rsidR="00332D56">
        <w:fldChar w:fldCharType="separate"/>
      </w:r>
      <w:r w:rsidR="003F0AA6">
        <w:rPr>
          <w:noProof/>
        </w:rPr>
        <w:t>3</w:t>
      </w:r>
      <w:r w:rsidR="00332D56">
        <w:rPr>
          <w:noProof/>
        </w:rPr>
        <w:fldChar w:fldCharType="end"/>
      </w:r>
      <w:bookmarkEnd w:id="41"/>
      <w:r w:rsidRPr="009421A7">
        <w:tab/>
        <w:t xml:space="preserve">Summary of expert views on the </w:t>
      </w:r>
      <w:r>
        <w:t>value of imputation credits</w:t>
      </w:r>
    </w:p>
    <w:tbl>
      <w:tblPr>
        <w:tblStyle w:val="AERtable-text0"/>
        <w:tblW w:w="0" w:type="auto"/>
        <w:tblLook w:val="04A0" w:firstRow="1" w:lastRow="0" w:firstColumn="1" w:lastColumn="0" w:noHBand="0" w:noVBand="1"/>
      </w:tblPr>
      <w:tblGrid>
        <w:gridCol w:w="1562"/>
        <w:gridCol w:w="2560"/>
        <w:gridCol w:w="2560"/>
        <w:gridCol w:w="2560"/>
      </w:tblGrid>
      <w:tr w:rsidR="00D91188" w:rsidTr="00D71DDD">
        <w:trPr>
          <w:cnfStyle w:val="100000000000" w:firstRow="1" w:lastRow="0" w:firstColumn="0" w:lastColumn="0" w:oddVBand="0" w:evenVBand="0" w:oddHBand="0" w:evenHBand="0" w:firstRowFirstColumn="0" w:firstRowLastColumn="0" w:lastRowFirstColumn="0" w:lastRowLastColumn="0"/>
          <w:cantSplit/>
          <w:tblHeader/>
        </w:trPr>
        <w:tc>
          <w:tcPr>
            <w:tcW w:w="1562" w:type="dxa"/>
          </w:tcPr>
          <w:p w:rsidR="00A36459" w:rsidRDefault="00A36459" w:rsidP="003C0026">
            <w:pPr>
              <w:numPr>
                <w:ilvl w:val="0"/>
                <w:numId w:val="25"/>
              </w:numPr>
            </w:pPr>
            <w:r w:rsidRPr="005527C3">
              <w:t>Expert</w:t>
            </w:r>
          </w:p>
        </w:tc>
        <w:tc>
          <w:tcPr>
            <w:tcW w:w="2560" w:type="dxa"/>
          </w:tcPr>
          <w:p w:rsidR="00A36459" w:rsidRDefault="00A36459" w:rsidP="003C0026">
            <w:pPr>
              <w:numPr>
                <w:ilvl w:val="0"/>
                <w:numId w:val="25"/>
              </w:numPr>
            </w:pPr>
            <w:r>
              <w:t>Distribution rate</w:t>
            </w:r>
          </w:p>
        </w:tc>
        <w:tc>
          <w:tcPr>
            <w:tcW w:w="2560" w:type="dxa"/>
          </w:tcPr>
          <w:p w:rsidR="00A36459" w:rsidRDefault="00A36459" w:rsidP="003C0026">
            <w:pPr>
              <w:numPr>
                <w:ilvl w:val="0"/>
                <w:numId w:val="25"/>
              </w:numPr>
            </w:pPr>
            <w:r>
              <w:t>Utilisation rate</w:t>
            </w:r>
          </w:p>
        </w:tc>
        <w:tc>
          <w:tcPr>
            <w:tcW w:w="2560" w:type="dxa"/>
          </w:tcPr>
          <w:p w:rsidR="00A36459" w:rsidRDefault="00A36459" w:rsidP="003C0026">
            <w:pPr>
              <w:numPr>
                <w:ilvl w:val="0"/>
                <w:numId w:val="25"/>
              </w:numPr>
            </w:pPr>
            <w:r>
              <w:t>Value of imputation credits</w:t>
            </w:r>
          </w:p>
        </w:tc>
      </w:tr>
      <w:tr w:rsidR="00D91188" w:rsidTr="00D71DDD">
        <w:trPr>
          <w:cantSplit/>
        </w:trPr>
        <w:tc>
          <w:tcPr>
            <w:tcW w:w="1562" w:type="dxa"/>
          </w:tcPr>
          <w:p w:rsidR="00A36459" w:rsidRPr="005527C3" w:rsidRDefault="00A36459" w:rsidP="003C0026">
            <w:pPr>
              <w:numPr>
                <w:ilvl w:val="0"/>
                <w:numId w:val="25"/>
              </w:numPr>
            </w:pPr>
            <w:r w:rsidRPr="005527C3">
              <w:t>Lally (2013</w:t>
            </w:r>
            <w:r w:rsidR="00384402">
              <w:t>a</w:t>
            </w:r>
            <w:r>
              <w:t>,</w:t>
            </w:r>
            <w:r w:rsidR="00384402">
              <w:t xml:space="preserve"> 2013b, </w:t>
            </w:r>
            <w:r>
              <w:t xml:space="preserve"> 2014</w:t>
            </w:r>
            <w:r w:rsidRPr="005527C3">
              <w:t>)</w:t>
            </w:r>
            <w:r>
              <w:rPr>
                <w:rStyle w:val="FootnoteReference"/>
              </w:rPr>
              <w:footnoteReference w:id="102"/>
            </w:r>
          </w:p>
        </w:tc>
        <w:tc>
          <w:tcPr>
            <w:tcW w:w="2560" w:type="dxa"/>
          </w:tcPr>
          <w:p w:rsidR="00A36459" w:rsidRPr="005527C3" w:rsidRDefault="00A36459" w:rsidP="003C0026">
            <w:pPr>
              <w:numPr>
                <w:ilvl w:val="0"/>
                <w:numId w:val="25"/>
              </w:numPr>
            </w:pPr>
            <w:r>
              <w:rPr>
                <w:rStyle w:val="Strong"/>
              </w:rPr>
              <w:t>0.84</w:t>
            </w:r>
            <w:r>
              <w:t xml:space="preserve"> using the financial statements of 20 largest ASX-listed companies</w:t>
            </w:r>
          </w:p>
        </w:tc>
        <w:tc>
          <w:tcPr>
            <w:tcW w:w="2560" w:type="dxa"/>
          </w:tcPr>
          <w:p w:rsidR="00A36459" w:rsidRDefault="00A36459" w:rsidP="003C0026">
            <w:pPr>
              <w:numPr>
                <w:ilvl w:val="0"/>
                <w:numId w:val="25"/>
              </w:numPr>
            </w:pPr>
            <w:r w:rsidRPr="00EB7ECD">
              <w:rPr>
                <w:rStyle w:val="Strong"/>
              </w:rPr>
              <w:t>1</w:t>
            </w:r>
            <w:r>
              <w:rPr>
                <w:rStyle w:val="Strong"/>
              </w:rPr>
              <w:t>.0</w:t>
            </w:r>
            <w:r w:rsidRPr="005527C3">
              <w:t>, based on assumption that all investors in the Officer CAPM are domestic investors</w:t>
            </w:r>
          </w:p>
          <w:p w:rsidR="00A36459" w:rsidRPr="005527C3" w:rsidRDefault="00A36459" w:rsidP="003C0026">
            <w:pPr>
              <w:numPr>
                <w:ilvl w:val="0"/>
                <w:numId w:val="25"/>
              </w:numPr>
            </w:pPr>
            <w:r>
              <w:t>0.54 to 0.7, using equity ownership as second preference</w:t>
            </w:r>
          </w:p>
        </w:tc>
        <w:tc>
          <w:tcPr>
            <w:tcW w:w="2560" w:type="dxa"/>
          </w:tcPr>
          <w:p w:rsidR="00A36459" w:rsidRDefault="00A36459" w:rsidP="003C0026">
            <w:pPr>
              <w:rPr>
                <w:rStyle w:val="Strong"/>
              </w:rPr>
            </w:pPr>
            <w:r w:rsidRPr="00371594">
              <w:rPr>
                <w:rStyle w:val="Strong"/>
              </w:rPr>
              <w:t>0.</w:t>
            </w:r>
            <w:r>
              <w:rPr>
                <w:rStyle w:val="Strong"/>
              </w:rPr>
              <w:t>84</w:t>
            </w:r>
          </w:p>
          <w:p w:rsidR="00D91188" w:rsidRPr="00A36459" w:rsidRDefault="00D91188" w:rsidP="003C0026">
            <w:pPr>
              <w:rPr>
                <w:rStyle w:val="Strong"/>
              </w:rPr>
            </w:pPr>
            <w:r>
              <w:t xml:space="preserve">0.45 to 0.59 using </w:t>
            </w:r>
            <w:r w:rsidRPr="00D91188">
              <w:t>second preference</w:t>
            </w:r>
            <w:r>
              <w:t xml:space="preserve"> utilisation rate</w:t>
            </w:r>
          </w:p>
        </w:tc>
      </w:tr>
      <w:tr w:rsidR="00D91188"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6459" w:rsidRPr="005527C3" w:rsidRDefault="00A36459" w:rsidP="003C0026">
            <w:pPr>
              <w:numPr>
                <w:ilvl w:val="0"/>
                <w:numId w:val="25"/>
              </w:numPr>
            </w:pPr>
            <w:r w:rsidRPr="005527C3">
              <w:lastRenderedPageBreak/>
              <w:t>McKenzie and Partington (2013)</w:t>
            </w:r>
            <w:r>
              <w:rPr>
                <w:rStyle w:val="FootnoteReference"/>
              </w:rPr>
              <w:footnoteReference w:id="103"/>
            </w:r>
          </w:p>
        </w:tc>
        <w:tc>
          <w:tcPr>
            <w:tcW w:w="2560" w:type="dxa"/>
          </w:tcPr>
          <w:p w:rsidR="00A36459" w:rsidRPr="005527C3" w:rsidRDefault="00A36459" w:rsidP="003C0026">
            <w:pPr>
              <w:numPr>
                <w:ilvl w:val="0"/>
                <w:numId w:val="25"/>
              </w:numPr>
            </w:pPr>
            <w:r w:rsidRPr="00371594">
              <w:rPr>
                <w:rStyle w:val="Strong"/>
              </w:rPr>
              <w:t>0.7</w:t>
            </w:r>
            <w:r>
              <w:t>, using</w:t>
            </w:r>
            <w:r w:rsidRPr="005527C3">
              <w:t xml:space="preserve"> cumulative payout </w:t>
            </w:r>
            <w:r>
              <w:t xml:space="preserve">ratio </w:t>
            </w:r>
            <w:r w:rsidRPr="005527C3">
              <w:t>approach</w:t>
            </w:r>
            <w:r>
              <w:t xml:space="preserve"> over all equity</w:t>
            </w:r>
          </w:p>
        </w:tc>
        <w:tc>
          <w:tcPr>
            <w:tcW w:w="2560" w:type="dxa"/>
          </w:tcPr>
          <w:p w:rsidR="00A36459" w:rsidRPr="005527C3" w:rsidRDefault="00A36459" w:rsidP="003C0026">
            <w:pPr>
              <w:numPr>
                <w:ilvl w:val="0"/>
                <w:numId w:val="25"/>
              </w:numPr>
            </w:pPr>
            <w:r>
              <w:rPr>
                <w:rStyle w:val="Strong"/>
              </w:rPr>
              <w:t>None recommended</w:t>
            </w:r>
            <w:r>
              <w:t>, although estimates considered included 0.7 from AER draft rate of return guideline approach, 0.53 from average of implied market value studies and 0.83 from average of McKenzie and Partington's implied market value studies</w:t>
            </w:r>
          </w:p>
        </w:tc>
        <w:tc>
          <w:tcPr>
            <w:tcW w:w="2560" w:type="dxa"/>
          </w:tcPr>
          <w:p w:rsidR="00A36459" w:rsidRPr="00371594" w:rsidRDefault="00A36459" w:rsidP="003C0026">
            <w:pPr>
              <w:numPr>
                <w:ilvl w:val="0"/>
                <w:numId w:val="25"/>
              </w:numPr>
              <w:rPr>
                <w:rStyle w:val="Strong"/>
              </w:rPr>
            </w:pPr>
            <w:r>
              <w:rPr>
                <w:rStyle w:val="Strong"/>
              </w:rPr>
              <w:t>Evidence not</w:t>
            </w:r>
            <w:r w:rsidRPr="00371594">
              <w:rPr>
                <w:rStyle w:val="Strong"/>
              </w:rPr>
              <w:t xml:space="preserve"> compelling</w:t>
            </w:r>
            <w:r>
              <w:rPr>
                <w:rStyle w:val="Strong"/>
              </w:rPr>
              <w:t xml:space="preserve"> enough</w:t>
            </w:r>
            <w:r w:rsidRPr="00371594">
              <w:rPr>
                <w:rStyle w:val="Strong"/>
              </w:rPr>
              <w:t xml:space="preserve"> to depart from 0.5</w:t>
            </w:r>
          </w:p>
        </w:tc>
      </w:tr>
      <w:tr w:rsidR="00D91188" w:rsidTr="00D71DDD">
        <w:trPr>
          <w:cantSplit/>
        </w:trPr>
        <w:tc>
          <w:tcPr>
            <w:tcW w:w="1562" w:type="dxa"/>
          </w:tcPr>
          <w:p w:rsidR="00A36459" w:rsidRPr="005527C3" w:rsidRDefault="00A36459" w:rsidP="003C0026">
            <w:pPr>
              <w:numPr>
                <w:ilvl w:val="0"/>
                <w:numId w:val="25"/>
              </w:numPr>
            </w:pPr>
            <w:r>
              <w:t>Handley (2014)</w:t>
            </w:r>
            <w:r>
              <w:rPr>
                <w:rStyle w:val="FootnoteReference"/>
              </w:rPr>
              <w:footnoteReference w:id="104"/>
            </w:r>
          </w:p>
        </w:tc>
        <w:tc>
          <w:tcPr>
            <w:tcW w:w="2560" w:type="dxa"/>
          </w:tcPr>
          <w:p w:rsidR="00A36459" w:rsidRPr="005527C3" w:rsidRDefault="00A36459" w:rsidP="003C0026">
            <w:pPr>
              <w:numPr>
                <w:ilvl w:val="0"/>
                <w:numId w:val="25"/>
              </w:numPr>
            </w:pPr>
            <w:r w:rsidRPr="00371594">
              <w:rPr>
                <w:rStyle w:val="Strong"/>
              </w:rPr>
              <w:t>0.8</w:t>
            </w:r>
            <w:r>
              <w:t xml:space="preserve">, using cumulative payout ratio approach over </w:t>
            </w:r>
            <w:r w:rsidR="001C274C">
              <w:t>only listed equity</w:t>
            </w:r>
            <w:r>
              <w:t xml:space="preserve"> </w:t>
            </w:r>
          </w:p>
        </w:tc>
        <w:tc>
          <w:tcPr>
            <w:tcW w:w="2560" w:type="dxa"/>
          </w:tcPr>
          <w:p w:rsidR="00A36459" w:rsidRPr="005527C3" w:rsidRDefault="00A36459" w:rsidP="003C0026">
            <w:pPr>
              <w:numPr>
                <w:ilvl w:val="0"/>
                <w:numId w:val="25"/>
              </w:numPr>
            </w:pPr>
            <w:r w:rsidRPr="00371594">
              <w:rPr>
                <w:rStyle w:val="Strong"/>
              </w:rPr>
              <w:t>0.5 to 0.6</w:t>
            </w:r>
            <w:r>
              <w:t>, with regard to (in order of importance) equity ownership approach, tax statistics and dividend drop off studies</w:t>
            </w:r>
          </w:p>
        </w:tc>
        <w:tc>
          <w:tcPr>
            <w:tcW w:w="2560" w:type="dxa"/>
          </w:tcPr>
          <w:p w:rsidR="00A36459" w:rsidRPr="00371594" w:rsidRDefault="00A36459" w:rsidP="003C0026">
            <w:pPr>
              <w:numPr>
                <w:ilvl w:val="0"/>
                <w:numId w:val="25"/>
              </w:numPr>
              <w:rPr>
                <w:rStyle w:val="Strong"/>
              </w:rPr>
            </w:pPr>
            <w:r w:rsidRPr="00371594">
              <w:rPr>
                <w:rStyle w:val="Strong"/>
              </w:rPr>
              <w:t>0.4 to 0.5</w:t>
            </w:r>
          </w:p>
        </w:tc>
      </w:tr>
      <w:tr w:rsidR="00A34FE2"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4FE2" w:rsidRPr="005527C3" w:rsidRDefault="00A34FE2" w:rsidP="003C0026">
            <w:pPr>
              <w:numPr>
                <w:ilvl w:val="0"/>
                <w:numId w:val="25"/>
              </w:numPr>
            </w:pPr>
            <w:r>
              <w:t>SACES (2015)</w:t>
            </w:r>
            <w:r>
              <w:rPr>
                <w:rStyle w:val="FootnoteReference"/>
              </w:rPr>
              <w:footnoteReference w:id="105"/>
            </w:r>
          </w:p>
        </w:tc>
        <w:tc>
          <w:tcPr>
            <w:tcW w:w="2560" w:type="dxa"/>
          </w:tcPr>
          <w:p w:rsidR="00A34FE2" w:rsidRPr="00371594" w:rsidRDefault="00253C46" w:rsidP="003C0026">
            <w:pPr>
              <w:rPr>
                <w:rStyle w:val="Strong"/>
              </w:rPr>
            </w:pPr>
            <w:r w:rsidRPr="00AF3A97">
              <w:rPr>
                <w:rStyle w:val="Strong"/>
              </w:rPr>
              <w:t>0.8</w:t>
            </w:r>
            <w:r>
              <w:t xml:space="preserve">, using cumulative payout ratio approach over </w:t>
            </w:r>
            <w:r w:rsidR="001C274C">
              <w:t>only listed equity</w:t>
            </w:r>
          </w:p>
        </w:tc>
        <w:tc>
          <w:tcPr>
            <w:tcW w:w="2560" w:type="dxa"/>
          </w:tcPr>
          <w:p w:rsidR="00A34FE2" w:rsidRPr="00371594" w:rsidRDefault="00253C46" w:rsidP="003C0026">
            <w:pPr>
              <w:numPr>
                <w:ilvl w:val="0"/>
                <w:numId w:val="25"/>
              </w:numPr>
              <w:rPr>
                <w:rStyle w:val="Strong"/>
              </w:rPr>
            </w:pPr>
            <w:r w:rsidRPr="00AF3A97">
              <w:rPr>
                <w:rStyle w:val="Strong"/>
              </w:rPr>
              <w:t>0.45</w:t>
            </w:r>
            <w:r>
              <w:t xml:space="preserve">, using the average of the estimate from tax statistics (0.43) and the refined domestic ownership share of </w:t>
            </w:r>
            <w:r w:rsidR="001C274C">
              <w:t>only listed equity</w:t>
            </w:r>
            <w:r>
              <w:t xml:space="preserve"> (0.46)</w:t>
            </w:r>
          </w:p>
        </w:tc>
        <w:tc>
          <w:tcPr>
            <w:tcW w:w="2560" w:type="dxa"/>
          </w:tcPr>
          <w:p w:rsidR="00A34FE2" w:rsidRPr="00AF3A97" w:rsidRDefault="00AF3A97" w:rsidP="003C0026">
            <w:pPr>
              <w:numPr>
                <w:ilvl w:val="0"/>
                <w:numId w:val="25"/>
              </w:numPr>
              <w:rPr>
                <w:rStyle w:val="Strong"/>
              </w:rPr>
            </w:pPr>
            <w:r w:rsidRPr="00AF3A97">
              <w:rPr>
                <w:rStyle w:val="Strong"/>
              </w:rPr>
              <w:t>0.36</w:t>
            </w:r>
          </w:p>
        </w:tc>
      </w:tr>
      <w:tr w:rsidR="00D91188" w:rsidTr="00D71DDD">
        <w:trPr>
          <w:cantSplit/>
        </w:trPr>
        <w:tc>
          <w:tcPr>
            <w:tcW w:w="1562" w:type="dxa"/>
          </w:tcPr>
          <w:p w:rsidR="00A36459" w:rsidRDefault="00A36459" w:rsidP="003C0026">
            <w:pPr>
              <w:numPr>
                <w:ilvl w:val="0"/>
                <w:numId w:val="25"/>
              </w:numPr>
            </w:pPr>
            <w:r w:rsidRPr="005527C3">
              <w:t>CEG (2014)</w:t>
            </w:r>
            <w:r>
              <w:rPr>
                <w:rStyle w:val="FootnoteReference"/>
              </w:rPr>
              <w:footnoteReference w:id="106"/>
            </w:r>
          </w:p>
        </w:tc>
        <w:tc>
          <w:tcPr>
            <w:tcW w:w="2560" w:type="dxa"/>
          </w:tcPr>
          <w:p w:rsidR="00A36459" w:rsidRDefault="00A36459" w:rsidP="003C0026">
            <w:pPr>
              <w:numPr>
                <w:ilvl w:val="0"/>
                <w:numId w:val="25"/>
              </w:numPr>
            </w:pPr>
            <w:r w:rsidRPr="00371594">
              <w:rPr>
                <w:rStyle w:val="Strong"/>
              </w:rPr>
              <w:t>0.7</w:t>
            </w:r>
            <w:r w:rsidRPr="00371594">
              <w:t>, using cumulative payout ratio approach</w:t>
            </w:r>
            <w:r>
              <w:t xml:space="preserve"> over all equity</w:t>
            </w:r>
          </w:p>
        </w:tc>
        <w:tc>
          <w:tcPr>
            <w:tcW w:w="2560" w:type="dxa"/>
          </w:tcPr>
          <w:p w:rsidR="00A36459" w:rsidRDefault="00A36459" w:rsidP="003C0026">
            <w:pPr>
              <w:numPr>
                <w:ilvl w:val="0"/>
                <w:numId w:val="25"/>
              </w:numPr>
            </w:pPr>
            <w:r w:rsidRPr="00371594">
              <w:rPr>
                <w:rStyle w:val="Strong"/>
              </w:rPr>
              <w:t>0.35</w:t>
            </w:r>
            <w:r w:rsidRPr="00371594">
              <w:t>, based on SFG's dividend drop off study</w:t>
            </w:r>
          </w:p>
        </w:tc>
        <w:tc>
          <w:tcPr>
            <w:tcW w:w="2560" w:type="dxa"/>
          </w:tcPr>
          <w:p w:rsidR="00A36459" w:rsidRPr="002C2564" w:rsidRDefault="00A36459" w:rsidP="003C0026">
            <w:pPr>
              <w:numPr>
                <w:ilvl w:val="0"/>
                <w:numId w:val="25"/>
              </w:numPr>
              <w:rPr>
                <w:rStyle w:val="Strong"/>
              </w:rPr>
            </w:pPr>
            <w:r w:rsidRPr="002C2564">
              <w:rPr>
                <w:rStyle w:val="Strong"/>
              </w:rPr>
              <w:t>0.25</w:t>
            </w:r>
          </w:p>
        </w:tc>
      </w:tr>
      <w:tr w:rsidR="00D91188"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6459" w:rsidRPr="005527C3" w:rsidRDefault="00F97F03" w:rsidP="003C0026">
            <w:pPr>
              <w:numPr>
                <w:ilvl w:val="0"/>
                <w:numId w:val="25"/>
              </w:numPr>
            </w:pPr>
            <w:r>
              <w:t>SFG (2015</w:t>
            </w:r>
            <w:r w:rsidR="00A36459" w:rsidRPr="005527C3">
              <w:t>)</w:t>
            </w:r>
            <w:r w:rsidR="00A36459">
              <w:rPr>
                <w:rStyle w:val="FootnoteReference"/>
              </w:rPr>
              <w:footnoteReference w:id="107"/>
            </w:r>
          </w:p>
        </w:tc>
        <w:tc>
          <w:tcPr>
            <w:tcW w:w="2560" w:type="dxa"/>
          </w:tcPr>
          <w:p w:rsidR="00A36459" w:rsidRPr="005527C3" w:rsidRDefault="00A36459" w:rsidP="003C0026">
            <w:pPr>
              <w:numPr>
                <w:ilvl w:val="0"/>
                <w:numId w:val="25"/>
              </w:numPr>
            </w:pPr>
            <w:r w:rsidRPr="00371594">
              <w:rPr>
                <w:rStyle w:val="Strong"/>
              </w:rPr>
              <w:t>0.7</w:t>
            </w:r>
            <w:r>
              <w:t>, using</w:t>
            </w:r>
            <w:r w:rsidRPr="00D7304F">
              <w:t xml:space="preserve"> cumulative payout ratio approach</w:t>
            </w:r>
            <w:r>
              <w:t xml:space="preserve"> over all equity</w:t>
            </w:r>
          </w:p>
        </w:tc>
        <w:tc>
          <w:tcPr>
            <w:tcW w:w="2560" w:type="dxa"/>
          </w:tcPr>
          <w:p w:rsidR="00A36459" w:rsidRPr="005527C3" w:rsidRDefault="00A36459" w:rsidP="003C0026">
            <w:pPr>
              <w:numPr>
                <w:ilvl w:val="0"/>
                <w:numId w:val="25"/>
              </w:numPr>
            </w:pPr>
            <w:r w:rsidRPr="00371594">
              <w:rPr>
                <w:rStyle w:val="Strong"/>
              </w:rPr>
              <w:t>0.35</w:t>
            </w:r>
            <w:r>
              <w:t>, based on SFG's dividend drop off study</w:t>
            </w:r>
          </w:p>
        </w:tc>
        <w:tc>
          <w:tcPr>
            <w:tcW w:w="2560" w:type="dxa"/>
          </w:tcPr>
          <w:p w:rsidR="00A36459" w:rsidRPr="00371594" w:rsidRDefault="00A36459" w:rsidP="003C0026">
            <w:pPr>
              <w:numPr>
                <w:ilvl w:val="0"/>
                <w:numId w:val="25"/>
              </w:numPr>
              <w:rPr>
                <w:rStyle w:val="Strong"/>
              </w:rPr>
            </w:pPr>
            <w:r w:rsidRPr="00371594">
              <w:rPr>
                <w:rStyle w:val="Strong"/>
              </w:rPr>
              <w:t>0.25</w:t>
            </w:r>
          </w:p>
        </w:tc>
      </w:tr>
    </w:tbl>
    <w:p w:rsidR="00A36459" w:rsidRDefault="00A36459" w:rsidP="00A36459">
      <w:pPr>
        <w:pStyle w:val="AERtablesource"/>
      </w:pPr>
      <w:r>
        <w:t>Source:</w:t>
      </w:r>
      <w:r>
        <w:tab/>
        <w:t>As specified in table.</w:t>
      </w:r>
    </w:p>
    <w:p w:rsidR="00887F2D" w:rsidRDefault="00887F2D" w:rsidP="00887F2D">
      <w:pPr>
        <w:numPr>
          <w:ilvl w:val="0"/>
          <w:numId w:val="25"/>
        </w:numPr>
      </w:pPr>
      <w:r>
        <w:t>In summary:</w:t>
      </w:r>
      <w:r w:rsidRPr="00DE068A">
        <w:t xml:space="preserve"> </w:t>
      </w:r>
    </w:p>
    <w:p w:rsidR="00887F2D" w:rsidRPr="00887F2D" w:rsidRDefault="00887F2D" w:rsidP="00887F2D">
      <w:pPr>
        <w:pStyle w:val="AERbulletlistfirststyle"/>
      </w:pPr>
      <w:r>
        <w:t>A distribution rate of 0.7 estimated using the cumulative payout ratio approach is most commonly accepted</w:t>
      </w:r>
      <w:r w:rsidR="005C0ACE">
        <w:t xml:space="preserve">. We describe this approach in </w:t>
      </w:r>
      <w:r>
        <w:t>section</w:t>
      </w:r>
      <w:r w:rsidR="005C0ACE">
        <w:t xml:space="preserve"> </w:t>
      </w:r>
      <w:r w:rsidR="005C0ACE">
        <w:fldChar w:fldCharType="begin"/>
      </w:r>
      <w:r w:rsidR="005C0ACE">
        <w:instrText xml:space="preserve"> REF _Ref415126827 \r \h </w:instrText>
      </w:r>
      <w:r w:rsidR="005C0ACE">
        <w:fldChar w:fldCharType="separate"/>
      </w:r>
      <w:r w:rsidR="003F0AA6">
        <w:t>A.10.2</w:t>
      </w:r>
      <w:r w:rsidR="005C0ACE">
        <w:fldChar w:fldCharType="end"/>
      </w:r>
      <w:r w:rsidRPr="00887F2D">
        <w:t xml:space="preserve">. However, Handley considers that this approach should be applied to </w:t>
      </w:r>
      <w:r w:rsidR="001C274C">
        <w:t>only listed equity</w:t>
      </w:r>
      <w:r w:rsidRPr="00887F2D">
        <w:t xml:space="preserve">, and this produces a higher estimate of the distribution rate of 0.8. </w:t>
      </w:r>
      <w:r w:rsidR="003B4139">
        <w:t>The South Australian Centre for Economic Studies (</w:t>
      </w:r>
      <w:r>
        <w:t>SACES</w:t>
      </w:r>
      <w:r w:rsidR="003B4139">
        <w:t>)</w:t>
      </w:r>
      <w:r>
        <w:t xml:space="preserve"> accepts Handley's approach. </w:t>
      </w:r>
      <w:r w:rsidRPr="00887F2D">
        <w:t>Lally considers that the best estimate of the distribution rate is 0.84, calculated using the financial statements of the 20 largest ASX-listed companies.</w:t>
      </w:r>
    </w:p>
    <w:p w:rsidR="00887F2D" w:rsidRPr="00887F2D" w:rsidRDefault="00887F2D" w:rsidP="00887F2D">
      <w:pPr>
        <w:pStyle w:val="AERbulletlistfirststyle"/>
      </w:pPr>
      <w:r>
        <w:t>T</w:t>
      </w:r>
      <w:r w:rsidRPr="00887F2D">
        <w:t xml:space="preserve">here is no widely accepted utilisation rate or method for estimating it. The recommended values for the utilisation rate range from 0.35 to 1. </w:t>
      </w:r>
    </w:p>
    <w:p w:rsidR="00887F2D" w:rsidRPr="00887F2D" w:rsidRDefault="00887F2D" w:rsidP="00887F2D">
      <w:pPr>
        <w:pStyle w:val="AERbulletlistfirststyle"/>
      </w:pPr>
      <w:r>
        <w:t xml:space="preserve">Only CEG and SFG rely exclusively on the SFG dividend drop off study when estimating the utilisation rate. Handley and McKenzie and Partington rely on a range of evidence. </w:t>
      </w:r>
      <w:r w:rsidR="005436C8">
        <w:t xml:space="preserve">SACES gives equal weight to the equity ownership approach and tax statistics. </w:t>
      </w:r>
      <w:r>
        <w:t xml:space="preserve">Lally </w:t>
      </w:r>
      <w:r>
        <w:lastRenderedPageBreak/>
        <w:t>prefers a conceptual approach, but his second preference is the equity ownership approach.</w:t>
      </w:r>
    </w:p>
    <w:p w:rsidR="00887F2D" w:rsidRPr="00887F2D" w:rsidRDefault="00887F2D" w:rsidP="00887F2D">
      <w:pPr>
        <w:pStyle w:val="AERbulletlistfirststyle"/>
      </w:pPr>
      <w:r>
        <w:t>As a result of the differing approaches, particularly to the utilisation rate, the range of estimates of the value of imputation credits is 0.25 to 0.84.</w:t>
      </w:r>
    </w:p>
    <w:p w:rsidR="00A36459" w:rsidRDefault="00887F2D" w:rsidP="00887F2D">
      <w:r>
        <w:t xml:space="preserve">Conceptually, the value of imputation credits must be between 0 and 1. Accordingly the range of recommended estimates from 0.25 to 0.84, which spans most of the possible range for the value of imputation credits, highlights the lack of consensus among experts. Our </w:t>
      </w:r>
      <w:r w:rsidR="005436C8">
        <w:t>final</w:t>
      </w:r>
      <w:r>
        <w:t xml:space="preserve"> decision value of imputation credits of 0.4 sits </w:t>
      </w:r>
      <w:r w:rsidR="00196FC6">
        <w:t>in the lower half</w:t>
      </w:r>
      <w:r w:rsidR="00B10699">
        <w:t xml:space="preserve"> of the</w:t>
      </w:r>
      <w:r w:rsidR="00EC3159">
        <w:t xml:space="preserve"> range recommended by experts, which is more favourable to service providers.</w:t>
      </w:r>
    </w:p>
    <w:p w:rsidR="000B65E0" w:rsidRDefault="000B65E0" w:rsidP="000B65E0">
      <w:pPr>
        <w:pStyle w:val="Heading8"/>
      </w:pPr>
      <w:bookmarkStart w:id="42" w:name="_Ref414621875"/>
      <w:bookmarkStart w:id="43" w:name="_Toc417043257"/>
      <w:r>
        <w:t>The value of imputation credits used by other regulators</w:t>
      </w:r>
      <w:bookmarkEnd w:id="42"/>
      <w:bookmarkEnd w:id="43"/>
    </w:p>
    <w:p w:rsidR="000B65E0" w:rsidRDefault="000B65E0" w:rsidP="000B65E0">
      <w:r w:rsidRPr="001274F5">
        <w:t xml:space="preserve">Australian regulators have applied a wide range of approaches to estimate the value of imputation credits, resulting in varied outcomes. </w:t>
      </w:r>
      <w:r>
        <w:fldChar w:fldCharType="begin"/>
      </w:r>
      <w:r>
        <w:instrText xml:space="preserve"> REF _Ref401082422 \h </w:instrText>
      </w:r>
      <w:r>
        <w:fldChar w:fldCharType="separate"/>
      </w:r>
      <w:r w:rsidR="003F0AA6">
        <w:t xml:space="preserve">Table </w:t>
      </w:r>
      <w:r w:rsidR="003F0AA6">
        <w:rPr>
          <w:noProof/>
        </w:rPr>
        <w:t>4</w:t>
      </w:r>
      <w:r w:rsidR="003F0AA6">
        <w:noBreakHyphen/>
      </w:r>
      <w:r w:rsidR="003F0AA6">
        <w:rPr>
          <w:noProof/>
        </w:rPr>
        <w:t>4</w:t>
      </w:r>
      <w:r>
        <w:fldChar w:fldCharType="end"/>
      </w:r>
      <w:r>
        <w:t xml:space="preserve"> </w:t>
      </w:r>
      <w:r w:rsidRPr="001274F5">
        <w:t>summarises some recent regulatory decisions on the value of imputation credits. While these decisions have not directly informed our position on the value of imputation credits, they indicate that there is no conceptual or practical consensus amongst Australian regulators.</w:t>
      </w:r>
    </w:p>
    <w:p w:rsidR="000B65E0" w:rsidRDefault="000B65E0" w:rsidP="000B65E0">
      <w:pPr>
        <w:pStyle w:val="Caption"/>
      </w:pPr>
      <w:bookmarkStart w:id="44" w:name="_Ref401082422"/>
      <w:r>
        <w:t xml:space="preserve">Table </w:t>
      </w:r>
      <w:r w:rsidR="00332D56">
        <w:fldChar w:fldCharType="begin"/>
      </w:r>
      <w:r w:rsidR="00332D56">
        <w:instrText xml:space="preserve"> STYLEREF 1 \s </w:instrText>
      </w:r>
      <w:r w:rsidR="00332D56">
        <w:fldChar w:fldCharType="separate"/>
      </w:r>
      <w:r w:rsidR="003F0AA6">
        <w:rPr>
          <w:noProof/>
        </w:rPr>
        <w:t>4</w:t>
      </w:r>
      <w:r w:rsidR="00332D56">
        <w:rPr>
          <w:noProof/>
        </w:rPr>
        <w:fldChar w:fldCharType="end"/>
      </w:r>
      <w:r w:rsidR="00257FBE">
        <w:noBreakHyphen/>
      </w:r>
      <w:r w:rsidR="00332D56">
        <w:fldChar w:fldCharType="begin"/>
      </w:r>
      <w:r w:rsidR="00332D56">
        <w:instrText xml:space="preserve"> SEQ Ta</w:instrText>
      </w:r>
      <w:r w:rsidR="00332D56">
        <w:instrText xml:space="preserve">ble \* ARABIC \s 1 </w:instrText>
      </w:r>
      <w:r w:rsidR="00332D56">
        <w:fldChar w:fldCharType="separate"/>
      </w:r>
      <w:r w:rsidR="003F0AA6">
        <w:rPr>
          <w:noProof/>
        </w:rPr>
        <w:t>4</w:t>
      </w:r>
      <w:r w:rsidR="00332D56">
        <w:rPr>
          <w:noProof/>
        </w:rPr>
        <w:fldChar w:fldCharType="end"/>
      </w:r>
      <w:bookmarkEnd w:id="44"/>
      <w:r>
        <w:tab/>
      </w:r>
      <w:r w:rsidRPr="000B7BA2">
        <w:t>Au</w:t>
      </w:r>
      <w:r>
        <w:t>stralian regulators' approaches to</w:t>
      </w:r>
      <w:r w:rsidRPr="000B7BA2">
        <w:t xml:space="preserve"> the value of imputation credits</w:t>
      </w:r>
    </w:p>
    <w:tbl>
      <w:tblPr>
        <w:tblStyle w:val="AERtable-numbers"/>
        <w:tblW w:w="9242" w:type="dxa"/>
        <w:tblLayout w:type="fixed"/>
        <w:tblLook w:val="04A0" w:firstRow="1" w:lastRow="0" w:firstColumn="1" w:lastColumn="0" w:noHBand="0" w:noVBand="1"/>
      </w:tblPr>
      <w:tblGrid>
        <w:gridCol w:w="1101"/>
        <w:gridCol w:w="1842"/>
        <w:gridCol w:w="709"/>
        <w:gridCol w:w="1768"/>
        <w:gridCol w:w="1911"/>
        <w:gridCol w:w="1911"/>
      </w:tblGrid>
      <w:tr w:rsidR="000B65E0" w:rsidTr="00D71DD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1" w:type="dxa"/>
          </w:tcPr>
          <w:p w:rsidR="000B65E0" w:rsidRDefault="000B65E0" w:rsidP="003C0026">
            <w:pPr>
              <w:numPr>
                <w:ilvl w:val="0"/>
                <w:numId w:val="25"/>
              </w:numPr>
            </w:pPr>
            <w:r>
              <w:t>Regulator</w:t>
            </w:r>
          </w:p>
        </w:tc>
        <w:tc>
          <w:tcPr>
            <w:tcW w:w="1842"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Form of adoption</w:t>
            </w:r>
          </w:p>
        </w:tc>
        <w:tc>
          <w:tcPr>
            <w:tcW w:w="709"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Year</w:t>
            </w:r>
          </w:p>
        </w:tc>
        <w:tc>
          <w:tcPr>
            <w:tcW w:w="1768"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Distribution rate</w:t>
            </w:r>
          </w:p>
        </w:tc>
        <w:tc>
          <w:tcPr>
            <w:tcW w:w="1911"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Utilisation rate</w:t>
            </w:r>
          </w:p>
        </w:tc>
        <w:tc>
          <w:tcPr>
            <w:tcW w:w="1911"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Value of imputation credits</w:t>
            </w:r>
          </w:p>
        </w:tc>
      </w:tr>
      <w:tr w:rsidR="00060F5E" w:rsidTr="00D71DDD">
        <w:trPr>
          <w:cantSplit/>
        </w:trPr>
        <w:tc>
          <w:tcPr>
            <w:cnfStyle w:val="001000000000" w:firstRow="0" w:lastRow="0" w:firstColumn="1" w:lastColumn="0" w:oddVBand="0" w:evenVBand="0" w:oddHBand="0" w:evenHBand="0" w:firstRowFirstColumn="0" w:firstRowLastColumn="0" w:lastRowFirstColumn="0" w:lastRowLastColumn="0"/>
            <w:tcW w:w="1101" w:type="dxa"/>
          </w:tcPr>
          <w:p w:rsidR="00060F5E" w:rsidRPr="00060F5E" w:rsidRDefault="00060F5E" w:rsidP="003C0026">
            <w:r>
              <w:t>IPART</w:t>
            </w:r>
            <w:r w:rsidRPr="00060F5E">
              <w:rPr>
                <w:rStyle w:val="FootnoteReference"/>
              </w:rPr>
              <w:footnoteReference w:id="108"/>
            </w:r>
          </w:p>
        </w:tc>
        <w:tc>
          <w:tcPr>
            <w:tcW w:w="1842" w:type="dxa"/>
          </w:tcPr>
          <w:p w:rsidR="00060F5E" w:rsidRPr="000F2066"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372214">
              <w:t>Review of imputation credits, final decision</w:t>
            </w:r>
          </w:p>
        </w:tc>
        <w:tc>
          <w:tcPr>
            <w:tcW w:w="709" w:type="dxa"/>
          </w:tcPr>
          <w:p w:rsidR="00060F5E" w:rsidRPr="005657CB"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t>2012</w:t>
            </w:r>
          </w:p>
        </w:tc>
        <w:tc>
          <w:tcPr>
            <w:tcW w:w="1768" w:type="dxa"/>
          </w:tcPr>
          <w:p w:rsidR="00060F5E"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0.7</w:t>
            </w:r>
            <w:r>
              <w:t>, using cumulative payout ratio approach</w:t>
            </w:r>
          </w:p>
        </w:tc>
        <w:tc>
          <w:tcPr>
            <w:tcW w:w="1911" w:type="dxa"/>
          </w:tcPr>
          <w:p w:rsidR="00060F5E"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0.35</w:t>
            </w:r>
            <w:r>
              <w:t>, using 2011 version of SFG dividend drop off study</w:t>
            </w:r>
          </w:p>
        </w:tc>
        <w:tc>
          <w:tcPr>
            <w:tcW w:w="1911" w:type="dxa"/>
          </w:tcPr>
          <w:p w:rsidR="00060F5E" w:rsidRPr="005657CB"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rPr>
                <w:rStyle w:val="Strong"/>
              </w:rPr>
            </w:pPr>
            <w:r w:rsidRPr="00584C69">
              <w:rPr>
                <w:rStyle w:val="Strong"/>
              </w:rPr>
              <w:t>0.25</w:t>
            </w:r>
          </w:p>
        </w:tc>
      </w:tr>
      <w:tr w:rsidR="00060F5E"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060F5E" w:rsidRPr="00060F5E" w:rsidRDefault="00060F5E" w:rsidP="003C0026">
            <w:r>
              <w:t>ESC</w:t>
            </w:r>
            <w:r w:rsidRPr="00060F5E">
              <w:rPr>
                <w:rStyle w:val="AERsuperscript"/>
              </w:rPr>
              <w:footnoteReference w:id="109"/>
            </w:r>
          </w:p>
        </w:tc>
        <w:tc>
          <w:tcPr>
            <w:tcW w:w="1842" w:type="dxa"/>
          </w:tcPr>
          <w:p w:rsidR="00060F5E" w:rsidRPr="00372214"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pPr>
            <w:r>
              <w:t>Price review, greater metropolitan water businesses, final decision</w:t>
            </w:r>
          </w:p>
        </w:tc>
        <w:tc>
          <w:tcPr>
            <w:tcW w:w="709" w:type="dxa"/>
          </w:tcPr>
          <w:p w:rsidR="00060F5E"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pPr>
            <w:r>
              <w:t>2013</w:t>
            </w:r>
          </w:p>
        </w:tc>
        <w:tc>
          <w:tcPr>
            <w:tcW w:w="1768" w:type="dxa"/>
          </w:tcPr>
          <w:p w:rsidR="00060F5E" w:rsidRPr="00B76A97"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rPr>
                <w:rStyle w:val="Strong"/>
              </w:rPr>
            </w:pPr>
            <w:r>
              <w:t>N/A</w:t>
            </w:r>
          </w:p>
        </w:tc>
        <w:tc>
          <w:tcPr>
            <w:tcW w:w="1911" w:type="dxa"/>
          </w:tcPr>
          <w:p w:rsidR="00060F5E" w:rsidRPr="00B76A97"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rPr>
                <w:rStyle w:val="Strong"/>
              </w:rPr>
            </w:pPr>
            <w:r>
              <w:t>N/A</w:t>
            </w:r>
          </w:p>
        </w:tc>
        <w:tc>
          <w:tcPr>
            <w:tcW w:w="1911" w:type="dxa"/>
          </w:tcPr>
          <w:p w:rsidR="00060F5E" w:rsidRPr="00B76A97"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rPr>
                <w:rStyle w:val="Strong"/>
              </w:rPr>
            </w:pPr>
            <w:r w:rsidRPr="00B7073F">
              <w:rPr>
                <w:rStyle w:val="Strong"/>
              </w:rPr>
              <w:t>0.5</w:t>
            </w:r>
            <w:r>
              <w:t>, based on 2011 guidance</w:t>
            </w:r>
            <w:r>
              <w:rPr>
                <w:rStyle w:val="FootnoteReference"/>
              </w:rPr>
              <w:footnoteReference w:id="110"/>
            </w:r>
          </w:p>
        </w:tc>
      </w:tr>
      <w:tr w:rsidR="00604705" w:rsidTr="00D71DDD">
        <w:trPr>
          <w:cantSplit/>
        </w:trPr>
        <w:tc>
          <w:tcPr>
            <w:cnfStyle w:val="001000000000" w:firstRow="0" w:lastRow="0" w:firstColumn="1" w:lastColumn="0" w:oddVBand="0" w:evenVBand="0" w:oddHBand="0" w:evenHBand="0" w:firstRowFirstColumn="0" w:firstRowLastColumn="0" w:lastRowFirstColumn="0" w:lastRowLastColumn="0"/>
            <w:tcW w:w="1101" w:type="dxa"/>
          </w:tcPr>
          <w:p w:rsidR="00604705" w:rsidRPr="00604705" w:rsidRDefault="00604705" w:rsidP="003C0026">
            <w:r w:rsidRPr="00501101">
              <w:t>QCA</w:t>
            </w:r>
            <w:r w:rsidRPr="00604705">
              <w:rPr>
                <w:rStyle w:val="FootnoteReference"/>
              </w:rPr>
              <w:footnoteReference w:id="111"/>
            </w:r>
            <w:r w:rsidRPr="00604705">
              <w:t xml:space="preserve">  </w:t>
            </w:r>
          </w:p>
        </w:tc>
        <w:tc>
          <w:tcPr>
            <w:tcW w:w="1842" w:type="dxa"/>
          </w:tcPr>
          <w:p w:rsidR="00604705" w:rsidRPr="000F2066"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372214">
              <w:t>Cost of capital market parameters, final decision</w:t>
            </w:r>
          </w:p>
        </w:tc>
        <w:tc>
          <w:tcPr>
            <w:tcW w:w="709"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2014</w:t>
            </w:r>
          </w:p>
        </w:tc>
        <w:tc>
          <w:tcPr>
            <w:tcW w:w="1768" w:type="dxa"/>
          </w:tcPr>
          <w:p w:rsidR="00604705" w:rsidRPr="005657CB"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0.84</w:t>
            </w:r>
            <w:r w:rsidRPr="005657CB">
              <w:t>, using the financial statements of 20 largest ASX-listed companies</w:t>
            </w:r>
          </w:p>
        </w:tc>
        <w:tc>
          <w:tcPr>
            <w:tcW w:w="1911"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0.56</w:t>
            </w:r>
            <w:r>
              <w:t>, based primarily on the domestic ownership share of listed equity</w:t>
            </w:r>
          </w:p>
        </w:tc>
        <w:tc>
          <w:tcPr>
            <w:tcW w:w="1911" w:type="dxa"/>
          </w:tcPr>
          <w:p w:rsidR="00604705" w:rsidRPr="00584C69"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rPr>
                <w:rStyle w:val="Strong"/>
              </w:rPr>
            </w:pPr>
            <w:r w:rsidRPr="00584C69">
              <w:rPr>
                <w:rStyle w:val="Strong"/>
              </w:rPr>
              <w:t>0.47</w:t>
            </w:r>
          </w:p>
        </w:tc>
      </w:tr>
      <w:tr w:rsidR="00604705"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604705" w:rsidRPr="001E32C9" w:rsidRDefault="00604705" w:rsidP="003C0026">
            <w:pPr>
              <w:numPr>
                <w:ilvl w:val="0"/>
                <w:numId w:val="25"/>
              </w:numPr>
            </w:pPr>
            <w:r>
              <w:lastRenderedPageBreak/>
              <w:t>ERA</w:t>
            </w:r>
            <w:r w:rsidRPr="001E32C9">
              <w:rPr>
                <w:rStyle w:val="FootnoteReference"/>
              </w:rPr>
              <w:footnoteReference w:id="112"/>
            </w:r>
            <w:r w:rsidRPr="001E32C9">
              <w:t xml:space="preserve">  </w:t>
            </w:r>
          </w:p>
        </w:tc>
        <w:tc>
          <w:tcPr>
            <w:tcW w:w="1842" w:type="dxa"/>
          </w:tcPr>
          <w:p w:rsidR="00604705" w:rsidRPr="000F2066"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sidRPr="00372214">
              <w:t xml:space="preserve">Review of rate of return estimation for rail networks, </w:t>
            </w:r>
            <w:r>
              <w:t xml:space="preserve">revised </w:t>
            </w:r>
            <w:r w:rsidRPr="00372214">
              <w:t xml:space="preserve">draft determination </w:t>
            </w:r>
          </w:p>
        </w:tc>
        <w:tc>
          <w:tcPr>
            <w:tcW w:w="709" w:type="dxa"/>
          </w:tcPr>
          <w:p w:rsidR="00604705" w:rsidRPr="005657CB"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t>2</w:t>
            </w:r>
            <w:r w:rsidRPr="005657CB">
              <w:t>014</w:t>
            </w:r>
          </w:p>
        </w:tc>
        <w:tc>
          <w:tcPr>
            <w:tcW w:w="1768" w:type="dxa"/>
          </w:tcPr>
          <w:p w:rsidR="00604705"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sidRPr="00584C69">
              <w:rPr>
                <w:rStyle w:val="Strong"/>
              </w:rPr>
              <w:t>0.7</w:t>
            </w:r>
            <w:r>
              <w:t>, using cumulative payout ratio approach</w:t>
            </w:r>
          </w:p>
        </w:tc>
        <w:tc>
          <w:tcPr>
            <w:tcW w:w="1911" w:type="dxa"/>
          </w:tcPr>
          <w:p w:rsidR="00604705" w:rsidRPr="005657CB"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Pr>
                <w:rStyle w:val="Strong"/>
              </w:rPr>
              <w:t>0.7</w:t>
            </w:r>
            <w:r w:rsidRPr="005657CB">
              <w:t xml:space="preserve">, </w:t>
            </w:r>
            <w:r>
              <w:t>most weight to simple domestic ownership share of all equity, some weight to conceptual goalposts approach, low weight to tax statistics and dividend drop off studies</w:t>
            </w:r>
          </w:p>
        </w:tc>
        <w:tc>
          <w:tcPr>
            <w:tcW w:w="1911" w:type="dxa"/>
          </w:tcPr>
          <w:p w:rsidR="00604705" w:rsidRPr="005657CB"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sidRPr="00584C69">
              <w:rPr>
                <w:rStyle w:val="Strong"/>
              </w:rPr>
              <w:t>0.</w:t>
            </w:r>
            <w:r>
              <w:rPr>
                <w:rStyle w:val="Strong"/>
              </w:rPr>
              <w:t>5</w:t>
            </w:r>
          </w:p>
        </w:tc>
      </w:tr>
      <w:tr w:rsidR="00604705" w:rsidTr="00D71DDD">
        <w:trPr>
          <w:cantSplit/>
        </w:trPr>
        <w:tc>
          <w:tcPr>
            <w:cnfStyle w:val="001000000000" w:firstRow="0" w:lastRow="0" w:firstColumn="1" w:lastColumn="0" w:oddVBand="0" w:evenVBand="0" w:oddHBand="0" w:evenHBand="0" w:firstRowFirstColumn="0" w:firstRowLastColumn="0" w:lastRowFirstColumn="0" w:lastRowLastColumn="0"/>
            <w:tcW w:w="1101" w:type="dxa"/>
          </w:tcPr>
          <w:p w:rsidR="00604705" w:rsidRPr="001E32C9" w:rsidRDefault="00604705" w:rsidP="003C0026">
            <w:pPr>
              <w:numPr>
                <w:ilvl w:val="0"/>
                <w:numId w:val="25"/>
              </w:numPr>
            </w:pPr>
            <w:r w:rsidRPr="00501101">
              <w:t>ACCC</w:t>
            </w:r>
            <w:r w:rsidRPr="001E32C9">
              <w:rPr>
                <w:rStyle w:val="FootnoteReference"/>
              </w:rPr>
              <w:footnoteReference w:id="113"/>
            </w:r>
            <w:r w:rsidRPr="001E32C9">
              <w:t xml:space="preserve"> </w:t>
            </w:r>
          </w:p>
        </w:tc>
        <w:tc>
          <w:tcPr>
            <w:tcW w:w="1842" w:type="dxa"/>
          </w:tcPr>
          <w:p w:rsidR="00604705" w:rsidRPr="000F2066"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372214">
              <w:t xml:space="preserve">Fixed line services (telecommunications), </w:t>
            </w:r>
            <w:r>
              <w:t>draft decision on</w:t>
            </w:r>
            <w:r w:rsidRPr="00372214">
              <w:t xml:space="preserve"> access </w:t>
            </w:r>
            <w:r>
              <w:t>determination</w:t>
            </w:r>
          </w:p>
        </w:tc>
        <w:tc>
          <w:tcPr>
            <w:tcW w:w="709"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2015</w:t>
            </w:r>
          </w:p>
        </w:tc>
        <w:tc>
          <w:tcPr>
            <w:tcW w:w="1768"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N/A</w:t>
            </w:r>
          </w:p>
        </w:tc>
        <w:tc>
          <w:tcPr>
            <w:tcW w:w="1911"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N/A</w:t>
            </w:r>
          </w:p>
        </w:tc>
        <w:tc>
          <w:tcPr>
            <w:tcW w:w="1911" w:type="dxa"/>
          </w:tcPr>
          <w:p w:rsidR="00604705" w:rsidRPr="00F73B34"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806F67">
              <w:rPr>
                <w:rStyle w:val="Strong"/>
              </w:rPr>
              <w:t>0.45</w:t>
            </w:r>
            <w:r>
              <w:t>, set for consistency with</w:t>
            </w:r>
            <w:r w:rsidRPr="00F73B34">
              <w:t xml:space="preserve"> previous</w:t>
            </w:r>
            <w:r>
              <w:t xml:space="preserve"> ACCC decisions, but with regard to a </w:t>
            </w:r>
            <w:r w:rsidRPr="00F73B34">
              <w:t xml:space="preserve">range of </w:t>
            </w:r>
            <w:r>
              <w:t xml:space="preserve">recent </w:t>
            </w:r>
            <w:r w:rsidRPr="00F73B34">
              <w:t xml:space="preserve">evidence, including </w:t>
            </w:r>
            <w:r>
              <w:t>firm</w:t>
            </w:r>
            <w:r w:rsidRPr="00F73B34">
              <w:t xml:space="preserve"> specific factors</w:t>
            </w:r>
          </w:p>
        </w:tc>
      </w:tr>
    </w:tbl>
    <w:p w:rsidR="000B65E0" w:rsidRPr="000B65E0" w:rsidRDefault="000B65E0" w:rsidP="006A61BE">
      <w:pPr>
        <w:pStyle w:val="AERtablesource"/>
      </w:pPr>
      <w:r>
        <w:t>Source:</w:t>
      </w:r>
      <w:r>
        <w:tab/>
        <w:t>As specified in table.</w:t>
      </w:r>
    </w:p>
    <w:p w:rsidR="00924584" w:rsidRDefault="00675214" w:rsidP="00924584">
      <w:r>
        <w:t>C</w:t>
      </w:r>
      <w:r w:rsidR="00206294">
        <w:t>onceptually, the value of imputation credits must be between 0 and 1. The range of values adopted by Australian regulators is from 0.25 to 0.5. This range is narrower than the range of estimates recommended by experts (from 0.25 to 0.84), but it is still quite wide. This highlights the lack of consensus among regulators on the value of imputation credits. Given the lack of consensus among experts, this is perhaps not surprising. Our final decision value of imputation credits of 0.4 sits within the range adopted by regulators.</w:t>
      </w:r>
    </w:p>
    <w:p w:rsidR="008B661B" w:rsidRPr="008B661B" w:rsidRDefault="008B661B" w:rsidP="008B661B">
      <w:pPr>
        <w:pStyle w:val="Heading8"/>
      </w:pPr>
      <w:bookmarkStart w:id="45" w:name="_Toc417043258"/>
      <w:r w:rsidRPr="008B661B">
        <w:t>Previous Australian Competition Tribunal considerations</w:t>
      </w:r>
      <w:bookmarkEnd w:id="45"/>
    </w:p>
    <w:p w:rsidR="008B661B" w:rsidRDefault="008B661B" w:rsidP="008B661B">
      <w:pPr>
        <w:numPr>
          <w:ilvl w:val="0"/>
          <w:numId w:val="25"/>
        </w:numPr>
      </w:pPr>
      <w:r>
        <w:t>The Australian Competition Tribunal has considered in detail the value of imputation credits (gamma) in three proceedings since 2010, relating to applications by:</w:t>
      </w:r>
    </w:p>
    <w:p w:rsidR="008B661B" w:rsidRPr="008B661B" w:rsidRDefault="008B661B" w:rsidP="008B661B">
      <w:pPr>
        <w:pStyle w:val="AERbulletlistfirststyle"/>
      </w:pPr>
      <w:r>
        <w:t>Energex Limited</w:t>
      </w:r>
    </w:p>
    <w:p w:rsidR="008B661B" w:rsidRPr="008B661B" w:rsidRDefault="008B661B" w:rsidP="008B661B">
      <w:pPr>
        <w:pStyle w:val="AERbulletlistfirststyle"/>
      </w:pPr>
      <w:r>
        <w:t>DBNGP (WA) Transmission Pty Ltd, and</w:t>
      </w:r>
    </w:p>
    <w:p w:rsidR="008B661B" w:rsidRPr="008B661B" w:rsidRDefault="008B661B" w:rsidP="008B661B">
      <w:pPr>
        <w:pStyle w:val="AERbulletlistfirststyle"/>
      </w:pPr>
      <w:r>
        <w:t>WA Gas Networks Pty Ltd.</w:t>
      </w:r>
    </w:p>
    <w:p w:rsidR="008B661B" w:rsidRDefault="00EC3159" w:rsidP="008B661B">
      <w:pPr>
        <w:numPr>
          <w:ilvl w:val="0"/>
          <w:numId w:val="25"/>
        </w:numPr>
      </w:pPr>
      <w:r>
        <w:t>T</w:t>
      </w:r>
      <w:r w:rsidR="008B661B">
        <w:t>he Tribunal's comments in each case referred to the lack of expert consensus regarding the value of imputation credits and the scope that existed for future assessments of the evidence. We discuss these comments further in the sections below.</w:t>
      </w:r>
    </w:p>
    <w:p w:rsidR="008B661B" w:rsidRDefault="008B661B" w:rsidP="008B661B">
      <w:pPr>
        <w:pStyle w:val="Heading9"/>
      </w:pPr>
      <w:r>
        <w:lastRenderedPageBreak/>
        <w:t>Energex</w:t>
      </w:r>
    </w:p>
    <w:p w:rsidR="008B661B" w:rsidRPr="00F275F8" w:rsidRDefault="008B661B" w:rsidP="008B661B">
      <w:pPr>
        <w:numPr>
          <w:ilvl w:val="0"/>
          <w:numId w:val="25"/>
        </w:numPr>
      </w:pPr>
      <w:r>
        <w:t>In our 2009 industry wide review of rate of return parameters (the 2009 WACC review), we adopted a gamma of 0.65.</w:t>
      </w:r>
      <w:r>
        <w:rPr>
          <w:rStyle w:val="FootnoteReference"/>
        </w:rPr>
        <w:footnoteReference w:id="114"/>
      </w:r>
      <w:r>
        <w:t xml:space="preserve"> In 2009,</w:t>
      </w:r>
      <w:r w:rsidRPr="00F275F8">
        <w:t xml:space="preserve"> </w:t>
      </w:r>
      <w:r>
        <w:t>we</w:t>
      </w:r>
      <w:r w:rsidRPr="00F275F8">
        <w:t xml:space="preserve"> applied </w:t>
      </w:r>
      <w:r>
        <w:t xml:space="preserve">this value </w:t>
      </w:r>
      <w:r w:rsidRPr="00F275F8">
        <w:t>in the Queensland and South Australian electricity distribution determinations. Energex and Ergon successfully sought review of this decision</w:t>
      </w:r>
      <w:r>
        <w:t xml:space="preserve"> by the Australian Competition Tribunal</w:t>
      </w:r>
      <w:r w:rsidRPr="00F275F8">
        <w:t xml:space="preserve">. The Tribunal set the </w:t>
      </w:r>
      <w:r>
        <w:t>distribution rate</w:t>
      </w:r>
      <w:r w:rsidRPr="00F275F8">
        <w:t xml:space="preserve"> to 0.7 and </w:t>
      </w:r>
      <w:r>
        <w:t>initiated</w:t>
      </w:r>
      <w:r w:rsidRPr="00F275F8">
        <w:t xml:space="preserve"> a div</w:t>
      </w:r>
      <w:r>
        <w:t xml:space="preserve">idend drop off study from SFG to estimate the utilisation rate. </w:t>
      </w:r>
      <w:r w:rsidRPr="00F275F8">
        <w:t xml:space="preserve">The Tribunal adopted SFG's recommendation that the utilisation rate be set at 0.35. This resulted in a gamma of 0.25. </w:t>
      </w:r>
    </w:p>
    <w:p w:rsidR="008B661B" w:rsidRDefault="008B661B" w:rsidP="00051598">
      <w:r w:rsidRPr="00F275F8">
        <w:t xml:space="preserve">In reaching its position, the Tribunal expressed views on the important factors in its decisions. </w:t>
      </w:r>
      <w:r w:rsidRPr="00FC06FD">
        <w:t>This included areas where the Tribunal felt its understanding was incomplete</w:t>
      </w:r>
      <w:r>
        <w:t xml:space="preserve">, as summarised in </w:t>
      </w:r>
      <w:r>
        <w:fldChar w:fldCharType="begin"/>
      </w:r>
      <w:r>
        <w:instrText xml:space="preserve"> REF  _Ref400609646 \* Lower \h </w:instrText>
      </w:r>
      <w:r w:rsidR="00051598">
        <w:instrText xml:space="preserve"> \* MERGEFORMAT </w:instrText>
      </w:r>
      <w:r>
        <w:fldChar w:fldCharType="separate"/>
      </w:r>
      <w:r w:rsidR="003F0AA6" w:rsidRPr="000E711B">
        <w:t>table</w:t>
      </w:r>
      <w:r w:rsidR="003F0AA6" w:rsidRPr="000E711B">
        <w:rPr>
          <w:noProof/>
        </w:rPr>
        <w:t xml:space="preserve"> </w:t>
      </w:r>
      <w:r w:rsidR="003F0AA6">
        <w:rPr>
          <w:noProof/>
        </w:rPr>
        <w:t>4</w:t>
      </w:r>
      <w:r w:rsidR="003F0AA6">
        <w:rPr>
          <w:noProof/>
        </w:rPr>
        <w:noBreakHyphen/>
        <w:t>5</w:t>
      </w:r>
      <w:r>
        <w:fldChar w:fldCharType="end"/>
      </w:r>
      <w:r>
        <w:t xml:space="preserve"> below</w:t>
      </w:r>
      <w:r w:rsidRPr="00FC06FD">
        <w:t>.</w:t>
      </w:r>
      <w:r>
        <w:t xml:space="preserve"> </w:t>
      </w:r>
      <w:r w:rsidRPr="00F275F8">
        <w:t xml:space="preserve">We </w:t>
      </w:r>
      <w:r>
        <w:t xml:space="preserve">have </w:t>
      </w:r>
      <w:r w:rsidRPr="00F275F8">
        <w:t>carefully considered these views.</w:t>
      </w:r>
    </w:p>
    <w:p w:rsidR="002B2C56" w:rsidRDefault="002B2C56" w:rsidP="00051598">
      <w:pPr>
        <w:sectPr w:rsidR="002B2C56" w:rsidSect="00103C71">
          <w:footerReference w:type="even" r:id="rId14"/>
          <w:footerReference w:type="default" r:id="rId15"/>
          <w:pgSz w:w="11906" w:h="16838"/>
          <w:pgMar w:top="1440" w:right="1440" w:bottom="1440" w:left="1440" w:header="708" w:footer="708" w:gutter="0"/>
          <w:pgNumType w:chapStyle="1"/>
          <w:cols w:space="708"/>
          <w:docGrid w:linePitch="360"/>
        </w:sectPr>
      </w:pPr>
    </w:p>
    <w:p w:rsidR="002B2C56" w:rsidRDefault="002B2C56" w:rsidP="00051598"/>
    <w:p w:rsidR="008B661B" w:rsidRPr="000E711B" w:rsidRDefault="008B661B" w:rsidP="008B661B">
      <w:pPr>
        <w:pStyle w:val="Caption"/>
      </w:pPr>
      <w:bookmarkStart w:id="46" w:name="_Ref400609646"/>
      <w:bookmarkStart w:id="47" w:name="_Ref401260171"/>
      <w:r w:rsidRPr="000E711B">
        <w:t xml:space="preserve">Table </w:t>
      </w:r>
      <w:r w:rsidR="00332D56">
        <w:fldChar w:fldCharType="begin"/>
      </w:r>
      <w:r w:rsidR="00332D56">
        <w:instrText xml:space="preserve"> STYLEREF 1 \s </w:instrText>
      </w:r>
      <w:r w:rsidR="00332D56">
        <w:fldChar w:fldCharType="separate"/>
      </w:r>
      <w:r w:rsidR="003F0AA6">
        <w:rPr>
          <w:noProof/>
        </w:rPr>
        <w:t>4</w:t>
      </w:r>
      <w:r w:rsidR="00332D56">
        <w:rPr>
          <w:noProof/>
        </w:rPr>
        <w:fldChar w:fldCharType="end"/>
      </w:r>
      <w:r w:rsidR="00257FBE">
        <w:noBreakHyphen/>
      </w:r>
      <w:r w:rsidR="00332D56">
        <w:fldChar w:fldCharType="begin"/>
      </w:r>
      <w:r w:rsidR="00332D56">
        <w:instrText xml:space="preserve"> SEQ Table \* ARABIC \s 1 </w:instrText>
      </w:r>
      <w:r w:rsidR="00332D56">
        <w:fldChar w:fldCharType="separate"/>
      </w:r>
      <w:r w:rsidR="003F0AA6">
        <w:rPr>
          <w:noProof/>
        </w:rPr>
        <w:t>5</w:t>
      </w:r>
      <w:r w:rsidR="00332D56">
        <w:rPr>
          <w:noProof/>
        </w:rPr>
        <w:fldChar w:fldCharType="end"/>
      </w:r>
      <w:bookmarkEnd w:id="46"/>
      <w:r w:rsidRPr="000E711B">
        <w:tab/>
        <w:t>Australian Competition Tribunal's observations on imputation credits</w:t>
      </w:r>
      <w:bookmarkEnd w:id="47"/>
      <w:r>
        <w:t xml:space="preserve"> in Energex matter</w:t>
      </w:r>
    </w:p>
    <w:tbl>
      <w:tblPr>
        <w:tblStyle w:val="AERtable-numbers"/>
        <w:tblW w:w="5000" w:type="pct"/>
        <w:tblLook w:val="04A0" w:firstRow="1" w:lastRow="0" w:firstColumn="1" w:lastColumn="0" w:noHBand="0" w:noVBand="1"/>
      </w:tblPr>
      <w:tblGrid>
        <w:gridCol w:w="2222"/>
        <w:gridCol w:w="6438"/>
        <w:gridCol w:w="5514"/>
      </w:tblGrid>
      <w:tr w:rsidR="008B661B" w:rsidTr="00D71DD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84" w:type="pct"/>
          </w:tcPr>
          <w:p w:rsidR="008B661B" w:rsidRPr="000E711B" w:rsidRDefault="008B661B" w:rsidP="00062AC8">
            <w:r w:rsidRPr="000E711B">
              <w:t>Issue</w:t>
            </w:r>
          </w:p>
        </w:tc>
        <w:tc>
          <w:tcPr>
            <w:tcW w:w="2271" w:type="pct"/>
          </w:tcPr>
          <w:p w:rsidR="008B661B" w:rsidRPr="000E711B" w:rsidRDefault="008B661B" w:rsidP="00062AC8">
            <w:pPr>
              <w:cnfStyle w:val="100000000000" w:firstRow="1" w:lastRow="0" w:firstColumn="0" w:lastColumn="0" w:oddVBand="0" w:evenVBand="0" w:oddHBand="0" w:evenHBand="0" w:firstRowFirstColumn="0" w:firstRowLastColumn="0" w:lastRowFirstColumn="0" w:lastRowLastColumn="0"/>
            </w:pPr>
            <w:r w:rsidRPr="000E711B">
              <w:t>Tribunal comment</w:t>
            </w:r>
            <w:r>
              <w:t>s</w:t>
            </w:r>
          </w:p>
        </w:tc>
        <w:tc>
          <w:tcPr>
            <w:tcW w:w="1945" w:type="pct"/>
          </w:tcPr>
          <w:p w:rsidR="008B661B" w:rsidRPr="000E711B" w:rsidRDefault="008B661B" w:rsidP="00062AC8">
            <w:pPr>
              <w:cnfStyle w:val="100000000000" w:firstRow="1" w:lastRow="0" w:firstColumn="0" w:lastColumn="0" w:oddVBand="0" w:evenVBand="0" w:oddHBand="0" w:evenHBand="0" w:firstRowFirstColumn="0" w:firstRowLastColumn="0" w:lastRowFirstColumn="0" w:lastRowLastColumn="0"/>
            </w:pPr>
            <w:r>
              <w:t>AER comments</w:t>
            </w:r>
          </w:p>
        </w:tc>
      </w:tr>
      <w:tr w:rsidR="008B661B" w:rsidTr="00D71DDD">
        <w:trPr>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t>The conceptual framework for gamma</w:t>
            </w:r>
          </w:p>
        </w:tc>
        <w:tc>
          <w:tcPr>
            <w:tcW w:w="2271" w:type="pct"/>
          </w:tcPr>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The Tribunal would be assisted in its consideration of the issues before it if the AER were to provide relevant extrinsic material explaining:</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(a) the rationale for including the gamma component in the formula for calculating the estimated cost of corporate income tax; and</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(b) how it relates to the rest of the building blocks, especially the rate of return (cl 6.4.3(a) and cl 6.5.2(b) of the Rules)."</w:t>
            </w:r>
            <w:r w:rsidRPr="000E711B">
              <w:rPr>
                <w:rStyle w:val="FootnoteReference"/>
              </w:rPr>
              <w:footnoteReference w:id="115"/>
            </w:r>
          </w:p>
        </w:tc>
        <w:tc>
          <w:tcPr>
            <w:tcW w:w="1945" w:type="pct"/>
          </w:tcPr>
          <w:p w:rsidR="008B661B" w:rsidRPr="000E711B" w:rsidRDefault="008B661B" w:rsidP="00A15048">
            <w:pPr>
              <w:cnfStyle w:val="000000000000" w:firstRow="0" w:lastRow="0" w:firstColumn="0" w:lastColumn="0" w:oddVBand="0" w:evenVBand="0" w:oddHBand="0" w:evenHBand="0" w:firstRowFirstColumn="0" w:firstRowLastColumn="0" w:lastRowFirstColumn="0" w:lastRowLastColumn="0"/>
            </w:pPr>
            <w:r>
              <w:t xml:space="preserve">In developing the Guideline, we re-evaluated the conceptual framework for the value of imputation credits. In making this </w:t>
            </w:r>
            <w:r w:rsidR="000957E9">
              <w:t>final</w:t>
            </w:r>
            <w:r>
              <w:t xml:space="preserve"> decision, we have built on this re-evaluation and received further advice from Handley. We discuss the role of the value of imputation credits and the underlying conceptual framework in sections </w:t>
            </w:r>
            <w:r w:rsidR="00A15048">
              <w:fldChar w:fldCharType="begin"/>
            </w:r>
            <w:r w:rsidR="00A15048">
              <w:instrText xml:space="preserve"> REF _Ref415144114 \r \h </w:instrText>
            </w:r>
            <w:r w:rsidR="00A15048">
              <w:fldChar w:fldCharType="separate"/>
            </w:r>
            <w:r w:rsidR="003F0AA6">
              <w:t>A.5</w:t>
            </w:r>
            <w:r w:rsidR="00A15048">
              <w:fldChar w:fldCharType="end"/>
            </w:r>
            <w:r w:rsidR="00A15048">
              <w:t xml:space="preserve"> </w:t>
            </w:r>
            <w:r>
              <w:t xml:space="preserve">and </w:t>
            </w:r>
            <w:r>
              <w:fldChar w:fldCharType="begin"/>
            </w:r>
            <w:r>
              <w:instrText xml:space="preserve"> REF _Ref400965182 \r \h </w:instrText>
            </w:r>
            <w:r w:rsidR="000957E9">
              <w:instrText xml:space="preserve"> \* MERGEFORMAT </w:instrText>
            </w:r>
            <w:r>
              <w:fldChar w:fldCharType="separate"/>
            </w:r>
            <w:r w:rsidR="003F0AA6">
              <w:t>A.6</w:t>
            </w:r>
            <w:r>
              <w:fldChar w:fldCharType="end"/>
            </w:r>
            <w:r>
              <w:t>.</w:t>
            </w:r>
          </w:p>
        </w:tc>
      </w:tr>
      <w:tr w:rsidR="008B661B"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t xml:space="preserve">The </w:t>
            </w:r>
            <w:r w:rsidRPr="008B661B">
              <w:t>distribution rate (payout ratio)</w:t>
            </w:r>
          </w:p>
        </w:tc>
        <w:tc>
          <w:tcPr>
            <w:tcW w:w="2271" w:type="pct"/>
          </w:tcPr>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t>"…there is [was]</w:t>
            </w:r>
            <w:r w:rsidRPr="000E711B">
              <w:t xml:space="preserve"> no empirical evidence currently available su</w:t>
            </w:r>
            <w:r>
              <w:t>pporting a distribution</w:t>
            </w:r>
            <w:r w:rsidRPr="000E711B">
              <w:t xml:space="preserve"> ratio higher than 0.70."</w:t>
            </w:r>
            <w:r w:rsidRPr="000E711B">
              <w:rPr>
                <w:rStyle w:val="FootnoteReference"/>
              </w:rPr>
              <w:footnoteReference w:id="116"/>
            </w:r>
          </w:p>
        </w:tc>
        <w:tc>
          <w:tcPr>
            <w:tcW w:w="1945" w:type="pct"/>
          </w:tcPr>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t xml:space="preserve">As discussed in section </w:t>
            </w:r>
            <w:r w:rsidR="003C2C75">
              <w:fldChar w:fldCharType="begin"/>
            </w:r>
            <w:r w:rsidR="003C2C75">
              <w:instrText xml:space="preserve"> REF _Ref403482746 \r \h </w:instrText>
            </w:r>
            <w:r w:rsidR="00062AC8">
              <w:instrText xml:space="preserve"> \* MERGEFORMAT </w:instrText>
            </w:r>
            <w:r w:rsidR="003C2C75">
              <w:fldChar w:fldCharType="separate"/>
            </w:r>
            <w:r w:rsidR="003F0AA6">
              <w:t>4.4.1</w:t>
            </w:r>
            <w:r w:rsidR="003C2C75">
              <w:fldChar w:fldCharType="end"/>
            </w:r>
            <w:r>
              <w:t xml:space="preserve"> of attachment 4 and section </w:t>
            </w:r>
            <w:r>
              <w:fldChar w:fldCharType="begin"/>
            </w:r>
            <w:r>
              <w:instrText xml:space="preserve"> REF _Ref401133206 \r \h </w:instrText>
            </w:r>
            <w:r w:rsidR="000957E9">
              <w:instrText xml:space="preserve"> \* MERGEFORMAT </w:instrText>
            </w:r>
            <w:r>
              <w:fldChar w:fldCharType="separate"/>
            </w:r>
            <w:r w:rsidR="003F0AA6">
              <w:t>A.10</w:t>
            </w:r>
            <w:r>
              <w:fldChar w:fldCharType="end"/>
            </w:r>
            <w:r>
              <w:t xml:space="preserve"> of this appendix, we consider that the approach used to estimate a distribution rate of 0.7 across all equity </w:t>
            </w:r>
            <w:proofErr w:type="gramStart"/>
            <w:r>
              <w:t>can</w:t>
            </w:r>
            <w:proofErr w:type="gramEnd"/>
            <w:r>
              <w:t xml:space="preserve"> be applied to </w:t>
            </w:r>
            <w:r w:rsidR="001C274C">
              <w:t>only listed equity</w:t>
            </w:r>
            <w:r>
              <w:t xml:space="preserve"> to produce a distribution rate of 0.8. Lally also finds a distribution rate of 0.84 over the largest 20 ASX-listed companies.</w:t>
            </w:r>
          </w:p>
        </w:tc>
      </w:tr>
      <w:tr w:rsidR="008B661B" w:rsidRPr="00B45BDD" w:rsidTr="00D71DDD">
        <w:trPr>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lastRenderedPageBreak/>
              <w:t xml:space="preserve">Tax </w:t>
            </w:r>
            <w:r w:rsidRPr="008B661B">
              <w:t>statistic estimates</w:t>
            </w:r>
          </w:p>
        </w:tc>
        <w:tc>
          <w:tcPr>
            <w:tcW w:w="2271" w:type="pct"/>
          </w:tcPr>
          <w:p w:rsidR="008B661B" w:rsidRDefault="008B661B" w:rsidP="00062AC8">
            <w:pPr>
              <w:cnfStyle w:val="000000000000" w:firstRow="0" w:lastRow="0" w:firstColumn="0" w:lastColumn="0" w:oddVBand="0" w:evenVBand="0" w:oddHBand="0" w:evenHBand="0" w:firstRowFirstColumn="0" w:firstRowLastColumn="0" w:lastRowFirstColumn="0" w:lastRowLastColumn="0"/>
            </w:pPr>
            <w:r>
              <w:t>"</w:t>
            </w:r>
            <w:r w:rsidRPr="0077656B">
              <w:t>The AER accepted that utilisation rates derived from tax statistics provide an upper bound on possible values of theta. Setting aside the manner in which the AER derived a value from the tax statistics study, it correctly considered that information from a tax statistics study was relevant. However, its relevance could only be related to the fact that it was an upper bound. No estimate that exceeded a genuine upper bound could be correct. Thus the appropriate way to use the tax statistics figure was as a check</w:t>
            </w:r>
            <w:r>
              <w:t>."</w:t>
            </w:r>
            <w:r>
              <w:rPr>
                <w:rStyle w:val="FootnoteReference"/>
              </w:rPr>
              <w:footnoteReference w:id="117"/>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 xml:space="preserve">- estimates from dividend drop-off studies are very imprecise and of questionable reliability; </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 xml:space="preserve">- such studies are likely to produce downwardly-biased estimates of theta; and </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 taxation studies do not give an upper bound to theta.</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By way of background, the Tribunal in earlier reasons noted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being an example of such a use of an estimate of the utilisation rate.</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opportunity, and perhaps cause, to investigate further. It has not sought to do so in these proceedings."</w:t>
            </w:r>
            <w:r w:rsidRPr="000E711B">
              <w:rPr>
                <w:rStyle w:val="FootnoteReference"/>
              </w:rPr>
              <w:footnoteReference w:id="118"/>
            </w:r>
          </w:p>
        </w:tc>
        <w:tc>
          <w:tcPr>
            <w:tcW w:w="1945" w:type="pct"/>
          </w:tcPr>
          <w:p w:rsidR="008B661B" w:rsidRPr="000E711B" w:rsidRDefault="008B661B" w:rsidP="00B41DD9">
            <w:pPr>
              <w:cnfStyle w:val="000000000000" w:firstRow="0" w:lastRow="0" w:firstColumn="0" w:lastColumn="0" w:oddVBand="0" w:evenVBand="0" w:oddHBand="0" w:evenHBand="0" w:firstRowFirstColumn="0" w:firstRowLastColumn="0" w:lastRowFirstColumn="0" w:lastRowLastColumn="0"/>
            </w:pPr>
            <w:r>
              <w:t xml:space="preserve">Handley advised that his previous comments regarding the use of tax statistics being an 'upper bound' were misinterpreted in these proceedings. Handley confirmed that tax statistics can be used to produce a point estimate of the utilisation rate. </w:t>
            </w:r>
            <w:r w:rsidR="00B41DD9">
              <w:t>We discussed Handley's views in section A.6.1 of the draft decisions, and he has reiterated them in his latest report</w:t>
            </w:r>
            <w:r>
              <w:t xml:space="preserve">. We discuss the use of tax statistics more broadly in section </w:t>
            </w:r>
            <w:r w:rsidR="003C2C75">
              <w:fldChar w:fldCharType="begin"/>
            </w:r>
            <w:r w:rsidR="003C2C75">
              <w:instrText xml:space="preserve"> REF _Ref414289593 \r \h </w:instrText>
            </w:r>
            <w:r w:rsidR="00062AC8">
              <w:instrText xml:space="preserve"> \* MERGEFORMAT </w:instrText>
            </w:r>
            <w:r w:rsidR="003C2C75">
              <w:fldChar w:fldCharType="separate"/>
            </w:r>
            <w:r w:rsidR="003F0AA6">
              <w:t>4.4.2</w:t>
            </w:r>
            <w:r w:rsidR="003C2C75">
              <w:fldChar w:fldCharType="end"/>
            </w:r>
            <w:r w:rsidR="003C2C75">
              <w:t xml:space="preserve"> </w:t>
            </w:r>
            <w:r>
              <w:t xml:space="preserve">of attachment 4 and section </w:t>
            </w:r>
            <w:r w:rsidR="003C2C75">
              <w:fldChar w:fldCharType="begin"/>
            </w:r>
            <w:r w:rsidR="003C2C75">
              <w:instrText xml:space="preserve"> REF _Ref402179420 \r \h </w:instrText>
            </w:r>
            <w:r w:rsidR="00062AC8">
              <w:instrText xml:space="preserve"> \* MERGEFORMAT </w:instrText>
            </w:r>
            <w:r w:rsidR="003C2C75">
              <w:fldChar w:fldCharType="separate"/>
            </w:r>
            <w:r w:rsidR="003F0AA6">
              <w:t>A.13</w:t>
            </w:r>
            <w:r w:rsidR="003C2C75">
              <w:fldChar w:fldCharType="end"/>
            </w:r>
            <w:r w:rsidR="003C2C75">
              <w:t xml:space="preserve"> </w:t>
            </w:r>
            <w:r>
              <w:t>of this appendix.</w:t>
            </w:r>
          </w:p>
        </w:tc>
      </w:tr>
      <w:tr w:rsidR="008B661B" w:rsidRPr="00B45BDD"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lastRenderedPageBreak/>
              <w:t>The conceptual basis for dividend drop off studies</w:t>
            </w:r>
          </w:p>
        </w:tc>
        <w:tc>
          <w:tcPr>
            <w:tcW w:w="2271" w:type="pct"/>
          </w:tcPr>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rsidRPr="000E711B">
              <w:t>"The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issues raised in the Tribunal's earlier reasons regarding the arbitrage model underlying dividend drop-off studies.</w:t>
            </w:r>
          </w:p>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rsidRPr="000E711B">
              <w:t>However, SIRCA's March 2011 report does not resolve these issues and the AER has provided no conclusions of its own."</w:t>
            </w:r>
            <w:r w:rsidRPr="000E711B">
              <w:rPr>
                <w:rStyle w:val="FootnoteReference"/>
              </w:rPr>
              <w:footnoteReference w:id="119"/>
            </w:r>
          </w:p>
        </w:tc>
        <w:tc>
          <w:tcPr>
            <w:tcW w:w="1945" w:type="pct"/>
          </w:tcPr>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t>The limitations of dividend drop off studies have been widely identified since these proceedings—we provide a selection of comments from academics and regulators in section</w:t>
            </w:r>
            <w:r w:rsidR="001B1D7E">
              <w:t xml:space="preserve"> </w:t>
            </w:r>
            <w:r w:rsidR="001B1D7E">
              <w:fldChar w:fldCharType="begin"/>
            </w:r>
            <w:r w:rsidR="001B1D7E">
              <w:instrText xml:space="preserve"> REF _Ref414619467 \r \h </w:instrText>
            </w:r>
            <w:r w:rsidR="00062AC8">
              <w:instrText xml:space="preserve"> \* MERGEFORMAT </w:instrText>
            </w:r>
            <w:r w:rsidR="001B1D7E">
              <w:fldChar w:fldCharType="separate"/>
            </w:r>
            <w:r w:rsidR="003F0AA6">
              <w:t>A.14.6</w:t>
            </w:r>
            <w:r w:rsidR="001B1D7E">
              <w:fldChar w:fldCharType="end"/>
            </w:r>
            <w:r>
              <w:t xml:space="preserve">. Moreover, both Handley and Lally advised that other approaches to estimating the utilisation rate should be preferred (see section </w:t>
            </w:r>
            <w:r w:rsidR="001B1D7E">
              <w:fldChar w:fldCharType="begin"/>
            </w:r>
            <w:r w:rsidR="001B1D7E">
              <w:instrText xml:space="preserve"> REF _Ref414289593 \r \h </w:instrText>
            </w:r>
            <w:r w:rsidR="00062AC8">
              <w:instrText xml:space="preserve"> \* MERGEFORMAT </w:instrText>
            </w:r>
            <w:r w:rsidR="001B1D7E">
              <w:fldChar w:fldCharType="separate"/>
            </w:r>
            <w:r w:rsidR="003F0AA6">
              <w:t>4.4.2</w:t>
            </w:r>
            <w:r w:rsidR="001B1D7E">
              <w:fldChar w:fldCharType="end"/>
            </w:r>
            <w:r w:rsidR="001B1D7E">
              <w:t xml:space="preserve"> </w:t>
            </w:r>
            <w:r>
              <w:t>of attachment 4). Handley and Lally also advised that, without adjustment, dividend drop off studies produce downwards-biased estimates of the utilisation rate.</w:t>
            </w:r>
          </w:p>
        </w:tc>
      </w:tr>
      <w:tr w:rsidR="008B661B" w:rsidTr="00D71DDD">
        <w:trPr>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t>The need to re-evaluate gamma</w:t>
            </w:r>
          </w:p>
        </w:tc>
        <w:tc>
          <w:tcPr>
            <w:tcW w:w="2271" w:type="pct"/>
          </w:tcPr>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t>"</w:t>
            </w:r>
            <w:r w:rsidRPr="00C60DA6">
              <w:t xml:space="preserve">Further, the Tribunal notes that </w:t>
            </w:r>
            <w:r>
              <w:t>e</w:t>
            </w:r>
            <w:r w:rsidRPr="000E711B">
              <w:t>stimation of a parameter such as gamma is necessarily, and desirably, an ongoing intellectual and empirical endeavour. Its decision in these proceedings is based on the material before it.”</w:t>
            </w:r>
            <w:r w:rsidRPr="000E711B">
              <w:rPr>
                <w:rStyle w:val="FootnoteReference"/>
              </w:rPr>
              <w:footnoteReference w:id="120"/>
            </w:r>
          </w:p>
        </w:tc>
        <w:tc>
          <w:tcPr>
            <w:tcW w:w="1945" w:type="pct"/>
          </w:tcPr>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t xml:space="preserve">Consistent with this comment, we have not sought to apply the Tribunal's previous considerations in this </w:t>
            </w:r>
            <w:r w:rsidR="000957E9">
              <w:t>final</w:t>
            </w:r>
            <w:r>
              <w:t xml:space="preserve"> decision. Instead, we adopt a value of imputation credits that is based on our assessment of the merits of the evidence before us</w:t>
            </w:r>
            <w:r w:rsidR="00652A46">
              <w:t>, which includes a large amount of material that was not before the Tribunal in these proceedings</w:t>
            </w:r>
            <w:r>
              <w:t xml:space="preserve">. </w:t>
            </w:r>
          </w:p>
        </w:tc>
      </w:tr>
    </w:tbl>
    <w:p w:rsidR="008B661B" w:rsidRPr="000E711B" w:rsidRDefault="008B661B" w:rsidP="008B661B">
      <w:pPr>
        <w:pStyle w:val="AERtablesource"/>
      </w:pPr>
      <w:r>
        <w:t xml:space="preserve">Source: </w:t>
      </w:r>
      <w:r>
        <w:tab/>
        <w:t>As specified in table.</w:t>
      </w:r>
    </w:p>
    <w:p w:rsidR="002B2C56" w:rsidRDefault="002B2C56" w:rsidP="00A22AC1">
      <w:pPr>
        <w:numPr>
          <w:ilvl w:val="0"/>
          <w:numId w:val="25"/>
        </w:numPr>
        <w:sectPr w:rsidR="002B2C56" w:rsidSect="002B2C56">
          <w:pgSz w:w="16838" w:h="11906" w:orient="landscape"/>
          <w:pgMar w:top="1440" w:right="1440" w:bottom="1440" w:left="1440" w:header="708" w:footer="708" w:gutter="0"/>
          <w:pgNumType w:chapStyle="1"/>
          <w:cols w:space="708"/>
          <w:docGrid w:linePitch="360"/>
        </w:sectPr>
      </w:pPr>
    </w:p>
    <w:p w:rsidR="00A22AC1" w:rsidRDefault="00A22AC1" w:rsidP="00A22AC1">
      <w:pPr>
        <w:numPr>
          <w:ilvl w:val="0"/>
          <w:numId w:val="25"/>
        </w:numPr>
      </w:pPr>
      <w:r>
        <w:lastRenderedPageBreak/>
        <w:t>During the Guideline process, service providers frequently proposed a value of imputation credits of 0.25 and referenced the Tribunal decision in support of this.</w:t>
      </w:r>
      <w:r w:rsidR="006E3A04">
        <w:rPr>
          <w:rStyle w:val="FootnoteReference"/>
        </w:rPr>
        <w:footnoteReference w:id="121"/>
      </w:r>
      <w:r>
        <w:t xml:space="preserve"> However, the last quote from the Tribunal demonstrates that it did not intend for its decision to be determinative</w:t>
      </w:r>
      <w:r w:rsidR="0089793A">
        <w:t xml:space="preserve"> of the appropriate estimation technique for gamma</w:t>
      </w:r>
      <w:r w:rsidR="00430293">
        <w:t>, and certainly not on a permanent basis</w:t>
      </w:r>
      <w:r>
        <w:t>. In the Guideline, we also made this point. Service providers with current proposals no longer refer to the Tribunal's decision as if it were precedent</w:t>
      </w:r>
      <w:r w:rsidR="00430293">
        <w:t>. Rather, they</w:t>
      </w:r>
      <w:r>
        <w:t xml:space="preserve"> propose a value of imputation credits, and reasons for that value, which are consistent with the Tribunal decision.</w:t>
      </w:r>
    </w:p>
    <w:p w:rsidR="00A22AC1" w:rsidRDefault="00A22AC1" w:rsidP="00A22AC1">
      <w:pPr>
        <w:numPr>
          <w:ilvl w:val="0"/>
          <w:numId w:val="25"/>
        </w:numPr>
      </w:pPr>
      <w:r>
        <w:t xml:space="preserve">Both during the Guideline development process and this determination process, we have considered the previous Tribunal decision carefully in forming our view on the value of imputation credits. </w:t>
      </w:r>
      <w:r w:rsidR="00430293">
        <w:t>F</w:t>
      </w:r>
      <w:r>
        <w:t>or the reasons expressed in this appendix and attachment 4 we have come to a different position. This is consistent with the Tribunal's expectation that the value of imputation credits is 'necessarily, and desirably, an ongoing intellectual and empirical endeavour'.</w:t>
      </w:r>
    </w:p>
    <w:p w:rsidR="00055B09" w:rsidRDefault="00055B09" w:rsidP="00615CE6">
      <w:pPr>
        <w:pStyle w:val="Heading9"/>
      </w:pPr>
      <w:r>
        <w:t>DBNGP and WA Gas Networks</w:t>
      </w:r>
    </w:p>
    <w:p w:rsidR="00055B09" w:rsidRDefault="00055B09" w:rsidP="00055B09">
      <w:pPr>
        <w:numPr>
          <w:ilvl w:val="0"/>
          <w:numId w:val="25"/>
        </w:numPr>
      </w:pPr>
      <w:r>
        <w:t>In 2012, Dampier to Bunbury Natural Gas Pipeline (DBNGP) sought Tribunal review of the ERA's decision to adopt a value of imputation credits of 0.25. In upholding the ERA's value, the Tribunal again emphasised the lack of consensus on an appropriate value</w:t>
      </w:r>
      <w:r w:rsidR="0089793A">
        <w:t xml:space="preserve"> and the fact that determining a value for gamma is continually being refined</w:t>
      </w:r>
      <w:r>
        <w:t>:</w:t>
      </w:r>
      <w:r>
        <w:rPr>
          <w:rStyle w:val="FootnoteReference"/>
        </w:rPr>
        <w:footnoteReference w:id="122"/>
      </w:r>
    </w:p>
    <w:p w:rsidR="00055B09" w:rsidRDefault="00055B09" w:rsidP="00055B09">
      <w:pPr>
        <w:pStyle w:val="AERquote"/>
      </w:pPr>
      <w:r>
        <w:t xml:space="preserve">171 </w:t>
      </w:r>
      <w:r>
        <w:tab/>
      </w:r>
      <w:r w:rsidRPr="00883DBE">
        <w:t xml:space="preserve">Determining the appropriate values of F </w:t>
      </w:r>
      <w:r>
        <w:t xml:space="preserve">[the distribution rate] </w:t>
      </w:r>
      <w:r w:rsidRPr="00883DBE">
        <w:t>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055B09" w:rsidRPr="00883DBE" w:rsidRDefault="00055B09" w:rsidP="00055B09">
      <w:pPr>
        <w:pStyle w:val="AERquote"/>
      </w:pPr>
      <w:r>
        <w:t>…</w:t>
      </w:r>
    </w:p>
    <w:p w:rsidR="00055B09" w:rsidRDefault="00055B09" w:rsidP="00055B09">
      <w:pPr>
        <w:pStyle w:val="AERquote"/>
      </w:pPr>
      <w:r>
        <w:t xml:space="preserve">210 </w:t>
      </w:r>
      <w:r>
        <w:tab/>
      </w:r>
      <w:r w:rsidRPr="00883DBE">
        <w:t>The material (and conclusions drawn from it) that were relied on by the ERA were objectively produced by respected academic researchers. Professor Gray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Gray, who had been engaged by DBP. Such a difference of opinion is common amongst academics in this as in other similar areas. Thus, so long as the ERA acted reasonably in preferring one expert to another, it will not have committed error.</w:t>
      </w:r>
    </w:p>
    <w:p w:rsidR="00055B09" w:rsidRDefault="00055B09" w:rsidP="00055B09">
      <w:pPr>
        <w:pStyle w:val="AERquote"/>
      </w:pPr>
      <w:r>
        <w:lastRenderedPageBreak/>
        <w:t xml:space="preserve">211 </w:t>
      </w:r>
      <w:r>
        <w:tab/>
      </w:r>
      <w:r w:rsidRPr="00883DBE">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055B09" w:rsidRPr="00883DBE" w:rsidRDefault="00055B09" w:rsidP="00055B09">
      <w:pPr>
        <w:pStyle w:val="AERquote"/>
      </w:pPr>
      <w:r>
        <w:t>…</w:t>
      </w:r>
    </w:p>
    <w:p w:rsidR="00055B09" w:rsidRPr="007C139E" w:rsidRDefault="00055B09" w:rsidP="00055B09">
      <w:pPr>
        <w:pStyle w:val="AERquote"/>
      </w:pPr>
      <w:r>
        <w:t xml:space="preserve">214 </w:t>
      </w:r>
      <w:r>
        <w:tab/>
      </w:r>
      <w:r w:rsidRPr="007C139E">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055B09" w:rsidRDefault="00055B09" w:rsidP="00055B09">
      <w:r>
        <w:t xml:space="preserve">The Tribunal made similar comments in the earlier </w:t>
      </w:r>
      <w:r w:rsidRPr="00C247C6">
        <w:t>WA Gas Networks</w:t>
      </w:r>
      <w:r>
        <w:t xml:space="preserve"> matter.</w:t>
      </w:r>
      <w:r>
        <w:rPr>
          <w:rStyle w:val="FootnoteReference"/>
        </w:rPr>
        <w:footnoteReference w:id="123"/>
      </w:r>
    </w:p>
    <w:p w:rsidR="00ED6A81" w:rsidRDefault="0046390C" w:rsidP="00615CE6">
      <w:pPr>
        <w:pStyle w:val="Heading8"/>
      </w:pPr>
      <w:bookmarkStart w:id="48" w:name="_Ref415070393"/>
      <w:bookmarkStart w:id="49" w:name="_Toc417043259"/>
      <w:bookmarkStart w:id="50" w:name="_Ref400961862"/>
      <w:r>
        <w:t>Key concerns of</w:t>
      </w:r>
      <w:r w:rsidR="002630C5">
        <w:t xml:space="preserve"> the service providers</w:t>
      </w:r>
      <w:bookmarkEnd w:id="48"/>
      <w:bookmarkEnd w:id="49"/>
    </w:p>
    <w:p w:rsidR="00615BED" w:rsidRDefault="0046390C" w:rsidP="002630C5">
      <w:r>
        <w:t xml:space="preserve">In their revised proposals, the </w:t>
      </w:r>
      <w:r w:rsidR="009B202B">
        <w:t>service providers</w:t>
      </w:r>
      <w:r w:rsidR="002630C5">
        <w:t xml:space="preserve"> </w:t>
      </w:r>
      <w:r>
        <w:t>raise</w:t>
      </w:r>
      <w:r w:rsidR="00481511">
        <w:t>d</w:t>
      </w:r>
      <w:r>
        <w:t xml:space="preserve"> eight key concerns</w:t>
      </w:r>
      <w:r w:rsidR="002630C5">
        <w:t xml:space="preserve"> </w:t>
      </w:r>
      <w:r>
        <w:t>with</w:t>
      </w:r>
      <w:r w:rsidR="002630C5">
        <w:t xml:space="preserve"> our draft decisions</w:t>
      </w:r>
      <w:r>
        <w:t>, which they characterise</w:t>
      </w:r>
      <w:r w:rsidR="00481511">
        <w:t>d</w:t>
      </w:r>
      <w:r>
        <w:t xml:space="preserve"> as errors</w:t>
      </w:r>
      <w:r w:rsidR="002630C5">
        <w:t>.</w:t>
      </w:r>
      <w:r w:rsidR="00615BED">
        <w:rPr>
          <w:rStyle w:val="FootnoteReference"/>
        </w:rPr>
        <w:footnoteReference w:id="124"/>
      </w:r>
      <w:r w:rsidR="002630C5">
        <w:t xml:space="preserve"> </w:t>
      </w:r>
      <w:r w:rsidR="009B202B">
        <w:t>Below w</w:t>
      </w:r>
      <w:r w:rsidR="002630C5">
        <w:t xml:space="preserve">e </w:t>
      </w:r>
      <w:r w:rsidR="00615BED">
        <w:t>set out each of these and identify where we have responded to each in this final decision.</w:t>
      </w:r>
    </w:p>
    <w:p w:rsidR="00D23317" w:rsidRDefault="00826B31" w:rsidP="005668B8">
      <w:pPr>
        <w:pStyle w:val="AERbulletlistfirststyle"/>
      </w:pPr>
      <w:r w:rsidRPr="005668B8">
        <w:rPr>
          <w:rStyle w:val="AERtextitalic"/>
          <w:i w:val="0"/>
        </w:rPr>
        <w:t>Our definition of the utilisation rate is conceptually incorrect and inconsistent with the requirements of the NER/NGR</w:t>
      </w:r>
      <w:r w:rsidR="005668B8">
        <w:rPr>
          <w:rFonts w:cs="Arial"/>
        </w:rPr>
        <w:t>—</w:t>
      </w:r>
      <w:r w:rsidR="00D23317">
        <w:t xml:space="preserve">our </w:t>
      </w:r>
      <w:r w:rsidR="0046390C">
        <w:t xml:space="preserve">understanding </w:t>
      </w:r>
      <w:r w:rsidR="00D23317">
        <w:t>of the utilisation rate (and the value of imputation credits more broadly) is discussed in sections</w:t>
      </w:r>
      <w:r w:rsidR="00481511">
        <w:t xml:space="preserve"> </w:t>
      </w:r>
      <w:r w:rsidR="00481511">
        <w:fldChar w:fldCharType="begin"/>
      </w:r>
      <w:r w:rsidR="00481511">
        <w:instrText xml:space="preserve"> REF _Ref416802459 \r \h </w:instrText>
      </w:r>
      <w:r w:rsidR="00481511">
        <w:fldChar w:fldCharType="separate"/>
      </w:r>
      <w:r w:rsidR="003F0AA6">
        <w:t>4.3.1</w:t>
      </w:r>
      <w:r w:rsidR="00481511">
        <w:fldChar w:fldCharType="end"/>
      </w:r>
      <w:r w:rsidR="00481511">
        <w:t>,</w:t>
      </w:r>
      <w:r w:rsidR="00D23317">
        <w:t xml:space="preserve"> </w:t>
      </w:r>
      <w:r w:rsidR="00D23317">
        <w:fldChar w:fldCharType="begin"/>
      </w:r>
      <w:r w:rsidR="00D23317">
        <w:instrText xml:space="preserve"> REF _Ref415048973 \r \h </w:instrText>
      </w:r>
      <w:r w:rsidR="00D23317">
        <w:fldChar w:fldCharType="separate"/>
      </w:r>
      <w:r w:rsidR="003F0AA6">
        <w:t>4.3.6</w:t>
      </w:r>
      <w:r w:rsidR="00D23317">
        <w:fldChar w:fldCharType="end"/>
      </w:r>
      <w:r w:rsidR="00D23317">
        <w:t xml:space="preserve">, </w:t>
      </w:r>
      <w:r w:rsidR="00D23317">
        <w:fldChar w:fldCharType="begin"/>
      </w:r>
      <w:r w:rsidR="00D23317">
        <w:instrText xml:space="preserve"> REF _Ref414289593 \r \h </w:instrText>
      </w:r>
      <w:r w:rsidR="00D23317">
        <w:fldChar w:fldCharType="separate"/>
      </w:r>
      <w:r w:rsidR="003F0AA6">
        <w:t>4.4.2</w:t>
      </w:r>
      <w:r w:rsidR="00D23317">
        <w:fldChar w:fldCharType="end"/>
      </w:r>
      <w:r w:rsidR="00D23317">
        <w:t xml:space="preserve">, </w:t>
      </w:r>
      <w:r w:rsidR="00D23317">
        <w:fldChar w:fldCharType="begin"/>
      </w:r>
      <w:r w:rsidR="00D23317">
        <w:instrText xml:space="preserve"> REF _Ref400965182 \r \h </w:instrText>
      </w:r>
      <w:r w:rsidR="00D23317">
        <w:fldChar w:fldCharType="separate"/>
      </w:r>
      <w:r w:rsidR="003F0AA6">
        <w:t>A.6</w:t>
      </w:r>
      <w:r w:rsidR="00D23317">
        <w:fldChar w:fldCharType="end"/>
      </w:r>
      <w:r w:rsidR="00D23317">
        <w:t xml:space="preserve">, </w:t>
      </w:r>
      <w:r w:rsidR="00D23317">
        <w:fldChar w:fldCharType="begin"/>
      </w:r>
      <w:r w:rsidR="00D23317">
        <w:instrText xml:space="preserve"> REF _Ref414282622 \r \h </w:instrText>
      </w:r>
      <w:r w:rsidR="00D23317">
        <w:fldChar w:fldCharType="separate"/>
      </w:r>
      <w:r w:rsidR="003F0AA6">
        <w:t>A.7</w:t>
      </w:r>
      <w:r w:rsidR="00D23317">
        <w:fldChar w:fldCharType="end"/>
      </w:r>
      <w:r w:rsidR="00D23317">
        <w:t xml:space="preserve"> and </w:t>
      </w:r>
      <w:r w:rsidR="00D23317">
        <w:fldChar w:fldCharType="begin"/>
      </w:r>
      <w:r w:rsidR="00D23317">
        <w:instrText xml:space="preserve"> REF _Ref414623120 \r \h </w:instrText>
      </w:r>
      <w:r w:rsidR="00D23317">
        <w:fldChar w:fldCharType="separate"/>
      </w:r>
      <w:r w:rsidR="003F0AA6">
        <w:t>A.8</w:t>
      </w:r>
      <w:r w:rsidR="00D23317">
        <w:fldChar w:fldCharType="end"/>
      </w:r>
      <w:r w:rsidR="00D23317">
        <w:t xml:space="preserve">. As shown there, our </w:t>
      </w:r>
      <w:r w:rsidR="0046390C">
        <w:t xml:space="preserve">understanding </w:t>
      </w:r>
      <w:r w:rsidR="00D23317">
        <w:t>is</w:t>
      </w:r>
      <w:r w:rsidR="004F290A">
        <w:t xml:space="preserve"> consistent with the theoretical</w:t>
      </w:r>
      <w:r w:rsidR="00D23317">
        <w:t xml:space="preserve"> </w:t>
      </w:r>
      <w:r w:rsidR="004F290A">
        <w:t xml:space="preserve">framework that underpins the NER/NGR and is </w:t>
      </w:r>
      <w:r w:rsidR="00D23317">
        <w:t>supported by expert advice from Handley.</w:t>
      </w:r>
    </w:p>
    <w:p w:rsidR="004B6775" w:rsidRDefault="00D23317" w:rsidP="005668B8">
      <w:pPr>
        <w:pStyle w:val="AERbulletlistfirststyle"/>
      </w:pPr>
      <w:r>
        <w:t>We incorrectly use equity ownership rates as direct evidence of the value of distributed imputation credits</w:t>
      </w:r>
      <w:r>
        <w:rPr>
          <w:rFonts w:cs="Arial"/>
        </w:rPr>
        <w:t>—</w:t>
      </w:r>
      <w:r w:rsidR="004B6775">
        <w:t xml:space="preserve">given our </w:t>
      </w:r>
      <w:r w:rsidR="0046390C">
        <w:t xml:space="preserve">understanding </w:t>
      </w:r>
      <w:r w:rsidR="004B6775">
        <w:t>of the utilisation rate, we set out in section</w:t>
      </w:r>
      <w:r w:rsidR="003914B5" w:rsidRPr="005668B8">
        <w:t xml:space="preserve"> </w:t>
      </w:r>
      <w:r w:rsidR="004B6775">
        <w:fldChar w:fldCharType="begin"/>
      </w:r>
      <w:r w:rsidR="004B6775">
        <w:instrText xml:space="preserve"> REF _Ref414289593 \r \h </w:instrText>
      </w:r>
      <w:r w:rsidR="004B6775">
        <w:fldChar w:fldCharType="separate"/>
      </w:r>
      <w:r w:rsidR="003F0AA6">
        <w:t>4.4.2</w:t>
      </w:r>
      <w:r w:rsidR="004B6775">
        <w:fldChar w:fldCharType="end"/>
      </w:r>
      <w:r w:rsidR="004B6775">
        <w:t xml:space="preserve"> why the equity ownership approach provides a reasonable estimate.</w:t>
      </w:r>
    </w:p>
    <w:p w:rsidR="00DD7B9A" w:rsidRDefault="0033258C" w:rsidP="005668B8">
      <w:pPr>
        <w:pStyle w:val="AERbulletlistfirststyle"/>
      </w:pPr>
      <w:r>
        <w:t xml:space="preserve">The </w:t>
      </w:r>
      <w:proofErr w:type="gramStart"/>
      <w:r>
        <w:t>ranges we used for the equity ownership rate were not supported by the</w:t>
      </w:r>
      <w:r w:rsidR="00481511">
        <w:t xml:space="preserve"> evidence in the draft decisions</w:t>
      </w:r>
      <w:r>
        <w:rPr>
          <w:rFonts w:cs="Arial"/>
        </w:rPr>
        <w:t>—</w:t>
      </w:r>
      <w:proofErr w:type="gramEnd"/>
      <w:r>
        <w:t xml:space="preserve">as discussed in section </w:t>
      </w:r>
      <w:r>
        <w:fldChar w:fldCharType="begin"/>
      </w:r>
      <w:r>
        <w:instrText xml:space="preserve"> REF _Ref415049811 \r \h </w:instrText>
      </w:r>
      <w:r>
        <w:fldChar w:fldCharType="separate"/>
      </w:r>
      <w:r w:rsidR="003F0AA6">
        <w:t>A.12</w:t>
      </w:r>
      <w:r>
        <w:fldChar w:fldCharType="end"/>
      </w:r>
      <w:r w:rsidR="00DD7B9A">
        <w:t>, the service providers did not recognise that our ranges were based on the evidence from two alternative applications of the equity ownership approach. In this final decision, our ranges are based on the application that was deemed more relevant by Handley in his recent advice.</w:t>
      </w:r>
    </w:p>
    <w:p w:rsidR="000D1E3A" w:rsidRDefault="000D1E3A" w:rsidP="005668B8">
      <w:pPr>
        <w:pStyle w:val="AERbulletlistfirststyle"/>
      </w:pPr>
      <w:r>
        <w:t>We incorrectly use tax statistics as direct evidence of the value of distributed imputation credits</w:t>
      </w:r>
      <w:r>
        <w:rPr>
          <w:rFonts w:cs="Arial"/>
        </w:rPr>
        <w:t>—</w:t>
      </w:r>
      <w:r>
        <w:t xml:space="preserve">given our </w:t>
      </w:r>
      <w:r w:rsidR="0046390C">
        <w:t xml:space="preserve">understanding </w:t>
      </w:r>
      <w:r>
        <w:t>of the utilisation rate, we set out in section</w:t>
      </w:r>
      <w:r w:rsidRPr="005668B8">
        <w:t xml:space="preserve"> </w:t>
      </w:r>
      <w:r>
        <w:fldChar w:fldCharType="begin"/>
      </w:r>
      <w:r>
        <w:instrText xml:space="preserve"> REF _Ref414289593 \r \h </w:instrText>
      </w:r>
      <w:r>
        <w:fldChar w:fldCharType="separate"/>
      </w:r>
      <w:r w:rsidR="003F0AA6">
        <w:t>4.4.2</w:t>
      </w:r>
      <w:r>
        <w:fldChar w:fldCharType="end"/>
      </w:r>
      <w:r>
        <w:t xml:space="preserve"> why tax statistics provide a reasonable estimate.</w:t>
      </w:r>
    </w:p>
    <w:p w:rsidR="00335E54" w:rsidRDefault="0044181C" w:rsidP="005668B8">
      <w:pPr>
        <w:pStyle w:val="AERbulletlistfirststyle"/>
      </w:pPr>
      <w:r>
        <w:lastRenderedPageBreak/>
        <w:t>We incorrectly conclude that implied market value studies</w:t>
      </w:r>
      <w:r w:rsidR="00F9593C">
        <w:t xml:space="preserve"> reflect factors that are not relevant to estimating the utilisation rate</w:t>
      </w:r>
      <w:r w:rsidR="00F9593C">
        <w:rPr>
          <w:rFonts w:cs="Arial"/>
        </w:rPr>
        <w:t>—</w:t>
      </w:r>
      <w:r w:rsidR="00F9593C">
        <w:t xml:space="preserve">given our </w:t>
      </w:r>
      <w:r w:rsidR="0046390C">
        <w:t xml:space="preserve">understanding </w:t>
      </w:r>
      <w:r w:rsidR="00F9593C">
        <w:t>of the utilisation rate, we set out in sections</w:t>
      </w:r>
      <w:r w:rsidR="00F9593C" w:rsidRPr="005668B8">
        <w:t xml:space="preserve"> </w:t>
      </w:r>
      <w:r w:rsidR="00756D5F">
        <w:fldChar w:fldCharType="begin"/>
      </w:r>
      <w:r w:rsidR="00756D5F">
        <w:instrText xml:space="preserve"> REF _Ref414289593 \r \h </w:instrText>
      </w:r>
      <w:r w:rsidR="00756D5F">
        <w:fldChar w:fldCharType="separate"/>
      </w:r>
      <w:r w:rsidR="003F0AA6">
        <w:t>4.4.2</w:t>
      </w:r>
      <w:r w:rsidR="00756D5F">
        <w:fldChar w:fldCharType="end"/>
      </w:r>
      <w:r w:rsidR="00756D5F">
        <w:t xml:space="preserve">, </w:t>
      </w:r>
      <w:r w:rsidR="00756D5F">
        <w:fldChar w:fldCharType="begin"/>
      </w:r>
      <w:r w:rsidR="00756D5F">
        <w:instrText xml:space="preserve"> REF _Ref415065117 \r \h </w:instrText>
      </w:r>
      <w:r w:rsidR="00756D5F">
        <w:fldChar w:fldCharType="separate"/>
      </w:r>
      <w:r w:rsidR="003F0AA6">
        <w:t>A.14.4</w:t>
      </w:r>
      <w:r w:rsidR="00756D5F">
        <w:fldChar w:fldCharType="end"/>
      </w:r>
      <w:r w:rsidR="00756D5F">
        <w:t xml:space="preserve"> and </w:t>
      </w:r>
      <w:r w:rsidR="00756D5F">
        <w:fldChar w:fldCharType="begin"/>
      </w:r>
      <w:r w:rsidR="00756D5F">
        <w:instrText xml:space="preserve"> REF _Ref414624721 \r \h </w:instrText>
      </w:r>
      <w:r w:rsidR="00756D5F">
        <w:fldChar w:fldCharType="separate"/>
      </w:r>
      <w:r w:rsidR="003F0AA6">
        <w:t>A.14.5</w:t>
      </w:r>
      <w:r w:rsidR="00756D5F">
        <w:fldChar w:fldCharType="end"/>
      </w:r>
      <w:r w:rsidR="00756D5F">
        <w:t xml:space="preserve"> </w:t>
      </w:r>
      <w:r w:rsidR="00F9593C">
        <w:t>why the results of implied market value studies can reflect factors that are not relevant to the utilisation rate.</w:t>
      </w:r>
    </w:p>
    <w:p w:rsidR="002630C5" w:rsidRDefault="00335E54" w:rsidP="00A12A0E">
      <w:pPr>
        <w:pStyle w:val="AERbulletlistfirststyle"/>
      </w:pPr>
      <w:proofErr w:type="gramStart"/>
      <w:r>
        <w:t>We erred by considering implied market value studies in a general manner rather than considering the merits of SFG's dividend drop off study</w:t>
      </w:r>
      <w:r>
        <w:rPr>
          <w:rFonts w:cs="Arial"/>
        </w:rPr>
        <w:t>—</w:t>
      </w:r>
      <w:r w:rsidR="00BF256A">
        <w:t xml:space="preserve">in section </w:t>
      </w:r>
      <w:r w:rsidR="00BF256A">
        <w:fldChar w:fldCharType="begin"/>
      </w:r>
      <w:r w:rsidR="00BF256A">
        <w:instrText xml:space="preserve"> REF _Ref414289593 \r \h </w:instrText>
      </w:r>
      <w:r w:rsidR="00BF256A">
        <w:fldChar w:fldCharType="separate"/>
      </w:r>
      <w:r w:rsidR="003F0AA6">
        <w:t>4.4.2</w:t>
      </w:r>
      <w:r w:rsidR="00BF256A">
        <w:fldChar w:fldCharType="end"/>
      </w:r>
      <w:r w:rsidR="00BF256A">
        <w:t xml:space="preserve"> we set out a list of limitations that can apply to implied market value studies, and in section </w:t>
      </w:r>
      <w:r w:rsidR="00847F09">
        <w:fldChar w:fldCharType="begin"/>
      </w:r>
      <w:r w:rsidR="00847F09">
        <w:instrText xml:space="preserve"> REF _Ref414624721 \r \h </w:instrText>
      </w:r>
      <w:r w:rsidR="00847F09">
        <w:fldChar w:fldCharType="separate"/>
      </w:r>
      <w:r w:rsidR="003F0AA6">
        <w:t>A.14.5</w:t>
      </w:r>
      <w:r w:rsidR="00847F09">
        <w:fldChar w:fldCharType="end"/>
      </w:r>
      <w:r w:rsidR="00847F09">
        <w:t xml:space="preserve"> we </w:t>
      </w:r>
      <w:r w:rsidR="008A369B">
        <w:t>conclude that that there is reasonable evidence to suggest that several of these limitations apply to SFG's dividend drop off</w:t>
      </w:r>
      <w:r w:rsidR="00BF3B92">
        <w:t xml:space="preserve"> study</w:t>
      </w:r>
      <w:r w:rsidR="00847F09">
        <w:t>.</w:t>
      </w:r>
      <w:proofErr w:type="gramEnd"/>
      <w:r w:rsidR="00847F09">
        <w:t xml:space="preserve"> </w:t>
      </w:r>
      <w:r w:rsidR="00915740">
        <w:t xml:space="preserve">In section </w:t>
      </w:r>
      <w:r w:rsidR="00915740">
        <w:fldChar w:fldCharType="begin"/>
      </w:r>
      <w:r w:rsidR="00915740">
        <w:instrText xml:space="preserve"> REF _Ref414289593 \r \h </w:instrText>
      </w:r>
      <w:r w:rsidR="00915740">
        <w:fldChar w:fldCharType="separate"/>
      </w:r>
      <w:proofErr w:type="gramStart"/>
      <w:r w:rsidR="003F0AA6">
        <w:t>4.4.2</w:t>
      </w:r>
      <w:proofErr w:type="gramEnd"/>
      <w:r w:rsidR="00915740">
        <w:fldChar w:fldCharType="end"/>
      </w:r>
      <w:r w:rsidR="00915740">
        <w:t xml:space="preserve"> we also refer to the issues raised by Lally in relation to SFG's dividend drop off study, and McKenzie and Partington's view that </w:t>
      </w:r>
      <w:r w:rsidR="00915740" w:rsidRPr="008D1665">
        <w:t xml:space="preserve">there is no obvious manner in which to weigh the results from various </w:t>
      </w:r>
      <w:r w:rsidR="00915740">
        <w:t xml:space="preserve">implied market value </w:t>
      </w:r>
      <w:r w:rsidR="00915740" w:rsidRPr="008D1665">
        <w:t>studies based on their characteristics</w:t>
      </w:r>
      <w:r w:rsidR="00915740">
        <w:t>.</w:t>
      </w:r>
      <w:r w:rsidR="002630C5" w:rsidRPr="005668B8">
        <w:t xml:space="preserve"> </w:t>
      </w:r>
      <w:r w:rsidR="00915740">
        <w:t>In se</w:t>
      </w:r>
      <w:r w:rsidR="0058252B">
        <w:t xml:space="preserve">ction </w:t>
      </w:r>
      <w:r w:rsidR="0058252B">
        <w:fldChar w:fldCharType="begin"/>
      </w:r>
      <w:r w:rsidR="0058252B">
        <w:instrText xml:space="preserve"> REF _Ref414619467 \r \h </w:instrText>
      </w:r>
      <w:r w:rsidR="0058252B">
        <w:fldChar w:fldCharType="separate"/>
      </w:r>
      <w:proofErr w:type="gramStart"/>
      <w:r w:rsidR="003F0AA6">
        <w:t>A.14.6</w:t>
      </w:r>
      <w:proofErr w:type="gramEnd"/>
      <w:r w:rsidR="0058252B">
        <w:fldChar w:fldCharType="end"/>
      </w:r>
      <w:r w:rsidR="0058252B">
        <w:t xml:space="preserve"> we </w:t>
      </w:r>
      <w:r w:rsidR="0046390C">
        <w:t xml:space="preserve">set out statements </w:t>
      </w:r>
      <w:r w:rsidR="0058252B">
        <w:t>from experts and other regulators on the limitations of dividend drop off studies</w:t>
      </w:r>
      <w:r w:rsidR="0046390C">
        <w:t xml:space="preserve">. All </w:t>
      </w:r>
      <w:r w:rsidR="0058252B">
        <w:t xml:space="preserve">but one of </w:t>
      </w:r>
      <w:r w:rsidR="0046390C">
        <w:t xml:space="preserve">these statements occurred </w:t>
      </w:r>
      <w:r w:rsidR="0058252B">
        <w:t xml:space="preserve">after the development of SFG's dividend drop off study. </w:t>
      </w:r>
    </w:p>
    <w:p w:rsidR="00F07264" w:rsidRDefault="0086055D" w:rsidP="005668B8">
      <w:pPr>
        <w:pStyle w:val="AERbulletlistfirststyle"/>
      </w:pPr>
      <w:r>
        <w:t>It was neither necessary nor appropriate for us to identify a distribution rate for only listed equity</w:t>
      </w:r>
      <w:r>
        <w:rPr>
          <w:rFonts w:cs="Arial"/>
        </w:rPr>
        <w:t>—</w:t>
      </w:r>
      <w:r w:rsidR="00680EF4">
        <w:t xml:space="preserve">in sections </w:t>
      </w:r>
      <w:r w:rsidR="00680EF4">
        <w:fldChar w:fldCharType="begin"/>
      </w:r>
      <w:r w:rsidR="00680EF4">
        <w:instrText xml:space="preserve"> REF _Ref415068711 \r \h </w:instrText>
      </w:r>
      <w:r w:rsidR="00680EF4">
        <w:fldChar w:fldCharType="separate"/>
      </w:r>
      <w:r w:rsidR="003F0AA6">
        <w:t>A.9</w:t>
      </w:r>
      <w:r w:rsidR="00680EF4">
        <w:fldChar w:fldCharType="end"/>
      </w:r>
      <w:r w:rsidR="00680EF4">
        <w:t xml:space="preserve"> and </w:t>
      </w:r>
      <w:r w:rsidR="00680EF4">
        <w:fldChar w:fldCharType="begin"/>
      </w:r>
      <w:r w:rsidR="00680EF4">
        <w:instrText xml:space="preserve"> REF _Ref414289334 \r \h </w:instrText>
      </w:r>
      <w:r w:rsidR="00680EF4">
        <w:fldChar w:fldCharType="separate"/>
      </w:r>
      <w:r w:rsidR="003F0AA6">
        <w:t>A.10.1</w:t>
      </w:r>
      <w:r w:rsidR="00680EF4">
        <w:fldChar w:fldCharType="end"/>
      </w:r>
      <w:r w:rsidR="00680EF4">
        <w:t xml:space="preserve"> we explain why we </w:t>
      </w:r>
      <w:r w:rsidR="0046390C">
        <w:t>disagree</w:t>
      </w:r>
      <w:r w:rsidR="00680EF4">
        <w:t>.</w:t>
      </w:r>
    </w:p>
    <w:p w:rsidR="00680EF4" w:rsidRPr="005668B8" w:rsidRDefault="00680EF4" w:rsidP="005668B8">
      <w:pPr>
        <w:pStyle w:val="AERbulletlistfirststyle"/>
      </w:pPr>
      <w:r>
        <w:t>Our ultimate conclusion as to the value of imputation credits was inconsistent with the evidence presented in the draft decision</w:t>
      </w:r>
      <w:r w:rsidR="00895E9C">
        <w:t>s</w:t>
      </w:r>
      <w:r>
        <w:rPr>
          <w:rFonts w:cs="Arial"/>
        </w:rPr>
        <w:t>—</w:t>
      </w:r>
      <w:r>
        <w:t>the evidence presented in both the draft decision</w:t>
      </w:r>
      <w:r w:rsidR="00895E9C">
        <w:t>s</w:t>
      </w:r>
      <w:r>
        <w:t xml:space="preserve"> and this final decision suggests that a reasonable estimate for the value of imputation credits is within the range 0.3 to 0.5. </w:t>
      </w:r>
      <w:r w:rsidR="001E1424">
        <w:t>Our estimate of 0.4 is within this range.</w:t>
      </w:r>
    </w:p>
    <w:p w:rsidR="00615CE6" w:rsidRDefault="00615CE6" w:rsidP="00615CE6">
      <w:pPr>
        <w:pStyle w:val="Heading8"/>
      </w:pPr>
      <w:bookmarkStart w:id="51" w:name="_Ref415144114"/>
      <w:bookmarkStart w:id="52" w:name="_Toc417043260"/>
      <w:r>
        <w:t xml:space="preserve">The role </w:t>
      </w:r>
      <w:r w:rsidRPr="00615CE6">
        <w:t>of</w:t>
      </w:r>
      <w:r>
        <w:t xml:space="preserve"> the value of imputation credits in the regulatory framework</w:t>
      </w:r>
      <w:bookmarkEnd w:id="50"/>
      <w:bookmarkEnd w:id="51"/>
      <w:bookmarkEnd w:id="52"/>
    </w:p>
    <w:p w:rsidR="00615CE6" w:rsidRDefault="00615CE6" w:rsidP="00615CE6">
      <w:pPr>
        <w:numPr>
          <w:ilvl w:val="0"/>
          <w:numId w:val="25"/>
        </w:numPr>
      </w:pPr>
      <w:r>
        <w:t xml:space="preserve">To explain the role of the value of imputation credits in the </w:t>
      </w:r>
      <w:r w:rsidR="004569D9">
        <w:t>NER/NGR</w:t>
      </w:r>
      <w:r>
        <w:t>, we must consider:</w:t>
      </w:r>
    </w:p>
    <w:p w:rsidR="00615CE6" w:rsidRPr="00615CE6" w:rsidRDefault="00615CE6" w:rsidP="00615CE6">
      <w:pPr>
        <w:pStyle w:val="AERbulletlistfirststyle"/>
      </w:pPr>
      <w:r>
        <w:t xml:space="preserve">the 'building block' revenue framework in the </w:t>
      </w:r>
      <w:r w:rsidR="004569D9">
        <w:t>NER/NGR</w:t>
      </w:r>
      <w:r>
        <w:t>, and</w:t>
      </w:r>
    </w:p>
    <w:p w:rsidR="00615CE6" w:rsidRPr="00615CE6" w:rsidRDefault="00615CE6" w:rsidP="00615CE6">
      <w:pPr>
        <w:pStyle w:val="AERbulletlistfirststyle"/>
      </w:pPr>
      <w:r>
        <w:t xml:space="preserve">the </w:t>
      </w:r>
      <w:r w:rsidRPr="00615CE6">
        <w:t>construction of the tax building block.</w:t>
      </w:r>
    </w:p>
    <w:p w:rsidR="00615CE6" w:rsidRDefault="00615CE6" w:rsidP="00615CE6">
      <w:pPr>
        <w:pStyle w:val="Heading9"/>
      </w:pPr>
      <w:r>
        <w:t xml:space="preserve">The </w:t>
      </w:r>
      <w:r w:rsidRPr="00615CE6">
        <w:t>building</w:t>
      </w:r>
      <w:r>
        <w:t xml:space="preserve"> block framework</w:t>
      </w:r>
    </w:p>
    <w:p w:rsidR="00615CE6" w:rsidRPr="009D12C3" w:rsidRDefault="00615CE6" w:rsidP="00615CE6">
      <w:pPr>
        <w:numPr>
          <w:ilvl w:val="0"/>
          <w:numId w:val="25"/>
        </w:numPr>
      </w:pPr>
      <w:r w:rsidRPr="009D12C3">
        <w:t xml:space="preserve">Under the </w:t>
      </w:r>
      <w:r w:rsidR="004569D9">
        <w:t>NER/NGR</w:t>
      </w:r>
      <w:r w:rsidRPr="009D12C3">
        <w:t xml:space="preserve">, we </w:t>
      </w:r>
      <w:r w:rsidR="00A513C2">
        <w:t>employ</w:t>
      </w:r>
      <w:r w:rsidRPr="009D12C3">
        <w:t xml:space="preserve"> a building block framework to estimate revenue for service providers. The building block framework sets out how to estimate the various</w:t>
      </w:r>
      <w:r w:rsidR="00FE1E1F">
        <w:t xml:space="preserve"> components</w:t>
      </w:r>
      <w:r w:rsidRPr="009D12C3">
        <w:t xml:space="preserve"> </w:t>
      </w:r>
      <w:r>
        <w:t>(that is, 'building blocks')</w:t>
      </w:r>
      <w:r w:rsidRPr="009D12C3">
        <w:t xml:space="preserve"> that make up a total revenue allowance.</w:t>
      </w:r>
      <w:r>
        <w:rPr>
          <w:rStyle w:val="FootnoteReference"/>
        </w:rPr>
        <w:footnoteReference w:id="125"/>
      </w:r>
      <w:r w:rsidRPr="009D12C3">
        <w:t xml:space="preserve">  The function of this building block revenue estimate is to determine the revenue that a service provider requires to:</w:t>
      </w:r>
    </w:p>
    <w:p w:rsidR="00615CE6" w:rsidRPr="00615CE6" w:rsidRDefault="00615CE6" w:rsidP="00615CE6">
      <w:pPr>
        <w:pStyle w:val="AERbulletlistfirststyle"/>
      </w:pPr>
      <w:r w:rsidRPr="009D12C3">
        <w:t>Fund its operating expenses.</w:t>
      </w:r>
    </w:p>
    <w:p w:rsidR="00615CE6" w:rsidRPr="00615CE6" w:rsidRDefault="00615CE6" w:rsidP="00615CE6">
      <w:pPr>
        <w:pStyle w:val="AERbulletlistfirststyle"/>
      </w:pPr>
      <w:r w:rsidRPr="009D12C3">
        <w:t>Achieve adequate returns to raise debt and equity in order to finance its capital investments. This is made up</w:t>
      </w:r>
      <w:r w:rsidRPr="00615CE6">
        <w:t xml:space="preserve"> of a rate of return on capital to compensate investors for the risks of investment. It also includes a return of capital (depreciation), which gradually </w:t>
      </w:r>
      <w:r w:rsidRPr="00615CE6">
        <w:lastRenderedPageBreak/>
        <w:t>returns the initial principal of the investment, and subsequent investments, back to investors.</w:t>
      </w:r>
    </w:p>
    <w:p w:rsidR="00615CE6" w:rsidRPr="00615CE6" w:rsidRDefault="00615CE6" w:rsidP="00615CE6">
      <w:pPr>
        <w:pStyle w:val="AERbulletlistfirststyle"/>
      </w:pPr>
      <w:r w:rsidRPr="009D12C3">
        <w:t>Pay its tax liability.</w:t>
      </w:r>
    </w:p>
    <w:p w:rsidR="00615CE6" w:rsidRPr="00615CE6" w:rsidRDefault="00615CE6" w:rsidP="00615CE6">
      <w:pPr>
        <w:pStyle w:val="AERbulletlistfirststyle"/>
      </w:pPr>
      <w:r w:rsidRPr="009D12C3">
        <w:t xml:space="preserve">Reflect any </w:t>
      </w:r>
      <w:r w:rsidRPr="00615CE6">
        <w:t>revenue increments or decrements from incentive mechanisms in the design of the regulatory regime.</w:t>
      </w:r>
    </w:p>
    <w:p w:rsidR="00615CE6" w:rsidRDefault="00615CE6" w:rsidP="00615CE6">
      <w:pPr>
        <w:numPr>
          <w:ilvl w:val="0"/>
          <w:numId w:val="25"/>
        </w:numPr>
      </w:pPr>
      <w:r>
        <w:t>Importantly, the building block framework is intended to compensate the service provider (and its investors) only for costs incurred by the service provider and not by its investors</w:t>
      </w:r>
      <w:r w:rsidR="00650984">
        <w:t>; that is, the framework is on a before-personal-tax and before-personal-costs basis.</w:t>
      </w:r>
      <w:r>
        <w:t xml:space="preserve"> Handley described this consideration as follows:</w:t>
      </w:r>
      <w:r>
        <w:rPr>
          <w:rStyle w:val="FootnoteReference"/>
        </w:rPr>
        <w:footnoteReference w:id="126"/>
      </w:r>
    </w:p>
    <w:p w:rsidR="00615CE6" w:rsidRDefault="00615CE6" w:rsidP="00615CE6">
      <w:pPr>
        <w:pStyle w:val="AERquote"/>
      </w:pPr>
      <w:r w:rsidRPr="008860F2">
        <w:t>The post-tax basis of the regulatory framework can be more fully described as an after</w:t>
      </w:r>
      <w:r>
        <w:t>-company-</w:t>
      </w:r>
      <w:r w:rsidRPr="008860F2">
        <w:t>before-personal-tax framework. In other words</w:t>
      </w:r>
      <w:r>
        <w:t xml:space="preserve">, cash flows and returns are to </w:t>
      </w:r>
      <w:r w:rsidRPr="008860F2">
        <w:t>be measured after company taxes but before personal t</w:t>
      </w:r>
      <w:r>
        <w:t xml:space="preserve">axes. By definition, this means </w:t>
      </w:r>
      <w:r w:rsidRPr="008860F2">
        <w:t>that allowed revenues should include compensation for corporate taxes incurred by the</w:t>
      </w:r>
      <w:r>
        <w:t xml:space="preserve"> </w:t>
      </w:r>
      <w:r w:rsidRPr="008860F2">
        <w:t xml:space="preserve">regulated firm but not for personal taxes incurred by the </w:t>
      </w:r>
      <w:r>
        <w:t xml:space="preserve">firm’s shareholders. Similarly, </w:t>
      </w:r>
      <w:r w:rsidRPr="008860F2">
        <w:t>allowed revenues should include compensation for prude</w:t>
      </w:r>
      <w:r>
        <w:t xml:space="preserve">nt, efficient costs incurred by </w:t>
      </w:r>
      <w:r w:rsidRPr="008860F2">
        <w:t xml:space="preserve">the regulated firm but not for costs (including personal </w:t>
      </w:r>
      <w:r>
        <w:t xml:space="preserve">transactions costs) incurred at </w:t>
      </w:r>
      <w:r w:rsidRPr="008860F2">
        <w:t>the shareholder level. Note, this does not mean that per</w:t>
      </w:r>
      <w:r>
        <w:t xml:space="preserve">sonal taxes and costs are being </w:t>
      </w:r>
      <w:r w:rsidRPr="008860F2">
        <w:t>ignored or assumed not to exist – rather there is no need to</w:t>
      </w:r>
      <w:r>
        <w:t xml:space="preserve"> explicitly include them in the </w:t>
      </w:r>
      <w:r w:rsidRPr="008860F2">
        <w:t>modelling framework.</w:t>
      </w:r>
    </w:p>
    <w:p w:rsidR="00520C80" w:rsidRDefault="00520C80" w:rsidP="00520C80">
      <w:pPr>
        <w:pStyle w:val="AERquote"/>
      </w:pPr>
      <w:r>
        <w:t>…</w:t>
      </w:r>
    </w:p>
    <w:p w:rsidR="00520C80" w:rsidRDefault="00520C80" w:rsidP="00520C80">
      <w:pPr>
        <w:pStyle w:val="AERquote"/>
      </w:pPr>
      <w:r w:rsidRPr="00520C80">
        <w:t>The regulatory WACC framework is an after-company-before-person</w:t>
      </w:r>
      <w:r>
        <w:t xml:space="preserve">al-tax framework which requires </w:t>
      </w:r>
      <w:r w:rsidRPr="00520C80">
        <w:t>explicit modelling of cash flows and returns after allowing for company tax but avoids most of the</w:t>
      </w:r>
      <w:r>
        <w:t xml:space="preserve"> </w:t>
      </w:r>
      <w:r w:rsidRPr="00520C80">
        <w:t>complications associated with having to model personal taxes - one complication which remains of</w:t>
      </w:r>
      <w:r>
        <w:t xml:space="preserve"> </w:t>
      </w:r>
      <w:r w:rsidRPr="00520C80">
        <w:t>course, is gamma. If one wanted to explicitly model personal taxes then an after-company-after-personal</w:t>
      </w:r>
      <w:r>
        <w:t>-</w:t>
      </w:r>
      <w:r w:rsidRPr="00520C80">
        <w:t>tax</w:t>
      </w:r>
      <w:r>
        <w:t xml:space="preserve"> </w:t>
      </w:r>
      <w:r w:rsidRPr="00520C80">
        <w:t>WACC framework could be used instead.</w:t>
      </w:r>
    </w:p>
    <w:p w:rsidR="00225435" w:rsidRPr="00225435" w:rsidRDefault="00225435" w:rsidP="00C2621C">
      <w:r>
        <w:t>In particular, Handley advised that the Officer framework provides the basis for the building block framework</w:t>
      </w:r>
      <w:r w:rsidR="0028481C">
        <w:t xml:space="preserve"> in the NER</w:t>
      </w:r>
      <w:r w:rsidR="007263E1">
        <w:t>/NGR</w:t>
      </w:r>
      <w:r>
        <w:t xml:space="preserve">, and that the before-personal-tax and before-personal-costs interpretation is consistent with Officer. Handley's advice on these matters </w:t>
      </w:r>
      <w:proofErr w:type="gramStart"/>
      <w:r>
        <w:t>is discussed</w:t>
      </w:r>
      <w:proofErr w:type="gramEnd"/>
      <w:r>
        <w:t xml:space="preserve"> in more detail in sections </w:t>
      </w:r>
      <w:r>
        <w:fldChar w:fldCharType="begin"/>
      </w:r>
      <w:r>
        <w:instrText xml:space="preserve"> REF _Ref400965182 \r \h </w:instrText>
      </w:r>
      <w:r>
        <w:fldChar w:fldCharType="separate"/>
      </w:r>
      <w:r w:rsidR="003F0AA6">
        <w:t>A.6</w:t>
      </w:r>
      <w:r>
        <w:fldChar w:fldCharType="end"/>
      </w:r>
      <w:r>
        <w:t xml:space="preserve">, </w:t>
      </w:r>
      <w:r>
        <w:fldChar w:fldCharType="begin"/>
      </w:r>
      <w:r>
        <w:instrText xml:space="preserve"> REF _Ref414028398 \r \h </w:instrText>
      </w:r>
      <w:r>
        <w:fldChar w:fldCharType="separate"/>
      </w:r>
      <w:r w:rsidR="003F0AA6">
        <w:t>A.7.3</w:t>
      </w:r>
      <w:r>
        <w:fldChar w:fldCharType="end"/>
      </w:r>
      <w:r>
        <w:t xml:space="preserve"> and </w:t>
      </w:r>
      <w:r>
        <w:fldChar w:fldCharType="begin"/>
      </w:r>
      <w:r>
        <w:instrText xml:space="preserve"> REF _Ref401748758 \r \h </w:instrText>
      </w:r>
      <w:r>
        <w:fldChar w:fldCharType="separate"/>
      </w:r>
      <w:r w:rsidR="003F0AA6">
        <w:t>A.8.1</w:t>
      </w:r>
      <w:r>
        <w:fldChar w:fldCharType="end"/>
      </w:r>
      <w:r>
        <w:t>.</w:t>
      </w:r>
    </w:p>
    <w:p w:rsidR="00615CE6" w:rsidRDefault="00615CE6" w:rsidP="00615CE6">
      <w:pPr>
        <w:pStyle w:val="Heading9"/>
      </w:pPr>
      <w:bookmarkStart w:id="53" w:name="_Ref400962032"/>
      <w:r>
        <w:t xml:space="preserve">The tax </w:t>
      </w:r>
      <w:r w:rsidRPr="00615CE6">
        <w:t>building</w:t>
      </w:r>
      <w:r>
        <w:t xml:space="preserve"> block</w:t>
      </w:r>
      <w:bookmarkEnd w:id="53"/>
    </w:p>
    <w:p w:rsidR="00615CE6" w:rsidRDefault="00615CE6" w:rsidP="00615CE6">
      <w:pPr>
        <w:numPr>
          <w:ilvl w:val="0"/>
          <w:numId w:val="25"/>
        </w:numPr>
      </w:pPr>
      <w:r>
        <w:t>O</w:t>
      </w:r>
      <w:r w:rsidRPr="00721B11">
        <w:t xml:space="preserve">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w:t>
      </w:r>
      <w:r w:rsidR="004569D9">
        <w:t>NER/NGR</w:t>
      </w:r>
      <w:r w:rsidRPr="00721B11">
        <w:t xml:space="preserve"> specify that we must estimate a nominal vanilla rate of return.</w:t>
      </w:r>
      <w:r w:rsidRPr="00721B11">
        <w:rPr>
          <w:rStyle w:val="FootnoteReference"/>
        </w:rPr>
        <w:footnoteReference w:id="127"/>
      </w:r>
      <w:r w:rsidRPr="00721B11">
        <w:t xml:space="preserve">  </w:t>
      </w:r>
      <w:r>
        <w:t xml:space="preserve">A nominal vanilla rate of return combines a post-tax return on equity </w:t>
      </w:r>
      <w:r>
        <w:lastRenderedPageBreak/>
        <w:t>with a pre-tax return on debt. More specifically, as described by Handley above, the return on equity is a post-company-tax-pre-personal-tax return on equity.</w:t>
      </w:r>
    </w:p>
    <w:p w:rsidR="00615CE6" w:rsidRPr="00721B11" w:rsidRDefault="00615CE6" w:rsidP="00615CE6">
      <w:pPr>
        <w:numPr>
          <w:ilvl w:val="0"/>
          <w:numId w:val="25"/>
        </w:numPr>
      </w:pPr>
      <w:r w:rsidRPr="00721B11">
        <w:t>Amongst other things, this means the return on capital does not include an allowance for the cost of taxation.</w:t>
      </w:r>
      <w:r>
        <w:t xml:space="preserve"> </w:t>
      </w:r>
      <w:r w:rsidRPr="00721B11">
        <w:t xml:space="preserve">As a result, the building block framework includes an estimate of the cost of corporate income tax as a separate revenue item. </w:t>
      </w:r>
    </w:p>
    <w:p w:rsidR="00615CE6" w:rsidRDefault="00615CE6" w:rsidP="00615CE6">
      <w:pPr>
        <w:numPr>
          <w:ilvl w:val="0"/>
          <w:numId w:val="25"/>
        </w:numPr>
      </w:pPr>
      <w:r>
        <w:t>The cost of corporate income tax building block takes the following form:</w:t>
      </w:r>
    </w:p>
    <w:p w:rsidR="00615CE6" w:rsidRDefault="00332D56" w:rsidP="00615CE6">
      <w:pPr>
        <w:numPr>
          <w:ilvl w:val="0"/>
          <w:numId w:val="25"/>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615CE6" w:rsidRDefault="00615CE6" w:rsidP="00615CE6">
      <w:pPr>
        <w:numPr>
          <w:ilvl w:val="0"/>
          <w:numId w:val="25"/>
        </w:numPr>
      </w:pPr>
      <w:r>
        <w:t>where:</w:t>
      </w:r>
    </w:p>
    <w:p w:rsidR="00615CE6" w:rsidRPr="00615CE6" w:rsidRDefault="00332D56" w:rsidP="00615CE6">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615CE6" w:rsidRPr="00615CE6" w:rsidDel="00CE0EED">
        <w:t xml:space="preserve"> </w:t>
      </w:r>
      <w:r w:rsidR="00615CE6" w:rsidRPr="00615CE6">
        <w:t>is an estimate of the benchmark efficient entity's tax liability.</w:t>
      </w:r>
    </w:p>
    <w:p w:rsidR="00615CE6" w:rsidRPr="00615CE6" w:rsidRDefault="00615CE6" w:rsidP="00615CE6">
      <w:pPr>
        <w:pStyle w:val="AERbulletlistfirststyle"/>
      </w:pPr>
      <m:oMath>
        <m:r>
          <w:rPr>
            <w:rFonts w:ascii="Cambria Math" w:hAnsi="Cambria Math"/>
          </w:rPr>
          <m:t>γ</m:t>
        </m:r>
      </m:oMath>
      <w:r w:rsidRPr="00615CE6">
        <w:t xml:space="preserve"> is the value of imputation credits.</w:t>
      </w:r>
    </w:p>
    <w:p w:rsidR="00615CE6" w:rsidRDefault="00615CE6" w:rsidP="00615CE6">
      <w:pPr>
        <w:numPr>
          <w:ilvl w:val="0"/>
          <w:numId w:val="25"/>
        </w:numPr>
      </w:pPr>
      <w:r>
        <w:t xml:space="preserve">Therefore, the effect of the value of imputation credits is to reduce a service provider's allowed revenue by </w:t>
      </w:r>
      <m:oMath>
        <m:r>
          <w:rPr>
            <w:rFonts w:ascii="Cambria Math" w:hAnsi="Cambria Math"/>
          </w:rPr>
          <m:t>γ</m:t>
        </m:r>
      </m:oMath>
      <w:r w:rsidRPr="009D12C3" w:rsidDel="00EC30CC">
        <w:rPr>
          <w:rFonts w:hint="eastAsia"/>
        </w:rPr>
        <w:t xml:space="preserve"> </w:t>
      </w:r>
      <w:r>
        <w:t xml:space="preserve">(gamma) dollars for each dollar of expected company tax payable by the benchmark efficient entity. Given it is the tax paid by the benchmark efficient entity that gives rise to the imputation credits, </w:t>
      </w:r>
      <w:r w:rsidR="002C6AF7">
        <w:t xml:space="preserve">we consider that </w:t>
      </w:r>
      <w:r>
        <w:t>it is the (pre-personal tax) value of imputation credits to investors in the benchmark efficient entity that is relevant.</w:t>
      </w:r>
      <w:r w:rsidR="002C6AF7">
        <w:rPr>
          <w:rStyle w:val="FootnoteReference"/>
        </w:rPr>
        <w:footnoteReference w:id="128"/>
      </w:r>
    </w:p>
    <w:p w:rsidR="00A3557D" w:rsidRDefault="00A3557D" w:rsidP="00A3557D">
      <w:pPr>
        <w:pStyle w:val="Heading8"/>
      </w:pPr>
      <w:bookmarkStart w:id="54" w:name="_Ref400965182"/>
      <w:bookmarkStart w:id="55" w:name="_Toc417043261"/>
      <w:r w:rsidRPr="00A3557D">
        <w:t>The</w:t>
      </w:r>
      <w:r>
        <w:t xml:space="preserve"> conceptual framework for the value of imputation credits</w:t>
      </w:r>
      <w:bookmarkEnd w:id="54"/>
      <w:bookmarkEnd w:id="55"/>
    </w:p>
    <w:p w:rsidR="00A3557D" w:rsidRDefault="00A3557D" w:rsidP="00A3557D">
      <w:pPr>
        <w:numPr>
          <w:ilvl w:val="0"/>
          <w:numId w:val="25"/>
        </w:numPr>
      </w:pPr>
      <w:r>
        <w:t xml:space="preserve">With regard to the discussion of the tax building block in section </w:t>
      </w:r>
      <w:r>
        <w:fldChar w:fldCharType="begin"/>
      </w:r>
      <w:r>
        <w:instrText xml:space="preserve"> REF _Ref400962032 \r \h </w:instrText>
      </w:r>
      <w:r>
        <w:fldChar w:fldCharType="separate"/>
      </w:r>
      <w:r w:rsidR="003F0AA6">
        <w:t>A.5.2</w:t>
      </w:r>
      <w:r>
        <w:fldChar w:fldCharType="end"/>
      </w:r>
      <w:r>
        <w:t xml:space="preserve">, we consider the 'value of imputation credits' to be the value of imputation credits to investors in the benchmark efficient entity. Moreover, as noted above, it is the pre-personal tax value of imputation credits to those investors that we seek to estimate. The </w:t>
      </w:r>
      <w:r w:rsidR="005C5BA5">
        <w:t>issue</w:t>
      </w:r>
      <w:r>
        <w:t xml:space="preserve"> is then how to interpret and estimate the value of imputation credits. Our approach to interpreting and estimating the value of imputation credits is guided in the first instance by the conceptual framework developed by Officer.</w:t>
      </w:r>
      <w:r>
        <w:rPr>
          <w:rStyle w:val="FootnoteReference"/>
        </w:rPr>
        <w:footnoteReference w:id="129"/>
      </w:r>
      <w:r>
        <w:t xml:space="preserve"> This is because:</w:t>
      </w:r>
    </w:p>
    <w:p w:rsidR="00A3557D" w:rsidRPr="00A3557D" w:rsidRDefault="00A3557D" w:rsidP="00A3557D">
      <w:pPr>
        <w:pStyle w:val="AERbulletlistfirststyle"/>
      </w:pPr>
      <w:r>
        <w:t>The construction of the tax building block mirrors the treatment of imputation credits in the framework developed by Officer, including through use of the parameter denoted by the Greek letter 'gamma'.</w:t>
      </w:r>
      <w:r w:rsidRPr="00A3557D">
        <w:rPr>
          <w:rStyle w:val="FootnoteReference"/>
        </w:rPr>
        <w:footnoteReference w:id="130"/>
      </w:r>
    </w:p>
    <w:p w:rsidR="00A3557D" w:rsidRPr="00A3557D" w:rsidRDefault="00A3557D" w:rsidP="00A3557D">
      <w:pPr>
        <w:pStyle w:val="AERbulletlistfirststyle"/>
      </w:pPr>
      <w:r>
        <w:t xml:space="preserve">Handley advised that Officer's definition of the nominal vanilla rate of return provides the basis for the rate of return framework in the </w:t>
      </w:r>
      <w:r w:rsidR="004569D9">
        <w:t>NER/NGR</w:t>
      </w:r>
      <w:r>
        <w:t>.</w:t>
      </w:r>
      <w:r w:rsidRPr="00A3557D">
        <w:rPr>
          <w:rStyle w:val="FootnoteReference"/>
        </w:rPr>
        <w:footnoteReference w:id="131"/>
      </w:r>
    </w:p>
    <w:p w:rsidR="00A3557D" w:rsidRPr="00A3557D" w:rsidRDefault="00A3557D" w:rsidP="00A3557D">
      <w:pPr>
        <w:pStyle w:val="AERbulletlistfirststyle"/>
      </w:pPr>
      <w:r>
        <w:lastRenderedPageBreak/>
        <w:t xml:space="preserve">The </w:t>
      </w:r>
      <w:r w:rsidR="004569D9">
        <w:t>NER/NGR</w:t>
      </w:r>
      <w:r>
        <w:t xml:space="preserve"> require that we determine the rate of return </w:t>
      </w:r>
      <w:r w:rsidRPr="00A3557D">
        <w:t>on a nominal vanilla basis that is consistent with our estimate of the value of imputation credits.</w:t>
      </w:r>
      <w:r w:rsidRPr="00A3557D">
        <w:rPr>
          <w:rStyle w:val="FootnoteReference"/>
        </w:rPr>
        <w:footnoteReference w:id="132"/>
      </w:r>
    </w:p>
    <w:p w:rsidR="00A3557D" w:rsidRDefault="00A3557D" w:rsidP="00A3557D">
      <w:pPr>
        <w:numPr>
          <w:ilvl w:val="0"/>
          <w:numId w:val="25"/>
        </w:numPr>
      </w:pPr>
      <w:r>
        <w:t>Officer describes gamma in different ways, and this is a potential source of ambiguity regarding what the parameter represents and therefore how one might estimate it in practice. Whilst Handley acknowledged that Officer describes gamma in seemingly different ways, he advised that, when examined closely, there is no ambiguity in the meaning of Officer. Handley advised:</w:t>
      </w:r>
      <w:r>
        <w:rPr>
          <w:rStyle w:val="FootnoteReference"/>
        </w:rPr>
        <w:footnoteReference w:id="133"/>
      </w:r>
    </w:p>
    <w:p w:rsidR="00A3557D" w:rsidRPr="00EB15F4" w:rsidRDefault="00A3557D" w:rsidP="00A3557D">
      <w:pPr>
        <w:pStyle w:val="AERquote"/>
      </w:pPr>
      <w:r w:rsidRPr="00EB15F4">
        <w:t>Similarly,</w:t>
      </w:r>
      <w:r>
        <w:t xml:space="preserve"> Officer has described gamma in </w:t>
      </w:r>
      <w:r w:rsidRPr="00EB15F4">
        <w:t>seemingly different ways. For example he refers to:</w:t>
      </w:r>
    </w:p>
    <w:p w:rsidR="00A3557D" w:rsidRPr="00EB15F4" w:rsidRDefault="00A3557D" w:rsidP="00A3557D">
      <w:pPr>
        <w:pStyle w:val="AERquote"/>
        <w:rPr>
          <w:rStyle w:val="AERtextitalic"/>
        </w:rPr>
      </w:pPr>
      <w:r w:rsidRPr="00EB15F4">
        <w:rPr>
          <w:rStyle w:val="AERtextitalic"/>
        </w:rPr>
        <w:t>“A proportion (</w:t>
      </w:r>
      <w:r w:rsidRPr="00EB15F4">
        <w:rPr>
          <w:rStyle w:val="AERtextitalic"/>
          <w:rFonts w:hint="eastAsia"/>
        </w:rPr>
        <w:t>γ</w:t>
      </w:r>
      <w:r w:rsidRPr="00EB15F4">
        <w:rPr>
          <w:rStyle w:val="AERtextitalic"/>
        </w:rPr>
        <w:t>) of the tax collected from the company will be rebated against personal tax.”</w:t>
      </w:r>
    </w:p>
    <w:p w:rsidR="00A3557D" w:rsidRPr="00EB15F4" w:rsidRDefault="00A3557D" w:rsidP="00A3557D">
      <w:pPr>
        <w:pStyle w:val="AERquote"/>
      </w:pPr>
      <w:r w:rsidRPr="00EB15F4">
        <w:t>and shortly thereafter:</w:t>
      </w:r>
    </w:p>
    <w:p w:rsidR="00A3557D" w:rsidRPr="00EB15F4" w:rsidRDefault="00A3557D" w:rsidP="00A3557D">
      <w:pPr>
        <w:pStyle w:val="AERquote"/>
        <w:rPr>
          <w:rStyle w:val="AERtextitalic"/>
        </w:rPr>
      </w:pPr>
      <w:r w:rsidRPr="00EB15F4">
        <w:rPr>
          <w:rStyle w:val="AERtextitalic"/>
          <w:rFonts w:hint="eastAsia"/>
        </w:rPr>
        <w:t>“γ</w:t>
      </w:r>
      <w:r w:rsidRPr="00EB15F4">
        <w:rPr>
          <w:rStyle w:val="AERtextitalic"/>
        </w:rPr>
        <w:t xml:space="preserve"> can be interpreted as the value of a dollar of tax credit to the shareholder.” </w:t>
      </w:r>
    </w:p>
    <w:p w:rsidR="00A3557D" w:rsidRDefault="00A3557D" w:rsidP="00A3557D">
      <w:pPr>
        <w:pStyle w:val="AERquote"/>
      </w:pPr>
      <w:r w:rsidRPr="00EB15F4">
        <w:t>But again, there is no ambiguity. These terms can and</w:t>
      </w:r>
      <w:r>
        <w:t xml:space="preserve"> have been used interchangeably </w:t>
      </w:r>
      <w:r w:rsidRPr="00EB15F4">
        <w:t>because the underlying source of value of an imputation credit</w:t>
      </w:r>
      <w:r>
        <w:t xml:space="preserve"> to shareholders is the </w:t>
      </w:r>
      <w:r w:rsidRPr="00EB15F4">
        <w:t xml:space="preserve">consequent reduction in personal taxes in recognition of </w:t>
      </w:r>
      <w:r>
        <w:t xml:space="preserve">taxes that were previously paid </w:t>
      </w:r>
      <w:r w:rsidRPr="00EB15F4">
        <w:t>at the corporate level. In other words, within the Offi</w:t>
      </w:r>
      <w:r>
        <w:t xml:space="preserve">cer framework, it is clear that </w:t>
      </w:r>
      <w:r w:rsidRPr="00EB15F4">
        <w:t xml:space="preserve">gamma represents the utilisation or redemption value of </w:t>
      </w:r>
      <w:r>
        <w:t xml:space="preserve">imputation credits and this </w:t>
      </w:r>
      <w:r w:rsidRPr="00EB15F4">
        <w:t>value corresponds to the proportion of company tax whi</w:t>
      </w:r>
      <w:r>
        <w:t xml:space="preserve">ch is in effect a prepayment of </w:t>
      </w:r>
      <w:r w:rsidRPr="00EB15F4">
        <w:t>personal tax by the company on behalf of its shareholders</w:t>
      </w:r>
      <w:r>
        <w:t xml:space="preserve">. It is this identification of </w:t>
      </w:r>
      <w:r w:rsidRPr="00EB15F4">
        <w:t>the personal tax component of the company tax paid w</w:t>
      </w:r>
      <w:r>
        <w:t xml:space="preserve">hich is the central idea of the </w:t>
      </w:r>
      <w:r w:rsidRPr="00EB15F4">
        <w:t>paper.</w:t>
      </w:r>
    </w:p>
    <w:p w:rsidR="00A3557D" w:rsidRDefault="00A3557D" w:rsidP="00A3557D">
      <w:pPr>
        <w:numPr>
          <w:ilvl w:val="0"/>
          <w:numId w:val="25"/>
        </w:numPr>
      </w:pPr>
      <w:r>
        <w:t xml:space="preserve">In other words, gamma in the Officer framework represents the proportion of company tax that is returned to investors through the utilisation of imputation credits and this is the value of imputation credits to investors. This is the interpretation of the value of imputation credits we adopted in the Guideline and continue to adopt in this decision. </w:t>
      </w:r>
      <w:r w:rsidR="003B6A25">
        <w:t>T</w:t>
      </w:r>
      <w:r>
        <w:t xml:space="preserve">his interpretation is consistent with the Officer framework and is supported by advice from Handley. </w:t>
      </w:r>
    </w:p>
    <w:p w:rsidR="00A3557D" w:rsidRDefault="00A3557D" w:rsidP="00A3557D">
      <w:pPr>
        <w:numPr>
          <w:ilvl w:val="0"/>
          <w:numId w:val="25"/>
        </w:numPr>
      </w:pPr>
      <w:r>
        <w:t>The Officer framework assumes that all free cash flows (including imputation credits) are fully paid out each period. That is, the Officer framework is a 'perpetuity' framework. However, in reality not all imputation credits are necessarily paid out each period, nor are all other free cash flows necessarily paid out.</w:t>
      </w:r>
      <w:r>
        <w:rPr>
          <w:rStyle w:val="FootnoteReference"/>
        </w:rPr>
        <w:footnoteReference w:id="134"/>
      </w:r>
      <w:r>
        <w:t xml:space="preserve"> For example, it is typical for a company to retain some earnings from a previous year to fund part of its future investment, rather than pay out all earnings as dividends and fully raise the funding of future investment from external sources. Work by Monkhouse (and others) extends the Officer framework by </w:t>
      </w:r>
      <w:r>
        <w:lastRenderedPageBreak/>
        <w:t>allowing for less than a full payout of cash flows and imputation credits each period. Handley advised that Monkhouse effectively shows that:</w:t>
      </w:r>
      <w:r>
        <w:rPr>
          <w:rStyle w:val="FootnoteReference"/>
        </w:rPr>
        <w:footnoteReference w:id="135"/>
      </w:r>
    </w:p>
    <w:p w:rsidR="00A3557D" w:rsidRDefault="00A3557D" w:rsidP="00A3557D">
      <w:pPr>
        <w:numPr>
          <w:ilvl w:val="0"/>
          <w:numId w:val="25"/>
        </w:numPr>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A3557D" w:rsidRDefault="00A3557D" w:rsidP="00A3557D">
      <w:pPr>
        <w:numPr>
          <w:ilvl w:val="0"/>
          <w:numId w:val="25"/>
        </w:numPr>
      </w:pPr>
      <w:r>
        <w:t>where:</w:t>
      </w:r>
    </w:p>
    <w:p w:rsidR="00A3557D" w:rsidRPr="00A3557D" w:rsidRDefault="00A3557D" w:rsidP="00A3557D">
      <w:pPr>
        <w:pStyle w:val="AERbulletlistfirststyle"/>
      </w:pPr>
      <m:oMath>
        <m:r>
          <w:rPr>
            <w:rFonts w:ascii="Cambria Math" w:hAnsi="Cambria Math"/>
          </w:rPr>
          <m:t>F</m:t>
        </m:r>
      </m:oMath>
      <w:r w:rsidRPr="00A3557D">
        <w:t xml:space="preserve"> is the proportion of imputation credits generated that are distributed in a period (the 'distribution rate').</w:t>
      </w:r>
    </w:p>
    <w:p w:rsidR="00A3557D" w:rsidRPr="00A3557D" w:rsidRDefault="00A3557D" w:rsidP="00A3557D">
      <w:pPr>
        <w:pStyle w:val="AERbulletlistfirststyle"/>
      </w:pPr>
      <m:oMath>
        <m:r>
          <w:rPr>
            <w:rFonts w:ascii="Cambria Math" w:hAnsi="Cambria Math"/>
          </w:rPr>
          <m:t>θ</m:t>
        </m:r>
      </m:oMath>
      <w:r w:rsidRPr="00A3557D">
        <w:t xml:space="preserve"> (theta) is the utilisation value to investors in the market per dollar of imputation credits distributed (the 'utilisation rate').</w:t>
      </w:r>
    </w:p>
    <w:p w:rsidR="00A3557D" w:rsidRPr="00A3557D" w:rsidRDefault="00A3557D" w:rsidP="00A3557D">
      <w:pPr>
        <w:pStyle w:val="AERbulletlistfirststyle"/>
      </w:pPr>
      <m:oMath>
        <m:r>
          <w:rPr>
            <w:rFonts w:ascii="Cambria Math" w:hAnsi="Cambria Math"/>
          </w:rPr>
          <m:t>ψ</m:t>
        </m:r>
      </m:oMath>
      <w:r w:rsidRPr="00A3557D" w:rsidDel="008647A1">
        <w:t xml:space="preserve"> </w:t>
      </w:r>
      <w:r w:rsidRPr="00A3557D">
        <w:t>(psi) is the utilisation value of a retained credit to investors in the market.</w:t>
      </w:r>
    </w:p>
    <w:p w:rsidR="00A3557D" w:rsidRDefault="00A3557D" w:rsidP="00A3557D">
      <w:pPr>
        <w:numPr>
          <w:ilvl w:val="0"/>
          <w:numId w:val="25"/>
        </w:numPr>
      </w:pPr>
      <w:r>
        <w:t>Handley</w:t>
      </w:r>
      <w:r w:rsidR="00992DFE">
        <w:t xml:space="preserve"> also</w:t>
      </w:r>
      <w:r>
        <w:t xml:space="preserve"> advised that</w:t>
      </w:r>
      <w:r w:rsidR="00992DFE">
        <w:t xml:space="preserve"> in frameworks such as Monkhouse's the utilisation rate in equilibrium is equal to the weighted average, by wealth and risk aversion, of the individual utilisation rates of investors in the market</w:t>
      </w:r>
      <w:r>
        <w:t>:</w:t>
      </w:r>
      <w:r>
        <w:rPr>
          <w:rStyle w:val="FootnoteReference"/>
        </w:rPr>
        <w:footnoteReference w:id="136"/>
      </w:r>
    </w:p>
    <w:p w:rsidR="00A3557D" w:rsidRDefault="00A3557D" w:rsidP="00A3557D">
      <w:pPr>
        <w:pStyle w:val="AERquote"/>
      </w:pPr>
      <w:r>
        <w:t>This interpretation of theta as a complex weighted average of investor utilisation rates is consistent with that appearing in Monkhouse (1993) and Lally and van Zijl (2003)…</w:t>
      </w:r>
    </w:p>
    <w:p w:rsidR="00A3557D" w:rsidRDefault="00A3557D" w:rsidP="00A3557D">
      <w:pPr>
        <w:numPr>
          <w:ilvl w:val="0"/>
          <w:numId w:val="25"/>
        </w:numPr>
      </w:pPr>
      <w:r>
        <w:t>This is also supported by Lally's remarks on the work of Lally and van Zijl:</w:t>
      </w:r>
      <w:r>
        <w:rPr>
          <w:rStyle w:val="FootnoteReference"/>
        </w:rPr>
        <w:footnoteReference w:id="137"/>
      </w:r>
    </w:p>
    <w:p w:rsidR="00A3557D" w:rsidRPr="00194D4D" w:rsidRDefault="00A3557D" w:rsidP="00A3557D">
      <w:pPr>
        <w:pStyle w:val="AERquote"/>
      </w:pPr>
      <w:r w:rsidRPr="00C17EEC">
        <w:t>Although Officer (1994) provides no clarification on this matter, because his derivation of the model is intuitive rather than formal, Lally and van Zijl (2003, section 3) provide a formal derivation of a generalisation of Officer’s model (with the Officer model being a special case), in which variation of utilisation rates across investors is recognised.  In t</w:t>
      </w:r>
      <w:r>
        <w:t>his derivation, they show that [the utilisation rate]</w:t>
      </w:r>
      <w:r w:rsidRPr="00C17EEC">
        <w:t xml:space="preserve"> is a complex weighted average over all investors holding risky assets, where the weights involve each investor’s investment in risky assets and their risk aversion.</w:t>
      </w:r>
    </w:p>
    <w:p w:rsidR="00A3557D" w:rsidRDefault="00A3557D" w:rsidP="00157B48">
      <w:pPr>
        <w:numPr>
          <w:ilvl w:val="0"/>
          <w:numId w:val="25"/>
        </w:numPr>
      </w:pPr>
      <w:r>
        <w:t xml:space="preserve">Consistent with the advice we received from Lally, in the Guideline we recognised that the utilisation rate is equal to the weighted average, by wealth and risk aversion, of the individual utilisation rates of investors in the market. In the Guideline, we also defined the utilisation rate as the extent to which investors can use the imputation credits they receive to reduce their tax (or receive a refund). In this decision, consistent with Handley's advice, we </w:t>
      </w:r>
      <w:r w:rsidR="00E92D10">
        <w:t>consider</w:t>
      </w:r>
      <w:r>
        <w:t xml:space="preserve"> the utilisation rate </w:t>
      </w:r>
      <w:r w:rsidR="00E92D10">
        <w:t>is</w:t>
      </w:r>
      <w:r>
        <w:t xml:space="preserve"> the utilisation value to investors in the market per dollar of imputation credits distributed. However, we consider that </w:t>
      </w:r>
      <w:r w:rsidR="00E92D10">
        <w:t>our views</w:t>
      </w:r>
      <w:r>
        <w:t xml:space="preserve"> in the Guideline and in this decision are </w:t>
      </w:r>
      <w:r w:rsidR="00123C40">
        <w:t xml:space="preserve">broadly </w:t>
      </w:r>
      <w:r>
        <w:t>equivalent</w:t>
      </w:r>
      <w:r w:rsidR="003F1C59">
        <w:t>; that is, our definition of the utilisation rate in this final decision still reflects the extent to which investors in the market can use the imputation credits they receive</w:t>
      </w:r>
      <w:r w:rsidR="0006055D">
        <w:t>.</w:t>
      </w:r>
      <w:r>
        <w:t xml:space="preserve"> This is because, </w:t>
      </w:r>
      <w:r w:rsidR="00A94D97">
        <w:t xml:space="preserve">as discussed </w:t>
      </w:r>
      <w:r w:rsidR="007A6C22">
        <w:t xml:space="preserve">above and </w:t>
      </w:r>
      <w:r w:rsidR="00A94D97">
        <w:t xml:space="preserve">in sections </w:t>
      </w:r>
      <w:r w:rsidR="00A94D97">
        <w:fldChar w:fldCharType="begin"/>
      </w:r>
      <w:r w:rsidR="00A94D97">
        <w:instrText xml:space="preserve"> REF _Ref415144114 \r \h </w:instrText>
      </w:r>
      <w:r w:rsidR="00A94D97">
        <w:fldChar w:fldCharType="separate"/>
      </w:r>
      <w:r w:rsidR="003F0AA6">
        <w:t>A.5</w:t>
      </w:r>
      <w:r w:rsidR="00A94D97">
        <w:fldChar w:fldCharType="end"/>
      </w:r>
      <w:r w:rsidR="00A94D97">
        <w:t xml:space="preserve">, </w:t>
      </w:r>
      <w:r w:rsidR="00A94D97">
        <w:fldChar w:fldCharType="begin"/>
      </w:r>
      <w:r w:rsidR="00A94D97">
        <w:instrText xml:space="preserve"> REF _Ref414282622 \r \h </w:instrText>
      </w:r>
      <w:r w:rsidR="00A94D97">
        <w:fldChar w:fldCharType="separate"/>
      </w:r>
      <w:r w:rsidR="003F0AA6">
        <w:t>A.7</w:t>
      </w:r>
      <w:r w:rsidR="00A94D97">
        <w:fldChar w:fldCharType="end"/>
      </w:r>
      <w:r w:rsidR="00A94D97">
        <w:t xml:space="preserve"> and </w:t>
      </w:r>
      <w:r w:rsidR="00A94D97">
        <w:fldChar w:fldCharType="begin"/>
      </w:r>
      <w:r w:rsidR="00A94D97">
        <w:instrText xml:space="preserve"> REF _Ref401748758 \r \h </w:instrText>
      </w:r>
      <w:r w:rsidR="00A94D97">
        <w:fldChar w:fldCharType="separate"/>
      </w:r>
      <w:r w:rsidR="003F0AA6">
        <w:t>A.8.1</w:t>
      </w:r>
      <w:r w:rsidR="00A94D97">
        <w:fldChar w:fldCharType="end"/>
      </w:r>
      <w:r w:rsidR="00A94D97">
        <w:t xml:space="preserve">, </w:t>
      </w:r>
      <w:r>
        <w:t xml:space="preserve">to be consistent with the </w:t>
      </w:r>
      <w:r w:rsidR="007A6C22">
        <w:t xml:space="preserve">Officer framework (and therefore the </w:t>
      </w:r>
      <w:r>
        <w:t>building block framework</w:t>
      </w:r>
      <w:r w:rsidR="0028481C">
        <w:t xml:space="preserve"> in the </w:t>
      </w:r>
      <w:r w:rsidR="0028481C">
        <w:lastRenderedPageBreak/>
        <w:t>NER</w:t>
      </w:r>
      <w:r w:rsidR="00157B48">
        <w:t>/NGR</w:t>
      </w:r>
      <w:r w:rsidR="007A6C22">
        <w:t>)</w:t>
      </w:r>
      <w:r>
        <w:t xml:space="preserve"> the utilisation rate should reflect the </w:t>
      </w:r>
      <w:proofErr w:type="gramStart"/>
      <w:r>
        <w:t>before-personal-tax</w:t>
      </w:r>
      <w:proofErr w:type="gramEnd"/>
      <w:r>
        <w:t xml:space="preserve"> and before-personal-costs value of imputation credits to investors. </w:t>
      </w:r>
      <w:r w:rsidR="0006055D">
        <w:t>On a before-personal-tax and before-personal-costs basis</w:t>
      </w:r>
      <w:r>
        <w:t xml:space="preserve">, an investor that is eligible to fully utilise imputation credits should value each dollar of imputation credits received at one dollar (that is, have a utilisation rate of 1). Therefore, the utilisation value to investors in the market will reflect the weighted average, by wealth and risk aversion, of the utilisation rates of investors—some of whom will have </w:t>
      </w:r>
      <w:proofErr w:type="gramStart"/>
      <w:r>
        <w:t>a</w:t>
      </w:r>
      <w:proofErr w:type="gramEnd"/>
      <w:r>
        <w:t xml:space="preserve"> utilisation rate of 1 and others who will have a utilisation rate of 0.</w:t>
      </w:r>
      <w:r>
        <w:rPr>
          <w:rStyle w:val="FootnoteReference"/>
        </w:rPr>
        <w:footnoteReference w:id="138"/>
      </w:r>
      <w:r>
        <w:t xml:space="preserve"> We discuss Handley's advice on this matter further in section </w:t>
      </w:r>
      <w:r>
        <w:fldChar w:fldCharType="begin"/>
      </w:r>
      <w:r>
        <w:instrText xml:space="preserve"> REF _Ref401748758 \r \h </w:instrText>
      </w:r>
      <w:r>
        <w:fldChar w:fldCharType="separate"/>
      </w:r>
      <w:r w:rsidR="003F0AA6">
        <w:t>A.8.1</w:t>
      </w:r>
      <w:r>
        <w:fldChar w:fldCharType="end"/>
      </w:r>
      <w:r>
        <w:t>.</w:t>
      </w:r>
    </w:p>
    <w:p w:rsidR="00A3557D" w:rsidRDefault="00BC2F08" w:rsidP="00BC2F08">
      <w:pPr>
        <w:numPr>
          <w:ilvl w:val="0"/>
          <w:numId w:val="25"/>
        </w:numPr>
      </w:pPr>
      <w:r>
        <w:t xml:space="preserve">Returning to the expression for </w:t>
      </w:r>
      <m:oMath>
        <m:r>
          <w:rPr>
            <w:rFonts w:ascii="Cambria Math" w:hAnsi="Cambria Math"/>
          </w:rPr>
          <m:t>γ</m:t>
        </m:r>
      </m:oMath>
      <w:r>
        <w:t xml:space="preserve"> above, w</w:t>
      </w:r>
      <w:r w:rsidR="00A3557D">
        <w:t xml:space="preserve">e </w:t>
      </w:r>
      <w:r w:rsidR="006B7D63">
        <w:t>have</w:t>
      </w:r>
      <w:r w:rsidR="00A3557D">
        <w:t xml:space="preserve"> not </w:t>
      </w:r>
      <w:r w:rsidR="006B7D63">
        <w:t xml:space="preserve">explicitly </w:t>
      </w:r>
      <w:r w:rsidR="00A3557D">
        <w:t>include</w:t>
      </w:r>
      <w:r w:rsidR="006B7D63">
        <w:t>d</w:t>
      </w:r>
      <w:r w:rsidR="00A3557D">
        <w:t xml:space="preserve"> the value of retained credits</w:t>
      </w:r>
      <w:r>
        <w:t>,</w:t>
      </w:r>
      <w:r w:rsidR="00A3557D">
        <w:t xml:space="preserve"> </w:t>
      </w:r>
      <m:oMath>
        <m:r>
          <w:rPr>
            <w:rFonts w:ascii="Cambria Math" w:hAnsi="Cambria Math"/>
          </w:rPr>
          <m:t>ψ</m:t>
        </m:r>
      </m:oMath>
      <w:r>
        <w:t xml:space="preserve">, </w:t>
      </w:r>
      <w:r w:rsidR="00A3557D">
        <w:t xml:space="preserve">when determining the value of imputation credits. This is </w:t>
      </w:r>
      <w:r w:rsidR="0016706E">
        <w:t xml:space="preserve">mainly </w:t>
      </w:r>
      <w:r w:rsidR="00A3557D">
        <w:t>because we recognise that investors can only use imputation credits to reduce tax or receive a refund once the credits have been distributed.</w:t>
      </w:r>
      <w:r w:rsidR="0016706E">
        <w:t xml:space="preserve"> There is also the practical problem of how to quantify the value of retained credits.</w:t>
      </w:r>
      <w:r w:rsidR="00A3557D">
        <w:t xml:space="preserve"> </w:t>
      </w:r>
      <w:r w:rsidR="008061F1">
        <w:t>Handley acknowledged the potential for retained credits to have value, but also the difficulty in quantifying it:</w:t>
      </w:r>
      <w:r w:rsidR="008061F1">
        <w:rPr>
          <w:rStyle w:val="FootnoteReference"/>
        </w:rPr>
        <w:footnoteReference w:id="139"/>
      </w:r>
    </w:p>
    <w:p w:rsidR="009B01C0" w:rsidRDefault="009B01C0" w:rsidP="009B01C0">
      <w:pPr>
        <w:pStyle w:val="AERquote"/>
      </w:pPr>
      <w:r w:rsidRPr="009B01C0">
        <w:t>Retained imputation credits can be worth no less than</w:t>
      </w:r>
      <w:r>
        <w:t xml:space="preserve"> </w:t>
      </w:r>
      <w:r w:rsidRPr="009B01C0">
        <w:t>zero but may be worth more than zero. Estimates of gamma using the traditional</w:t>
      </w:r>
      <w:r>
        <w:t xml:space="preserve"> </w:t>
      </w:r>
      <w:r w:rsidRPr="009B01C0">
        <w:t>approach will therefore be downward biased to the extent that retained imputation</w:t>
      </w:r>
      <w:r>
        <w:t xml:space="preserve"> credits have value.</w:t>
      </w:r>
      <w:r w:rsidRPr="009B01C0">
        <w:t xml:space="preserve"> Although it is not possible to reasonably estimate the magnitude of</w:t>
      </w:r>
      <w:r>
        <w:t xml:space="preserve"> </w:t>
      </w:r>
      <w:r w:rsidRPr="009B01C0">
        <w:t>the bias, its direction is clear.</w:t>
      </w:r>
    </w:p>
    <w:p w:rsidR="00977EFF" w:rsidRPr="00547513" w:rsidRDefault="00977EFF" w:rsidP="00977EFF">
      <w:pPr>
        <w:pStyle w:val="Heading8"/>
      </w:pPr>
      <w:bookmarkStart w:id="56" w:name="_Ref414282622"/>
      <w:bookmarkStart w:id="57" w:name="_Toc417043262"/>
      <w:r w:rsidRPr="00977EFF">
        <w:t>SFG's</w:t>
      </w:r>
      <w:r>
        <w:t xml:space="preserve"> comments on the conceptual framework</w:t>
      </w:r>
      <w:bookmarkEnd w:id="56"/>
      <w:bookmarkEnd w:id="57"/>
    </w:p>
    <w:p w:rsidR="00977EFF" w:rsidRDefault="00977EFF" w:rsidP="00977EFF">
      <w:pPr>
        <w:numPr>
          <w:ilvl w:val="0"/>
          <w:numId w:val="25"/>
        </w:numPr>
      </w:pPr>
      <w:r>
        <w:t xml:space="preserve">In the previous section, we set out our position on the appropriate conceptual framework for the estimation of the value of imputation credits. In this section, we respond to SFG's view. SFG's </w:t>
      </w:r>
      <w:r w:rsidR="00241DFB">
        <w:t>view</w:t>
      </w:r>
      <w:r>
        <w:t xml:space="preserve"> on the conceptual framework was largely adopted by the service providers in their proposals.</w:t>
      </w:r>
    </w:p>
    <w:p w:rsidR="00977EFF" w:rsidRDefault="00977EFF" w:rsidP="00977EFF">
      <w:pPr>
        <w:numPr>
          <w:ilvl w:val="0"/>
          <w:numId w:val="25"/>
        </w:numPr>
      </w:pPr>
      <w:r>
        <w:t xml:space="preserve">SFG's May 2014 report for the service providers </w:t>
      </w:r>
      <w:r w:rsidR="00241DFB">
        <w:t>submitted</w:t>
      </w:r>
      <w:r>
        <w:t xml:space="preserve"> that:</w:t>
      </w:r>
    </w:p>
    <w:p w:rsidR="00977EFF" w:rsidRPr="00977EFF" w:rsidRDefault="00977EFF" w:rsidP="00977EFF">
      <w:pPr>
        <w:pStyle w:val="AERbulletlistfirststyle"/>
      </w:pPr>
      <w:r>
        <w:t xml:space="preserve">The advice and evidence cited in the </w:t>
      </w:r>
      <w:r w:rsidRPr="00977EFF">
        <w:t xml:space="preserve">Guideline does not support the interpretation of the utilisation rate in the Guideline. </w:t>
      </w:r>
    </w:p>
    <w:p w:rsidR="00977EFF" w:rsidRPr="00977EFF" w:rsidRDefault="00977EFF" w:rsidP="00977EFF">
      <w:pPr>
        <w:pStyle w:val="AERbulletlistfirststyle"/>
      </w:pPr>
      <w:r w:rsidRPr="00E8774C">
        <w:t>Officer shows that the value of imputation credits</w:t>
      </w:r>
      <w:r w:rsidRPr="00977EFF">
        <w:t xml:space="preserve"> (gamma) represents the extent to which imputation credits are capitalised into the stock price.</w:t>
      </w:r>
    </w:p>
    <w:p w:rsidR="00977EFF" w:rsidRPr="00977EFF" w:rsidRDefault="00977EFF" w:rsidP="00977EFF">
      <w:pPr>
        <w:pStyle w:val="AERbulletlistfirststyle"/>
      </w:pPr>
      <w:r>
        <w:t>The utilisation rate in the framework provided by Monkhouse (and Lally and van Zijl) should not be used to estimate the value of imputation credits.</w:t>
      </w:r>
    </w:p>
    <w:p w:rsidR="00977EFF" w:rsidRDefault="00977EFF" w:rsidP="00977EFF">
      <w:pPr>
        <w:numPr>
          <w:ilvl w:val="0"/>
          <w:numId w:val="25"/>
        </w:numPr>
      </w:pPr>
      <w:r>
        <w:t xml:space="preserve">SFG maintained these positions in its February 2015 report for the service providers. </w:t>
      </w:r>
    </w:p>
    <w:p w:rsidR="00977EFF" w:rsidRDefault="00776237" w:rsidP="00977EFF">
      <w:pPr>
        <w:numPr>
          <w:ilvl w:val="0"/>
          <w:numId w:val="25"/>
        </w:numPr>
      </w:pPr>
      <w:r>
        <w:t>The submissions from SFG do not change our view on the conceptual framework for the estimation of the value of imputation credits</w:t>
      </w:r>
      <w:r w:rsidR="00977EFF">
        <w:t>.</w:t>
      </w:r>
      <w:r>
        <w:t xml:space="preserve"> We set out our reasoning below.</w:t>
      </w:r>
    </w:p>
    <w:p w:rsidR="006178F5" w:rsidRDefault="006178F5" w:rsidP="00776237">
      <w:pPr>
        <w:pStyle w:val="Heading9"/>
      </w:pPr>
      <w:bookmarkStart w:id="58" w:name="_Ref402179374"/>
      <w:r>
        <w:lastRenderedPageBreak/>
        <w:t>SFG's comments on the AER's position</w:t>
      </w:r>
    </w:p>
    <w:p w:rsidR="005A4862" w:rsidRDefault="006178F5" w:rsidP="00C2621C">
      <w:r>
        <w:t>SFG submitted that '</w:t>
      </w:r>
      <w:r w:rsidR="00157B48">
        <w:t>…t</w:t>
      </w:r>
      <w:r>
        <w:t>he AER's position is that theta (and consequently gamma) no longer represents the value (as in "worth" or "market value to investors</w:t>
      </w:r>
      <w:r w:rsidR="00764017">
        <w:t>"</w:t>
      </w:r>
      <w:r>
        <w:t>)</w:t>
      </w:r>
      <w:r w:rsidR="00755206">
        <w:t>…</w:t>
      </w:r>
      <w:r>
        <w:t>'.</w:t>
      </w:r>
      <w:r>
        <w:rPr>
          <w:rStyle w:val="FootnoteReference"/>
        </w:rPr>
        <w:footnoteReference w:id="140"/>
      </w:r>
      <w:r>
        <w:t xml:space="preserve"> This is incorrect. Our definition of the utilisation rate in this final decision and</w:t>
      </w:r>
      <w:r w:rsidR="00207CDF">
        <w:t xml:space="preserve"> the draft decision</w:t>
      </w:r>
      <w:r w:rsidR="00895E9C">
        <w:t>s</w:t>
      </w:r>
      <w:r w:rsidR="00755206">
        <w:t xml:space="preserve"> is the utilisation value to investors in the market per dollar of imputation credits distributed.</w:t>
      </w:r>
      <w:r w:rsidR="005A4862">
        <w:t xml:space="preserve"> Thus</w:t>
      </w:r>
      <w:r w:rsidR="00203B96">
        <w:t>,</w:t>
      </w:r>
      <w:r w:rsidR="005A4862">
        <w:t xml:space="preserve"> we do consider that the utilisation rate represents the value to investors</w:t>
      </w:r>
      <w:r w:rsidR="00203B96">
        <w:t xml:space="preserve"> in the market</w:t>
      </w:r>
      <w:r w:rsidR="005A4862">
        <w:t xml:space="preserve">. However, the key difference between our position and SFG's is we consider that, to be consistent with the underlying conceptual framework provided by Officer, we need to estimate the before-personal-tax and before-personal-cost value. This </w:t>
      </w:r>
      <w:proofErr w:type="gramStart"/>
      <w:r w:rsidR="005A4862">
        <w:t>is discussed</w:t>
      </w:r>
      <w:proofErr w:type="gramEnd"/>
      <w:r w:rsidR="005A4862">
        <w:t xml:space="preserve"> further in section </w:t>
      </w:r>
      <w:r w:rsidR="005A4862">
        <w:fldChar w:fldCharType="begin"/>
      </w:r>
      <w:r w:rsidR="005A4862">
        <w:instrText xml:space="preserve"> REF _Ref414028398 \r \h </w:instrText>
      </w:r>
      <w:r w:rsidR="005A4862">
        <w:fldChar w:fldCharType="separate"/>
      </w:r>
      <w:r w:rsidR="003F0AA6">
        <w:t>A.7.3</w:t>
      </w:r>
      <w:r w:rsidR="005A4862">
        <w:fldChar w:fldCharType="end"/>
      </w:r>
      <w:r w:rsidR="005A4862">
        <w:t>.</w:t>
      </w:r>
    </w:p>
    <w:p w:rsidR="006178F5" w:rsidRDefault="00207CDF" w:rsidP="00C2621C">
      <w:r>
        <w:t>SFG also submitted that '[t]he AER then estimates the redemption rate, which it interprets as being consistent with the specific reference to "value" in the Rules in that it is "the number that is adopted" for imputation credits</w:t>
      </w:r>
      <w:r w:rsidR="00611E02">
        <w:t>'</w:t>
      </w:r>
      <w:r>
        <w:t>.</w:t>
      </w:r>
      <w:r w:rsidR="00F97A9B">
        <w:rPr>
          <w:rStyle w:val="FootnoteReference"/>
        </w:rPr>
        <w:footnoteReference w:id="141"/>
      </w:r>
      <w:r>
        <w:t xml:space="preserve"> This is also incorrect. In this final decision and the draft decision</w:t>
      </w:r>
      <w:r w:rsidR="00895E9C">
        <w:t>s</w:t>
      </w:r>
      <w:r>
        <w:t xml:space="preserve"> we estimate the utilisation rate. </w:t>
      </w:r>
      <w:r w:rsidR="00F97A9B">
        <w:t>Further</w:t>
      </w:r>
      <w:r>
        <w:t xml:space="preserve">, </w:t>
      </w:r>
      <w:r w:rsidR="00EE4E88">
        <w:t>nowhere</w:t>
      </w:r>
      <w:r>
        <w:t xml:space="preserve"> in this final decision or the draft decision</w:t>
      </w:r>
      <w:r w:rsidR="00895E9C">
        <w:t>s</w:t>
      </w:r>
      <w:r w:rsidR="00EE4E88">
        <w:t xml:space="preserve"> do we seek to support any aspect of our position with 'specific reference to "value" in the Rules in that it is "the number that is adopted" for imputation credits'.</w:t>
      </w:r>
    </w:p>
    <w:p w:rsidR="00207CDF" w:rsidRDefault="00207CDF" w:rsidP="00C2621C">
      <w:r>
        <w:t>We also disagree with SFG's view that</w:t>
      </w:r>
      <w:r w:rsidR="00F97A9B">
        <w:t>:</w:t>
      </w:r>
      <w:r w:rsidR="00F97A9B">
        <w:rPr>
          <w:rStyle w:val="FootnoteReference"/>
        </w:rPr>
        <w:footnoteReference w:id="142"/>
      </w:r>
    </w:p>
    <w:p w:rsidR="00F97A9B" w:rsidRDefault="00F97A9B" w:rsidP="00C2621C">
      <w:pPr>
        <w:pStyle w:val="AERquote"/>
      </w:pPr>
      <w:r>
        <w:t>The AER is not saying that it has identified a number of approaches for estimating the value (as in "worth to investors in the market") of imputation credits. Rather, the AER considers:</w:t>
      </w:r>
    </w:p>
    <w:p w:rsidR="00F97A9B" w:rsidRDefault="00F97A9B" w:rsidP="00C2621C">
      <w:pPr>
        <w:pStyle w:val="AERquote"/>
      </w:pPr>
      <w:r>
        <w:t xml:space="preserve">a) Some approaches for estimating the value (as in "worth to investors in the market") of imputation credits </w:t>
      </w:r>
      <w:r>
        <w:rPr>
          <w:rFonts w:cs="Arial"/>
        </w:rPr>
        <w:t>–</w:t>
      </w:r>
      <w:r>
        <w:t xml:space="preserve"> the market value studies; and</w:t>
      </w:r>
    </w:p>
    <w:p w:rsidR="00F97A9B" w:rsidRDefault="00F97A9B" w:rsidP="00C2621C">
      <w:pPr>
        <w:pStyle w:val="AERquote"/>
      </w:pPr>
      <w:r>
        <w:t xml:space="preserve">b) Some approaches for estimating the redemption rate </w:t>
      </w:r>
      <w:r w:rsidRPr="00F97A9B">
        <w:t>–</w:t>
      </w:r>
      <w:r>
        <w:t xml:space="preserve"> the equity ownership and ATO tax statistic approaches.</w:t>
      </w:r>
    </w:p>
    <w:p w:rsidR="005A4862" w:rsidRPr="003160FF" w:rsidRDefault="005A4862" w:rsidP="00C2621C">
      <w:r>
        <w:t>By contrast, the approaches on which</w:t>
      </w:r>
      <w:r w:rsidR="00192A3E">
        <w:t xml:space="preserve"> we</w:t>
      </w:r>
      <w:r>
        <w:t xml:space="preserve"> rely in this decision </w:t>
      </w:r>
      <w:r w:rsidR="00192A3E">
        <w:t xml:space="preserve">to estimate the utilisation rate </w:t>
      </w:r>
      <w:r>
        <w:t xml:space="preserve">are all relevant </w:t>
      </w:r>
      <w:r w:rsidR="00192A3E">
        <w:t xml:space="preserve">for the reasons discussed in section </w:t>
      </w:r>
      <w:r w:rsidR="00192A3E">
        <w:fldChar w:fldCharType="begin"/>
      </w:r>
      <w:r w:rsidR="00192A3E">
        <w:instrText xml:space="preserve"> REF _Ref414289593 \r \h </w:instrText>
      </w:r>
      <w:r w:rsidR="00192A3E">
        <w:fldChar w:fldCharType="separate"/>
      </w:r>
      <w:r w:rsidR="003F0AA6">
        <w:t>4.4.2</w:t>
      </w:r>
      <w:r w:rsidR="00192A3E">
        <w:fldChar w:fldCharType="end"/>
      </w:r>
      <w:r w:rsidR="00192A3E">
        <w:t xml:space="preserve"> of attachment 4</w:t>
      </w:r>
      <w:r>
        <w:t>.</w:t>
      </w:r>
    </w:p>
    <w:p w:rsidR="00776237" w:rsidRDefault="00776237" w:rsidP="00776237">
      <w:pPr>
        <w:pStyle w:val="Heading9"/>
      </w:pPr>
      <w:r>
        <w:t xml:space="preserve">SFG's comments on </w:t>
      </w:r>
      <w:r w:rsidR="004A2B49">
        <w:t>certain</w:t>
      </w:r>
      <w:r>
        <w:t xml:space="preserve"> evidence and advice cited in the Guideline</w:t>
      </w:r>
      <w:bookmarkEnd w:id="58"/>
    </w:p>
    <w:p w:rsidR="00776237" w:rsidRDefault="00776237" w:rsidP="00776237">
      <w:pPr>
        <w:numPr>
          <w:ilvl w:val="0"/>
          <w:numId w:val="25"/>
        </w:numPr>
      </w:pPr>
      <w:r>
        <w:t>In its May 2014 report, SFG set out why it considered that certain evidence cited in the Guideline did not support the position in the Guideline.</w:t>
      </w:r>
      <w:r>
        <w:rPr>
          <w:rStyle w:val="FootnoteReference"/>
        </w:rPr>
        <w:footnoteReference w:id="143"/>
      </w:r>
      <w:r>
        <w:t xml:space="preserve"> This evidence included:</w:t>
      </w:r>
    </w:p>
    <w:p w:rsidR="00776237" w:rsidRDefault="00776237" w:rsidP="00776237">
      <w:pPr>
        <w:pStyle w:val="AERbulletlistfirststyle"/>
      </w:pPr>
      <w:r>
        <w:t>The AEMC's 2012 rule change</w:t>
      </w:r>
    </w:p>
    <w:p w:rsidR="00776237" w:rsidRDefault="00776237" w:rsidP="00776237">
      <w:pPr>
        <w:pStyle w:val="AERbulletlistfirststyle"/>
      </w:pPr>
      <w:r>
        <w:t>McKenzie and Parting</w:t>
      </w:r>
      <w:r w:rsidR="00992993">
        <w:t>t</w:t>
      </w:r>
      <w:r>
        <w:t>on (2013)</w:t>
      </w:r>
    </w:p>
    <w:p w:rsidR="00776237" w:rsidRDefault="00776237" w:rsidP="00776237">
      <w:pPr>
        <w:pStyle w:val="AERbulletlistfirststyle"/>
      </w:pPr>
      <w:r>
        <w:t>Handley (2008)</w:t>
      </w:r>
      <w:r w:rsidR="004A2B49">
        <w:t>, and</w:t>
      </w:r>
    </w:p>
    <w:p w:rsidR="00776237" w:rsidRDefault="00776237" w:rsidP="00776237">
      <w:pPr>
        <w:pStyle w:val="AERbulletlistfirststyle"/>
      </w:pPr>
      <w:r>
        <w:lastRenderedPageBreak/>
        <w:t>Hathaway and Officer (2004)</w:t>
      </w:r>
      <w:r w:rsidR="004A2B49">
        <w:t>.</w:t>
      </w:r>
    </w:p>
    <w:p w:rsidR="00776237" w:rsidRDefault="004A2B49" w:rsidP="00776237">
      <w:pPr>
        <w:numPr>
          <w:ilvl w:val="0"/>
          <w:numId w:val="25"/>
        </w:numPr>
      </w:pPr>
      <w:r>
        <w:t>In our draft decision</w:t>
      </w:r>
      <w:r w:rsidR="00895E9C">
        <w:t>s</w:t>
      </w:r>
      <w:r>
        <w:t>, we set out why we disagreed with SFG's view on each piece of evidence.</w:t>
      </w:r>
      <w:r>
        <w:rPr>
          <w:rStyle w:val="FootnoteReference"/>
        </w:rPr>
        <w:footnoteReference w:id="144"/>
      </w:r>
      <w:r w:rsidR="00232176">
        <w:t xml:space="preserve"> </w:t>
      </w:r>
      <w:r w:rsidR="00FD2399">
        <w:t>In its February 2015</w:t>
      </w:r>
      <w:r w:rsidR="00AE5BF4">
        <w:t xml:space="preserve"> report</w:t>
      </w:r>
      <w:r w:rsidR="00FD2399">
        <w:t>, SFG set out why its view on this evidence has not changed.</w:t>
      </w:r>
      <w:r w:rsidR="00FD2399">
        <w:rPr>
          <w:rStyle w:val="FootnoteReference"/>
        </w:rPr>
        <w:footnoteReference w:id="145"/>
      </w:r>
      <w:r w:rsidR="00FD2399">
        <w:t xml:space="preserve"> SFG's February 2015 report does not change our view</w:t>
      </w:r>
      <w:r w:rsidR="00AE5BF4">
        <w:t xml:space="preserve"> as set out in the draft decision</w:t>
      </w:r>
      <w:r w:rsidR="00895E9C">
        <w:t>s</w:t>
      </w:r>
      <w:r w:rsidR="00FD2399">
        <w:t xml:space="preserve">. </w:t>
      </w:r>
      <w:r w:rsidR="00241DFB">
        <w:t>It seems</w:t>
      </w:r>
      <w:r w:rsidR="00FD2399">
        <w:t xml:space="preserve"> that the disagreement between </w:t>
      </w:r>
      <w:r w:rsidR="00BE4EF1">
        <w:t>us</w:t>
      </w:r>
      <w:r w:rsidR="00FD2399">
        <w:t xml:space="preserve"> and SFG regarding this evidence is unli</w:t>
      </w:r>
      <w:r w:rsidR="00BA3CD6">
        <w:t>kely to be resolved</w:t>
      </w:r>
      <w:r w:rsidR="00FD2399">
        <w:t>.</w:t>
      </w:r>
    </w:p>
    <w:p w:rsidR="00FD2399" w:rsidRDefault="00082AC5" w:rsidP="00082AC5">
      <w:pPr>
        <w:pStyle w:val="Heading9"/>
      </w:pPr>
      <w:bookmarkStart w:id="59" w:name="_Ref414028398"/>
      <w:r>
        <w:t>SFG's comments on Offi</w:t>
      </w:r>
      <w:r w:rsidR="00F650D2">
        <w:t>cer (1994)</w:t>
      </w:r>
      <w:bookmarkEnd w:id="59"/>
      <w:r w:rsidR="00F650D2">
        <w:t xml:space="preserve"> </w:t>
      </w:r>
    </w:p>
    <w:p w:rsidR="00F650D2" w:rsidRDefault="00F650D2" w:rsidP="00F650D2">
      <w:r>
        <w:t>SFG set out its views on Officer's 1994 paper in both its May 2014 and February 2015 reports. These views do not change our own view, consistent with the advice of Handley, that the value of imputation credits should be estimated on a before-personal-tax and before-personal-costs basis. We respond to SFG's comments on Officer below.</w:t>
      </w:r>
    </w:p>
    <w:p w:rsidR="00082AC5" w:rsidRDefault="005265FB" w:rsidP="005265FB">
      <w:pPr>
        <w:pStyle w:val="HeadingBoldBlue"/>
      </w:pPr>
      <w:r>
        <w:t>The text in Officer (1994)</w:t>
      </w:r>
    </w:p>
    <w:p w:rsidR="005265FB" w:rsidRDefault="005265FB" w:rsidP="005265FB">
      <w:r>
        <w:t>SFG submitted that</w:t>
      </w:r>
      <w:r w:rsidR="00F650D2">
        <w:t xml:space="preserve"> Officer's paper suggests that</w:t>
      </w:r>
      <w:r>
        <w:t xml:space="preserve"> there are two possible interpretations of gamma:</w:t>
      </w:r>
      <w:r>
        <w:rPr>
          <w:rStyle w:val="FootnoteReference"/>
        </w:rPr>
        <w:footnoteReference w:id="146"/>
      </w:r>
    </w:p>
    <w:p w:rsidR="005265FB" w:rsidRDefault="00062777" w:rsidP="00062777">
      <w:pPr>
        <w:pStyle w:val="AERquote"/>
      </w:pPr>
      <w:r>
        <w:t xml:space="preserve">(a) Officer means gamma to have a </w:t>
      </w:r>
      <w:r w:rsidRPr="00062777">
        <w:rPr>
          <w:rStyle w:val="AERtextitalic"/>
        </w:rPr>
        <w:t>value</w:t>
      </w:r>
      <w:r>
        <w:t xml:space="preserve"> interpretation and that words suggesting a </w:t>
      </w:r>
      <w:r w:rsidRPr="00062777">
        <w:rPr>
          <w:rStyle w:val="AERtextitalic"/>
        </w:rPr>
        <w:t>utilisation</w:t>
      </w:r>
      <w:r>
        <w:t xml:space="preserve"> interpretation were poorly drafted (i.e., the reference to utilisation should be read as simply identifying the source of value); or</w:t>
      </w:r>
    </w:p>
    <w:p w:rsidR="00062777" w:rsidRDefault="00062777" w:rsidP="00062777">
      <w:pPr>
        <w:pStyle w:val="AERquote"/>
      </w:pPr>
      <w:r>
        <w:t xml:space="preserve">(b) Officer means gamma to have a </w:t>
      </w:r>
      <w:r w:rsidRPr="00062777">
        <w:rPr>
          <w:rStyle w:val="AERtextitalic"/>
        </w:rPr>
        <w:t>utilisation</w:t>
      </w:r>
      <w:r>
        <w:t xml:space="preserve"> interpretation and that words suggesting a </w:t>
      </w:r>
      <w:r w:rsidRPr="00062777">
        <w:rPr>
          <w:rStyle w:val="AERtextitalic"/>
        </w:rPr>
        <w:t>value</w:t>
      </w:r>
      <w:r>
        <w:t xml:space="preserve"> interpretation were poorly drafted (i.e., the reference to value should be read as "the number used for" rather than "worth.</w:t>
      </w:r>
    </w:p>
    <w:p w:rsidR="00062777" w:rsidRPr="00062777" w:rsidRDefault="00062777" w:rsidP="00062777">
      <w:pPr>
        <w:pStyle w:val="AERquote"/>
      </w:pPr>
      <w:r>
        <w:t>I concluded that the value interpretation was plausible and the utilisation/redemption interpretation was not, and set out my reasons for doing so. Nothing in the AER's recent draft decisions lead me to change my conclusion on this point.</w:t>
      </w:r>
    </w:p>
    <w:p w:rsidR="00615CE6" w:rsidRDefault="004A56A1" w:rsidP="00055B09">
      <w:r>
        <w:t xml:space="preserve">We do not agree with SFG's </w:t>
      </w:r>
      <w:r w:rsidR="00241DFB">
        <w:t>opinion</w:t>
      </w:r>
      <w:r>
        <w:t>. As explained by Handley in his September 2014 report</w:t>
      </w:r>
      <w:r w:rsidR="008201BC">
        <w:t>,</w:t>
      </w:r>
      <w:r>
        <w:t xml:space="preserve"> interpretation of gamma on a before-personal-tax and before-personal-costs basis reconciles this apparent inconsistency in Offic</w:t>
      </w:r>
      <w:r w:rsidR="00C7355B">
        <w:t>er</w:t>
      </w:r>
      <w:r w:rsidR="008C744F">
        <w:t>;</w:t>
      </w:r>
      <w:r w:rsidR="008201BC">
        <w:rPr>
          <w:rStyle w:val="FootnoteReference"/>
        </w:rPr>
        <w:footnoteReference w:id="147"/>
      </w:r>
      <w:r w:rsidR="008C744F">
        <w:t xml:space="preserve"> that is, </w:t>
      </w:r>
      <w:r w:rsidR="00146FCD">
        <w:t xml:space="preserve">on this basis </w:t>
      </w:r>
      <w:r w:rsidR="008C744F">
        <w:t>the 'value' and 'utilisation' interpretations are consistent.</w:t>
      </w:r>
      <w:r w:rsidR="008201BC">
        <w:t xml:space="preserve"> Handley reiterates this in his </w:t>
      </w:r>
      <w:r w:rsidR="003E38A3">
        <w:t>April</w:t>
      </w:r>
      <w:r w:rsidR="008201BC">
        <w:t xml:space="preserve"> 2015 report</w:t>
      </w:r>
      <w:r w:rsidR="00C7355B">
        <w:t>:</w:t>
      </w:r>
      <w:r w:rsidR="00C7355B">
        <w:rPr>
          <w:rStyle w:val="FootnoteReference"/>
        </w:rPr>
        <w:footnoteReference w:id="148"/>
      </w:r>
    </w:p>
    <w:p w:rsidR="00C7355B" w:rsidRDefault="00E97C81" w:rsidP="00E97C81">
      <w:pPr>
        <w:pStyle w:val="AERquote"/>
      </w:pPr>
      <w:r>
        <w:t xml:space="preserve">This is precisely the reason why Officer refers to gamma as the value of franking credits in some parts of the paper, and as the proportion of tax collected from the company which will be rebated against personal tax, in other parts of the paper. </w:t>
      </w:r>
      <w:r>
        <w:lastRenderedPageBreak/>
        <w:t>These two descriptions are equivalent when one interprets value to mean the value of imputation credits before personal tax and before personal costs.</w:t>
      </w:r>
    </w:p>
    <w:p w:rsidR="00FF6182" w:rsidRDefault="00FF6182" w:rsidP="00C7355B">
      <w:r>
        <w:t>Handley also noted:</w:t>
      </w:r>
      <w:r>
        <w:rPr>
          <w:rStyle w:val="FootnoteReference"/>
        </w:rPr>
        <w:footnoteReference w:id="149"/>
      </w:r>
    </w:p>
    <w:p w:rsidR="00FF6182" w:rsidRDefault="00FF6182" w:rsidP="00C2621C">
      <w:pPr>
        <w:pStyle w:val="AERquote"/>
      </w:pPr>
      <w:r w:rsidRPr="00FF6182">
        <w:t>It is clear that the Officer WACC valuation fra</w:t>
      </w:r>
      <w:r>
        <w:t xml:space="preserve">mework is a before-personal-tax </w:t>
      </w:r>
      <w:r w:rsidRPr="00FF6182">
        <w:t xml:space="preserve">framework. It is also a before-personal-cost framework in the </w:t>
      </w:r>
      <w:r w:rsidR="00E97C81">
        <w:t xml:space="preserve">limited </w:t>
      </w:r>
      <w:r w:rsidRPr="00FF6182">
        <w:t>sense that, there is no</w:t>
      </w:r>
      <w:r>
        <w:t xml:space="preserve"> </w:t>
      </w:r>
      <w:r w:rsidRPr="00FF6182">
        <w:t>explicit adjustment (deduction) made to the cash flows or the discount rate for either</w:t>
      </w:r>
      <w:r>
        <w:t xml:space="preserve"> </w:t>
      </w:r>
      <w:r w:rsidRPr="00FF6182">
        <w:t>personal taxes or personal costs.</w:t>
      </w:r>
    </w:p>
    <w:p w:rsidR="00C7355B" w:rsidRDefault="00C7355B" w:rsidP="00C7355B">
      <w:r>
        <w:t>On the other hand, if gamma was intended to reflect investors' personal taxes and costs, then the proportion of company tax returned to investors would never be equivalent to the value to investors per dollar of imputation credits</w:t>
      </w:r>
      <w:r w:rsidR="006508E8">
        <w:t>. This is</w:t>
      </w:r>
      <w:r>
        <w:t xml:space="preserve"> </w:t>
      </w:r>
      <w:r w:rsidR="00135513">
        <w:t>because</w:t>
      </w:r>
      <w:r w:rsidR="002A6968">
        <w:t>, on an after-personal-tax and after-personal-costs basis where such taxes and costs were non-negligible,</w:t>
      </w:r>
      <w:r w:rsidR="00135513">
        <w:t xml:space="preserve"> investors </w:t>
      </w:r>
      <w:r w:rsidR="002A6968">
        <w:t>would likely</w:t>
      </w:r>
      <w:r w:rsidR="00135513">
        <w:t xml:space="preserve"> value credits at less than their face value</w:t>
      </w:r>
      <w:r>
        <w:t>. Therefore, there would be no justification for defining gamma</w:t>
      </w:r>
      <w:r w:rsidR="00135513">
        <w:t>, as Officer does,</w:t>
      </w:r>
      <w:r>
        <w:t xml:space="preserve"> </w:t>
      </w:r>
      <w:r w:rsidR="0052084F">
        <w:t>in terms of</w:t>
      </w:r>
      <w:r>
        <w:t xml:space="preserve"> the proportion of company tax returned to investors. </w:t>
      </w:r>
      <w:r w:rsidR="006508E8">
        <w:t>A</w:t>
      </w:r>
      <w:r>
        <w:t xml:space="preserve">s shown in the earlier quote, SFG attributes such a definition to 'poor drafting'. </w:t>
      </w:r>
      <w:r w:rsidR="006508E8">
        <w:t>However,</w:t>
      </w:r>
      <w:r w:rsidR="002A6968">
        <w:t xml:space="preserve"> </w:t>
      </w:r>
      <w:r w:rsidR="006508E8">
        <w:t xml:space="preserve">this </w:t>
      </w:r>
      <w:r w:rsidR="008201BC">
        <w:t>is unconvincing to us</w:t>
      </w:r>
      <w:r>
        <w:t xml:space="preserve">. </w:t>
      </w:r>
    </w:p>
    <w:p w:rsidR="00C7355B" w:rsidRDefault="00C7355B" w:rsidP="00C7355B">
      <w:r>
        <w:t xml:space="preserve">Further, if the intended interpretation of gamma is on an after-personal-tax and </w:t>
      </w:r>
      <w:r w:rsidR="0052084F">
        <w:t>after-personal-</w:t>
      </w:r>
      <w:r>
        <w:t>costs basis</w:t>
      </w:r>
      <w:r w:rsidR="0052084F">
        <w:t>,</w:t>
      </w:r>
      <w:r w:rsidR="002A6968">
        <w:t xml:space="preserve"> </w:t>
      </w:r>
      <w:r>
        <w:t xml:space="preserve">then </w:t>
      </w:r>
      <w:r w:rsidR="0075677D">
        <w:t xml:space="preserve">it </w:t>
      </w:r>
      <w:r w:rsidR="007240A6">
        <w:t xml:space="preserve">would seem to </w:t>
      </w:r>
      <w:r w:rsidR="0075677D">
        <w:t>make little sense</w:t>
      </w:r>
      <w:r>
        <w:t xml:space="preserve"> </w:t>
      </w:r>
      <w:r w:rsidR="0075677D">
        <w:t>to</w:t>
      </w:r>
      <w:r>
        <w:t xml:space="preserve"> contemplate</w:t>
      </w:r>
      <w:r w:rsidR="0075677D">
        <w:t>, as Officer does in footnote 5 of his paper,</w:t>
      </w:r>
      <w:r>
        <w:t xml:space="preserve"> an investor having an individual utilisation rate of 1.</w:t>
      </w:r>
      <w:r>
        <w:rPr>
          <w:rStyle w:val="FootnoteReference"/>
        </w:rPr>
        <w:footnoteReference w:id="150"/>
      </w:r>
      <w:r>
        <w:t xml:space="preserve"> </w:t>
      </w:r>
      <w:r w:rsidR="002A6968">
        <w:t>Again, this is because, on an after-personal-tax and after-personal-costs basis where such taxes and costs were non-negligible, investors would likely value credits at less than their face value.</w:t>
      </w:r>
      <w:r w:rsidR="0075677D">
        <w:t xml:space="preserve"> </w:t>
      </w:r>
      <w:r w:rsidR="00766333">
        <w:t xml:space="preserve">Conversely, </w:t>
      </w:r>
      <w:r>
        <w:t xml:space="preserve">SFG has previously argued that it is difficult to understand why Officer would contemplate in the same footnote the estimation of gamma via dividend drop off studies if the correct interpretation of gamma was </w:t>
      </w:r>
      <w:r w:rsidR="00766333">
        <w:t>as the proportion</w:t>
      </w:r>
      <w:r>
        <w:t xml:space="preserve"> </w:t>
      </w:r>
      <w:r w:rsidR="00766333">
        <w:t>of company tax returned to investors</w:t>
      </w:r>
      <w:r>
        <w:t>.</w:t>
      </w:r>
      <w:r w:rsidR="00344F8E">
        <w:rPr>
          <w:rStyle w:val="FootnoteReference"/>
        </w:rPr>
        <w:footnoteReference w:id="151"/>
      </w:r>
      <w:r>
        <w:t xml:space="preserve"> </w:t>
      </w:r>
      <w:r w:rsidR="00AB4B7B">
        <w:t>However, a</w:t>
      </w:r>
      <w:r>
        <w:t>s we have maintained throughout the Guideline and current determination process, implied market value studies remain a relevant estimation method</w:t>
      </w:r>
      <w:r w:rsidR="00AB4B7B">
        <w:t xml:space="preserve"> for gamma</w:t>
      </w:r>
      <w:r>
        <w:t xml:space="preserve">. This is because any value attributed to credits which can be inferred from market prices is ultimately derived from the </w:t>
      </w:r>
      <w:r w:rsidR="00746FBC">
        <w:t>utilisation</w:t>
      </w:r>
      <w:r w:rsidR="005C5BA5">
        <w:t xml:space="preserve"> of those credits.</w:t>
      </w:r>
    </w:p>
    <w:p w:rsidR="00F650D2" w:rsidRDefault="00F650D2" w:rsidP="00F650D2">
      <w:pPr>
        <w:pStyle w:val="HeadingBoldBlue"/>
      </w:pPr>
      <w:r>
        <w:t>The formulas in Officer (1994)</w:t>
      </w:r>
    </w:p>
    <w:p w:rsidR="00DE138E" w:rsidRDefault="00DE138E" w:rsidP="00C7355B">
      <w:r>
        <w:t>SFG submitted that the formulas in Officer (1994) support its interpretation of the value of imputation credits:</w:t>
      </w:r>
      <w:r>
        <w:rPr>
          <w:rStyle w:val="FootnoteReference"/>
        </w:rPr>
        <w:footnoteReference w:id="152"/>
      </w:r>
    </w:p>
    <w:p w:rsidR="00DE138E" w:rsidRDefault="00DE138E" w:rsidP="00DE138E">
      <w:pPr>
        <w:pStyle w:val="AERquote"/>
      </w:pPr>
      <w:r>
        <w:t>…</w:t>
      </w:r>
      <w:r w:rsidRPr="00DE138E">
        <w:t>gamma represents the extent to which imputation c</w:t>
      </w:r>
      <w:r>
        <w:t xml:space="preserve">redits are capitalised into the </w:t>
      </w:r>
      <w:r w:rsidRPr="00DE138E">
        <w:t>market value of equity. I note that this is precisely what is estimated by dividend drop-off analysis</w:t>
      </w:r>
      <w:r>
        <w:t xml:space="preserve"> </w:t>
      </w:r>
      <w:r w:rsidRPr="00DE138E">
        <w:t>and other market value studies. The formula shows that one takes the present face value of</w:t>
      </w:r>
      <w:r>
        <w:t xml:space="preserve"> imputation credits (</w:t>
      </w:r>
      <m:oMath>
        <m:f>
          <m:fPr>
            <m:type m:val="lin"/>
            <m:ctrlPr>
              <w:rPr>
                <w:rFonts w:ascii="Cambria Math" w:eastAsiaTheme="minorHAnsi" w:hAnsi="Cambria Math" w:cstheme="minorBidi"/>
                <w:i/>
                <w:color w:val="auto"/>
                <w:sz w:val="22"/>
                <w:szCs w:val="22"/>
              </w:rPr>
            </m:ctrlPr>
          </m:fPr>
          <m:num>
            <m:r>
              <w:rPr>
                <w:rFonts w:ascii="Cambria Math" w:hAnsi="Cambria Math"/>
              </w:rPr>
              <m:t>IC</m:t>
            </m:r>
          </m:num>
          <m:den>
            <m:sSub>
              <m:sSubPr>
                <m:ctrlPr>
                  <w:rPr>
                    <w:rFonts w:ascii="Cambria Math" w:eastAsiaTheme="minorHAnsi" w:hAnsi="Cambria Math" w:cstheme="minorBidi"/>
                    <w:i/>
                    <w:color w:val="auto"/>
                    <w:sz w:val="22"/>
                    <w:szCs w:val="22"/>
                  </w:rPr>
                </m:ctrlPr>
              </m:sSubPr>
              <m:e>
                <m:r>
                  <w:rPr>
                    <w:rFonts w:ascii="Cambria Math" w:hAnsi="Cambria Math"/>
                  </w:rPr>
                  <m:t>r</m:t>
                </m:r>
              </m:e>
              <m:sub>
                <m:r>
                  <w:rPr>
                    <w:rFonts w:ascii="Cambria Math" w:hAnsi="Cambria Math"/>
                  </w:rPr>
                  <m:t>e</m:t>
                </m:r>
              </m:sub>
            </m:sSub>
          </m:den>
        </m:f>
      </m:oMath>
      <w:r w:rsidRPr="00DE138E">
        <w:t>) and then multiplies by gamma and the result makes up part of the market</w:t>
      </w:r>
      <w:r>
        <w:t xml:space="preserve"> </w:t>
      </w:r>
      <w:r w:rsidRPr="00DE138E">
        <w:t>value of equity.</w:t>
      </w:r>
    </w:p>
    <w:p w:rsidR="00DE138E" w:rsidRPr="00DE138E" w:rsidRDefault="00DE138E" w:rsidP="00DE138E">
      <w:pPr>
        <w:pStyle w:val="AERquote"/>
      </w:pPr>
      <w:r w:rsidRPr="00DE138E">
        <w:lastRenderedPageBreak/>
        <w:t>Another way to see this is to rearrange the formula to isolate gamma as follows:</w:t>
      </w:r>
    </w:p>
    <w:p w:rsidR="00DE138E" w:rsidRDefault="00332D56" w:rsidP="00DE138E">
      <w:pPr>
        <w:pStyle w:val="AERquote"/>
      </w:pPr>
      <m:oMathPara>
        <m:oMath>
          <m:sSub>
            <m:sSubPr>
              <m:ctrlPr>
                <w:rPr>
                  <w:rFonts w:ascii="Cambria Math" w:eastAsiaTheme="minorHAnsi"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r>
            <m:rPr>
              <m:sty m:val="p"/>
            </m:rPr>
            <w:rPr>
              <w:rFonts w:ascii="Cambria Math" w:hAnsi="Cambria Math"/>
            </w:rPr>
            <m:t>+</m:t>
          </m:r>
          <m:r>
            <w:rPr>
              <w:rFonts w:ascii="Cambria Math" w:hAnsi="Cambria Math"/>
            </w:rPr>
            <m:t>γ</m:t>
          </m:r>
          <m:f>
            <m:fPr>
              <m:ctrlPr>
                <w:rPr>
                  <w:rFonts w:ascii="Cambria Math" w:eastAsiaTheme="minorHAnsi" w:hAnsi="Cambria Math"/>
                </w:rPr>
              </m:ctrlPr>
            </m:fPr>
            <m:num>
              <m:r>
                <w:rPr>
                  <w:rFonts w:ascii="Cambria Math" w:hAnsi="Cambria Math"/>
                </w:rPr>
                <m:t>IC</m:t>
              </m:r>
            </m:num>
            <m:den>
              <m:sSub>
                <m:sSubPr>
                  <m:ctrlPr>
                    <w:rPr>
                      <w:rFonts w:ascii="Cambria Math" w:eastAsiaTheme="minorHAnsi" w:hAnsi="Cambria Math"/>
                    </w:rPr>
                  </m:ctrlPr>
                </m:sSubPr>
                <m:e>
                  <m:r>
                    <w:rPr>
                      <w:rFonts w:ascii="Cambria Math" w:hAnsi="Cambria Math"/>
                    </w:rPr>
                    <m:t>r</m:t>
                  </m:r>
                </m:e>
                <m:sub>
                  <m:r>
                    <w:rPr>
                      <w:rFonts w:ascii="Cambria Math" w:hAnsi="Cambria Math"/>
                    </w:rPr>
                    <m:t>e</m:t>
                  </m:r>
                </m:sub>
              </m:sSub>
            </m:den>
          </m:f>
        </m:oMath>
      </m:oMathPara>
    </w:p>
    <w:p w:rsidR="00DE138E" w:rsidRDefault="002C25CF" w:rsidP="002C25CF">
      <w:pPr>
        <w:pStyle w:val="AERquote"/>
      </w:pPr>
      <w:r>
        <w:t xml:space="preserve">where </w:t>
      </w:r>
      <m:oMath>
        <m:sSub>
          <m:sSubPr>
            <m:ctrlPr>
              <w:rPr>
                <w:rFonts w:ascii="Cambria Math" w:eastAsiaTheme="minorHAnsi"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rsidR="00DE138E" w:rsidRPr="00DE138E">
        <w:t xml:space="preserve"> represents the market value of equity includi</w:t>
      </w:r>
      <w:r>
        <w:t xml:space="preserve">ng imputation credits, </w:t>
      </w:r>
      <m:oMath>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oMath>
      <w:r w:rsidR="00DE138E" w:rsidRPr="00DE138E">
        <w:t xml:space="preserve"> represents the</w:t>
      </w:r>
      <w:r w:rsidR="00DE138E">
        <w:t xml:space="preserve"> </w:t>
      </w:r>
      <w:r w:rsidR="00DE138E" w:rsidRPr="00DE138E">
        <w:t>market value of equity excluding</w:t>
      </w:r>
      <w:r>
        <w:t xml:space="preserve"> imputation credits and </w:t>
      </w:r>
      <m:oMath>
        <m:f>
          <m:fPr>
            <m:type m:val="lin"/>
            <m:ctrlPr>
              <w:rPr>
                <w:rFonts w:ascii="Cambria Math" w:eastAsiaTheme="minorHAnsi" w:hAnsi="Cambria Math"/>
                <w:i/>
              </w:rPr>
            </m:ctrlPr>
          </m:fPr>
          <m:num>
            <m:r>
              <w:rPr>
                <w:rFonts w:ascii="Cambria Math" w:hAnsi="Cambria Math"/>
              </w:rPr>
              <m:t>IC</m:t>
            </m:r>
          </m:num>
          <m:den>
            <m:sSub>
              <m:sSubPr>
                <m:ctrlPr>
                  <w:rPr>
                    <w:rFonts w:ascii="Cambria Math" w:eastAsiaTheme="minorHAnsi" w:hAnsi="Cambria Math"/>
                    <w:i/>
                  </w:rPr>
                </m:ctrlPr>
              </m:sSubPr>
              <m:e>
                <m:r>
                  <w:rPr>
                    <w:rFonts w:ascii="Cambria Math" w:hAnsi="Cambria Math"/>
                  </w:rPr>
                  <m:t>r</m:t>
                </m:r>
              </m:e>
              <m:sub>
                <m:r>
                  <w:rPr>
                    <w:rFonts w:ascii="Cambria Math" w:hAnsi="Cambria Math"/>
                  </w:rPr>
                  <m:t>e</m:t>
                </m:r>
              </m:sub>
            </m:sSub>
          </m:den>
        </m:f>
      </m:oMath>
      <w:r w:rsidR="00DE138E" w:rsidRPr="00DE138E">
        <w:t xml:space="preserve"> represents the present face value of</w:t>
      </w:r>
      <w:r w:rsidR="00DE138E">
        <w:t xml:space="preserve"> </w:t>
      </w:r>
      <w:r w:rsidR="00DE138E" w:rsidRPr="00DE138E">
        <w:t>imputation credits. It is clear in this formula that gamma does not represent the proportion of imputation</w:t>
      </w:r>
      <w:r w:rsidR="00DE138E">
        <w:t xml:space="preserve"> </w:t>
      </w:r>
      <w:r w:rsidR="00DE138E" w:rsidRPr="00DE138E">
        <w:t>credits that might be redeemed, but the extent to which imputation credits increase the market value of</w:t>
      </w:r>
      <w:r w:rsidR="00DE138E">
        <w:t xml:space="preserve"> </w:t>
      </w:r>
      <w:r w:rsidR="00DE138E" w:rsidRPr="00DE138E">
        <w:t>equity.</w:t>
      </w:r>
    </w:p>
    <w:p w:rsidR="00DE138E" w:rsidRDefault="00CA32AF" w:rsidP="00C7355B">
      <w:r>
        <w:t>Handley reviewed SFG's submission and considered:</w:t>
      </w:r>
      <w:r w:rsidR="00521D96">
        <w:rPr>
          <w:rStyle w:val="FootnoteReference"/>
        </w:rPr>
        <w:footnoteReference w:id="153"/>
      </w:r>
    </w:p>
    <w:p w:rsidR="00CA32AF" w:rsidRDefault="00CA32AF" w:rsidP="00CA32AF">
      <w:pPr>
        <w:pStyle w:val="AERquote"/>
      </w:pPr>
      <w:r w:rsidRPr="00CA32AF">
        <w:t>SFG (2015 para. 124-135) also suggests that the mathematical formu</w:t>
      </w:r>
      <w:r>
        <w:t xml:space="preserve">lae in Officer (1994) support a </w:t>
      </w:r>
      <w:r w:rsidRPr="00CA32AF">
        <w:t xml:space="preserve">value interpretation of gamma but not a redemption value interpretation since: </w:t>
      </w:r>
      <w:r w:rsidRPr="004152B3">
        <w:rPr>
          <w:rStyle w:val="AERtextitalic"/>
        </w:rPr>
        <w:t>“It is clear in this formula [para.127] that gamma represents … the extent to which imputation credits increase the market value of equity”</w:t>
      </w:r>
      <w:r w:rsidRPr="00CA32AF">
        <w:t>. There is no dispute that the (market) value of credits are capitalised into stock prices – this is</w:t>
      </w:r>
      <w:r>
        <w:t xml:space="preserve"> </w:t>
      </w:r>
      <w:r w:rsidRPr="00CA32AF">
        <w:t xml:space="preserve">clear from equation (2) </w:t>
      </w:r>
      <w:r>
        <w:t>[in Handley's report]</w:t>
      </w:r>
      <w:r w:rsidRPr="00CA32AF">
        <w:t>. However, SFG fails to see that within Officer’s framework it is the before</w:t>
      </w:r>
      <w:r>
        <w:t xml:space="preserve"> </w:t>
      </w:r>
      <w:r w:rsidRPr="00CA32AF">
        <w:t>personal tax and before personal costs value of a credit – the redemption value – which is the item being</w:t>
      </w:r>
      <w:r>
        <w:t xml:space="preserve"> </w:t>
      </w:r>
      <w:r w:rsidRPr="00CA32AF">
        <w:t>capitalised.</w:t>
      </w:r>
    </w:p>
    <w:p w:rsidR="00DE138E" w:rsidRDefault="00CA32AF" w:rsidP="00DE138E">
      <w:r>
        <w:t xml:space="preserve">Thus, Handley </w:t>
      </w:r>
      <w:r w:rsidR="009D300F">
        <w:t>appeared to agree with SFG that the formulas in Officer indicated that the value of imputation credits is capitalised into stock prices. However, Handley</w:t>
      </w:r>
      <w:r w:rsidR="006508E8">
        <w:t xml:space="preserve"> considers</w:t>
      </w:r>
      <w:r w:rsidR="009D300F">
        <w:t xml:space="preserve"> (for the reasons set out in the previous sub-section) that it is the before-personal-tax and before-personal-costs value which is capitalised</w:t>
      </w:r>
      <w:r w:rsidR="002A6968">
        <w:t xml:space="preserve"> into the stock price in Officer's framework</w:t>
      </w:r>
      <w:r w:rsidR="009D300F">
        <w:t xml:space="preserve">. As also set out in the previous sub-section, we agree with Handley's interpretation of the Officer framework. </w:t>
      </w:r>
    </w:p>
    <w:p w:rsidR="00995370" w:rsidRDefault="00960F6E" w:rsidP="00960F6E">
      <w:pPr>
        <w:pStyle w:val="Heading9"/>
      </w:pPr>
      <w:r>
        <w:t>SFG's comments on the Monkhouse framework</w:t>
      </w:r>
    </w:p>
    <w:p w:rsidR="004D16B8" w:rsidRDefault="004D16B8" w:rsidP="004D16B8">
      <w:pPr>
        <w:numPr>
          <w:ilvl w:val="0"/>
          <w:numId w:val="25"/>
        </w:numPr>
      </w:pPr>
      <w:r>
        <w:t xml:space="preserve">As discussed in section </w:t>
      </w:r>
      <w:r>
        <w:fldChar w:fldCharType="begin"/>
      </w:r>
      <w:r>
        <w:instrText xml:space="preserve"> REF _Ref400965182 \r \h </w:instrText>
      </w:r>
      <w:r>
        <w:fldChar w:fldCharType="separate"/>
      </w:r>
      <w:r w:rsidR="003F0AA6">
        <w:t>A.6</w:t>
      </w:r>
      <w:r>
        <w:fldChar w:fldCharType="end"/>
      </w:r>
      <w:r>
        <w:t>, we consider that:</w:t>
      </w:r>
    </w:p>
    <w:p w:rsidR="004D16B8" w:rsidRPr="004D16B8" w:rsidRDefault="004D16B8" w:rsidP="004D16B8">
      <w:pPr>
        <w:pStyle w:val="AERbulletlistfirststyle"/>
      </w:pPr>
      <w:r>
        <w:t xml:space="preserve">The Officer framework provides the basis for the value of imputation credits adjustment in the </w:t>
      </w:r>
      <w:r w:rsidR="004569D9">
        <w:t>NER/NGR</w:t>
      </w:r>
      <w:r>
        <w:t>.</w:t>
      </w:r>
    </w:p>
    <w:p w:rsidR="004D16B8" w:rsidRDefault="004D16B8" w:rsidP="004D16B8">
      <w:pPr>
        <w:pStyle w:val="AERbulletlistfirststyle"/>
      </w:pPr>
      <w:r>
        <w:t>Monkhouse extends the Officer framework to a non-perpetuity setting, and shows that—assuming retained credits have no value—gamma from the Officer framework effectively equals the product of:</w:t>
      </w:r>
    </w:p>
    <w:p w:rsidR="004D16B8" w:rsidRDefault="004D16B8" w:rsidP="004D16B8">
      <w:pPr>
        <w:pStyle w:val="AERbulletlistsecondstyle"/>
      </w:pPr>
      <w:r>
        <w:t>the distribution rate, and</w:t>
      </w:r>
    </w:p>
    <w:p w:rsidR="004D16B8" w:rsidRPr="00A3557D" w:rsidRDefault="004D16B8" w:rsidP="004D16B8">
      <w:pPr>
        <w:pStyle w:val="AERbulletlistsecondstyle"/>
      </w:pPr>
      <m:oMath>
        <m:r>
          <w:rPr>
            <w:rFonts w:ascii="Cambria Math" w:hAnsi="Cambria Math"/>
          </w:rPr>
          <m:t>θ</m:t>
        </m:r>
      </m:oMath>
      <w:r w:rsidRPr="00A3557D">
        <w:t xml:space="preserve"> (theta)</w:t>
      </w:r>
      <w:r>
        <w:t>, which</w:t>
      </w:r>
      <w:r w:rsidRPr="00A3557D">
        <w:t xml:space="preserve"> is the utilisation value to investors in the market per dollar of imputation credits distributed (the 'utilisation rate'), which in equilibrium is equal to the weighted average, by wealth and risk aversion, of the individual utilisation rates of investors in the market.</w:t>
      </w:r>
    </w:p>
    <w:p w:rsidR="00BE1FD8" w:rsidRDefault="004D16B8" w:rsidP="004D16B8">
      <w:r>
        <w:lastRenderedPageBreak/>
        <w:t>In its May 2014 and February 2015 reports, SFG provided a discussion of the class of CAPM employed by Monkhouse (and related literature).</w:t>
      </w:r>
      <w:r>
        <w:rPr>
          <w:rStyle w:val="FootnoteReference"/>
        </w:rPr>
        <w:footnoteReference w:id="154"/>
      </w:r>
      <w:r>
        <w:t xml:space="preserve"> </w:t>
      </w:r>
      <w:r w:rsidR="00B34D36">
        <w:t>SFG concluded that our recognition of foreign investors breaches the assumptions of this class of CAPM, and therefore we cannot estimate the value of imputation credits using the definition of theta in equilibrium from the Monkhouse framework.</w:t>
      </w:r>
    </w:p>
    <w:p w:rsidR="00B34D36" w:rsidRDefault="00B34D36" w:rsidP="004D16B8">
      <w:r>
        <w:t xml:space="preserve">Handley responded to SFG's view in his September 2014 and </w:t>
      </w:r>
      <w:r w:rsidR="003E38A3">
        <w:t>April</w:t>
      </w:r>
      <w:r>
        <w:t xml:space="preserve"> 2015 reports. He disagrees with SFG's view, and considers reasonable our use of:</w:t>
      </w:r>
      <w:r w:rsidR="002424BE">
        <w:rPr>
          <w:rStyle w:val="FootnoteReference"/>
        </w:rPr>
        <w:footnoteReference w:id="155"/>
      </w:r>
    </w:p>
    <w:p w:rsidR="00B34D36" w:rsidRDefault="00B34D36" w:rsidP="00B34D36">
      <w:pPr>
        <w:pStyle w:val="AERbulletlistfirststyle"/>
      </w:pPr>
      <w:r>
        <w:t>the definition of theta from the Monkhouse framework, and</w:t>
      </w:r>
    </w:p>
    <w:p w:rsidR="00B34D36" w:rsidRDefault="00B34D36" w:rsidP="00B34D36">
      <w:pPr>
        <w:pStyle w:val="AERbulletlistfirststyle"/>
      </w:pPr>
      <w:r>
        <w:t xml:space="preserve">the equity ownership </w:t>
      </w:r>
      <w:r w:rsidR="000F2352">
        <w:t xml:space="preserve">approach </w:t>
      </w:r>
      <w:r>
        <w:t>to estimate theta.</w:t>
      </w:r>
    </w:p>
    <w:p w:rsidR="00B34D36" w:rsidRDefault="007A4EF0" w:rsidP="007A4EF0">
      <w:r>
        <w:t xml:space="preserve">In the remainder of this section we identify </w:t>
      </w:r>
      <w:r w:rsidR="00D96C92">
        <w:t>what we consider to be the key point</w:t>
      </w:r>
      <w:r w:rsidR="00A507B8">
        <w:t>s</w:t>
      </w:r>
      <w:r w:rsidR="00D96C92">
        <w:t xml:space="preserve"> of this debate, and </w:t>
      </w:r>
      <w:r w:rsidR="00A507B8">
        <w:t>their</w:t>
      </w:r>
      <w:r>
        <w:t xml:space="preserve"> implications</w:t>
      </w:r>
      <w:r w:rsidR="00D96C92">
        <w:t xml:space="preserve"> for our estimation of the value of imputation credits</w:t>
      </w:r>
      <w:r>
        <w:t>.</w:t>
      </w:r>
    </w:p>
    <w:p w:rsidR="00BE1E99" w:rsidRDefault="00AB755D" w:rsidP="007A4EF0">
      <w:r>
        <w:t>SFG's key point appears to be</w:t>
      </w:r>
      <w:r w:rsidR="00E30CA5">
        <w:t xml:space="preserve"> that</w:t>
      </w:r>
      <w:r w:rsidR="00BE1E99">
        <w:t>:</w:t>
      </w:r>
      <w:r w:rsidR="00BE1E99">
        <w:rPr>
          <w:rStyle w:val="FootnoteReference"/>
        </w:rPr>
        <w:footnoteReference w:id="156"/>
      </w:r>
    </w:p>
    <w:p w:rsidR="00BE1E99" w:rsidRDefault="00BE1E99" w:rsidP="00BE1E99">
      <w:pPr>
        <w:pStyle w:val="AERquote"/>
      </w:pPr>
      <w:r>
        <w:t>[The relevant class of CAPM models] derive an equilibrium by solving a market clearing condition. This involves noting that:</w:t>
      </w:r>
    </w:p>
    <w:p w:rsidR="00BE1E99" w:rsidRDefault="00BE1E99" w:rsidP="00BE1E99">
      <w:pPr>
        <w:pStyle w:val="AERquote"/>
      </w:pPr>
      <w:r>
        <w:t xml:space="preserve">(a) All of the </w:t>
      </w:r>
      <w:r w:rsidRPr="00BE1E99">
        <w:rPr>
          <w:rStyle w:val="AERtextitalic"/>
        </w:rPr>
        <w:t>m</w:t>
      </w:r>
      <w:r>
        <w:t xml:space="preserve"> investors must invest all of their wealth across the </w:t>
      </w:r>
      <w:r w:rsidRPr="00BE1E99">
        <w:rPr>
          <w:rStyle w:val="AERtextitalic"/>
        </w:rPr>
        <w:t>n</w:t>
      </w:r>
      <w:r>
        <w:t xml:space="preserve"> assets and nothing else; and</w:t>
      </w:r>
    </w:p>
    <w:p w:rsidR="00BE1E99" w:rsidRDefault="00BE1E99" w:rsidP="00BE1E99">
      <w:pPr>
        <w:pStyle w:val="AERquote"/>
      </w:pPr>
      <w:r>
        <w:t xml:space="preserve">(b) All of the </w:t>
      </w:r>
      <w:r w:rsidRPr="00BE1E99">
        <w:rPr>
          <w:rStyle w:val="AERtextitalic"/>
        </w:rPr>
        <w:t>n</w:t>
      </w:r>
      <w:r>
        <w:t xml:space="preserve"> assets must be owned entirely by the </w:t>
      </w:r>
      <w:r w:rsidRPr="004D1A69">
        <w:rPr>
          <w:rStyle w:val="AERtextitalic"/>
        </w:rPr>
        <w:t>m</w:t>
      </w:r>
      <w:r>
        <w:t xml:space="preserve"> investors and no one else.</w:t>
      </w:r>
      <w:r w:rsidR="00E30CA5">
        <w:t xml:space="preserve"> </w:t>
      </w:r>
    </w:p>
    <w:p w:rsidR="00057160" w:rsidRDefault="00B300C6" w:rsidP="004D16B8">
      <w:r>
        <w:t>T</w:t>
      </w:r>
      <w:r w:rsidR="00057160">
        <w:t xml:space="preserve">his suggests that the only legitimate </w:t>
      </w:r>
      <w:r w:rsidR="002C2D1A">
        <w:t>application</w:t>
      </w:r>
      <w:r w:rsidR="00057160">
        <w:t xml:space="preserve"> of </w:t>
      </w:r>
      <w:r w:rsidR="002C2D1A">
        <w:t xml:space="preserve">the </w:t>
      </w:r>
      <w:r w:rsidR="00057160">
        <w:t xml:space="preserve">CAPM is one which recognises all investors and assets in the world (that is, an international CAPM). </w:t>
      </w:r>
      <w:r w:rsidR="001D659B">
        <w:t xml:space="preserve">However, CAPMs have been employed in contexts </w:t>
      </w:r>
      <w:r w:rsidR="00567904">
        <w:t>other than the international one.</w:t>
      </w:r>
      <w:r w:rsidR="00134C81">
        <w:t xml:space="preserve"> </w:t>
      </w:r>
      <w:r w:rsidR="00814EEE">
        <w:t xml:space="preserve">Handley </w:t>
      </w:r>
      <w:r w:rsidR="000C3E94">
        <w:t>suggested that the key consideration is whether assets and investors that are outside the model are relevant to the determination of the prices of assets inside the model:</w:t>
      </w:r>
      <w:r w:rsidR="00220FF2">
        <w:rPr>
          <w:rStyle w:val="FootnoteReference"/>
        </w:rPr>
        <w:footnoteReference w:id="157"/>
      </w:r>
    </w:p>
    <w:p w:rsidR="00EC0B07" w:rsidRDefault="00E5555B" w:rsidP="00EC0B07">
      <w:pPr>
        <w:pStyle w:val="AERquote"/>
      </w:pPr>
      <w:r>
        <w:t>[SFG’s claim that a representative investor equilibrium does not apply in the AER’s framework]</w:t>
      </w:r>
      <w:r w:rsidR="00EC0B07">
        <w:t xml:space="preserve"> – which appears to be SFG’s major criticism of this approach – is not correct since it is based on SFG’s incorrect assertion that the market clearing condition invoked in the CAPM class of equilibrium asset pricing models is </w:t>
      </w:r>
      <w:r>
        <w:t xml:space="preserve">based on an assumption that the </w:t>
      </w:r>
      <w:r w:rsidRPr="00E5555B">
        <w:rPr>
          <w:rStyle w:val="AERtextitalic"/>
        </w:rPr>
        <w:t>m</w:t>
      </w:r>
      <w:r w:rsidR="00EC0B07">
        <w:t xml:space="preserve"> investors in the model invest all their wealth across the </w:t>
      </w:r>
      <w:r w:rsidRPr="00E5555B">
        <w:rPr>
          <w:rStyle w:val="AERtextitalic"/>
        </w:rPr>
        <w:t>n</w:t>
      </w:r>
      <w:r w:rsidR="00EC0B07">
        <w:t xml:space="preserve"> assets </w:t>
      </w:r>
      <w:r>
        <w:t>in the model and nothing else.</w:t>
      </w:r>
    </w:p>
    <w:p w:rsidR="00EC0B07" w:rsidRDefault="00EC0B07" w:rsidP="00EC0B07">
      <w:pPr>
        <w:pStyle w:val="AERquote"/>
      </w:pPr>
      <w:r>
        <w:t>But the CAPM makes no such assumption – it is SFG who does.</w:t>
      </w:r>
    </w:p>
    <w:p w:rsidR="000C3E94" w:rsidRDefault="00EC0B07" w:rsidP="00EC0B07">
      <w:pPr>
        <w:pStyle w:val="AERquote"/>
      </w:pPr>
      <w:r>
        <w:t xml:space="preserve">An implication of SFG’s assertion is that one could validly use a “domestic” version of the CAPM say to price U.S. stocks only if you assume that investors in the U.S. stock </w:t>
      </w:r>
      <w:r>
        <w:lastRenderedPageBreak/>
        <w:t>market hold no other assets except U.S. stocks. Such an assumption would be clearly implausible.</w:t>
      </w:r>
    </w:p>
    <w:p w:rsidR="00EC0B07" w:rsidRPr="00EC0B07" w:rsidRDefault="00EC0B07" w:rsidP="00EC0B07">
      <w:pPr>
        <w:pStyle w:val="AERquote"/>
      </w:pPr>
      <w:r>
        <w:t>An alternative and less extreme assumption which is implicit in the use of a “domestic” version of the CAPM is that any assets outside the model and any investors outside the model are not relevant for determining the prices of the assets inside the model. This is equivalent to saying that the system is “closed” by definition – everything that matters is inside the model and anything outside the model does not matter – which means a standard market clearing condition can indeed be invoked and a va</w:t>
      </w:r>
      <w:r w:rsidR="00E5555B">
        <w:t>lid equilibrium can be found.</w:t>
      </w:r>
      <w:r>
        <w:t xml:space="preserve"> There is nothing in the Copeland and Rosenberg statements quoted in SFG (2015) which is inconsistent with this approach.</w:t>
      </w:r>
    </w:p>
    <w:p w:rsidR="00814EEE" w:rsidRDefault="00300299" w:rsidP="00814EEE">
      <w:r>
        <w:t>T</w:t>
      </w:r>
      <w:r w:rsidR="008563E4">
        <w:t xml:space="preserve">herefore, </w:t>
      </w:r>
      <w:r w:rsidR="00FA68C2">
        <w:t xml:space="preserve">it would seem that </w:t>
      </w:r>
      <w:r w:rsidR="008563E4">
        <w:t xml:space="preserve">the criticisms of our use of the </w:t>
      </w:r>
      <w:r w:rsidR="006402DC">
        <w:t>definition of theta from the Monkhouse framework</w:t>
      </w:r>
      <w:r w:rsidR="0072581E">
        <w:t xml:space="preserve">, and our responses to those criticisms, </w:t>
      </w:r>
      <w:r w:rsidR="006402DC">
        <w:t>might be</w:t>
      </w:r>
      <w:r>
        <w:t xml:space="preserve"> summarised as follows:</w:t>
      </w:r>
    </w:p>
    <w:p w:rsidR="00300299" w:rsidRDefault="00300299" w:rsidP="00300299">
      <w:pPr>
        <w:pStyle w:val="AERbulletlistfirststyle"/>
      </w:pPr>
      <w:r>
        <w:t xml:space="preserve">By not </w:t>
      </w:r>
      <w:r w:rsidR="00FE3C8D">
        <w:t>using</w:t>
      </w:r>
      <w:r>
        <w:t xml:space="preserve"> all assets and investors in the world, we are breaching </w:t>
      </w:r>
      <w:r w:rsidR="006B1012">
        <w:t>a</w:t>
      </w:r>
      <w:r>
        <w:t xml:space="preserve"> fundamental condition required</w:t>
      </w:r>
      <w:r w:rsidR="00A507B8">
        <w:t xml:space="preserve"> by CAPMs to derive an equilibrium </w:t>
      </w:r>
      <w:r w:rsidR="00FB6FD6">
        <w:t>value</w:t>
      </w:r>
      <w:r w:rsidR="00A507B8">
        <w:t>. However, CAPMs have been used in contexts other than the international one, and there</w:t>
      </w:r>
      <w:r w:rsidR="00FB6FD6">
        <w:t>fore we are not convinced that this criticism presents grounds to disre</w:t>
      </w:r>
      <w:r w:rsidR="00EA086D">
        <w:t>gard these models</w:t>
      </w:r>
      <w:r w:rsidR="00FB6FD6">
        <w:t>.</w:t>
      </w:r>
    </w:p>
    <w:p w:rsidR="00FA68C2" w:rsidRDefault="00FB6FD6" w:rsidP="004807E2">
      <w:pPr>
        <w:pStyle w:val="AERbulletlistfirststyle"/>
      </w:pPr>
      <w:r>
        <w:t>Th</w:t>
      </w:r>
      <w:r w:rsidR="009B30D4">
        <w:t>e following implicit assumption</w:t>
      </w:r>
      <w:r>
        <w:t xml:space="preserve"> in our approach </w:t>
      </w:r>
      <w:r w:rsidR="009B30D4">
        <w:t>is</w:t>
      </w:r>
      <w:r>
        <w:t xml:space="preserve"> unreasonable:</w:t>
      </w:r>
      <w:r w:rsidR="001F2C5D">
        <w:t xml:space="preserve"> that</w:t>
      </w:r>
      <w:r w:rsidR="009B30D4">
        <w:t xml:space="preserve"> </w:t>
      </w:r>
      <w:r w:rsidR="001F2C5D">
        <w:t>t</w:t>
      </w:r>
      <w:r w:rsidR="009B30D4" w:rsidRPr="009B30D4">
        <w:t xml:space="preserve">he foreign asset holdings of </w:t>
      </w:r>
      <w:r w:rsidR="001F2C5D">
        <w:t xml:space="preserve">(both Australian and foreign) </w:t>
      </w:r>
      <w:r w:rsidR="009B30D4" w:rsidRPr="009B30D4">
        <w:t>inve</w:t>
      </w:r>
      <w:r w:rsidR="001F2C5D">
        <w:t xml:space="preserve">stors in Australian assets are </w:t>
      </w:r>
      <w:r w:rsidR="009B30D4" w:rsidRPr="009B30D4">
        <w:t>not relevant to those investors' valuation of Australian assets.</w:t>
      </w:r>
      <w:r w:rsidR="004807E2">
        <w:t xml:space="preserve"> SFG's view is that the assumption</w:t>
      </w:r>
      <w:r w:rsidR="00290879">
        <w:t xml:space="preserve"> is</w:t>
      </w:r>
      <w:r w:rsidR="004807E2">
        <w:t xml:space="preserve"> unreasonable</w:t>
      </w:r>
      <w:r w:rsidR="00290879">
        <w:t>.</w:t>
      </w:r>
      <w:r w:rsidR="00290879">
        <w:rPr>
          <w:rStyle w:val="FootnoteReference"/>
        </w:rPr>
        <w:footnoteReference w:id="158"/>
      </w:r>
      <w:r w:rsidR="00290879">
        <w:t xml:space="preserve"> Handley</w:t>
      </w:r>
      <w:r w:rsidR="004807E2">
        <w:t>'s view is, if the assumption is considered unreasonable, '</w:t>
      </w:r>
      <w:r w:rsidR="004807E2" w:rsidRPr="004807E2">
        <w:t>then one should bring the outside assets and outside</w:t>
      </w:r>
      <w:r w:rsidR="004807E2">
        <w:t xml:space="preserve"> </w:t>
      </w:r>
      <w:r w:rsidR="004807E2" w:rsidRPr="004807E2">
        <w:t>investors into the model, for example, by using an international CAPM</w:t>
      </w:r>
      <w:r w:rsidR="004807E2">
        <w:t>'</w:t>
      </w:r>
      <w:r w:rsidR="004807E2" w:rsidRPr="004807E2">
        <w:t>.</w:t>
      </w:r>
      <w:r w:rsidR="00C02961">
        <w:rPr>
          <w:rStyle w:val="FootnoteReference"/>
        </w:rPr>
        <w:footnoteReference w:id="159"/>
      </w:r>
      <w:r w:rsidR="004807E2">
        <w:t xml:space="preserve"> However, neither SFG nor Handley suggested that we employ an international CAPM.</w:t>
      </w:r>
      <w:r w:rsidR="00845DE5">
        <w:t xml:space="preserve"> </w:t>
      </w:r>
      <w:r w:rsidR="004807E2">
        <w:t xml:space="preserve">Moreover, Handley </w:t>
      </w:r>
      <w:r w:rsidR="00845DE5">
        <w:t>clearly set out his view that our use of the definition of theta from the Monkhouse framework is reasonable.</w:t>
      </w:r>
      <w:r w:rsidR="004807E2">
        <w:rPr>
          <w:rStyle w:val="FootnoteReference"/>
        </w:rPr>
        <w:footnoteReference w:id="160"/>
      </w:r>
    </w:p>
    <w:p w:rsidR="00FB6FD6" w:rsidRDefault="00E30C68" w:rsidP="00FA68C2">
      <w:r>
        <w:t>In conclusion</w:t>
      </w:r>
      <w:r w:rsidR="00FA68C2">
        <w:t xml:space="preserve">, we are not convinced that we should disregard the definition of theta from the Monkhouse framework when estimating </w:t>
      </w:r>
      <w:r w:rsidR="008A0008">
        <w:t>the value of imputation credits.</w:t>
      </w:r>
      <w:r w:rsidR="00290879">
        <w:t xml:space="preserve"> </w:t>
      </w:r>
    </w:p>
    <w:p w:rsidR="00600543" w:rsidRDefault="00600543" w:rsidP="00600543">
      <w:pPr>
        <w:pStyle w:val="Heading8"/>
      </w:pPr>
      <w:bookmarkStart w:id="60" w:name="_Ref414623120"/>
      <w:bookmarkStart w:id="61" w:name="_Toc417043263"/>
      <w:r>
        <w:t>Further issues relating to the utilisation rate</w:t>
      </w:r>
      <w:bookmarkEnd w:id="60"/>
      <w:bookmarkEnd w:id="61"/>
    </w:p>
    <w:p w:rsidR="00600543" w:rsidRDefault="00600543" w:rsidP="00600543">
      <w:pPr>
        <w:numPr>
          <w:ilvl w:val="0"/>
          <w:numId w:val="25"/>
        </w:numPr>
      </w:pPr>
      <w:r>
        <w:t xml:space="preserve">As discussed in section </w:t>
      </w:r>
      <w:r>
        <w:fldChar w:fldCharType="begin"/>
      </w:r>
      <w:r>
        <w:instrText xml:space="preserve"> REF _Ref400965182 \r \h </w:instrText>
      </w:r>
      <w:r>
        <w:fldChar w:fldCharType="separate"/>
      </w:r>
      <w:r w:rsidR="003F0AA6">
        <w:t>A.6</w:t>
      </w:r>
      <w:r>
        <w:fldChar w:fldCharType="end"/>
      </w:r>
      <w:r>
        <w:t xml:space="preserve">, and in section </w:t>
      </w:r>
      <w:r w:rsidR="0003311D">
        <w:fldChar w:fldCharType="begin"/>
      </w:r>
      <w:r w:rsidR="0003311D">
        <w:instrText xml:space="preserve"> REF _Ref414289593 \r \h </w:instrText>
      </w:r>
      <w:r w:rsidR="0003311D">
        <w:fldChar w:fldCharType="separate"/>
      </w:r>
      <w:r w:rsidR="003F0AA6">
        <w:t>4.4.2</w:t>
      </w:r>
      <w:r w:rsidR="0003311D">
        <w:fldChar w:fldCharType="end"/>
      </w:r>
      <w:r w:rsidR="0003311D">
        <w:t xml:space="preserve"> </w:t>
      </w:r>
      <w:r>
        <w:t xml:space="preserve">of attachment 4, we define the utilisation rate </w:t>
      </w:r>
      <w:proofErr w:type="gramStart"/>
      <w:r>
        <w:t>as the utilisation value to investors in the market per dollar of imputation credits distributed</w:t>
      </w:r>
      <w:proofErr w:type="gramEnd"/>
      <w:r>
        <w:t xml:space="preserve">. As </w:t>
      </w:r>
      <w:proofErr w:type="gramStart"/>
      <w:r>
        <w:t>also</w:t>
      </w:r>
      <w:proofErr w:type="gramEnd"/>
      <w:r>
        <w:t xml:space="preserve"> discussed in section </w:t>
      </w:r>
      <w:r>
        <w:fldChar w:fldCharType="begin"/>
      </w:r>
      <w:r>
        <w:instrText xml:space="preserve"> REF _Ref400965182 \r \h </w:instrText>
      </w:r>
      <w:r>
        <w:fldChar w:fldCharType="separate"/>
      </w:r>
      <w:r w:rsidR="003F0AA6">
        <w:t>A.6</w:t>
      </w:r>
      <w:r>
        <w:fldChar w:fldCharType="end"/>
      </w:r>
      <w:r>
        <w:t xml:space="preserve">, the utilisation rate is equal to the weighted average, by wealth and risk aversion, of the utilisation rates of individual investors. </w:t>
      </w:r>
      <w:r w:rsidRPr="00EB5361">
        <w:t xml:space="preserve">For an ‘eligible’ investor, each dollar of imputation credit received can be fully </w:t>
      </w:r>
      <w:r>
        <w:t>returned to the investor</w:t>
      </w:r>
      <w:r w:rsidRPr="00EB5361">
        <w:t xml:space="preserve"> </w:t>
      </w:r>
      <w:r>
        <w:t xml:space="preserve">in </w:t>
      </w:r>
      <w:r w:rsidRPr="00EB5361">
        <w:t>the form of a reducti</w:t>
      </w:r>
      <w:r>
        <w:t xml:space="preserve">on in tax payable or a refund. </w:t>
      </w:r>
      <w:r w:rsidRPr="00EB5361">
        <w:t xml:space="preserve">Therefore, we consider that </w:t>
      </w:r>
      <w:r w:rsidRPr="00EB5361">
        <w:lastRenderedPageBreak/>
        <w:t>eligible investors have a utilisation rate of 1</w:t>
      </w:r>
      <w:r w:rsidR="003D6A3C">
        <w:t xml:space="preserve"> (on a before-personal-tax and before-personal-costs basis)</w:t>
      </w:r>
      <w:r w:rsidRPr="00EB5361">
        <w:t xml:space="preserve">. Conversely, ‘ineligible’ investors cannot </w:t>
      </w:r>
      <w:r>
        <w:t>utilise</w:t>
      </w:r>
      <w:r w:rsidRPr="00EB5361">
        <w:t xml:space="preserve"> imputation credits and have a utilisation rate of 0.</w:t>
      </w:r>
      <w:r>
        <w:t xml:space="preserve"> It follows that the utilisation rate reflects the extent to which investors can utilise the imputation credits they receive to reduce their tax or get a refund.</w:t>
      </w:r>
    </w:p>
    <w:p w:rsidR="00600543" w:rsidRDefault="00600543" w:rsidP="00600543">
      <w:pPr>
        <w:numPr>
          <w:ilvl w:val="0"/>
          <w:numId w:val="25"/>
        </w:numPr>
      </w:pPr>
      <w:r>
        <w:t>In this section we provide further support for our position on the utilisation rate. In particular, we:</w:t>
      </w:r>
    </w:p>
    <w:p w:rsidR="00600543" w:rsidRPr="00600543" w:rsidRDefault="00600543" w:rsidP="00600543">
      <w:pPr>
        <w:pStyle w:val="AERbulletlistfirststyle"/>
      </w:pPr>
      <w:r>
        <w:t>explain how our position is consistent with the basis of the building block framework, and</w:t>
      </w:r>
    </w:p>
    <w:p w:rsidR="00600543" w:rsidRPr="00600543" w:rsidRDefault="00600543" w:rsidP="00600543">
      <w:pPr>
        <w:pStyle w:val="AERbulletlistfirststyle"/>
      </w:pPr>
      <w:r>
        <w:t>contrast our position with that of the service providers, including with reference to factors they considered should be reflected in the utilisation rate.</w:t>
      </w:r>
    </w:p>
    <w:p w:rsidR="00600543" w:rsidRDefault="00600543" w:rsidP="00600543">
      <w:pPr>
        <w:pStyle w:val="Heading9"/>
      </w:pPr>
      <w:bookmarkStart w:id="62" w:name="_Ref401748758"/>
      <w:r w:rsidRPr="00600543">
        <w:t>Consistency</w:t>
      </w:r>
      <w:r>
        <w:t xml:space="preserve"> with the building block framework</w:t>
      </w:r>
      <w:bookmarkEnd w:id="62"/>
    </w:p>
    <w:p w:rsidR="00600543" w:rsidRDefault="00600543" w:rsidP="000515FE">
      <w:pPr>
        <w:numPr>
          <w:ilvl w:val="0"/>
          <w:numId w:val="25"/>
        </w:numPr>
      </w:pPr>
      <w:r>
        <w:t xml:space="preserve">To be consistent with the building block framework, the utilisation rate should reflect the before-personal-tax and before-personal-costs value of imputation credits to investors. </w:t>
      </w:r>
      <w:r w:rsidR="006B1012">
        <w:t>In a before-personal-tax and before-personal-costs framework</w:t>
      </w:r>
      <w:r>
        <w:t>, an investor that is eligible to fully utilise imputation credits should value each dollar of imputation credits received at one dollar (that is, have a utilisation rate of 1).</w:t>
      </w:r>
    </w:p>
    <w:p w:rsidR="00600543" w:rsidRDefault="00600543" w:rsidP="00600543">
      <w:pPr>
        <w:numPr>
          <w:ilvl w:val="0"/>
          <w:numId w:val="25"/>
        </w:numPr>
      </w:pPr>
      <w:r>
        <w:t>This consideration is supported by Handley's advice on the basis of the regulatory (building block) framework:</w:t>
      </w:r>
      <w:r>
        <w:rPr>
          <w:rStyle w:val="FootnoteReference"/>
        </w:rPr>
        <w:footnoteReference w:id="161"/>
      </w:r>
      <w:r>
        <w:t xml:space="preserve"> </w:t>
      </w:r>
    </w:p>
    <w:p w:rsidR="00600543" w:rsidRPr="000F6886" w:rsidRDefault="00600543" w:rsidP="00600543">
      <w:pPr>
        <w:pStyle w:val="AERquote"/>
      </w:pPr>
      <w:r w:rsidRPr="000F6886">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600543" w:rsidRDefault="00600543" w:rsidP="00600543">
      <w:pPr>
        <w:numPr>
          <w:ilvl w:val="0"/>
          <w:numId w:val="25"/>
        </w:numPr>
      </w:pPr>
      <w:r>
        <w:t>Handley also referred specifically to the basis on which the utilisation rate should be estimated:</w:t>
      </w:r>
      <w:r>
        <w:rPr>
          <w:rStyle w:val="FootnoteReference"/>
        </w:rPr>
        <w:footnoteReference w:id="162"/>
      </w:r>
    </w:p>
    <w:p w:rsidR="00600543" w:rsidRDefault="00600543" w:rsidP="00600543">
      <w:pPr>
        <w:pStyle w:val="AERquote"/>
      </w:pPr>
      <w:r>
        <w:t xml:space="preserve">Since </w:t>
      </w:r>
      <w:r w:rsidRPr="00FB6C1B">
        <w:t>the objective is to estimate the after-company-before-pers</w:t>
      </w:r>
      <w:r>
        <w:t xml:space="preserve">onal-tax value of a distributed </w:t>
      </w:r>
      <w:r w:rsidRPr="00FB6C1B">
        <w:t xml:space="preserve">imputation credit and also to avoid compensating the </w:t>
      </w:r>
      <w:r>
        <w:t xml:space="preserve">regulated firm for transactions </w:t>
      </w:r>
      <w:r w:rsidRPr="00FB6C1B">
        <w:t>costs incurred at the shareholder level then the pa</w:t>
      </w:r>
      <w:r>
        <w:t xml:space="preserve">rticular estimation methodology </w:t>
      </w:r>
      <w:r w:rsidRPr="00FB6C1B">
        <w:t>should allow for these factors – in other words, ideal</w:t>
      </w:r>
      <w:r>
        <w:t xml:space="preserve">ly we want the value of credits </w:t>
      </w:r>
      <w:r w:rsidRPr="00FB6C1B">
        <w:t>before administrative costs, personal taxes and diversification costs.</w:t>
      </w:r>
    </w:p>
    <w:p w:rsidR="00DD577F" w:rsidRDefault="002D637F" w:rsidP="00600543">
      <w:r>
        <w:lastRenderedPageBreak/>
        <w:t xml:space="preserve">The service providers </w:t>
      </w:r>
      <w:r w:rsidR="009673FC">
        <w:t>consider</w:t>
      </w:r>
      <w:r>
        <w:t xml:space="preserve"> our interpretation of the utilisation rate conceptually incorrect and inconsistent with the requirements of the NER/NGR.</w:t>
      </w:r>
      <w:r>
        <w:rPr>
          <w:rStyle w:val="FootnoteReference"/>
        </w:rPr>
        <w:footnoteReference w:id="163"/>
      </w:r>
      <w:r w:rsidR="007017ED">
        <w:t xml:space="preserve"> Specifically, the service providers </w:t>
      </w:r>
      <w:r w:rsidR="004A726F">
        <w:t>submitted</w:t>
      </w:r>
      <w:r w:rsidR="007017ED">
        <w:t>:</w:t>
      </w:r>
      <w:r w:rsidR="007017ED">
        <w:rPr>
          <w:rStyle w:val="FootnoteReference"/>
        </w:rPr>
        <w:footnoteReference w:id="164"/>
      </w:r>
    </w:p>
    <w:p w:rsidR="007017ED" w:rsidRDefault="004A726F" w:rsidP="004A726F">
      <w:pPr>
        <w:pStyle w:val="AERquote"/>
      </w:pPr>
      <w:r w:rsidRPr="004A726F">
        <w:t>It is certainly true that theta must reflect the value of imputation credits to investors. However</w:t>
      </w:r>
      <w:r>
        <w:t xml:space="preserve"> it is </w:t>
      </w:r>
      <w:r w:rsidRPr="004A726F">
        <w:t>unusual for theta to be defined in a way that excludes the effect of certain factors that may impact on</w:t>
      </w:r>
      <w:r>
        <w:t xml:space="preserve"> </w:t>
      </w:r>
      <w:r w:rsidRPr="004A726F">
        <w:t>value (and which will be reflected in market value measures), such as personal costs.</w:t>
      </w:r>
    </w:p>
    <w:p w:rsidR="00E86394" w:rsidRDefault="00E86394" w:rsidP="00600543">
      <w:r>
        <w:t>We</w:t>
      </w:r>
      <w:r w:rsidR="004A726F">
        <w:t xml:space="preserve"> disagree. We consider that our approach is consistent with the NER/NGR. We</w:t>
      </w:r>
      <w:r>
        <w:t xml:space="preserve"> have </w:t>
      </w:r>
      <w:r w:rsidR="00CF7CCA">
        <w:t xml:space="preserve">previously </w:t>
      </w:r>
      <w:r w:rsidR="001379E9">
        <w:t>noted</w:t>
      </w:r>
      <w:r>
        <w:t xml:space="preserve"> </w:t>
      </w:r>
      <w:r w:rsidR="00CF7CCA">
        <w:t>in</w:t>
      </w:r>
      <w:r>
        <w:t xml:space="preserve"> the Gu</w:t>
      </w:r>
      <w:r w:rsidR="00CF7CCA">
        <w:t>ideline</w:t>
      </w:r>
      <w:r w:rsidR="00D05C2A">
        <w:t xml:space="preserve"> and the draft decision</w:t>
      </w:r>
      <w:r w:rsidR="00895E9C">
        <w:t>s</w:t>
      </w:r>
      <w:r w:rsidR="002339AE">
        <w:t>, and maintain in this final decision,</w:t>
      </w:r>
      <w:r w:rsidR="00CF7CCA">
        <w:t xml:space="preserve"> that the Officer framework provides the basis for the rate of return framework in the NER/NGR.</w:t>
      </w:r>
      <w:r w:rsidR="00CF7CCA">
        <w:rPr>
          <w:rStyle w:val="FootnoteReference"/>
        </w:rPr>
        <w:footnoteReference w:id="165"/>
      </w:r>
      <w:r w:rsidR="00CF7CCA">
        <w:t xml:space="preserve"> This</w:t>
      </w:r>
      <w:r w:rsidR="00C34462">
        <w:t xml:space="preserve"> point</w:t>
      </w:r>
      <w:r w:rsidR="00CF7CCA">
        <w:t xml:space="preserve"> has not been contested by the service providers or their consultants.</w:t>
      </w:r>
      <w:r w:rsidR="00364352">
        <w:t xml:space="preserve"> </w:t>
      </w:r>
      <w:r w:rsidR="007017ED">
        <w:t>If the Officer framework provides the basis for the rate of return fr</w:t>
      </w:r>
      <w:r w:rsidR="00B07419">
        <w:t>amework</w:t>
      </w:r>
      <w:r w:rsidR="00C34462">
        <w:t xml:space="preserve"> in the NER/NGR</w:t>
      </w:r>
      <w:r w:rsidR="00B07419">
        <w:t>, then it is reasonable</w:t>
      </w:r>
      <w:r w:rsidR="00B07419">
        <w:rPr>
          <w:rFonts w:cs="Arial"/>
        </w:rPr>
        <w:t>—</w:t>
      </w:r>
      <w:r w:rsidR="00B07419">
        <w:t>if not necessary</w:t>
      </w:r>
      <w:r w:rsidR="00B07419">
        <w:rPr>
          <w:rFonts w:cs="Arial"/>
        </w:rPr>
        <w:t>—</w:t>
      </w:r>
      <w:r w:rsidR="007017ED">
        <w:t xml:space="preserve">to estimate gamma in a manner consistent with Officer. </w:t>
      </w:r>
      <w:r w:rsidR="004A726F">
        <w:t>Therefore</w:t>
      </w:r>
      <w:r w:rsidR="00B07419">
        <w:t xml:space="preserve">, </w:t>
      </w:r>
      <w:r w:rsidR="00925205">
        <w:t xml:space="preserve">we have considered whether </w:t>
      </w:r>
      <w:r w:rsidR="00B07419">
        <w:t>Officer's framework</w:t>
      </w:r>
      <w:r w:rsidR="00D05C2A">
        <w:t xml:space="preserve"> is</w:t>
      </w:r>
      <w:r w:rsidR="00B07419">
        <w:t xml:space="preserve"> </w:t>
      </w:r>
      <w:r w:rsidR="00F77A67">
        <w:t xml:space="preserve">intended to reflect </w:t>
      </w:r>
      <w:r w:rsidR="00D05C2A">
        <w:t>factors</w:t>
      </w:r>
      <w:r w:rsidR="00925205">
        <w:t xml:space="preserve"> such as personal taxes and personal costs</w:t>
      </w:r>
      <w:r w:rsidR="00F77A67">
        <w:t xml:space="preserve"> when determining the rate of return. Handley's advice is that it is not. </w:t>
      </w:r>
      <w:r w:rsidR="00646595">
        <w:t xml:space="preserve">SFG disagrees, but as discussed in section </w:t>
      </w:r>
      <w:r w:rsidR="00646595">
        <w:fldChar w:fldCharType="begin"/>
      </w:r>
      <w:r w:rsidR="00646595">
        <w:instrText xml:space="preserve"> REF _Ref414028398 \r \h </w:instrText>
      </w:r>
      <w:r w:rsidR="00646595">
        <w:fldChar w:fldCharType="separate"/>
      </w:r>
      <w:r w:rsidR="003F0AA6">
        <w:t>A.7.3</w:t>
      </w:r>
      <w:r w:rsidR="00646595">
        <w:fldChar w:fldCharType="end"/>
      </w:r>
      <w:r w:rsidR="00646595">
        <w:t>, SFG's interpretation</w:t>
      </w:r>
      <w:r w:rsidR="00F04FB9">
        <w:t xml:space="preserve"> is unconvincing to us</w:t>
      </w:r>
      <w:r w:rsidR="00646595">
        <w:t>.</w:t>
      </w:r>
    </w:p>
    <w:p w:rsidR="00F11DE9" w:rsidRDefault="00B07419" w:rsidP="00F11DE9">
      <w:r>
        <w:t>Put another way, our approach to estimating the value of imputation credits recognises that this parameter does not exist in iso</w:t>
      </w:r>
      <w:r w:rsidR="00446B6C">
        <w:t xml:space="preserve">lation. That is, the NER/NGR employ the building block framework to determine </w:t>
      </w:r>
      <w:r w:rsidR="0011669D">
        <w:t>a</w:t>
      </w:r>
      <w:r w:rsidR="00D712D1">
        <w:t xml:space="preserve"> revenue allowance</w:t>
      </w:r>
      <w:r w:rsidR="0011669D">
        <w:t xml:space="preserve"> </w:t>
      </w:r>
      <w:r w:rsidR="0062492D">
        <w:t>that</w:t>
      </w:r>
      <w:r w:rsidR="0011669D">
        <w:t xml:space="preserve"> </w:t>
      </w:r>
      <w:r w:rsidR="006508E8">
        <w:t>contributes to the achievement of</w:t>
      </w:r>
      <w:r w:rsidR="0011669D">
        <w:t xml:space="preserve"> the NEO/NGO</w:t>
      </w:r>
      <w:r w:rsidR="00D712D1">
        <w:t>. T</w:t>
      </w:r>
      <w:r w:rsidR="00446B6C">
        <w:t>he building block framework employs the Officer framework to determine a</w:t>
      </w:r>
      <w:r w:rsidR="006508E8">
        <w:t xml:space="preserve"> </w:t>
      </w:r>
      <w:r w:rsidR="00446B6C">
        <w:t>rate of return</w:t>
      </w:r>
      <w:r w:rsidR="0011669D">
        <w:t xml:space="preserve"> that contributes to meeting the NEO/NGO</w:t>
      </w:r>
      <w:r w:rsidR="00D05C2A">
        <w:t>, and gamma forms part of the Officer framework</w:t>
      </w:r>
      <w:r w:rsidR="00446B6C">
        <w:t xml:space="preserve">. </w:t>
      </w:r>
      <w:r w:rsidR="00E21F6C">
        <w:t>We consider that proper regard to the NER/NGR</w:t>
      </w:r>
      <w:r w:rsidR="001D62E9">
        <w:t>'s use of the Officer framework</w:t>
      </w:r>
      <w:r w:rsidR="00E21F6C">
        <w:t xml:space="preserve"> best promotes the </w:t>
      </w:r>
      <w:r w:rsidR="0011669D">
        <w:t xml:space="preserve">objectives and </w:t>
      </w:r>
      <w:r w:rsidR="00E21F6C">
        <w:t xml:space="preserve">requirements of the NER/NGR. </w:t>
      </w:r>
    </w:p>
    <w:p w:rsidR="00091B15" w:rsidRDefault="00F56EED" w:rsidP="00091B15">
      <w:pPr>
        <w:pStyle w:val="Heading9"/>
      </w:pPr>
      <w:bookmarkStart w:id="63" w:name="_Ref414099389"/>
      <w:r>
        <w:t>Factors affecting investors' valuation of imputation credits</w:t>
      </w:r>
      <w:bookmarkEnd w:id="63"/>
    </w:p>
    <w:p w:rsidR="00EB1D7C" w:rsidRDefault="000515FE" w:rsidP="003C23B4">
      <w:r>
        <w:t>The service providers submitted that estimates of the utilisation rate from the equity ownership approach and tax statistics do not reflect a number of factors which affect investors' valuation of imputation credits.</w:t>
      </w:r>
      <w:r>
        <w:rPr>
          <w:rStyle w:val="FootnoteReference"/>
        </w:rPr>
        <w:footnoteReference w:id="166"/>
      </w:r>
      <w:r>
        <w:t xml:space="preserve"> We addressed each of these factors in our draft </w:t>
      </w:r>
      <w:r>
        <w:lastRenderedPageBreak/>
        <w:t>decision</w:t>
      </w:r>
      <w:r w:rsidR="00895E9C">
        <w:t>s</w:t>
      </w:r>
      <w:r>
        <w:t>, and concluded that they are either immaterial or should not be accounted for when estimating the properly defined utilisation rate. Nothing in the service providers' revised proposals give us cause to change this conclusion.</w:t>
      </w:r>
    </w:p>
    <w:p w:rsidR="00D52BA6" w:rsidRDefault="00D52BA6" w:rsidP="00D52BA6">
      <w:pPr>
        <w:pStyle w:val="HeadingBoldBlue"/>
        <w:numPr>
          <w:ilvl w:val="0"/>
          <w:numId w:val="25"/>
        </w:numPr>
      </w:pPr>
      <w:r>
        <w:t>The 45-day holding rule</w:t>
      </w:r>
    </w:p>
    <w:p w:rsidR="00D52BA6" w:rsidRDefault="00D52BA6" w:rsidP="00D52BA6">
      <w:pPr>
        <w:numPr>
          <w:ilvl w:val="0"/>
          <w:numId w:val="25"/>
        </w:numPr>
      </w:pPr>
      <w:r>
        <w:t>To be eligible to utilise imputation credits, an otherwise-eligible investor must have held the</w:t>
      </w:r>
      <w:r w:rsidRPr="0026243E">
        <w:t xml:space="preserve"> shares</w:t>
      </w:r>
      <w:r>
        <w:t xml:space="preserve"> that distributed the credits</w:t>
      </w:r>
      <w:r w:rsidRPr="0026243E">
        <w:t xml:space="preserve"> ‘at risk’ for at least 45 days (90 days for certain preference shares)</w:t>
      </w:r>
      <w:r>
        <w:t>.</w:t>
      </w:r>
      <w:r>
        <w:rPr>
          <w:rStyle w:val="FootnoteReference"/>
        </w:rPr>
        <w:footnoteReference w:id="167"/>
      </w:r>
      <w:r>
        <w:t xml:space="preserve"> However, this rule does not apply </w:t>
      </w:r>
      <w:r w:rsidRPr="00FD3209">
        <w:t xml:space="preserve">if </w:t>
      </w:r>
      <w:r>
        <w:t>the investor's</w:t>
      </w:r>
      <w:r w:rsidRPr="00FD3209">
        <w:t xml:space="preserve"> total credit entitlement is below $5,000</w:t>
      </w:r>
      <w:r>
        <w:t xml:space="preserve">. </w:t>
      </w:r>
    </w:p>
    <w:p w:rsidR="00D52BA6" w:rsidRDefault="00D52BA6" w:rsidP="00D52BA6">
      <w:pPr>
        <w:numPr>
          <w:ilvl w:val="0"/>
          <w:numId w:val="25"/>
        </w:numPr>
      </w:pPr>
      <w:r>
        <w:t>The service providers stated:</w:t>
      </w:r>
      <w:r>
        <w:rPr>
          <w:rStyle w:val="FootnoteReference"/>
        </w:rPr>
        <w:footnoteReference w:id="168"/>
      </w:r>
    </w:p>
    <w:p w:rsidR="00D52BA6" w:rsidRDefault="00D52BA6" w:rsidP="00D52BA6">
      <w:pPr>
        <w:pStyle w:val="AERquote"/>
      </w:pPr>
      <w:r>
        <w:t>It has been estimated that the 45-day rule has about a 5-10% impact on the redemption rate.</w:t>
      </w:r>
    </w:p>
    <w:p w:rsidR="00D52BA6" w:rsidRDefault="00D52BA6" w:rsidP="00D52BA6">
      <w:pPr>
        <w:numPr>
          <w:ilvl w:val="0"/>
          <w:numId w:val="25"/>
        </w:numPr>
      </w:pPr>
      <w:r>
        <w:t>The source of this estimate is a 2010 paper by Handley. The relevant passage from this paper is:</w:t>
      </w:r>
      <w:r>
        <w:rPr>
          <w:rStyle w:val="FootnoteReference"/>
        </w:rPr>
        <w:footnoteReference w:id="169"/>
      </w:r>
    </w:p>
    <w:p w:rsidR="00D52BA6" w:rsidRDefault="00D52BA6" w:rsidP="00D52BA6">
      <w:pPr>
        <w:pStyle w:val="AERquote"/>
      </w:pPr>
      <w:r w:rsidRPr="00E23E1D">
        <w:t>Post 1 July 2000, [Handley and Mahesw</w:t>
      </w:r>
      <w:r>
        <w:t>aran in their 2008 paper</w:t>
      </w:r>
      <w:r w:rsidRPr="00E23E1D">
        <w:t xml:space="preserve">] assume full utilization of credits by resident individuals since excess credits were refundable from that time. It is of course likely that the actual utilization rate would be somewhat lower due to for example, “investor irrationality” and the impact of the 45 day rule but any 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w:t>
      </w:r>
      <w:r>
        <w:t>[Handley and Maheswaran]</w:t>
      </w:r>
      <w:r w:rsidRPr="00E23E1D">
        <w:t xml:space="preserve">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w:t>
      </w:r>
      <w:r>
        <w:t xml:space="preserve"> </w:t>
      </w:r>
      <w:r w:rsidRPr="00E23E1D">
        <w:t>5-10% impact on the utilisation rate.</w:t>
      </w:r>
      <w:r w:rsidR="005E5FA5">
        <w:t>)</w:t>
      </w:r>
    </w:p>
    <w:p w:rsidR="00D52BA6" w:rsidRDefault="00D52BA6" w:rsidP="00D52BA6">
      <w:pPr>
        <w:numPr>
          <w:ilvl w:val="0"/>
          <w:numId w:val="25"/>
        </w:numPr>
      </w:pPr>
      <w:r>
        <w:t>Thus,</w:t>
      </w:r>
      <w:r w:rsidR="00D712D1">
        <w:t xml:space="preserve"> it seems the service providers' submission </w:t>
      </w:r>
      <w:r w:rsidR="00F70E61">
        <w:t xml:space="preserve">as to the impact of the 45-day holding rule misinterprets the source data upon which it relies, being </w:t>
      </w:r>
      <w:r>
        <w:t xml:space="preserve">Handley and Maheswaran's 2008 paper. </w:t>
      </w:r>
      <w:r w:rsidR="00F70E61">
        <w:t>I</w:t>
      </w:r>
      <w:r>
        <w:t xml:space="preserve">t does not appear </w:t>
      </w:r>
      <w:r w:rsidRPr="00E23E1D">
        <w:t>that Handley ever intended the 5 to 10 per cent figure to be considered a point estimate of the effect of the 45</w:t>
      </w:r>
      <w:r>
        <w:t>-</w:t>
      </w:r>
      <w:r w:rsidRPr="00E23E1D">
        <w:t xml:space="preserve">day holding rule. Rather, we consider that it </w:t>
      </w:r>
      <w:r>
        <w:t>was</w:t>
      </w:r>
      <w:r w:rsidRPr="00E23E1D">
        <w:t xml:space="preserve"> presented as a ‘guide’ to the maximum theoretical effect of the rule’s operation as </w:t>
      </w:r>
      <w:r w:rsidRPr="00E23E1D">
        <w:lastRenderedPageBreak/>
        <w:t>indicated by the analysis conducted in Handley and Maheswaran. Our interpretation of Handley’s intention is supported by the fact that in their paper Handley and Ma</w:t>
      </w:r>
      <w:r>
        <w:t>heswaran consider the post-</w:t>
      </w:r>
      <w:r w:rsidRPr="00E23E1D">
        <w:t xml:space="preserve">2000 utilisation rate to be </w:t>
      </w:r>
      <w:r>
        <w:t>1.</w:t>
      </w:r>
      <w:r w:rsidRPr="00E23E1D">
        <w:t xml:space="preserve"> </w:t>
      </w:r>
      <w:r>
        <w:t>That</w:t>
      </w:r>
      <w:r w:rsidRPr="00E23E1D">
        <w:t xml:space="preserve"> is, we consider that if Handley and Maheswaran had available to them a reliable estimate of the effect of the 45</w:t>
      </w:r>
      <w:r>
        <w:t>-</w:t>
      </w:r>
      <w:r w:rsidRPr="00E23E1D">
        <w:t xml:space="preserve">day holding rule, then they would have used it. </w:t>
      </w:r>
      <w:r>
        <w:t>As Handley stated in his 2010 paper, he 'is not aware of any data on the extent to which credits have been denied pursuant to this rule'.</w:t>
      </w:r>
      <w:r>
        <w:rPr>
          <w:rStyle w:val="FootnoteReference"/>
        </w:rPr>
        <w:footnoteReference w:id="170"/>
      </w:r>
      <w:r w:rsidR="00106C16">
        <w:t xml:space="preserve"> Handley maintained this view in his April 2015 report.</w:t>
      </w:r>
      <w:r w:rsidR="00106C16">
        <w:rPr>
          <w:rStyle w:val="FootnoteReference"/>
        </w:rPr>
        <w:footnoteReference w:id="171"/>
      </w:r>
    </w:p>
    <w:p w:rsidR="00D52BA6" w:rsidRDefault="00D52BA6" w:rsidP="00D52BA6">
      <w:pPr>
        <w:numPr>
          <w:ilvl w:val="0"/>
          <w:numId w:val="25"/>
        </w:numPr>
      </w:pPr>
      <w:r>
        <w:t>It is also appears from the above quote that Handley and Maheswaran considered that, if anything, the 5 to 10 per cent estimate would be an overestimate of the impact of the 45 day rule. This is because they attribute the full underutilisation of credits in 1998, 1999 and 2000 to the 45 day rule. However, they also note that, in reality, part of this underutilisation would reflect that credits for eligible investors that did not have a tax liability were not refundable in those years (whereas they are now refundable for cash).</w:t>
      </w:r>
    </w:p>
    <w:p w:rsidR="00D52BA6" w:rsidRDefault="00D52BA6" w:rsidP="003D495E">
      <w:pPr>
        <w:numPr>
          <w:ilvl w:val="0"/>
          <w:numId w:val="25"/>
        </w:numPr>
      </w:pPr>
      <w:r>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Pr>
          <w:rStyle w:val="FootnoteReference"/>
        </w:rPr>
        <w:footnoteReference w:id="172"/>
      </w:r>
      <w:r>
        <w:t xml:space="preserve"> We know that the amount of imputation credits attached to a dollar of fully franked dividends is $0.43 ($1 x 0.3/(1–0.3)).</w:t>
      </w:r>
      <w:r w:rsidR="00D712D1">
        <w:rPr>
          <w:rStyle w:val="FootnoteReference"/>
        </w:rPr>
        <w:footnoteReference w:id="173"/>
      </w:r>
      <w:r>
        <w:t xml:space="preserve">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fldChar w:fldCharType="begin"/>
      </w:r>
      <w:r>
        <w:instrText xml:space="preserve"> REF _Ref401848641 \h </w:instrText>
      </w:r>
      <w:r>
        <w:fldChar w:fldCharType="separate"/>
      </w:r>
      <w:r w:rsidR="003F0AA6">
        <w:t xml:space="preserve">Table </w:t>
      </w:r>
      <w:r w:rsidR="003F0AA6">
        <w:rPr>
          <w:noProof/>
        </w:rPr>
        <w:t>4</w:t>
      </w:r>
      <w:r w:rsidR="003F0AA6">
        <w:noBreakHyphen/>
      </w:r>
      <w:r w:rsidR="003F0AA6">
        <w:rPr>
          <w:noProof/>
        </w:rPr>
        <w:t>6</w:t>
      </w:r>
      <w:r>
        <w:fldChar w:fldCharType="end"/>
      </w:r>
      <w:r>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Pr>
          <w:rStyle w:val="FootnoteReference"/>
        </w:rPr>
        <w:footnoteReference w:id="174"/>
      </w:r>
      <w:r>
        <w:t xml:space="preserve"> This suggests that the 45-day holding rule is not having a material effect.</w:t>
      </w:r>
    </w:p>
    <w:p w:rsidR="00D52BA6" w:rsidRDefault="00D52BA6" w:rsidP="00D52BA6">
      <w:pPr>
        <w:pStyle w:val="Caption"/>
      </w:pPr>
      <w:bookmarkStart w:id="64" w:name="_Ref401848641"/>
      <w:r>
        <w:lastRenderedPageBreak/>
        <w:t xml:space="preserve">Table </w:t>
      </w:r>
      <w:r w:rsidR="00332D56">
        <w:fldChar w:fldCharType="begin"/>
      </w:r>
      <w:r w:rsidR="00332D56">
        <w:instrText xml:space="preserve"> STYLEREF 1 \s </w:instrText>
      </w:r>
      <w:r w:rsidR="00332D56">
        <w:fldChar w:fldCharType="separate"/>
      </w:r>
      <w:r w:rsidR="003F0AA6">
        <w:rPr>
          <w:noProof/>
        </w:rPr>
        <w:t>4</w:t>
      </w:r>
      <w:r w:rsidR="00332D56">
        <w:rPr>
          <w:noProof/>
        </w:rPr>
        <w:fldChar w:fldCharType="end"/>
      </w:r>
      <w:r w:rsidR="00257FBE">
        <w:noBreakHyphen/>
      </w:r>
      <w:r w:rsidR="00332D56">
        <w:fldChar w:fldCharType="begin"/>
      </w:r>
      <w:r w:rsidR="00332D56">
        <w:instrText xml:space="preserve"> SEQ Table \* ARABIC \s 1 </w:instrText>
      </w:r>
      <w:r w:rsidR="00332D56">
        <w:fldChar w:fldCharType="separate"/>
      </w:r>
      <w:r w:rsidR="003F0AA6">
        <w:rPr>
          <w:noProof/>
        </w:rPr>
        <w:t>6</w:t>
      </w:r>
      <w:r w:rsidR="00332D56">
        <w:rPr>
          <w:noProof/>
        </w:rPr>
        <w:fldChar w:fldCharType="end"/>
      </w:r>
      <w:bookmarkEnd w:id="64"/>
      <w:r>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D52BA6" w:rsidTr="000D21E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p>
        </w:tc>
        <w:tc>
          <w:tcPr>
            <w:tcW w:w="2712" w:type="dxa"/>
          </w:tcPr>
          <w:p w:rsidR="00D52BA6" w:rsidRDefault="00D52BA6" w:rsidP="00242C5C">
            <w:pPr>
              <w:keepNext/>
              <w:numPr>
                <w:ilvl w:val="0"/>
                <w:numId w:val="25"/>
              </w:numPr>
              <w:cnfStyle w:val="100000000000" w:firstRow="1" w:lastRow="0" w:firstColumn="0" w:lastColumn="0" w:oddVBand="0" w:evenVBand="0" w:oddHBand="0" w:evenHBand="0" w:firstRowFirstColumn="0" w:firstRowLastColumn="0" w:lastRowFirstColumn="0" w:lastRowLastColumn="0"/>
            </w:pPr>
            <w:r>
              <w:t>Individuals</w:t>
            </w:r>
          </w:p>
        </w:tc>
        <w:tc>
          <w:tcPr>
            <w:tcW w:w="2713" w:type="dxa"/>
          </w:tcPr>
          <w:p w:rsidR="00D52BA6" w:rsidRDefault="00D52BA6" w:rsidP="00242C5C">
            <w:pPr>
              <w:keepNext/>
              <w:numPr>
                <w:ilvl w:val="0"/>
                <w:numId w:val="25"/>
              </w:numPr>
              <w:cnfStyle w:val="100000000000" w:firstRow="1" w:lastRow="0" w:firstColumn="0" w:lastColumn="0" w:oddVBand="0" w:evenVBand="0" w:oddHBand="0" w:evenHBand="0" w:firstRowFirstColumn="0" w:firstRowLastColumn="0" w:lastRowFirstColumn="0" w:lastRowLastColumn="0"/>
            </w:pPr>
            <w:r>
              <w:t>Superannuation funds</w:t>
            </w:r>
          </w:p>
        </w:tc>
      </w:tr>
      <w:tr w:rsidR="00D52BA6" w:rsidTr="000D21E6">
        <w:trPr>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r>
              <w:t>Fully franked dividends received</w:t>
            </w:r>
          </w:p>
        </w:tc>
        <w:tc>
          <w:tcPr>
            <w:tcW w:w="2712"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188.1</w:t>
            </w:r>
          </w:p>
        </w:tc>
        <w:tc>
          <w:tcPr>
            <w:tcW w:w="2713"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84.8</w:t>
            </w:r>
          </w:p>
        </w:tc>
      </w:tr>
      <w:tr w:rsidR="00D52BA6" w:rsidTr="000D21E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Pr="005646B3" w:rsidRDefault="00D52BA6" w:rsidP="00242C5C">
            <w:pPr>
              <w:keepNext/>
              <w:numPr>
                <w:ilvl w:val="0"/>
                <w:numId w:val="25"/>
              </w:numPr>
              <w:rPr>
                <w:rStyle w:val="AERtextitalic"/>
              </w:rPr>
            </w:pPr>
            <w:r w:rsidRPr="005646B3">
              <w:rPr>
                <w:rStyle w:val="AERtextitalic"/>
              </w:rPr>
              <w:t>Implied imputation credits received</w:t>
            </w:r>
          </w:p>
        </w:tc>
        <w:tc>
          <w:tcPr>
            <w:tcW w:w="2712" w:type="dxa"/>
          </w:tcPr>
          <w:p w:rsidR="00D52BA6" w:rsidRPr="005646B3" w:rsidRDefault="00D52BA6" w:rsidP="00242C5C">
            <w:pPr>
              <w:keepNext/>
              <w:numPr>
                <w:ilvl w:val="0"/>
                <w:numId w:val="25"/>
              </w:numPr>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80.6</w:t>
            </w:r>
          </w:p>
        </w:tc>
        <w:tc>
          <w:tcPr>
            <w:tcW w:w="2713" w:type="dxa"/>
          </w:tcPr>
          <w:p w:rsidR="00D52BA6" w:rsidRPr="005646B3" w:rsidRDefault="00D52BA6" w:rsidP="00242C5C">
            <w:pPr>
              <w:keepNext/>
              <w:numPr>
                <w:ilvl w:val="0"/>
                <w:numId w:val="25"/>
              </w:numPr>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36.3</w:t>
            </w:r>
          </w:p>
        </w:tc>
      </w:tr>
      <w:tr w:rsidR="00D52BA6" w:rsidTr="000D21E6">
        <w:trPr>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r>
              <w:t>Imputation credits utilised</w:t>
            </w:r>
          </w:p>
        </w:tc>
        <w:tc>
          <w:tcPr>
            <w:tcW w:w="2712"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81.2</w:t>
            </w:r>
          </w:p>
        </w:tc>
        <w:tc>
          <w:tcPr>
            <w:tcW w:w="2713"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36.2</w:t>
            </w:r>
          </w:p>
        </w:tc>
      </w:tr>
    </w:tbl>
    <w:p w:rsidR="00D52BA6" w:rsidRDefault="00D52BA6" w:rsidP="00D52BA6">
      <w:pPr>
        <w:pStyle w:val="AERtablesource"/>
      </w:pPr>
      <w:r>
        <w:t xml:space="preserve">Source: </w:t>
      </w:r>
      <w:r>
        <w:tab/>
      </w:r>
      <w:r w:rsidRPr="000757ED">
        <w:t xml:space="preserve">N. Hathaway, </w:t>
      </w:r>
      <w:r w:rsidRPr="000757ED">
        <w:rPr>
          <w:rStyle w:val="AERtextitalic"/>
        </w:rPr>
        <w:t>Imputation credit redemption ATO data 1988–2011: Where have all the credits gone?</w:t>
      </w:r>
      <w:r w:rsidRPr="000757ED">
        <w:t>, September 2013</w:t>
      </w:r>
      <w:r>
        <w:t>; AER analysis.</w:t>
      </w:r>
    </w:p>
    <w:p w:rsidR="005E65FB" w:rsidRDefault="00D52BA6" w:rsidP="00D52BA6">
      <w:r>
        <w:t xml:space="preserve">Based on these considerations, </w:t>
      </w:r>
      <w:r w:rsidR="0033341B">
        <w:t>it seems</w:t>
      </w:r>
      <w:r>
        <w:t xml:space="preserve"> that the 45-day holding rule does not appear to have a material effect on the utilisation rate.</w:t>
      </w:r>
      <w:r w:rsidR="00631904">
        <w:t xml:space="preserve"> The analysis above was presented in our draft decisions, but the service providers did not comment on it in their revised proposals. Instead, </w:t>
      </w:r>
      <w:r w:rsidR="007D3EF5">
        <w:t>they</w:t>
      </w:r>
      <w:r w:rsidR="008F5443">
        <w:t xml:space="preserve"> submitted:</w:t>
      </w:r>
      <w:r w:rsidR="003E4445">
        <w:rPr>
          <w:rStyle w:val="FootnoteReference"/>
        </w:rPr>
        <w:footnoteReference w:id="175"/>
      </w:r>
    </w:p>
    <w:p w:rsidR="008F5443" w:rsidRDefault="008F5443" w:rsidP="008F5443">
      <w:pPr>
        <w:pStyle w:val="AERquote"/>
      </w:pPr>
      <w:r>
        <w:t>The AER seeks to dismiss the impact of tax rules affecting eligibility of domestic investors to redeem imputation credits by saying that:</w:t>
      </w:r>
    </w:p>
    <w:p w:rsidR="008F5443" w:rsidRDefault="00755AD8" w:rsidP="008F5443">
      <w:pPr>
        <w:pStyle w:val="AERquoteindent2"/>
      </w:pPr>
      <w:r>
        <w:t>“</w:t>
      </w:r>
      <w:r w:rsidR="008F5443">
        <w:t>…we do not consider that there is clear evidence as to effect that these rules have or should be expected to have.</w:t>
      </w:r>
      <w:r>
        <w:t>”</w:t>
      </w:r>
    </w:p>
    <w:p w:rsidR="008F5443" w:rsidRDefault="00BE5924" w:rsidP="008F5443">
      <w:pPr>
        <w:pStyle w:val="AERquote"/>
      </w:pPr>
      <w:r>
        <w:t>…</w:t>
      </w:r>
      <w:r w:rsidR="0005367F">
        <w:t>[we do]</w:t>
      </w:r>
      <w:r w:rsidR="008F5443">
        <w:t xml:space="preserve"> not consider that there must be "clear evidence" as to the effect of particular tax rules in order for these to be taken into account. The fact is that these rules exist and that they will affect the eligibility of certain domestic investors to redeem imputation credits.</w:t>
      </w:r>
    </w:p>
    <w:p w:rsidR="0024692C" w:rsidRPr="0024692C" w:rsidRDefault="003D173A" w:rsidP="003D173A">
      <w:pPr>
        <w:pStyle w:val="AERquote"/>
      </w:pPr>
      <w:r>
        <w:t>In any event, the fact that the redemption rate indicated by tax statistics is significantly below the domestic equity ownership rate does indicate that these tax rules (and possibly other factors as discussed below) are affecting domestic investors' ability to redeem imputation credits. As the AER observes, the redemption rate indicated by tax statistics is approximately</w:t>
      </w:r>
      <w:r w:rsidR="000B7BB5">
        <w:t xml:space="preserve"> 0.43, which is well below the domestic equity ownership rate for all equity.</w:t>
      </w:r>
    </w:p>
    <w:p w:rsidR="00150117" w:rsidRDefault="00E05D4A" w:rsidP="0005367F">
      <w:r>
        <w:t xml:space="preserve">We do not consider that this represents clear evidence as to the effect of the 45-day rule and other tax rules. </w:t>
      </w:r>
      <w:r w:rsidR="00C56D48">
        <w:t xml:space="preserve">Firstly, the service providers' approach </w:t>
      </w:r>
      <w:r>
        <w:t>does not contemplate error or inaccuracy in th</w:t>
      </w:r>
      <w:r w:rsidR="003E2CFF">
        <w:t xml:space="preserve">e tax statistics. In section </w:t>
      </w:r>
      <w:r w:rsidR="003E2CFF">
        <w:fldChar w:fldCharType="begin"/>
      </w:r>
      <w:r w:rsidR="003E2CFF">
        <w:instrText xml:space="preserve"> REF _Ref414289593 \r \h </w:instrText>
      </w:r>
      <w:r w:rsidR="003E2CFF">
        <w:fldChar w:fldCharType="separate"/>
      </w:r>
      <w:r w:rsidR="003F0AA6">
        <w:t>4.4.2</w:t>
      </w:r>
      <w:r w:rsidR="003E2CFF">
        <w:fldChar w:fldCharType="end"/>
      </w:r>
      <w:r>
        <w:t>, we set out data concerns that exist regarding the tax statistics. Further, the service providers in their initial proposals submitted that no weight be placed on estimates of the utilisation rate from tax statistics because of significant unresolved problems with the data.</w:t>
      </w:r>
      <w:r>
        <w:rPr>
          <w:rStyle w:val="FootnoteReference"/>
        </w:rPr>
        <w:footnoteReference w:id="176"/>
      </w:r>
      <w:r>
        <w:t xml:space="preserve"> It is not clear from the service providers' revised proposals whether their view on tax statistics has changed or why.</w:t>
      </w:r>
    </w:p>
    <w:p w:rsidR="0005367F" w:rsidRDefault="00150117" w:rsidP="0005367F">
      <w:r>
        <w:lastRenderedPageBreak/>
        <w:t xml:space="preserve">Secondly, </w:t>
      </w:r>
      <w:r w:rsidR="00B545D7">
        <w:t xml:space="preserve">the service providers' conclusion is contradicted by the analysis of tax statistics we presented in the draft decisions and which we repeat above. The service providers </w:t>
      </w:r>
      <w:r w:rsidR="003F4E76">
        <w:t>did not comment</w:t>
      </w:r>
      <w:r w:rsidR="00B545D7">
        <w:t xml:space="preserve"> on this analysis in their revised proposal</w:t>
      </w:r>
      <w:r w:rsidR="0081211C">
        <w:t>s</w:t>
      </w:r>
      <w:r w:rsidR="00B545D7">
        <w:t>.</w:t>
      </w:r>
    </w:p>
    <w:p w:rsidR="00A24531" w:rsidRDefault="00A24531" w:rsidP="00A24531">
      <w:pPr>
        <w:pStyle w:val="HeadingBoldBlue"/>
        <w:numPr>
          <w:ilvl w:val="0"/>
          <w:numId w:val="25"/>
        </w:numPr>
      </w:pPr>
      <w:bookmarkStart w:id="65" w:name="_Ref400540858"/>
      <w:r>
        <w:t>Transactions costs</w:t>
      </w:r>
      <w:bookmarkEnd w:id="65"/>
    </w:p>
    <w:p w:rsidR="00A24531" w:rsidRDefault="00A24531" w:rsidP="00A24531">
      <w:pPr>
        <w:numPr>
          <w:ilvl w:val="0"/>
          <w:numId w:val="25"/>
        </w:numPr>
      </w:pPr>
      <w:r>
        <w:t>The service providers submitted that the redemption of imputation credits may involve transactions costs, such as requirements to keep records and follow administrative processes.</w:t>
      </w:r>
      <w:r>
        <w:rPr>
          <w:rStyle w:val="FootnoteReference"/>
        </w:rPr>
        <w:footnoteReference w:id="177"/>
      </w:r>
      <w:r>
        <w:t xml:space="preserve"> The service providers also submitted that these transactions costs may dissuade some investors from redeeming (utilising) imputation credits.</w:t>
      </w:r>
    </w:p>
    <w:p w:rsidR="00A24531" w:rsidRDefault="00FD09CE" w:rsidP="00B749E0">
      <w:pPr>
        <w:numPr>
          <w:ilvl w:val="0"/>
          <w:numId w:val="25"/>
        </w:numPr>
      </w:pPr>
      <w:r>
        <w:t xml:space="preserve">Firstly, we note that </w:t>
      </w:r>
      <w:r w:rsidR="00A24531">
        <w:t>Handley advised that we specifically not take account of these costs:</w:t>
      </w:r>
      <w:r w:rsidR="00A24531">
        <w:rPr>
          <w:rStyle w:val="FootnoteReference"/>
        </w:rPr>
        <w:footnoteReference w:id="178"/>
      </w:r>
    </w:p>
    <w:p w:rsidR="00A24531" w:rsidRDefault="00A24531" w:rsidP="00A24531">
      <w:pPr>
        <w:pStyle w:val="AERquote"/>
      </w:pPr>
      <w:r>
        <w:t xml:space="preserve">Since </w:t>
      </w:r>
      <w:r w:rsidRPr="004F0391">
        <w:t>the objective is to estimate the after-company-before-pers</w:t>
      </w:r>
      <w:r>
        <w:t xml:space="preserve">onal-tax value of a distributed </w:t>
      </w:r>
      <w:r w:rsidRPr="004F0391">
        <w:t xml:space="preserve">imputation credit and also to avoid compensating the </w:t>
      </w:r>
      <w:r>
        <w:t xml:space="preserve">regulated firm for transactions </w:t>
      </w:r>
      <w:r w:rsidRPr="004F0391">
        <w:t>costs incurred at the shareholder level then the pa</w:t>
      </w:r>
      <w:r>
        <w:t xml:space="preserve">rticular estimation methodology </w:t>
      </w:r>
      <w:r w:rsidRPr="004F0391">
        <w:t>should allow for these factors – in other words, ideal</w:t>
      </w:r>
      <w:r>
        <w:t xml:space="preserve">ly we want the value of credits </w:t>
      </w:r>
      <w:r w:rsidRPr="004F0391">
        <w:t>before administrative costs, personal taxes and diversification costs.</w:t>
      </w:r>
    </w:p>
    <w:p w:rsidR="00A24531" w:rsidRDefault="00FD09CE" w:rsidP="00A24531">
      <w:pPr>
        <w:numPr>
          <w:ilvl w:val="0"/>
          <w:numId w:val="25"/>
        </w:numPr>
      </w:pPr>
      <w:r>
        <w:t>Secondly</w:t>
      </w:r>
      <w:r w:rsidR="00A24531">
        <w:t xml:space="preserve">, </w:t>
      </w:r>
      <w:r>
        <w:t>we are not convinced that</w:t>
      </w:r>
      <w:r w:rsidR="00A24531">
        <w:t xml:space="preserve"> transactions costs are likely to dissuade a material number of investors from redeeming imputation credits. Our considerations on this are as follows:</w:t>
      </w:r>
    </w:p>
    <w:p w:rsidR="00A24531" w:rsidRPr="00A24531" w:rsidRDefault="00A24531" w:rsidP="00A24531">
      <w:pPr>
        <w:pStyle w:val="AERbulletlistfirststyle"/>
      </w:pPr>
      <w:r>
        <w:t xml:space="preserve">When filling out a tax return, one is </w:t>
      </w:r>
      <w:r w:rsidRPr="00B85A95">
        <w:rPr>
          <w:rStyle w:val="AERtextitalic"/>
        </w:rPr>
        <w:t>required</w:t>
      </w:r>
      <w:r>
        <w:t xml:space="preserve"> to report the franked dividends received and the imputation credits that are eligible to be utilised.</w:t>
      </w:r>
      <w:r w:rsidRPr="00A24531">
        <w:rPr>
          <w:rStyle w:val="FootnoteReference"/>
        </w:rPr>
        <w:footnoteReference w:id="179"/>
      </w:r>
    </w:p>
    <w:p w:rsidR="00A24531" w:rsidRPr="00A24531" w:rsidRDefault="00A24531" w:rsidP="00A24531">
      <w:pPr>
        <w:pStyle w:val="AERbulletlistfirststyle"/>
      </w:pPr>
      <w:r>
        <w:t xml:space="preserve">Investors are already incurring the transactions costs associated with shareholding, and most would also be already incurring the transactions costs associated with completing a tax return. </w:t>
      </w:r>
      <w:r w:rsidRPr="00A24531">
        <w:t>This applies particularly to professional organisations, such as charities and superannuation funds, which we expect would utilise all imputation credits as a matter of proper accounting. But we consider it true also of individual investors, particularly when innovations such as 'e-tax' and automatic pre-filling of tax returns would reduce any incremental costs if they exist.</w:t>
      </w:r>
      <w:r w:rsidRPr="00A24531">
        <w:rPr>
          <w:rStyle w:val="FootnoteReference"/>
        </w:rPr>
        <w:footnoteReference w:id="180"/>
      </w:r>
    </w:p>
    <w:p w:rsidR="003A5A7F" w:rsidRPr="0005367F" w:rsidRDefault="00A24531" w:rsidP="00A24531">
      <w:r>
        <w:lastRenderedPageBreak/>
        <w:t xml:space="preserve">Based on these considerations, we </w:t>
      </w:r>
      <w:r w:rsidR="00852D20">
        <w:t>consider</w:t>
      </w:r>
      <w:r>
        <w:t xml:space="preserve"> that in estimating the utilisation rate</w:t>
      </w:r>
      <w:r w:rsidR="00230165">
        <w:t xml:space="preserve"> adjustments should not be made for transactions costs</w:t>
      </w:r>
      <w:r>
        <w:t>. And even if an adjustment were to be made, it would</w:t>
      </w:r>
      <w:r w:rsidR="00852D20">
        <w:t xml:space="preserve"> likely</w:t>
      </w:r>
      <w:r>
        <w:t xml:space="preserve"> have an immaterial effect on the utilisation rate.</w:t>
      </w:r>
      <w:r w:rsidR="009A3578">
        <w:t xml:space="preserve"> </w:t>
      </w:r>
      <w:r w:rsidR="00315858">
        <w:t>The</w:t>
      </w:r>
      <w:r w:rsidR="009A3578">
        <w:t xml:space="preserve"> considerations</w:t>
      </w:r>
      <w:r w:rsidR="00315858">
        <w:t xml:space="preserve"> above</w:t>
      </w:r>
      <w:r w:rsidR="009A3578">
        <w:t xml:space="preserve"> were set out in our draft decisions,</w:t>
      </w:r>
      <w:r w:rsidR="00315858">
        <w:t xml:space="preserve"> and the service providers did not comment on them in their revised proposals.</w:t>
      </w:r>
      <w:r w:rsidR="009A3578">
        <w:t xml:space="preserve"> </w:t>
      </w:r>
    </w:p>
    <w:p w:rsidR="005A184F" w:rsidRDefault="005A184F" w:rsidP="005A184F">
      <w:pPr>
        <w:pStyle w:val="HeadingBoldBlue"/>
        <w:numPr>
          <w:ilvl w:val="0"/>
          <w:numId w:val="25"/>
        </w:numPr>
      </w:pPr>
      <w:r>
        <w:t>Time value of money</w:t>
      </w:r>
    </w:p>
    <w:p w:rsidR="005A184F" w:rsidRDefault="005A184F" w:rsidP="005A184F">
      <w:pPr>
        <w:numPr>
          <w:ilvl w:val="0"/>
          <w:numId w:val="25"/>
        </w:numPr>
      </w:pPr>
      <w:r>
        <w:t>The service providers submitted that the delay between the distribution of an imputation credit and the time at which it is redeemed may be expected to reduce an investor's valuation of the credit.</w:t>
      </w:r>
      <w:r>
        <w:rPr>
          <w:rStyle w:val="FootnoteReference"/>
        </w:rPr>
        <w:footnoteReference w:id="181"/>
      </w:r>
      <w:r>
        <w:t xml:space="preserve"> In response, we note that:</w:t>
      </w:r>
    </w:p>
    <w:p w:rsidR="005A184F" w:rsidRPr="005A184F" w:rsidRDefault="005A184F" w:rsidP="005A184F">
      <w:pPr>
        <w:pStyle w:val="AERbulletlistfirststyle"/>
      </w:pPr>
      <w:r>
        <w:t>We are unaware of any evidence that indicates the average size of this time delay across all investors.</w:t>
      </w:r>
    </w:p>
    <w:p w:rsidR="005A184F" w:rsidRDefault="005A184F" w:rsidP="00212CFB">
      <w:pPr>
        <w:pStyle w:val="AERbulletlistfirststyle"/>
      </w:pPr>
      <w:r>
        <w:t xml:space="preserve">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w:t>
      </w:r>
      <w:r w:rsidR="00212CFB">
        <w:t>Current i</w:t>
      </w:r>
      <w:r>
        <w:t xml:space="preserve">nterest rates on two year Commonwealth Government bonds suggest that the appropriate discount </w:t>
      </w:r>
      <w:r w:rsidR="00212CFB">
        <w:t>rate would be likely less than 2</w:t>
      </w:r>
      <w:r>
        <w:t xml:space="preserve"> per cent. Therefore, the magnitude of the adjustment would be quite small.</w:t>
      </w:r>
      <w:r w:rsidR="00212CFB">
        <w:t xml:space="preserve"> </w:t>
      </w:r>
      <w:r>
        <w:t>Handley agreed with the immateriality of any required adjustment for time delay</w:t>
      </w:r>
      <w:r w:rsidR="002356A3">
        <w:t>.</w:t>
      </w:r>
      <w:r>
        <w:rPr>
          <w:rStyle w:val="FootnoteReference"/>
        </w:rPr>
        <w:footnoteReference w:id="182"/>
      </w:r>
    </w:p>
    <w:p w:rsidR="005A184F" w:rsidRDefault="005A184F" w:rsidP="005A184F">
      <w:pPr>
        <w:numPr>
          <w:ilvl w:val="0"/>
          <w:numId w:val="25"/>
        </w:numPr>
      </w:pPr>
      <w:r>
        <w:t>Based on these considerations, we conclude that it is reasonable to not adjust any of our estimates of the utilisation rate for the time value of money where this effect is not already accounted for.</w:t>
      </w:r>
    </w:p>
    <w:p w:rsidR="005A184F" w:rsidRDefault="005A184F" w:rsidP="005A184F">
      <w:pPr>
        <w:pStyle w:val="HeadingBoldBlue"/>
        <w:numPr>
          <w:ilvl w:val="0"/>
          <w:numId w:val="25"/>
        </w:numPr>
      </w:pPr>
      <w:r>
        <w:t>Portfolio effects</w:t>
      </w:r>
    </w:p>
    <w:p w:rsidR="0094112A" w:rsidRDefault="005A184F" w:rsidP="005A184F">
      <w:r>
        <w:t>The service providers submitted that, to the extent that an investor reduces the value of their overall portfolio simply to increase the extent to which they can redeem imputation credits, this lost value will be reflected in a lower valuation of the credits.</w:t>
      </w:r>
      <w:r>
        <w:rPr>
          <w:rStyle w:val="FootnoteReference"/>
        </w:rPr>
        <w:footnoteReference w:id="183"/>
      </w:r>
      <w:r>
        <w:t xml:space="preserve"> SFG's </w:t>
      </w:r>
      <w:r w:rsidR="00603831">
        <w:t>report</w:t>
      </w:r>
      <w:r>
        <w:t xml:space="preserve"> to the service providers on this topic referred to the 'cost of losing diversification'.</w:t>
      </w:r>
      <w:r>
        <w:rPr>
          <w:rStyle w:val="FootnoteReference"/>
        </w:rPr>
        <w:footnoteReference w:id="184"/>
      </w:r>
      <w:r>
        <w:t xml:space="preserve"> However, as discussed in section</w:t>
      </w:r>
      <w:r w:rsidR="00DE4B9F">
        <w:t xml:space="preserve"> </w:t>
      </w:r>
      <w:r w:rsidR="00DE4B9F">
        <w:fldChar w:fldCharType="begin"/>
      </w:r>
      <w:r w:rsidR="00DE4B9F">
        <w:instrText xml:space="preserve"> REF _Ref401748758 \r \h </w:instrText>
      </w:r>
      <w:r w:rsidR="00DE4B9F">
        <w:fldChar w:fldCharType="separate"/>
      </w:r>
      <w:r w:rsidR="003F0AA6">
        <w:t>A.8.1</w:t>
      </w:r>
      <w:r w:rsidR="00DE4B9F">
        <w:fldChar w:fldCharType="end"/>
      </w:r>
      <w:r>
        <w:t xml:space="preserve">, Handley advised that our estimate of the utilisation rate should </w:t>
      </w:r>
      <w:r>
        <w:lastRenderedPageBreak/>
        <w:t xml:space="preserve">exclude 'diversification costs'. More specifically, we do not agree that portfolio effects would mean that a dollar of imputation credits in the hands of an eligible investor would be worth less than one dollar to that investor on a pre-personal-tax and pre-personal-costs basis. </w:t>
      </w:r>
      <w:r w:rsidR="00B81EAE">
        <w:t>We made this point in our draft decisions but the service providers did not comment on it. W</w:t>
      </w:r>
      <w:r>
        <w:t xml:space="preserve">e </w:t>
      </w:r>
      <w:r w:rsidR="00603831">
        <w:t>consider</w:t>
      </w:r>
      <w:r>
        <w:t xml:space="preserve"> that it is reasonable to not adjust any of our estimates of the utilisation rate for portfolio effects.</w:t>
      </w:r>
    </w:p>
    <w:p w:rsidR="004510FE" w:rsidRDefault="000D2DBF" w:rsidP="000D2DBF">
      <w:pPr>
        <w:pStyle w:val="HeadingBoldBlue"/>
      </w:pPr>
      <w:r>
        <w:t>The 'illustrative impact' of these factors</w:t>
      </w:r>
    </w:p>
    <w:p w:rsidR="00545B75" w:rsidRDefault="00F56EED" w:rsidP="003C23B4">
      <w:r>
        <w:t xml:space="preserve">The service providers submitted </w:t>
      </w:r>
      <w:r w:rsidR="00545E09">
        <w:t>that</w:t>
      </w:r>
      <w:r w:rsidR="000D2DBF">
        <w:t>, because of the factors set out above,</w:t>
      </w:r>
      <w:r w:rsidR="00545E09">
        <w:t xml:space="preserve"> our implied point estimates of the utilisation rate are 'well </w:t>
      </w:r>
      <w:r w:rsidR="00545E09" w:rsidRPr="003C23B4">
        <w:t>above</w:t>
      </w:r>
      <w:r w:rsidR="00545E09">
        <w:t xml:space="preserve"> any possible measure of the value of distributed imputation credits'.</w:t>
      </w:r>
      <w:r w:rsidR="00545E09">
        <w:rPr>
          <w:rStyle w:val="FootnoteReference"/>
        </w:rPr>
        <w:footnoteReference w:id="185"/>
      </w:r>
      <w:r w:rsidR="00545E09">
        <w:t xml:space="preserve"> In support of this, the service</w:t>
      </w:r>
      <w:r w:rsidR="00FB6971">
        <w:t xml:space="preserve"> providers presented </w:t>
      </w:r>
      <w:r w:rsidR="00FB6971">
        <w:fldChar w:fldCharType="begin"/>
      </w:r>
      <w:r w:rsidR="00FB6971">
        <w:instrText xml:space="preserve"> REF  _Ref415078600 \* Lower \h </w:instrText>
      </w:r>
      <w:r w:rsidR="00FB6971">
        <w:fldChar w:fldCharType="separate"/>
      </w:r>
      <w:r w:rsidR="003F0AA6">
        <w:t xml:space="preserve">figure </w:t>
      </w:r>
      <w:r w:rsidR="003F0AA6">
        <w:rPr>
          <w:noProof/>
        </w:rPr>
        <w:t>4</w:t>
      </w:r>
      <w:r w:rsidR="003F0AA6">
        <w:noBreakHyphen/>
      </w:r>
      <w:r w:rsidR="003F0AA6">
        <w:rPr>
          <w:noProof/>
        </w:rPr>
        <w:t>1</w:t>
      </w:r>
      <w:r w:rsidR="00FB6971">
        <w:fldChar w:fldCharType="end"/>
      </w:r>
      <w:r w:rsidR="00FB6971">
        <w:t xml:space="preserve"> and </w:t>
      </w:r>
      <w:r w:rsidR="00FB6971">
        <w:fldChar w:fldCharType="begin"/>
      </w:r>
      <w:r w:rsidR="00FB6971">
        <w:instrText xml:space="preserve"> REF  _Ref415078618 \* Lower \h </w:instrText>
      </w:r>
      <w:r w:rsidR="00FB6971">
        <w:fldChar w:fldCharType="separate"/>
      </w:r>
      <w:r w:rsidR="003F0AA6">
        <w:t xml:space="preserve">figure </w:t>
      </w:r>
      <w:r w:rsidR="003F0AA6">
        <w:rPr>
          <w:noProof/>
        </w:rPr>
        <w:t>4</w:t>
      </w:r>
      <w:r w:rsidR="003F0AA6">
        <w:noBreakHyphen/>
      </w:r>
      <w:r w:rsidR="003F0AA6">
        <w:rPr>
          <w:noProof/>
        </w:rPr>
        <w:t>2</w:t>
      </w:r>
      <w:r w:rsidR="00FB6971">
        <w:fldChar w:fldCharType="end"/>
      </w:r>
      <w:r w:rsidR="00545E09">
        <w:t xml:space="preserve">. </w:t>
      </w:r>
    </w:p>
    <w:p w:rsidR="00545B75" w:rsidRDefault="00A7103E" w:rsidP="00A7103E">
      <w:pPr>
        <w:pStyle w:val="Caption"/>
      </w:pPr>
      <w:bookmarkStart w:id="66" w:name="_Ref415078600"/>
      <w:r>
        <w:t xml:space="preserve">Figure </w:t>
      </w:r>
      <w:r w:rsidR="00332D56">
        <w:fldChar w:fldCharType="begin"/>
      </w:r>
      <w:r w:rsidR="00332D56">
        <w:instrText xml:space="preserve"> STYLEREF 1 \s </w:instrText>
      </w:r>
      <w:r w:rsidR="00332D56">
        <w:fldChar w:fldCharType="separate"/>
      </w:r>
      <w:r w:rsidR="003F0AA6">
        <w:rPr>
          <w:noProof/>
        </w:rPr>
        <w:t>4</w:t>
      </w:r>
      <w:r w:rsidR="00332D56">
        <w:rPr>
          <w:noProof/>
        </w:rPr>
        <w:fldChar w:fldCharType="end"/>
      </w:r>
      <w:r>
        <w:noBreakHyphen/>
      </w:r>
      <w:r w:rsidR="00332D56">
        <w:fldChar w:fldCharType="begin"/>
      </w:r>
      <w:r w:rsidR="00332D56">
        <w:instrText xml:space="preserve"> SEQ Figure \* ARABIC \s 1 </w:instrText>
      </w:r>
      <w:r w:rsidR="00332D56">
        <w:fldChar w:fldCharType="separate"/>
      </w:r>
      <w:r w:rsidR="003F0AA6">
        <w:rPr>
          <w:noProof/>
        </w:rPr>
        <w:t>1</w:t>
      </w:r>
      <w:r w:rsidR="00332D56">
        <w:rPr>
          <w:noProof/>
        </w:rPr>
        <w:fldChar w:fldCharType="end"/>
      </w:r>
      <w:bookmarkEnd w:id="66"/>
      <w:r>
        <w:tab/>
      </w:r>
      <w:r w:rsidRPr="00A7103E">
        <w:t>Illustrative impact on value of imputation credits – listed equity</w:t>
      </w:r>
    </w:p>
    <w:p w:rsidR="00A7103E" w:rsidRPr="00A7103E" w:rsidRDefault="00A7103E" w:rsidP="00A7103E">
      <w:r w:rsidRPr="00A7103E">
        <w:rPr>
          <w:noProof/>
          <w:lang w:eastAsia="en-AU"/>
        </w:rPr>
        <w:drawing>
          <wp:inline distT="0" distB="0" distL="0" distR="0" wp14:anchorId="52E313E9" wp14:editId="6C7FAB2E">
            <wp:extent cx="5328000" cy="3474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8000" cy="3474000"/>
                    </a:xfrm>
                    <a:prstGeom prst="rect">
                      <a:avLst/>
                    </a:prstGeom>
                    <a:noFill/>
                    <a:ln>
                      <a:noFill/>
                    </a:ln>
                  </pic:spPr>
                </pic:pic>
              </a:graphicData>
            </a:graphic>
          </wp:inline>
        </w:drawing>
      </w:r>
    </w:p>
    <w:p w:rsidR="00A7103E" w:rsidRDefault="00A7103E" w:rsidP="00A7103E">
      <w:pPr>
        <w:pStyle w:val="AERtablesource"/>
      </w:pPr>
      <w:r>
        <w:t>Source:</w:t>
      </w:r>
      <w:r>
        <w:tab/>
        <w:t>Service providers' revised proposals.</w:t>
      </w:r>
    </w:p>
    <w:p w:rsidR="006B28F5" w:rsidRDefault="006B28F5" w:rsidP="006B28F5">
      <w:pPr>
        <w:pStyle w:val="Caption"/>
      </w:pPr>
      <w:bookmarkStart w:id="67" w:name="_Ref415078618"/>
      <w:r>
        <w:lastRenderedPageBreak/>
        <w:t xml:space="preserve">Figure </w:t>
      </w:r>
      <w:r w:rsidR="00332D56">
        <w:fldChar w:fldCharType="begin"/>
      </w:r>
      <w:r w:rsidR="00332D56">
        <w:instrText xml:space="preserve"> STYLEREF 1 \s </w:instrText>
      </w:r>
      <w:r w:rsidR="00332D56">
        <w:fldChar w:fldCharType="separate"/>
      </w:r>
      <w:r w:rsidR="003F0AA6">
        <w:rPr>
          <w:noProof/>
        </w:rPr>
        <w:t>4</w:t>
      </w:r>
      <w:r w:rsidR="00332D56">
        <w:rPr>
          <w:noProof/>
        </w:rPr>
        <w:fldChar w:fldCharType="end"/>
      </w:r>
      <w:r>
        <w:noBreakHyphen/>
      </w:r>
      <w:r w:rsidR="00332D56">
        <w:fldChar w:fldCharType="begin"/>
      </w:r>
      <w:r w:rsidR="00332D56">
        <w:instrText xml:space="preserve"> SEQ Figure \* ARABIC \s 1 </w:instrText>
      </w:r>
      <w:r w:rsidR="00332D56">
        <w:fldChar w:fldCharType="separate"/>
      </w:r>
      <w:r w:rsidR="003F0AA6">
        <w:rPr>
          <w:noProof/>
        </w:rPr>
        <w:t>2</w:t>
      </w:r>
      <w:r w:rsidR="00332D56">
        <w:rPr>
          <w:noProof/>
        </w:rPr>
        <w:fldChar w:fldCharType="end"/>
      </w:r>
      <w:bookmarkEnd w:id="67"/>
      <w:r>
        <w:tab/>
      </w:r>
      <w:r w:rsidRPr="00A7103E">
        <w:t xml:space="preserve">Illustrative impact on value of imputation credits – </w:t>
      </w:r>
      <w:r>
        <w:t>all</w:t>
      </w:r>
      <w:r w:rsidRPr="00A7103E">
        <w:t xml:space="preserve"> equity</w:t>
      </w:r>
    </w:p>
    <w:p w:rsidR="006B28F5" w:rsidRDefault="006B28F5" w:rsidP="003C23B4">
      <w:r w:rsidRPr="006B28F5">
        <w:rPr>
          <w:noProof/>
          <w:lang w:eastAsia="en-AU"/>
        </w:rPr>
        <w:drawing>
          <wp:inline distT="0" distB="0" distL="0" distR="0" wp14:anchorId="78D7063C" wp14:editId="6C1715AB">
            <wp:extent cx="5328000" cy="3470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071CD2" w:rsidRDefault="00071CD2" w:rsidP="00071CD2">
      <w:pPr>
        <w:pStyle w:val="AERtablesource"/>
      </w:pPr>
      <w:r>
        <w:t>Source:</w:t>
      </w:r>
      <w:r>
        <w:tab/>
        <w:t>Service providers' revised proposals.</w:t>
      </w:r>
    </w:p>
    <w:p w:rsidR="00545E09" w:rsidRDefault="00545E09" w:rsidP="003C23B4">
      <w:r>
        <w:t>As already discussed, there is disagreement between the service providers and us on whether the utilisation rate (and therefore the value of imputation credits) should be</w:t>
      </w:r>
      <w:r w:rsidR="00A24B51">
        <w:t xml:space="preserve"> estimated on a basis that is</w:t>
      </w:r>
      <w:r>
        <w:t xml:space="preserve"> 'before' or 'after' the taxes and costs incurred by investors. The service providers consider that the value of imputation credits should be estimated 'after' these factors. </w:t>
      </w:r>
      <w:r w:rsidR="000D2DBF">
        <w:t>Given that these factors can only result in the diminution of the value of credits,</w:t>
      </w:r>
      <w:r>
        <w:t xml:space="preserve"> it follows that the service providers' preferred </w:t>
      </w:r>
      <w:r w:rsidR="00FB6971">
        <w:t>estimate of the value of imputation credits</w:t>
      </w:r>
      <w:r>
        <w:t xml:space="preserve"> will be no higher than that estimated on a before-personal-tax and before-personal-costs basis.</w:t>
      </w:r>
    </w:p>
    <w:p w:rsidR="00A067BD" w:rsidRDefault="00545E09" w:rsidP="00F56EED">
      <w:r>
        <w:t xml:space="preserve">This notwithstanding, we consider that there are a number of problems with </w:t>
      </w:r>
      <w:r w:rsidR="00FB6971">
        <w:fldChar w:fldCharType="begin"/>
      </w:r>
      <w:r w:rsidR="00FB6971">
        <w:instrText xml:space="preserve"> REF  _Ref415078600 \* Lower \h </w:instrText>
      </w:r>
      <w:r w:rsidR="00FB6971">
        <w:fldChar w:fldCharType="separate"/>
      </w:r>
      <w:r w:rsidR="003F0AA6">
        <w:t xml:space="preserve">figure </w:t>
      </w:r>
      <w:r w:rsidR="003F0AA6">
        <w:rPr>
          <w:noProof/>
        </w:rPr>
        <w:t>4</w:t>
      </w:r>
      <w:r w:rsidR="003F0AA6">
        <w:noBreakHyphen/>
      </w:r>
      <w:r w:rsidR="003F0AA6">
        <w:rPr>
          <w:noProof/>
        </w:rPr>
        <w:t>1</w:t>
      </w:r>
      <w:r w:rsidR="00FB6971">
        <w:fldChar w:fldCharType="end"/>
      </w:r>
      <w:r w:rsidR="00FB6971">
        <w:t xml:space="preserve"> and </w:t>
      </w:r>
      <w:r w:rsidR="00FB6971">
        <w:fldChar w:fldCharType="begin"/>
      </w:r>
      <w:r w:rsidR="00FB6971">
        <w:instrText xml:space="preserve"> REF  _Ref415078618 \* Lower \h </w:instrText>
      </w:r>
      <w:r w:rsidR="00FB6971">
        <w:fldChar w:fldCharType="separate"/>
      </w:r>
      <w:r w:rsidR="003F0AA6">
        <w:t xml:space="preserve">figure </w:t>
      </w:r>
      <w:r w:rsidR="003F0AA6">
        <w:rPr>
          <w:noProof/>
        </w:rPr>
        <w:t>4</w:t>
      </w:r>
      <w:r w:rsidR="003F0AA6">
        <w:noBreakHyphen/>
      </w:r>
      <w:r w:rsidR="003F0AA6">
        <w:rPr>
          <w:noProof/>
        </w:rPr>
        <w:t>2</w:t>
      </w:r>
      <w:r w:rsidR="00FB6971">
        <w:fldChar w:fldCharType="end"/>
      </w:r>
      <w:r>
        <w:t xml:space="preserve">. Moreover, </w:t>
      </w:r>
      <w:r w:rsidR="00AA1441">
        <w:t>the figures suggest that the value of distributed credits on which the service providers rely</w:t>
      </w:r>
      <w:r w:rsidR="0005360D">
        <w:t xml:space="preserve"> </w:t>
      </w:r>
      <w:r w:rsidR="000D2DBF">
        <w:t>is likely</w:t>
      </w:r>
      <w:r w:rsidR="0005360D">
        <w:t xml:space="preserve"> understated relative to the (after-personal-tax and after-personal-costs) value to investors in all equity.</w:t>
      </w:r>
    </w:p>
    <w:p w:rsidR="00605B17" w:rsidRDefault="00605B17" w:rsidP="000D2DBF">
      <w:pPr>
        <w:pStyle w:val="HeadingBoldItalic"/>
      </w:pPr>
      <w:r>
        <w:t>The relevant equity ownership share</w:t>
      </w:r>
    </w:p>
    <w:p w:rsidR="00605B17" w:rsidRDefault="002C3021" w:rsidP="00F56EED">
      <w:r>
        <w:t xml:space="preserve">The key difference between the figures is that in </w:t>
      </w:r>
      <w:r w:rsidR="00FB6971">
        <w:fldChar w:fldCharType="begin"/>
      </w:r>
      <w:r w:rsidR="00FB6971">
        <w:instrText xml:space="preserve"> REF  _Ref415078600 \* Lower \h </w:instrText>
      </w:r>
      <w:r w:rsidR="00FB6971">
        <w:fldChar w:fldCharType="separate"/>
      </w:r>
      <w:r w:rsidR="003F0AA6">
        <w:t xml:space="preserve">figure </w:t>
      </w:r>
      <w:r w:rsidR="003F0AA6">
        <w:rPr>
          <w:noProof/>
        </w:rPr>
        <w:t>4</w:t>
      </w:r>
      <w:r w:rsidR="003F0AA6">
        <w:noBreakHyphen/>
      </w:r>
      <w:r w:rsidR="003F0AA6">
        <w:rPr>
          <w:noProof/>
        </w:rPr>
        <w:t>1</w:t>
      </w:r>
      <w:r w:rsidR="00FB6971">
        <w:fldChar w:fldCharType="end"/>
      </w:r>
      <w:r w:rsidR="00E83279">
        <w:t xml:space="preserve"> the SFG estimate of the value of distributed credits is ultimately compared to the refined share of foreign ownership of listed equity, and in </w:t>
      </w:r>
      <w:r w:rsidR="00FB6971">
        <w:fldChar w:fldCharType="begin"/>
      </w:r>
      <w:r w:rsidR="00FB6971">
        <w:instrText xml:space="preserve"> REF  _Ref415078618 \* Lower \h </w:instrText>
      </w:r>
      <w:r w:rsidR="00FB6971">
        <w:fldChar w:fldCharType="separate"/>
      </w:r>
      <w:proofErr w:type="gramStart"/>
      <w:r w:rsidR="003F0AA6">
        <w:t xml:space="preserve">figure </w:t>
      </w:r>
      <w:r w:rsidR="003F0AA6">
        <w:rPr>
          <w:noProof/>
        </w:rPr>
        <w:t>4</w:t>
      </w:r>
      <w:r w:rsidR="003F0AA6">
        <w:noBreakHyphen/>
      </w:r>
      <w:r w:rsidR="003F0AA6">
        <w:rPr>
          <w:noProof/>
        </w:rPr>
        <w:t>2</w:t>
      </w:r>
      <w:proofErr w:type="gramEnd"/>
      <w:r w:rsidR="00FB6971">
        <w:fldChar w:fldCharType="end"/>
      </w:r>
      <w:r w:rsidR="00FB6971">
        <w:t xml:space="preserve"> </w:t>
      </w:r>
      <w:r w:rsidR="00E83279">
        <w:t>the comparison is made with the refined share of foreign</w:t>
      </w:r>
      <w:r w:rsidR="00545E09">
        <w:t xml:space="preserve"> </w:t>
      </w:r>
      <w:r w:rsidR="00E83279">
        <w:t>ownership in all equity.</w:t>
      </w:r>
      <w:r w:rsidR="00545E09">
        <w:t xml:space="preserve"> </w:t>
      </w:r>
      <w:r w:rsidR="004D44E4">
        <w:t>However, SFG indicated</w:t>
      </w:r>
      <w:r w:rsidR="00246058">
        <w:t xml:space="preserve"> that </w:t>
      </w:r>
      <w:r w:rsidR="004D44E4">
        <w:t>if the value of distributed credits is estimated via a</w:t>
      </w:r>
      <w:r w:rsidR="00246058">
        <w:t xml:space="preserve"> 'market value</w:t>
      </w:r>
      <w:r w:rsidR="004D44E4">
        <w:t xml:space="preserve"> approach</w:t>
      </w:r>
      <w:r w:rsidR="00246058">
        <w:t>'</w:t>
      </w:r>
      <w:r w:rsidR="004D44E4">
        <w:t xml:space="preserve"> (such as SFG's dividend drop off study), then the estimate will </w:t>
      </w:r>
      <w:r w:rsidR="004D44E4">
        <w:lastRenderedPageBreak/>
        <w:t xml:space="preserve">represent </w:t>
      </w:r>
      <w:r w:rsidR="00246058">
        <w:t>'an average across all listed firms'.</w:t>
      </w:r>
      <w:r w:rsidR="00246058">
        <w:rPr>
          <w:rStyle w:val="FootnoteReference"/>
        </w:rPr>
        <w:footnoteReference w:id="186"/>
      </w:r>
      <w:r w:rsidR="00246058">
        <w:t xml:space="preserve"> Accordingly, the relevant foreign ownership share is that of listed equity, and it would be internally inconsistent to compare the </w:t>
      </w:r>
      <w:r w:rsidR="006A7BBB">
        <w:t>SFG estimate of the value of distributed credits with the foreign ownership share of all equity</w:t>
      </w:r>
      <w:r w:rsidR="00A24B51">
        <w:t xml:space="preserve"> (as the service providers have done in </w:t>
      </w:r>
      <w:r w:rsidR="00A24B51">
        <w:fldChar w:fldCharType="begin"/>
      </w:r>
      <w:r w:rsidR="00A24B51">
        <w:instrText xml:space="preserve"> REF  _Ref415078618 \* Lower \h </w:instrText>
      </w:r>
      <w:r w:rsidR="00A24B51">
        <w:fldChar w:fldCharType="separate"/>
      </w:r>
      <w:r w:rsidR="003F0AA6">
        <w:t xml:space="preserve">figure </w:t>
      </w:r>
      <w:r w:rsidR="003F0AA6">
        <w:rPr>
          <w:noProof/>
        </w:rPr>
        <w:t>4</w:t>
      </w:r>
      <w:r w:rsidR="003F0AA6">
        <w:noBreakHyphen/>
      </w:r>
      <w:r w:rsidR="003F0AA6">
        <w:rPr>
          <w:noProof/>
        </w:rPr>
        <w:t>2</w:t>
      </w:r>
      <w:r w:rsidR="00A24B51">
        <w:fldChar w:fldCharType="end"/>
      </w:r>
      <w:r w:rsidR="00A22B66">
        <w:t>)</w:t>
      </w:r>
      <w:r w:rsidR="006A7BBB">
        <w:t>.</w:t>
      </w:r>
    </w:p>
    <w:p w:rsidR="00880298" w:rsidRDefault="00415DA8" w:rsidP="00F56EED">
      <w:r>
        <w:t>I</w:t>
      </w:r>
      <w:r w:rsidR="00603831">
        <w:t xml:space="preserve">t </w:t>
      </w:r>
      <w:r>
        <w:t xml:space="preserve">also </w:t>
      </w:r>
      <w:r w:rsidR="00603831">
        <w:t>seems</w:t>
      </w:r>
      <w:r w:rsidR="00FA5E9C">
        <w:t xml:space="preserve"> that </w:t>
      </w:r>
      <w:r w:rsidR="00806F4F">
        <w:t xml:space="preserve">the SFG estimate of the value of distributed credits reflects </w:t>
      </w:r>
      <w:r w:rsidR="00FA5E9C">
        <w:t>the</w:t>
      </w:r>
      <w:r w:rsidR="00806F4F">
        <w:t xml:space="preserve"> average value </w:t>
      </w:r>
      <w:r w:rsidR="00FA5E9C">
        <w:t>over the sample period of the data used by S</w:t>
      </w:r>
      <w:r w:rsidR="00603831">
        <w:t>FG: July 2001 to October 2012. If so</w:t>
      </w:r>
      <w:r w:rsidR="00FA5E9C">
        <w:t>, this estimate should be compared with the average</w:t>
      </w:r>
      <w:r>
        <w:t>, refined</w:t>
      </w:r>
      <w:r w:rsidR="00FA5E9C">
        <w:t xml:space="preserve"> foreign ownership share </w:t>
      </w:r>
      <w:r w:rsidR="00B16D33">
        <w:t xml:space="preserve">of listed equity </w:t>
      </w:r>
      <w:r w:rsidR="00FA5E9C">
        <w:t>over a similar period (June 2001 to Dece</w:t>
      </w:r>
      <w:r>
        <w:t>mber 2012). This is equal to 0.5</w:t>
      </w:r>
      <w:r w:rsidR="00FA5E9C">
        <w:t>1.</w:t>
      </w:r>
    </w:p>
    <w:p w:rsidR="00880298" w:rsidRDefault="00880298" w:rsidP="000D2DBF">
      <w:pPr>
        <w:pStyle w:val="HeadingBoldItalic"/>
      </w:pPr>
      <w:r>
        <w:t xml:space="preserve">Implications for </w:t>
      </w:r>
      <w:r w:rsidR="00AF7793">
        <w:t>the value of distributed credits across investors in</w:t>
      </w:r>
      <w:r>
        <w:t xml:space="preserve"> all equity</w:t>
      </w:r>
    </w:p>
    <w:p w:rsidR="00880298" w:rsidRDefault="00B16D33" w:rsidP="00F56EED">
      <w:proofErr w:type="gramStart"/>
      <w:r>
        <w:t xml:space="preserve">Although we have above </w:t>
      </w:r>
      <w:r w:rsidR="0006280F">
        <w:t>identified the inconsistency in comparing SFG</w:t>
      </w:r>
      <w:r w:rsidR="00DC3E3C">
        <w:t>'s dividend drop off</w:t>
      </w:r>
      <w:r w:rsidR="0006280F">
        <w:t xml:space="preserve"> estimate of the value of distributed credits to the foreign ownership share of all equity, </w:t>
      </w:r>
      <w:r w:rsidR="003E2CFF">
        <w:fldChar w:fldCharType="begin"/>
      </w:r>
      <w:r w:rsidR="003E2CFF">
        <w:instrText xml:space="preserve"> REF  _Ref415078600 \* Lower \h </w:instrText>
      </w:r>
      <w:r w:rsidR="003E2CFF">
        <w:fldChar w:fldCharType="separate"/>
      </w:r>
      <w:r w:rsidR="003F0AA6">
        <w:t xml:space="preserve">figure </w:t>
      </w:r>
      <w:r w:rsidR="003F0AA6">
        <w:rPr>
          <w:noProof/>
        </w:rPr>
        <w:t>4</w:t>
      </w:r>
      <w:r w:rsidR="003F0AA6">
        <w:noBreakHyphen/>
      </w:r>
      <w:r w:rsidR="003F0AA6">
        <w:rPr>
          <w:noProof/>
        </w:rPr>
        <w:t>1</w:t>
      </w:r>
      <w:r w:rsidR="003E2CFF">
        <w:fldChar w:fldCharType="end"/>
      </w:r>
      <w:r w:rsidR="003E2CFF">
        <w:t xml:space="preserve"> and </w:t>
      </w:r>
      <w:r w:rsidR="003E2CFF">
        <w:fldChar w:fldCharType="begin"/>
      </w:r>
      <w:r w:rsidR="003E2CFF">
        <w:instrText xml:space="preserve"> REF  _Ref415078618 \* Lower \h </w:instrText>
      </w:r>
      <w:r w:rsidR="003E2CFF">
        <w:fldChar w:fldCharType="separate"/>
      </w:r>
      <w:r w:rsidR="003F0AA6">
        <w:t xml:space="preserve">figure </w:t>
      </w:r>
      <w:r w:rsidR="003F0AA6">
        <w:rPr>
          <w:noProof/>
        </w:rPr>
        <w:t>4</w:t>
      </w:r>
      <w:r w:rsidR="003F0AA6">
        <w:noBreakHyphen/>
      </w:r>
      <w:r w:rsidR="003F0AA6">
        <w:rPr>
          <w:noProof/>
        </w:rPr>
        <w:t>2</w:t>
      </w:r>
      <w:r w:rsidR="003E2CFF">
        <w:fldChar w:fldCharType="end"/>
      </w:r>
      <w:r w:rsidR="003E2CFF">
        <w:t xml:space="preserve"> </w:t>
      </w:r>
      <w:r w:rsidR="0006280F">
        <w:t xml:space="preserve">appear to be intended to </w:t>
      </w:r>
      <w:r w:rsidR="00880298">
        <w:t xml:space="preserve">indicate </w:t>
      </w:r>
      <w:r w:rsidR="0006280F">
        <w:t>that the presence of foreign investors is a relevant source of the diminution of the market-wide value of distributed credits.</w:t>
      </w:r>
      <w:proofErr w:type="gramEnd"/>
      <w:r w:rsidR="0006280F">
        <w:t xml:space="preserve"> This suggests that, all else held equal, an implied market value study conducted over </w:t>
      </w:r>
      <w:r w:rsidR="00603831">
        <w:t>all equity</w:t>
      </w:r>
      <w:r w:rsidR="00671C74">
        <w:t xml:space="preserve"> </w:t>
      </w:r>
      <w:r w:rsidR="00415DA8">
        <w:t>might</w:t>
      </w:r>
      <w:r w:rsidR="00671C74">
        <w:t xml:space="preserve"> produce a higher estimate</w:t>
      </w:r>
      <w:r w:rsidR="00612C68">
        <w:t xml:space="preserve"> of the value of distributed credits</w:t>
      </w:r>
      <w:r w:rsidR="00603831">
        <w:t>. This would be</w:t>
      </w:r>
      <w:r w:rsidR="00671C74">
        <w:t xml:space="preserve"> because the foreign ownership share of all equity is lower.</w:t>
      </w:r>
      <w:r w:rsidR="00880298">
        <w:t xml:space="preserve"> </w:t>
      </w:r>
    </w:p>
    <w:p w:rsidR="00E77E30" w:rsidRDefault="00880298" w:rsidP="00F56EED">
      <w:proofErr w:type="gramStart"/>
      <w:r>
        <w:t>Using the relevant estimate of the foreign equity ownership share</w:t>
      </w:r>
      <w:r w:rsidR="00AF7793">
        <w:t xml:space="preserve"> discussed above</w:t>
      </w:r>
      <w:r>
        <w:t xml:space="preserve">, the logic of </w:t>
      </w:r>
      <w:r w:rsidR="00602CA1">
        <w:fldChar w:fldCharType="begin"/>
      </w:r>
      <w:r w:rsidR="00602CA1">
        <w:instrText xml:space="preserve"> REF  _Ref415078600 \* Lower \h </w:instrText>
      </w:r>
      <w:r w:rsidR="00602CA1">
        <w:fldChar w:fldCharType="separate"/>
      </w:r>
      <w:r w:rsidR="003F0AA6">
        <w:t xml:space="preserve">figure </w:t>
      </w:r>
      <w:r w:rsidR="003F0AA6">
        <w:rPr>
          <w:noProof/>
        </w:rPr>
        <w:t>4</w:t>
      </w:r>
      <w:r w:rsidR="003F0AA6">
        <w:noBreakHyphen/>
      </w:r>
      <w:r w:rsidR="003F0AA6">
        <w:rPr>
          <w:noProof/>
        </w:rPr>
        <w:t>1</w:t>
      </w:r>
      <w:r w:rsidR="00602CA1">
        <w:fldChar w:fldCharType="end"/>
      </w:r>
      <w:r w:rsidR="00602CA1">
        <w:t xml:space="preserve"> and </w:t>
      </w:r>
      <w:r w:rsidR="00602CA1">
        <w:fldChar w:fldCharType="begin"/>
      </w:r>
      <w:r w:rsidR="00602CA1">
        <w:instrText xml:space="preserve"> REF  _Ref415078618 \* Lower \h </w:instrText>
      </w:r>
      <w:r w:rsidR="00602CA1">
        <w:fldChar w:fldCharType="separate"/>
      </w:r>
      <w:r w:rsidR="003F0AA6">
        <w:t xml:space="preserve">figure </w:t>
      </w:r>
      <w:r w:rsidR="003F0AA6">
        <w:rPr>
          <w:noProof/>
        </w:rPr>
        <w:t>4</w:t>
      </w:r>
      <w:r w:rsidR="003F0AA6">
        <w:noBreakHyphen/>
      </w:r>
      <w:r w:rsidR="003F0AA6">
        <w:rPr>
          <w:noProof/>
        </w:rPr>
        <w:t>2</w:t>
      </w:r>
      <w:r w:rsidR="00602CA1">
        <w:fldChar w:fldCharType="end"/>
      </w:r>
      <w:r>
        <w:t xml:space="preserve"> indicates that SFG's estimate of the value of distributed credits (0.35) represents </w:t>
      </w:r>
      <w:r w:rsidR="00AF7793">
        <w:t>the</w:t>
      </w:r>
      <w:r>
        <w:t xml:space="preserve"> diminution of the face v</w:t>
      </w:r>
      <w:r w:rsidR="002B1173">
        <w:t>alue of distributed credits by 5</w:t>
      </w:r>
      <w:r>
        <w:t xml:space="preserve">1 per cent due to the presence of foreign investors and </w:t>
      </w:r>
      <w:r w:rsidR="00612C68">
        <w:t xml:space="preserve">by </w:t>
      </w:r>
      <w:r w:rsidR="002B1173">
        <w:t>(1 - 0.35 - 0.5</w:t>
      </w:r>
      <w:r w:rsidR="00602CA1">
        <w:t>1</w:t>
      </w:r>
      <w:r>
        <w:t xml:space="preserve"> =</w:t>
      </w:r>
      <w:r w:rsidR="003E6B35">
        <w:t>)</w:t>
      </w:r>
      <w:r w:rsidR="002B1173">
        <w:t xml:space="preserve"> 1</w:t>
      </w:r>
      <w:r>
        <w:t>4 per cent due to other factors</w:t>
      </w:r>
      <w:r w:rsidR="00DF43F9">
        <w:t xml:space="preserve"> (including differential personal taxes and risk)</w:t>
      </w:r>
      <w:r>
        <w:t>.</w:t>
      </w:r>
      <w:proofErr w:type="gramEnd"/>
      <w:r w:rsidR="00AF7793">
        <w:t xml:space="preserve"> If the combined diminution due to these other factors is the same for investors in all equity, then the logic of the figures indicates that the value of distributed credits across investors in</w:t>
      </w:r>
      <w:r w:rsidR="002B1173">
        <w:t xml:space="preserve"> all equity might be (1 - 0.14 - 0.39</w:t>
      </w:r>
      <w:r w:rsidR="00AF7793">
        <w:t xml:space="preserve"> =</w:t>
      </w:r>
      <w:r w:rsidR="003E6B35">
        <w:t>)</w:t>
      </w:r>
      <w:r w:rsidR="002B1173">
        <w:t xml:space="preserve"> 0.47</w:t>
      </w:r>
      <w:r w:rsidR="00AF7793">
        <w:t>.</w:t>
      </w:r>
      <w:r w:rsidR="00612C68">
        <w:rPr>
          <w:rStyle w:val="FootnoteReference"/>
        </w:rPr>
        <w:footnoteReference w:id="187"/>
      </w:r>
      <w:r w:rsidR="00AF7793">
        <w:t xml:space="preserve"> </w:t>
      </w:r>
      <w:r w:rsidR="00FA5E9C">
        <w:t xml:space="preserve"> </w:t>
      </w:r>
      <w:r w:rsidR="00806F4F">
        <w:t xml:space="preserve"> </w:t>
      </w:r>
      <w:r w:rsidR="00C04CC4">
        <w:t xml:space="preserve"> </w:t>
      </w:r>
    </w:p>
    <w:p w:rsidR="00605B17" w:rsidRDefault="00605B17" w:rsidP="00DF17E4">
      <w:pPr>
        <w:pStyle w:val="HeadingBoldItalic"/>
      </w:pPr>
      <w:r>
        <w:t>Comparison to the redemption rate from tax statistics</w:t>
      </w:r>
    </w:p>
    <w:p w:rsidR="00605B17" w:rsidRDefault="00605B17" w:rsidP="00605B17">
      <w:r>
        <w:t xml:space="preserve">The figures suggest that the difference between the foreign ownership share and the redemption rate from tax statistics </w:t>
      </w:r>
      <w:r w:rsidR="004379A0">
        <w:t>is an estimate of</w:t>
      </w:r>
      <w:r>
        <w:t xml:space="preserve"> the credits distributed to domestic investors who do not redeem</w:t>
      </w:r>
      <w:r w:rsidR="00E64F30">
        <w:t xml:space="preserve"> them. The figures suggest that this might be because of the 45-day holding rule and/or transactions costs. We consider that there are a number of problems with this</w:t>
      </w:r>
      <w:r w:rsidR="001F5AF0">
        <w:t xml:space="preserve"> estimate</w:t>
      </w:r>
      <w:r w:rsidR="00E64F30">
        <w:t>.</w:t>
      </w:r>
    </w:p>
    <w:p w:rsidR="00E64F30" w:rsidRDefault="00E64F30" w:rsidP="00605B17">
      <w:r>
        <w:t>Firstly, t</w:t>
      </w:r>
      <w:r w:rsidR="00605B17">
        <w:t>he redemption rate from tax statistics reflects all equity, and therefore it is inconsistent to compare it to the foreign ownership share of listed equity.</w:t>
      </w:r>
    </w:p>
    <w:p w:rsidR="00A067BD" w:rsidRDefault="00E64F30" w:rsidP="00605B17">
      <w:r>
        <w:t xml:space="preserve">Secondly, this </w:t>
      </w:r>
      <w:r w:rsidR="001F5AF0">
        <w:t>estimate</w:t>
      </w:r>
      <w:r>
        <w:t xml:space="preserve"> does not contemplate error or inaccuracy in th</w:t>
      </w:r>
      <w:r w:rsidR="003E2CFF">
        <w:t xml:space="preserve">e tax statistics. In section </w:t>
      </w:r>
      <w:r w:rsidR="003E2CFF">
        <w:fldChar w:fldCharType="begin"/>
      </w:r>
      <w:r w:rsidR="003E2CFF">
        <w:instrText xml:space="preserve"> REF _Ref414289593 \r \h </w:instrText>
      </w:r>
      <w:r w:rsidR="003E2CFF">
        <w:fldChar w:fldCharType="separate"/>
      </w:r>
      <w:r w:rsidR="003F0AA6">
        <w:t>4.4.2</w:t>
      </w:r>
      <w:r w:rsidR="003E2CFF">
        <w:fldChar w:fldCharType="end"/>
      </w:r>
      <w:r>
        <w:t>, we set out the data concerns that exist regarding the tax statistics. Further, the service providers in their initial proposals submitted that no weight be placed on estimates of the utilisation rate from tax statistics</w:t>
      </w:r>
      <w:r w:rsidR="001F5AF0">
        <w:t xml:space="preserve"> because of significant unresolved problems with the </w:t>
      </w:r>
      <w:r w:rsidR="001F5AF0">
        <w:lastRenderedPageBreak/>
        <w:t>data</w:t>
      </w:r>
      <w:r>
        <w:t>.</w:t>
      </w:r>
      <w:r w:rsidR="001F5AF0">
        <w:rPr>
          <w:rStyle w:val="FootnoteReference"/>
        </w:rPr>
        <w:footnoteReference w:id="188"/>
      </w:r>
      <w:r w:rsidR="001F5AF0">
        <w:t xml:space="preserve"> It is not clear from the service providers' revised proposals whether their view on tax statistics has changed or why.</w:t>
      </w:r>
    </w:p>
    <w:p w:rsidR="004C7CD9" w:rsidRDefault="00A067BD" w:rsidP="004C7CD9">
      <w:r>
        <w:t xml:space="preserve">Thirdly, </w:t>
      </w:r>
      <w:r w:rsidR="004C7CD9">
        <w:t>we are not convinced that the 45-day holding rule and transaction costs are contributing to a material amount of credits</w:t>
      </w:r>
      <w:r w:rsidR="004379A0">
        <w:t xml:space="preserve"> not being redeemed</w:t>
      </w:r>
      <w:r w:rsidR="004C7CD9">
        <w:t>. As discussed above, this is because:</w:t>
      </w:r>
    </w:p>
    <w:p w:rsidR="00F56EED" w:rsidRDefault="004C7CD9" w:rsidP="004C7CD9">
      <w:pPr>
        <w:pStyle w:val="AERbulletlistfirststyle"/>
      </w:pPr>
      <w:r>
        <w:t>Our analysis of the 45-day</w:t>
      </w:r>
      <w:r w:rsidR="00E64F30">
        <w:t xml:space="preserve"> </w:t>
      </w:r>
      <w:r>
        <w:t>rule suggests that it is not having a material effect. Although this analysis is subject to any data quality issues with the tax statistics, it was presented in the draft decision</w:t>
      </w:r>
      <w:r w:rsidR="00895E9C">
        <w:t>s</w:t>
      </w:r>
      <w:r>
        <w:t xml:space="preserve"> and the service providers</w:t>
      </w:r>
      <w:r w:rsidR="00DF17E4">
        <w:t xml:space="preserve"> did not comment on it</w:t>
      </w:r>
      <w:r>
        <w:t>.</w:t>
      </w:r>
    </w:p>
    <w:p w:rsidR="004C7CD9" w:rsidRDefault="003C23B4" w:rsidP="004C7CD9">
      <w:pPr>
        <w:pStyle w:val="AERbulletlistfirststyle"/>
      </w:pPr>
      <w:r>
        <w:t xml:space="preserve">We do not </w:t>
      </w:r>
      <w:r w:rsidR="00071CD2">
        <w:t>consider</w:t>
      </w:r>
      <w:r>
        <w:t xml:space="preserve"> that transactions costs are likely to dissuade a material number of investors from redeeming imputation credits. Our conceptual considerations on this matter were set out in the draft decision</w:t>
      </w:r>
      <w:r w:rsidR="00895E9C">
        <w:t>s</w:t>
      </w:r>
      <w:r>
        <w:t xml:space="preserve"> and </w:t>
      </w:r>
      <w:r w:rsidR="00DF17E4">
        <w:t>the service providers did not comment on them</w:t>
      </w:r>
      <w:r>
        <w:t>.</w:t>
      </w:r>
    </w:p>
    <w:p w:rsidR="00063611" w:rsidRDefault="00063611" w:rsidP="00063611">
      <w:pPr>
        <w:pStyle w:val="Heading8"/>
      </w:pPr>
      <w:bookmarkStart w:id="68" w:name="_Ref415068711"/>
      <w:bookmarkStart w:id="69" w:name="_Toc417043264"/>
      <w:r w:rsidRPr="00063611">
        <w:t>Estimation</w:t>
      </w:r>
      <w:r>
        <w:t xml:space="preserve"> approach considerations</w:t>
      </w:r>
      <w:bookmarkEnd w:id="68"/>
      <w:bookmarkEnd w:id="69"/>
    </w:p>
    <w:p w:rsidR="00063611" w:rsidRDefault="00063611" w:rsidP="00063611">
      <w:pPr>
        <w:numPr>
          <w:ilvl w:val="0"/>
          <w:numId w:val="25"/>
        </w:numPr>
      </w:pPr>
      <w:r>
        <w:t>Our approach to determining the value of imputation credits involves two considerations that were not proposed in the Guideline. We discuss each below.</w:t>
      </w:r>
    </w:p>
    <w:p w:rsidR="00063611" w:rsidRDefault="00063611" w:rsidP="00063611">
      <w:pPr>
        <w:pStyle w:val="Heading9"/>
      </w:pPr>
      <w:bookmarkStart w:id="70" w:name="_Ref401048631"/>
      <w:r>
        <w:t xml:space="preserve">Evidence from all equity or </w:t>
      </w:r>
      <w:r w:rsidR="001C274C">
        <w:t>only listed equity</w:t>
      </w:r>
      <w:bookmarkEnd w:id="70"/>
    </w:p>
    <w:p w:rsidR="00063611" w:rsidRDefault="00063611" w:rsidP="00063611">
      <w:pPr>
        <w:numPr>
          <w:ilvl w:val="0"/>
          <w:numId w:val="25"/>
        </w:numPr>
      </w:pPr>
      <w:r>
        <w:t>When determining the value of imputation credits, we have regard to evidence from all companies and their investors (all equity) and just listed companies and their investors (</w:t>
      </w:r>
      <w:r w:rsidR="001C274C">
        <w:t>only listed equity</w:t>
      </w:r>
      <w:r>
        <w:t>). There is no consensus on which should be the preferred approach.</w:t>
      </w:r>
    </w:p>
    <w:p w:rsidR="00063611" w:rsidRDefault="00063611" w:rsidP="00063611">
      <w:pPr>
        <w:numPr>
          <w:ilvl w:val="0"/>
          <w:numId w:val="25"/>
        </w:numPr>
      </w:pPr>
      <w:r>
        <w:t>We have had regard to experts' comments on the issue. Lally made some comments in support of considering all equity:</w:t>
      </w:r>
      <w:r>
        <w:rPr>
          <w:rStyle w:val="FootnoteReference"/>
        </w:rPr>
        <w:footnoteReference w:id="189"/>
      </w:r>
    </w:p>
    <w:p w:rsidR="00063611" w:rsidRDefault="00063611" w:rsidP="00063611">
      <w:pPr>
        <w:pStyle w:val="AERquote"/>
      </w:pPr>
      <w:r w:rsidRPr="00D40BD7">
        <w:t>The more important point here is whether</w:t>
      </w:r>
      <w:r>
        <w:t xml:space="preserve"> </w:t>
      </w:r>
      <w:r w:rsidRPr="00D40BD7">
        <w:t>unlisted equity should be included, in principle. Arguably, the fact that only lis</w:t>
      </w:r>
      <w:r>
        <w:t xml:space="preserve">ted equity is </w:t>
      </w:r>
      <w:r w:rsidRPr="00D40BD7">
        <w:t>used to estimate the MRP and beta suggests that the same limit</w:t>
      </w:r>
      <w:r>
        <w:t xml:space="preserve">ation be applied to the present </w:t>
      </w:r>
      <w:r w:rsidRPr="00D40BD7">
        <w:t>issue. However, the limitation is only imposed for the</w:t>
      </w:r>
      <w:r>
        <w:t xml:space="preserve"> MRP and beta because data from </w:t>
      </w:r>
      <w:r w:rsidRPr="00D40BD7">
        <w:t xml:space="preserve">unlisted firms is entirely inadequate for estimating returns. </w:t>
      </w:r>
      <w:r>
        <w:t xml:space="preserve">Furthermore, MRP estimates are </w:t>
      </w:r>
      <w:r w:rsidRPr="00D40BD7">
        <w:t>generally based on a subset of listed equity (such as the ASX</w:t>
      </w:r>
      <w:r>
        <w:t xml:space="preserve">200), the subsets used may vary </w:t>
      </w:r>
      <w:r w:rsidRPr="00D40BD7">
        <w:t>and are sometimes never specified (in surveys), and bet</w:t>
      </w:r>
      <w:r>
        <w:t xml:space="preserve">as are typically estimated from </w:t>
      </w:r>
      <w:r w:rsidRPr="00D40BD7">
        <w:t>foreign returns data. All of these results could reasonably be vi</w:t>
      </w:r>
      <w:r>
        <w:t xml:space="preserve">ewed as proxies for the results </w:t>
      </w:r>
      <w:r w:rsidRPr="00D40BD7">
        <w:t>that would arise from using Australian data on all equities. In</w:t>
      </w:r>
      <w:r>
        <w:t xml:space="preserve"> addition, treating the CAPM as </w:t>
      </w:r>
      <w:r w:rsidRPr="00D40BD7">
        <w:t>a model that applies to only listed equities would rule out u</w:t>
      </w:r>
      <w:r>
        <w:t xml:space="preserve">sing it to estimate the cost of </w:t>
      </w:r>
      <w:r w:rsidRPr="00D40BD7">
        <w:t>equity for an unlisted company (and some regulated bus</w:t>
      </w:r>
      <w:r>
        <w:t xml:space="preserve">inesses are unlisted). Thus, in </w:t>
      </w:r>
      <w:r w:rsidRPr="00D40BD7">
        <w:t>principle, I favour inclusion of unlisted equity for estimati</w:t>
      </w:r>
      <w:r>
        <w:t xml:space="preserve">ng the proportion of Australian </w:t>
      </w:r>
      <w:r w:rsidRPr="00D40BD7">
        <w:t>equities held locally.</w:t>
      </w:r>
    </w:p>
    <w:p w:rsidR="00063611" w:rsidRDefault="00063611" w:rsidP="00063611">
      <w:pPr>
        <w:numPr>
          <w:ilvl w:val="0"/>
          <w:numId w:val="25"/>
        </w:numPr>
      </w:pPr>
      <w:r>
        <w:lastRenderedPageBreak/>
        <w:t>However, Handley suggested that evidence from listed equ</w:t>
      </w:r>
      <w:r w:rsidR="00133DB9">
        <w:t>ity is more relevant</w:t>
      </w:r>
      <w:r>
        <w:t>:</w:t>
      </w:r>
      <w:r w:rsidR="00B67C84">
        <w:rPr>
          <w:rStyle w:val="FootnoteReference"/>
        </w:rPr>
        <w:footnoteReference w:id="190"/>
      </w:r>
    </w:p>
    <w:p w:rsidR="00063611" w:rsidRDefault="00063611" w:rsidP="00063611">
      <w:pPr>
        <w:pStyle w:val="AERquote"/>
      </w:pPr>
      <w:r w:rsidRPr="00D3139D">
        <w:t xml:space="preserve">Specifically, the NERA estimate </w:t>
      </w:r>
      <w:r>
        <w:t xml:space="preserve">[of the distribution rate] </w:t>
      </w:r>
      <w:r w:rsidRPr="00D3139D">
        <w:t>is base</w:t>
      </w:r>
      <w:r>
        <w:t xml:space="preserve">d on aggregate [franking account balance] data for all </w:t>
      </w:r>
      <w:r w:rsidRPr="00D3139D">
        <w:t>companies – including public companies and private compan</w:t>
      </w:r>
      <w:r>
        <w:t xml:space="preserve">ies. In contrast, one can </w:t>
      </w:r>
      <w:r w:rsidRPr="00D3139D">
        <w:t>reasonably argue that the estimate should be based on p</w:t>
      </w:r>
      <w:r>
        <w:t xml:space="preserve">ublic companies only since this </w:t>
      </w:r>
      <w:r w:rsidRPr="00D3139D">
        <w:t>is more likely to reflect the composition of the Austra</w:t>
      </w:r>
      <w:r>
        <w:t xml:space="preserve">lian domestic market for equity </w:t>
      </w:r>
      <w:r w:rsidRPr="00D3139D">
        <w:t>funds – private companies by definition are financed in e</w:t>
      </w:r>
      <w:r>
        <w:t xml:space="preserve">ntirely different ways – and so </w:t>
      </w:r>
      <w:r w:rsidRPr="00D3139D">
        <w:t>be a more relevant proxy for a benchmark efficient entity.</w:t>
      </w:r>
    </w:p>
    <w:p w:rsidR="00B67C84" w:rsidRDefault="00B67C84" w:rsidP="00B67C84">
      <w:r>
        <w:t>SFG's view is not clear to us. In its May 2014 report, SFG stated:</w:t>
      </w:r>
      <w:r>
        <w:rPr>
          <w:rStyle w:val="FootnoteReference"/>
        </w:rPr>
        <w:footnoteReference w:id="191"/>
      </w:r>
    </w:p>
    <w:p w:rsidR="00B67C84" w:rsidRDefault="00B67C84" w:rsidP="00B67C84">
      <w:pPr>
        <w:pStyle w:val="AERquote"/>
      </w:pPr>
      <w:r w:rsidRPr="00F32772">
        <w:t>The 45% foreign ownership figure in Figure 9 above is based on listed e</w:t>
      </w:r>
      <w:r>
        <w:t xml:space="preserve">quity. In our view, this is the </w:t>
      </w:r>
      <w:r w:rsidRPr="00F32772">
        <w:t xml:space="preserve">appropriate calculation given that all other WACC parameters </w:t>
      </w:r>
      <w:r>
        <w:t xml:space="preserve">are estimated with reference to </w:t>
      </w:r>
      <w:r w:rsidRPr="00F32772">
        <w:t>exchange-listed businesses because they are more reflective of the efficient benchmark entity.</w:t>
      </w:r>
    </w:p>
    <w:p w:rsidR="00B67C84" w:rsidRDefault="00B67C84" w:rsidP="00B67C84">
      <w:r>
        <w:t>And in its February 2015 report SFG stated:</w:t>
      </w:r>
      <w:r>
        <w:rPr>
          <w:rStyle w:val="FootnoteReference"/>
        </w:rPr>
        <w:footnoteReference w:id="192"/>
      </w:r>
    </w:p>
    <w:p w:rsidR="00B67C84" w:rsidRDefault="00B67C84" w:rsidP="00B67C84">
      <w:pPr>
        <w:pStyle w:val="AERquote"/>
      </w:pPr>
      <w:r w:rsidRPr="00B67C84">
        <w:t>There is also a question about whether data should be restricted to li</w:t>
      </w:r>
      <w:r>
        <w:t xml:space="preserve">sted firms or whether it should </w:t>
      </w:r>
      <w:r w:rsidRPr="00B67C84">
        <w:t>be expanded to include private firms as well. Since the benchmark efficient entity is not necessarily</w:t>
      </w:r>
      <w:r>
        <w:t xml:space="preserve"> </w:t>
      </w:r>
      <w:r w:rsidRPr="00B67C84">
        <w:t>listed, this would imply that private firms are also relevant.</w:t>
      </w:r>
    </w:p>
    <w:p w:rsidR="000C07D1" w:rsidRDefault="000C07D1" w:rsidP="000C07D1">
      <w:r>
        <w:t>The service providers indicated clearly in their revised proposals their view that the value of imputation credits should be estimated with regard to evidence from all equity:</w:t>
      </w:r>
      <w:r>
        <w:rPr>
          <w:rStyle w:val="FootnoteReference"/>
        </w:rPr>
        <w:footnoteReference w:id="193"/>
      </w:r>
    </w:p>
    <w:p w:rsidR="000C07D1" w:rsidRDefault="000C07D1" w:rsidP="000C07D1">
      <w:pPr>
        <w:pStyle w:val="AERquote"/>
      </w:pPr>
      <w:r>
        <w:t>Gamma is conventionally estimated as a market-wide parameter and therefore there is no reason to measure the distribution rate based on data for listed equity only, in circumstances where data is available for both listed and unlisted firms</w:t>
      </w:r>
      <w:r w:rsidR="005D4939">
        <w:t>.</w:t>
      </w:r>
    </w:p>
    <w:p w:rsidR="005D4939" w:rsidRPr="005D4939" w:rsidRDefault="002E321B" w:rsidP="005D4939">
      <w:r>
        <w:t>D</w:t>
      </w:r>
      <w:r w:rsidR="005D4939">
        <w:t>espite their view</w:t>
      </w:r>
      <w:r>
        <w:t xml:space="preserve"> above</w:t>
      </w:r>
      <w:r w:rsidR="005D4939">
        <w:t xml:space="preserve">, the service providers propose to rely on </w:t>
      </w:r>
      <w:r w:rsidR="00CD0AF9">
        <w:t xml:space="preserve">the </w:t>
      </w:r>
      <w:r w:rsidR="003A079E">
        <w:t>'</w:t>
      </w:r>
      <w:r w:rsidR="00CD0AF9">
        <w:t xml:space="preserve">best </w:t>
      </w:r>
      <w:r w:rsidR="005D4939">
        <w:t>estimate</w:t>
      </w:r>
      <w:r w:rsidR="003A079E">
        <w:t>'</w:t>
      </w:r>
      <w:r w:rsidR="005D4939">
        <w:t xml:space="preserve"> of the utilisation rate from </w:t>
      </w:r>
      <w:r w:rsidR="00CD0AF9">
        <w:t>implied market value studies</w:t>
      </w:r>
      <w:r w:rsidR="003A079E">
        <w:t>,</w:t>
      </w:r>
      <w:r w:rsidR="00CD0AF9">
        <w:t xml:space="preserve"> which by definition relate to </w:t>
      </w:r>
      <w:r w:rsidR="001C274C">
        <w:t>only listed equity</w:t>
      </w:r>
      <w:r w:rsidR="005D4939">
        <w:t>.</w:t>
      </w:r>
      <w:r w:rsidR="00CD0AF9">
        <w:rPr>
          <w:rStyle w:val="FootnoteReference"/>
        </w:rPr>
        <w:footnoteReference w:id="194"/>
      </w:r>
      <w:r w:rsidR="005D4939">
        <w:t xml:space="preserve"> The service providers do not acknowledge the inconsistency (outlined in the draft decisions and repeated below) that arises from combining an estimate of the utilisation rate from </w:t>
      </w:r>
      <w:r w:rsidR="001C274C">
        <w:t>only listed equity</w:t>
      </w:r>
      <w:r w:rsidR="005D4939">
        <w:t xml:space="preserve"> with </w:t>
      </w:r>
      <w:r w:rsidR="00042A44">
        <w:t xml:space="preserve">an estimate of the distribution rate from all equity. The service </w:t>
      </w:r>
      <w:r w:rsidR="00042A44">
        <w:lastRenderedPageBreak/>
        <w:t xml:space="preserve">providers also do not </w:t>
      </w:r>
      <w:r w:rsidR="00FB4F6C">
        <w:t xml:space="preserve">recognise that the evidence they have presented on their preferred estimate of the utilisation rate implies that it likely understates the value of distributed credits to investors across all equity (see our discussion in section </w:t>
      </w:r>
      <w:r w:rsidR="00FB4F6C">
        <w:fldChar w:fldCharType="begin"/>
      </w:r>
      <w:r w:rsidR="00FB4F6C">
        <w:instrText xml:space="preserve"> REF _Ref414099389 \r \h </w:instrText>
      </w:r>
      <w:r w:rsidR="00FB4F6C">
        <w:fldChar w:fldCharType="separate"/>
      </w:r>
      <w:r w:rsidR="003F0AA6">
        <w:t>A.8.2</w:t>
      </w:r>
      <w:r w:rsidR="00FB4F6C">
        <w:fldChar w:fldCharType="end"/>
      </w:r>
      <w:r w:rsidR="00FB4F6C">
        <w:t>).</w:t>
      </w:r>
    </w:p>
    <w:p w:rsidR="00063611" w:rsidRDefault="00063611" w:rsidP="00063611">
      <w:pPr>
        <w:pStyle w:val="Heading9"/>
      </w:pPr>
      <w:bookmarkStart w:id="71" w:name="_Ref403481194"/>
      <w:r>
        <w:t xml:space="preserve">Relationship between the distribution rate and </w:t>
      </w:r>
      <w:r w:rsidRPr="00063611">
        <w:t>the</w:t>
      </w:r>
      <w:r>
        <w:t xml:space="preserve"> utilisation rate</w:t>
      </w:r>
      <w:bookmarkEnd w:id="71"/>
    </w:p>
    <w:p w:rsidR="00063611" w:rsidRPr="007467FD" w:rsidRDefault="00063611" w:rsidP="00063611">
      <w:pPr>
        <w:numPr>
          <w:ilvl w:val="0"/>
          <w:numId w:val="25"/>
        </w:numPr>
      </w:pPr>
      <w:r w:rsidRPr="007467FD">
        <w:t xml:space="preserve">In </w:t>
      </w:r>
      <w:r w:rsidR="003F5B81">
        <w:t xml:space="preserve">developing </w:t>
      </w:r>
      <w:r w:rsidRPr="007467FD">
        <w:t xml:space="preserve">the </w:t>
      </w:r>
      <w:r>
        <w:t>Guideline</w:t>
      </w:r>
      <w:r w:rsidRPr="007467FD">
        <w:t xml:space="preserve">, we did not recognise the relationship between definitions and estimates of the distribution rate and the utilisation rate. </w:t>
      </w:r>
      <w:r w:rsidR="003F5B81">
        <w:t>This relationship is that a</w:t>
      </w:r>
      <w:r w:rsidRPr="007467FD">
        <w:t xml:space="preserve"> given estimate of the distribution rate represents the proportion of credits distributed by a given set of companies to the set of investors in those companies. For consistency in estimating the value of imputation credits, it follows that a corresponding estimate of the utilisation rate should reflect the utilisation of that same set of investors. </w:t>
      </w:r>
    </w:p>
    <w:p w:rsidR="00063611" w:rsidRDefault="00063611" w:rsidP="00063611">
      <w:pPr>
        <w:numPr>
          <w:ilvl w:val="0"/>
          <w:numId w:val="25"/>
        </w:numPr>
      </w:pPr>
      <w:r w:rsidRPr="007467FD">
        <w:t xml:space="preserve">We consider that this relationship should be recognised when determining estimates of the value of imputation credits. We therefore consider that estimates of the utilisation rate determined with regard to investors in </w:t>
      </w:r>
      <w:r w:rsidR="001C274C">
        <w:t>only listed equity</w:t>
      </w:r>
      <w:r w:rsidRPr="007467FD">
        <w:t xml:space="preserve"> should be paired with estimates of the distribution rate that are also determined with regard to </w:t>
      </w:r>
      <w:r w:rsidR="001C274C">
        <w:t>only listed equity</w:t>
      </w:r>
      <w:r w:rsidRPr="007467FD">
        <w:t xml:space="preserve">. Similarly, estimates of the utilisation rate determined with regard to all equity should be paired with estimates of the distribution rate that are also determined with </w:t>
      </w:r>
      <w:r w:rsidR="009A4376">
        <w:t xml:space="preserve">regard to </w:t>
      </w:r>
      <w:r w:rsidRPr="007467FD">
        <w:t>all equity.</w:t>
      </w:r>
    </w:p>
    <w:p w:rsidR="003D3385" w:rsidRDefault="00DA2269" w:rsidP="00BC3784">
      <w:pPr>
        <w:numPr>
          <w:ilvl w:val="0"/>
          <w:numId w:val="25"/>
        </w:numPr>
      </w:pPr>
      <w:r>
        <w:t>We made the above points in the draft decisions, and the service providers did not comment on them in their revised proposals.</w:t>
      </w:r>
    </w:p>
    <w:p w:rsidR="00BC3784" w:rsidRDefault="00BC3784" w:rsidP="00EF5E4A">
      <w:pPr>
        <w:pStyle w:val="Heading8"/>
      </w:pPr>
      <w:bookmarkStart w:id="72" w:name="_Ref401133206"/>
      <w:bookmarkStart w:id="73" w:name="_Toc417043265"/>
      <w:r w:rsidRPr="00EF5E4A">
        <w:t>Estimating</w:t>
      </w:r>
      <w:r>
        <w:t xml:space="preserve"> the </w:t>
      </w:r>
      <w:r w:rsidRPr="00BC3784">
        <w:t>distribution</w:t>
      </w:r>
      <w:r>
        <w:t xml:space="preserve"> rate</w:t>
      </w:r>
      <w:bookmarkEnd w:id="72"/>
      <w:bookmarkEnd w:id="73"/>
    </w:p>
    <w:p w:rsidR="00BC3784" w:rsidRDefault="00BC3784" w:rsidP="00AE0135">
      <w:pPr>
        <w:numPr>
          <w:ilvl w:val="0"/>
          <w:numId w:val="25"/>
        </w:numPr>
      </w:pPr>
      <w:r>
        <w:t xml:space="preserve">We consider that the distribution rate is the proportion of imputation credits generated by the benchmark efficient entity that is distributed to investors. We set out our position on the distribution rate in section </w:t>
      </w:r>
      <w:r w:rsidR="0081589C">
        <w:fldChar w:fldCharType="begin"/>
      </w:r>
      <w:r w:rsidR="0081589C">
        <w:instrText xml:space="preserve"> REF _Ref403482746 \r \h </w:instrText>
      </w:r>
      <w:r w:rsidR="0081589C">
        <w:fldChar w:fldCharType="separate"/>
      </w:r>
      <w:r w:rsidR="003F0AA6">
        <w:t>4.4.1</w:t>
      </w:r>
      <w:r w:rsidR="0081589C">
        <w:fldChar w:fldCharType="end"/>
      </w:r>
      <w:r>
        <w:t xml:space="preserve"> of attachment 4. Consistent with the Guideline,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Pr>
          <w:rStyle w:val="FootnoteReference"/>
        </w:rPr>
        <w:footnoteReference w:id="195"/>
      </w:r>
      <w:r>
        <w:t xml:space="preserve"> Hathaway found a similar estimate for the period 2004 to 2011.</w:t>
      </w:r>
      <w:r>
        <w:rPr>
          <w:rStyle w:val="FootnoteReference"/>
        </w:rPr>
        <w:footnoteReference w:id="196"/>
      </w:r>
      <w:r>
        <w:t xml:space="preserve"> Also using this approach, Handley estimated a distribution rate across </w:t>
      </w:r>
      <w:r w:rsidR="001C274C">
        <w:t>only listed equity</w:t>
      </w:r>
      <w:r>
        <w:t xml:space="preserve"> of 0.8 for the period 1987 to 2011.</w:t>
      </w:r>
      <w:r>
        <w:rPr>
          <w:rStyle w:val="FootnoteReference"/>
        </w:rPr>
        <w:footnoteReference w:id="197"/>
      </w:r>
      <w:r w:rsidR="00F06C60">
        <w:t xml:space="preserve"> Our own analysis indicates that the distribution rate over </w:t>
      </w:r>
      <w:r w:rsidR="001C274C">
        <w:t>only listed equity</w:t>
      </w:r>
      <w:r w:rsidR="00F06C60">
        <w:t xml:space="preserve"> </w:t>
      </w:r>
      <w:r w:rsidR="00071CD2">
        <w:t>is</w:t>
      </w:r>
      <w:r w:rsidR="00F06C60">
        <w:t xml:space="preserve"> </w:t>
      </w:r>
      <w:r w:rsidR="00AE0135">
        <w:t>0.8 for the period 2004 to 2011</w:t>
      </w:r>
      <w:r w:rsidR="00AE0135">
        <w:rPr>
          <w:rFonts w:cs="Arial"/>
        </w:rPr>
        <w:t>—</w:t>
      </w:r>
      <w:r w:rsidR="00AE0135" w:rsidRPr="00AE0135">
        <w:t xml:space="preserve">we calculated the aggregate net tax paid by public companies </w:t>
      </w:r>
      <w:r w:rsidR="00AE0135">
        <w:t xml:space="preserve">over this period </w:t>
      </w:r>
      <w:r w:rsidR="00AE0135" w:rsidRPr="00AE0135">
        <w:t>to be $255.6 billion and the change in aggregate franking account balances of those companies</w:t>
      </w:r>
      <w:r w:rsidR="00AE0135">
        <w:t xml:space="preserve"> over the same period</w:t>
      </w:r>
      <w:r w:rsidR="00AE0135" w:rsidRPr="00AE0135">
        <w:t xml:space="preserve"> to be $50.2 billion</w:t>
      </w:r>
      <w:r w:rsidR="00990F02">
        <w:t xml:space="preserve"> (suggesting that $205.4 billion, or 80 per cent, of imputation credits generated were distributed)</w:t>
      </w:r>
      <w:r w:rsidR="00AE0135" w:rsidRPr="00AE0135">
        <w:t>.</w:t>
      </w:r>
    </w:p>
    <w:p w:rsidR="00BC3784" w:rsidRPr="00AA0E3C" w:rsidRDefault="00BC3784" w:rsidP="00BC3784">
      <w:pPr>
        <w:numPr>
          <w:ilvl w:val="0"/>
          <w:numId w:val="25"/>
        </w:numPr>
      </w:pPr>
      <w:r>
        <w:lastRenderedPageBreak/>
        <w:t xml:space="preserve">In this section we </w:t>
      </w:r>
      <w:r w:rsidR="001B0396">
        <w:t xml:space="preserve">respond to the service providers' and SFG's comments on the distribution rate; </w:t>
      </w:r>
      <w:r>
        <w:t>describe the cumulative payout ratio approach and alternative approaches to e</w:t>
      </w:r>
      <w:r w:rsidR="001B0396">
        <w:t xml:space="preserve">stimating the distribution rate; and discuss an updated report on tax statistics from Hathaway.  </w:t>
      </w:r>
    </w:p>
    <w:p w:rsidR="001B0396" w:rsidRDefault="001B0396" w:rsidP="00071CD2">
      <w:pPr>
        <w:pStyle w:val="Heading9"/>
      </w:pPr>
      <w:bookmarkStart w:id="74" w:name="_Ref414289334"/>
      <w:bookmarkStart w:id="75" w:name="_Ref401156644"/>
      <w:r w:rsidRPr="00071CD2">
        <w:t>Service</w:t>
      </w:r>
      <w:r>
        <w:t xml:space="preserve"> providers' and SFG's comments on the distribution rate</w:t>
      </w:r>
      <w:bookmarkEnd w:id="74"/>
    </w:p>
    <w:p w:rsidR="001B0396" w:rsidRDefault="001B0396" w:rsidP="001B0396">
      <w:r>
        <w:t xml:space="preserve">The service providers and SFG submitted that it would be inappropriate to apply a distribution rate of 0.8 based on evidence from </w:t>
      </w:r>
      <w:r w:rsidR="001C274C">
        <w:t>only listed equity</w:t>
      </w:r>
      <w:r>
        <w:t>. We disagree and set out our reasons below.</w:t>
      </w:r>
    </w:p>
    <w:p w:rsidR="00E54936" w:rsidRDefault="00F1706D" w:rsidP="001B0396">
      <w:r>
        <w:t>The</w:t>
      </w:r>
      <w:r w:rsidR="00E54936">
        <w:t>re appears to be agreement between the</w:t>
      </w:r>
      <w:r>
        <w:t xml:space="preserve"> </w:t>
      </w:r>
      <w:r w:rsidR="00E54936">
        <w:t xml:space="preserve">service providers, SFG and us that the distribution rate is the proportion of imputation credits generated by the benchmark efficient entity that is distributed to investors. There also appears to be agreement between the </w:t>
      </w:r>
      <w:r>
        <w:t>service providers and us that the distribution rate should be e</w:t>
      </w:r>
      <w:r w:rsidR="00BC57BA">
        <w:t>stimated on a market-wide basis; f</w:t>
      </w:r>
      <w:r w:rsidR="00E54936">
        <w:t>or instance, the service providers submitted:</w:t>
      </w:r>
      <w:r w:rsidR="00E54936">
        <w:rPr>
          <w:rStyle w:val="FootnoteReference"/>
        </w:rPr>
        <w:footnoteReference w:id="198"/>
      </w:r>
    </w:p>
    <w:p w:rsidR="00E54936" w:rsidRDefault="00E54936" w:rsidP="00E54936">
      <w:pPr>
        <w:pStyle w:val="AERquote"/>
      </w:pPr>
      <w:r>
        <w:t>Gamma is conventionally estimated as a market-wide parameter and therefore there is no reason to measure the distribution rate based on data for listed equity only, in circumstances where data is available for both listed and unlisted firms.</w:t>
      </w:r>
    </w:p>
    <w:p w:rsidR="00B46702" w:rsidRDefault="003B66B5" w:rsidP="00BC57BA">
      <w:r>
        <w:t>As set out in the draft dec</w:t>
      </w:r>
      <w:r w:rsidR="00680EF4">
        <w:t xml:space="preserve">isions and in section </w:t>
      </w:r>
      <w:r w:rsidR="00680EF4">
        <w:fldChar w:fldCharType="begin"/>
      </w:r>
      <w:r w:rsidR="00680EF4">
        <w:instrText xml:space="preserve"> REF _Ref403481194 \r \h </w:instrText>
      </w:r>
      <w:r w:rsidR="00680EF4">
        <w:fldChar w:fldCharType="separate"/>
      </w:r>
      <w:r w:rsidR="003F0AA6">
        <w:t>A.9.2</w:t>
      </w:r>
      <w:r w:rsidR="00680EF4">
        <w:fldChar w:fldCharType="end"/>
      </w:r>
      <w:r w:rsidR="00AB06BE">
        <w:t xml:space="preserve"> of this</w:t>
      </w:r>
      <w:r>
        <w:t xml:space="preserve"> final decision, we consider that there are good reasons</w:t>
      </w:r>
      <w:r w:rsidR="00A97288">
        <w:rPr>
          <w:rFonts w:cs="Arial"/>
        </w:rPr>
        <w:t>—</w:t>
      </w:r>
      <w:r w:rsidR="00A97288">
        <w:t>on internal consistency grounds</w:t>
      </w:r>
      <w:r w:rsidR="00A97288">
        <w:rPr>
          <w:rFonts w:cs="Arial"/>
        </w:rPr>
        <w:t>—</w:t>
      </w:r>
      <w:r>
        <w:t xml:space="preserve">for using </w:t>
      </w:r>
      <w:r w:rsidR="00BC57BA">
        <w:t xml:space="preserve">in certain circumstances </w:t>
      </w:r>
      <w:r>
        <w:t xml:space="preserve">an estimate of the distribution rate based on </w:t>
      </w:r>
      <w:r w:rsidR="001C274C">
        <w:t>only listed equity</w:t>
      </w:r>
      <w:r>
        <w:t>. However, the service providers did not comment on these reasons in their revised p</w:t>
      </w:r>
      <w:r w:rsidR="00B46702">
        <w:t xml:space="preserve">roposals. </w:t>
      </w:r>
    </w:p>
    <w:p w:rsidR="00E54936" w:rsidRDefault="003B66B5" w:rsidP="00BC57BA">
      <w:r>
        <w:t>SFG</w:t>
      </w:r>
      <w:r w:rsidR="00BC57BA">
        <w:t xml:space="preserve">'s </w:t>
      </w:r>
      <w:r w:rsidR="009928D7">
        <w:t>report</w:t>
      </w:r>
      <w:r w:rsidR="00BC57BA">
        <w:t xml:space="preserve"> appears to support an estimate of the distribution rate that is not affected by the distribution behaviour of very large public firms or very small private firms. That is, SFG stated:</w:t>
      </w:r>
    </w:p>
    <w:p w:rsidR="00BC57BA" w:rsidRDefault="00BC57BA" w:rsidP="00BC57BA">
      <w:pPr>
        <w:pStyle w:val="AERquote"/>
      </w:pPr>
      <w:r>
        <w:t>Conceptually, the task is…to estimate</w:t>
      </w:r>
      <w:r w:rsidR="00424E33">
        <w:t xml:space="preserve"> the distribution rate for the benchmark efficient firm.</w:t>
      </w:r>
      <w:r w:rsidR="00B56451">
        <w:rPr>
          <w:rStyle w:val="FootnoteReference"/>
        </w:rPr>
        <w:footnoteReference w:id="199"/>
      </w:r>
    </w:p>
    <w:p w:rsidR="00424E33" w:rsidRDefault="00424E33" w:rsidP="00424E33">
      <w:pPr>
        <w:pStyle w:val="AERquote"/>
      </w:pPr>
      <w:r>
        <w:t>…</w:t>
      </w:r>
    </w:p>
    <w:p w:rsidR="00424E33" w:rsidRDefault="00424E33" w:rsidP="00424E33">
      <w:pPr>
        <w:pStyle w:val="AERquote"/>
      </w:pPr>
      <w:r>
        <w:t>For the same reason that very large multinational firms are not comparable to the benchmark efficient entity, very small private firms would also not be close comparators.</w:t>
      </w:r>
      <w:r w:rsidR="00B56451">
        <w:rPr>
          <w:rStyle w:val="FootnoteReference"/>
        </w:rPr>
        <w:footnoteReference w:id="200"/>
      </w:r>
    </w:p>
    <w:p w:rsidR="00424E33" w:rsidRDefault="00424E33" w:rsidP="00424E33">
      <w:r>
        <w:t xml:space="preserve">In particular, </w:t>
      </w:r>
      <w:r w:rsidR="00AD67D9">
        <w:t xml:space="preserve">SFG submitted that the distribution behaviour of large multinational firms </w:t>
      </w:r>
      <w:r w:rsidR="00B56451">
        <w:t xml:space="preserve">seemed unrepresentative </w:t>
      </w:r>
      <w:r w:rsidR="0081214E">
        <w:t xml:space="preserve">of the benchmark efficient entity </w:t>
      </w:r>
      <w:r w:rsidR="00AD67D9">
        <w:t>on account of their foreign-</w:t>
      </w:r>
      <w:r w:rsidR="00AD67D9">
        <w:lastRenderedPageBreak/>
        <w:t>sourced income.</w:t>
      </w:r>
      <w:r w:rsidR="00AD67D9">
        <w:rPr>
          <w:rStyle w:val="FootnoteReference"/>
        </w:rPr>
        <w:footnoteReference w:id="201"/>
      </w:r>
      <w:r w:rsidR="0081214E">
        <w:t xml:space="preserve"> </w:t>
      </w:r>
      <w:r w:rsidR="00B56451">
        <w:t>SFG concluded that 'best estimate' of the distribution rate</w:t>
      </w:r>
      <w:r w:rsidR="00B7259E">
        <w:t xml:space="preserve"> from analysis which considered only listed equity was not materially different from 0.7.</w:t>
      </w:r>
      <w:r w:rsidR="00B7259E">
        <w:rPr>
          <w:rStyle w:val="FootnoteReference"/>
        </w:rPr>
        <w:footnoteReference w:id="202"/>
      </w:r>
      <w:r w:rsidR="00B56451">
        <w:t xml:space="preserve"> </w:t>
      </w:r>
      <w:r w:rsidR="0081214E">
        <w:t>Handley considered SFG's analysis to be '</w:t>
      </w:r>
      <w:r w:rsidR="0081214E" w:rsidRPr="0081214E">
        <w:t xml:space="preserve"> incomplete and oversimplified to support such a strong conclusion</w:t>
      </w:r>
      <w:r w:rsidR="0081214E">
        <w:t>'.</w:t>
      </w:r>
      <w:r w:rsidR="0081214E">
        <w:rPr>
          <w:rStyle w:val="FootnoteReference"/>
        </w:rPr>
        <w:footnoteReference w:id="203"/>
      </w:r>
    </w:p>
    <w:p w:rsidR="001573AB" w:rsidRDefault="009C5A79" w:rsidP="00424E33">
      <w:r>
        <w:t>Regarding internal consistency whe</w:t>
      </w:r>
      <w:r w:rsidR="003B1A41">
        <w:t xml:space="preserve">n </w:t>
      </w:r>
      <w:r>
        <w:t>combining</w:t>
      </w:r>
      <w:r w:rsidR="003B1A41">
        <w:t xml:space="preserve"> estimates of the distribution and utilisation rates</w:t>
      </w:r>
      <w:r>
        <w:t>, SFG</w:t>
      </w:r>
      <w:r w:rsidR="00B46702">
        <w:t xml:space="preserve"> </w:t>
      </w:r>
      <w:r>
        <w:t>submitted</w:t>
      </w:r>
      <w:r w:rsidR="00B46702">
        <w:t>:</w:t>
      </w:r>
      <w:r w:rsidR="00FE445D">
        <w:rPr>
          <w:rStyle w:val="FootnoteReference"/>
        </w:rPr>
        <w:footnoteReference w:id="204"/>
      </w:r>
    </w:p>
    <w:p w:rsidR="00B46702" w:rsidRDefault="00B46702" w:rsidP="00B46702">
      <w:pPr>
        <w:pStyle w:val="AERquote"/>
      </w:pPr>
      <w:r>
        <w:t xml:space="preserve">Since all credits from all companies are identical, it must be the case that, in equilibrium, the credits have the same value throughout the economy. Consequently, it is generally accepted that theta is a market-wide parameter </w:t>
      </w:r>
      <w:r w:rsidR="00B7668A">
        <w:t>–</w:t>
      </w:r>
      <w:r>
        <w:t xml:space="preserve"> with a single value that would apply to all firms.</w:t>
      </w:r>
    </w:p>
    <w:p w:rsidR="00B46702" w:rsidRDefault="009C5A79" w:rsidP="00B46702">
      <w:r>
        <w:t>That is, i</w:t>
      </w:r>
      <w:r w:rsidR="009928D7">
        <w:t>f the</w:t>
      </w:r>
      <w:r w:rsidR="00FE445D">
        <w:t xml:space="preserve"> only value of theta</w:t>
      </w:r>
      <w:r w:rsidR="009928D7">
        <w:t xml:space="preserve"> is the market-wide value</w:t>
      </w:r>
      <w:r w:rsidR="00FE445D">
        <w:t>, then it is internally consistent to combine it with any estimate of the distribution rate. However, SFG's view in the quote above</w:t>
      </w:r>
      <w:r w:rsidR="00B46702">
        <w:t xml:space="preserve"> must be reconciled with the fact that different investors </w:t>
      </w:r>
      <w:r w:rsidR="00C73E51">
        <w:t xml:space="preserve">can </w:t>
      </w:r>
      <w:r w:rsidR="00B46702">
        <w:t xml:space="preserve">value imputation credits differently. For instance, foreign investors do not value credits and eligible domestic investors do. Therefore, a given estimate of theta will reflect the set of investors over which it is calculated. SFG appears to recognise this elsewhere in its </w:t>
      </w:r>
      <w:r w:rsidR="009928D7">
        <w:t>report</w:t>
      </w:r>
      <w:r w:rsidR="00B46702">
        <w:t>:</w:t>
      </w:r>
      <w:r w:rsidR="00071CD2">
        <w:rPr>
          <w:rStyle w:val="FootnoteReference"/>
        </w:rPr>
        <w:footnoteReference w:id="205"/>
      </w:r>
    </w:p>
    <w:p w:rsidR="00B46702" w:rsidRDefault="00B46702" w:rsidP="00B46702">
      <w:pPr>
        <w:pStyle w:val="AERquote"/>
      </w:pPr>
      <w:r>
        <w:t>If theta is estimated using a market value approach, the estimate will represent</w:t>
      </w:r>
      <w:r w:rsidR="00316050">
        <w:t xml:space="preserve"> an average across all listed firms.</w:t>
      </w:r>
    </w:p>
    <w:p w:rsidR="002207E5" w:rsidRDefault="00316050" w:rsidP="00B46702">
      <w:r>
        <w:t xml:space="preserve">This is further illustrated in </w:t>
      </w:r>
      <w:r w:rsidR="00071CD2">
        <w:fldChar w:fldCharType="begin"/>
      </w:r>
      <w:r w:rsidR="00071CD2">
        <w:instrText xml:space="preserve"> REF  _Ref415078600 \* Lower \h </w:instrText>
      </w:r>
      <w:r w:rsidR="00071CD2">
        <w:fldChar w:fldCharType="separate"/>
      </w:r>
      <w:r w:rsidR="003F0AA6">
        <w:t xml:space="preserve">figure </w:t>
      </w:r>
      <w:r w:rsidR="003F0AA6">
        <w:rPr>
          <w:noProof/>
        </w:rPr>
        <w:t>4</w:t>
      </w:r>
      <w:r w:rsidR="003F0AA6">
        <w:noBreakHyphen/>
      </w:r>
      <w:r w:rsidR="003F0AA6">
        <w:rPr>
          <w:noProof/>
        </w:rPr>
        <w:t>1</w:t>
      </w:r>
      <w:r w:rsidR="00071CD2">
        <w:fldChar w:fldCharType="end"/>
      </w:r>
      <w:r w:rsidR="00071CD2">
        <w:t xml:space="preserve"> and </w:t>
      </w:r>
      <w:r w:rsidR="00071CD2">
        <w:fldChar w:fldCharType="begin"/>
      </w:r>
      <w:r w:rsidR="00071CD2">
        <w:instrText xml:space="preserve"> REF  _Ref415078618 \* Lower \h </w:instrText>
      </w:r>
      <w:r w:rsidR="00071CD2">
        <w:fldChar w:fldCharType="separate"/>
      </w:r>
      <w:r w:rsidR="003F0AA6">
        <w:t xml:space="preserve">figure </w:t>
      </w:r>
      <w:r w:rsidR="003F0AA6">
        <w:rPr>
          <w:noProof/>
        </w:rPr>
        <w:t>4</w:t>
      </w:r>
      <w:r w:rsidR="003F0AA6">
        <w:noBreakHyphen/>
      </w:r>
      <w:r w:rsidR="003F0AA6">
        <w:rPr>
          <w:noProof/>
        </w:rPr>
        <w:t>2</w:t>
      </w:r>
      <w:r w:rsidR="00071CD2">
        <w:fldChar w:fldCharType="end"/>
      </w:r>
      <w:r>
        <w:t xml:space="preserve"> submitted by the service providers, which indicate that SFG's dividend drop off estimate of theta reflects the proportion of foreign inve</w:t>
      </w:r>
      <w:r w:rsidR="00C73E51">
        <w:t xml:space="preserve">stors in listed equity. </w:t>
      </w:r>
    </w:p>
    <w:p w:rsidR="00316050" w:rsidRDefault="00C73E51" w:rsidP="00B46702">
      <w:r>
        <w:t>To clarify,</w:t>
      </w:r>
      <w:r w:rsidR="00316050">
        <w:t xml:space="preserve"> </w:t>
      </w:r>
      <w:r>
        <w:t>in theory there may</w:t>
      </w:r>
      <w:r w:rsidR="002B24B7">
        <w:t xml:space="preserve"> be a single economy-wide theta. However,</w:t>
      </w:r>
      <w:r>
        <w:t xml:space="preserve"> </w:t>
      </w:r>
      <w:r w:rsidR="00316050">
        <w:t xml:space="preserve">the practical reality is that </w:t>
      </w:r>
      <w:r>
        <w:t>a given estimate of theta w</w:t>
      </w:r>
      <w:r w:rsidR="00DF756A">
        <w:t xml:space="preserve">ill reflect </w:t>
      </w:r>
      <w:r w:rsidR="00316050">
        <w:t xml:space="preserve">the set of investors in the </w:t>
      </w:r>
      <w:r>
        <w:t>evidence used</w:t>
      </w:r>
      <w:r w:rsidR="00316050">
        <w:t xml:space="preserve">. </w:t>
      </w:r>
      <w:r w:rsidR="00EF37FC">
        <w:t>Accordingly</w:t>
      </w:r>
      <w:r w:rsidR="00316050">
        <w:t>, for internal consistency</w:t>
      </w:r>
      <w:r w:rsidR="003B1A41">
        <w:t xml:space="preserve"> and from a practical perspective</w:t>
      </w:r>
      <w:r w:rsidR="00316050">
        <w:t xml:space="preserve">, </w:t>
      </w:r>
      <w:r w:rsidR="00EF37FC">
        <w:t xml:space="preserve">we consider that </w:t>
      </w:r>
      <w:r w:rsidR="00316050">
        <w:t>the distribution rate we use in combination with that estimate of theta represent the distribution of credits to that same set of investors (or at le</w:t>
      </w:r>
      <w:r w:rsidR="00EF37FC">
        <w:t>ast a similarly reflective set).</w:t>
      </w:r>
      <w:r w:rsidR="00316050">
        <w:t xml:space="preserve"> </w:t>
      </w:r>
      <w:r w:rsidR="00EF37FC">
        <w:t>T</w:t>
      </w:r>
      <w:r>
        <w:t xml:space="preserve">he service providers and SFG give us no cause to change this view. </w:t>
      </w:r>
      <w:r w:rsidR="00DF756A">
        <w:t xml:space="preserve"> Further, we are not conv</w:t>
      </w:r>
      <w:r w:rsidR="006A5C87">
        <w:t xml:space="preserve">inced that we should use </w:t>
      </w:r>
      <w:r w:rsidR="002207E5">
        <w:t xml:space="preserve">only </w:t>
      </w:r>
      <w:r w:rsidR="006A5C87">
        <w:t xml:space="preserve">a </w:t>
      </w:r>
      <w:r w:rsidR="00DF756A">
        <w:t>subset of public companies when we seek to apply a distribution rate that is internall</w:t>
      </w:r>
      <w:r w:rsidR="002207E5">
        <w:t>y consistent with a value for theta estimated over investors in</w:t>
      </w:r>
      <w:r w:rsidR="00DF756A">
        <w:t xml:space="preserve"> </w:t>
      </w:r>
      <w:r w:rsidR="001C274C">
        <w:t>only listed equity</w:t>
      </w:r>
      <w:r w:rsidR="00DF756A">
        <w:t>.</w:t>
      </w:r>
      <w:r>
        <w:t xml:space="preserve"> </w:t>
      </w:r>
    </w:p>
    <w:p w:rsidR="00BC3784" w:rsidRDefault="00BC3784" w:rsidP="00BC3784">
      <w:pPr>
        <w:pStyle w:val="Heading9"/>
      </w:pPr>
      <w:bookmarkStart w:id="76" w:name="_Ref415126827"/>
      <w:r>
        <w:t>The cumulative payout ratio approach</w:t>
      </w:r>
      <w:bookmarkEnd w:id="75"/>
      <w:bookmarkEnd w:id="76"/>
    </w:p>
    <w:p w:rsidR="00BC3784" w:rsidRDefault="00BC3784" w:rsidP="00BC3784">
      <w:pPr>
        <w:numPr>
          <w:ilvl w:val="0"/>
          <w:numId w:val="25"/>
        </w:numPr>
      </w:pPr>
      <w:r>
        <w:t>The cumulative payout ratio approach is applied as follows. It starts with</w:t>
      </w:r>
      <w:r w:rsidRPr="00FD7776">
        <w:t xml:space="preserve"> the total value of </w:t>
      </w:r>
      <w:r>
        <w:t>imputation</w:t>
      </w:r>
      <w:r w:rsidRPr="00FD7776">
        <w:t xml:space="preserve"> credits that are in firms' franking account balances, reflecting the cumulative additions and subtractions of </w:t>
      </w:r>
      <w:r>
        <w:t>imputation</w:t>
      </w:r>
      <w:r w:rsidRPr="00FD7776">
        <w:t xml:space="preserve"> credits since </w:t>
      </w:r>
      <w:r>
        <w:t>a particular point in time</w:t>
      </w:r>
      <w:r w:rsidRPr="00FD7776">
        <w:t xml:space="preserve">. Then, </w:t>
      </w:r>
      <w:r w:rsidRPr="00FD7776">
        <w:lastRenderedPageBreak/>
        <w:t xml:space="preserve">subtracting this from total company tax paid over the same time period produces an estimate of the </w:t>
      </w:r>
      <w:r>
        <w:t>imputation</w:t>
      </w:r>
      <w:r w:rsidRPr="00FD7776">
        <w:t xml:space="preserve"> credits that have been distributed in total. This relies on the idea that every dollar of company tax paid generates an imputation credit, which can either be distributed or retained in franking account balances. Then, dividing this estimate by</w:t>
      </w:r>
      <w:r>
        <w:t xml:space="preserve"> the value of</w:t>
      </w:r>
      <w:r w:rsidRPr="00FD7776">
        <w:t xml:space="preserve"> company tax paid over the same time period produces an estimate of the </w:t>
      </w:r>
      <w:r>
        <w:t>distribution rate</w:t>
      </w:r>
      <w:r w:rsidRPr="00FD7776">
        <w:t xml:space="preserve"> over this time.</w:t>
      </w:r>
    </w:p>
    <w:p w:rsidR="00BC3784" w:rsidRDefault="00BC3784" w:rsidP="00BC3784">
      <w:pPr>
        <w:numPr>
          <w:ilvl w:val="0"/>
          <w:numId w:val="25"/>
        </w:numPr>
      </w:pPr>
      <w:r>
        <w:t>A limitation of this approach is that factors other than the distribution of imputation credits can lead to a decrease in aggregate franking account balances.</w:t>
      </w:r>
      <w:r>
        <w:rPr>
          <w:rStyle w:val="FootnoteReference"/>
        </w:rPr>
        <w:footnoteReference w:id="206"/>
      </w:r>
      <w:r>
        <w:t xml:space="preserve"> However, we are unaware of the materiality of these factors. Moreover, as discussed in the next section:</w:t>
      </w:r>
    </w:p>
    <w:p w:rsidR="00BC3784" w:rsidRPr="00BC3784" w:rsidRDefault="00BC3784" w:rsidP="00BC3784">
      <w:pPr>
        <w:pStyle w:val="AERbulletlistfirststyle"/>
      </w:pPr>
      <w:r w:rsidRPr="009C59D1">
        <w:t>Hathaway and NERA each</w:t>
      </w:r>
      <w:r w:rsidRPr="00BC3784">
        <w:t xml:space="preserve"> preferred this approach to an approach involving data on franked dividends, and</w:t>
      </w:r>
    </w:p>
    <w:p w:rsidR="00C531B4" w:rsidRPr="00C531B4" w:rsidRDefault="00BC3784" w:rsidP="00C531B4">
      <w:pPr>
        <w:pStyle w:val="AERbulletlistfirststyle"/>
      </w:pPr>
      <w:r>
        <w:t xml:space="preserve">an estimate of the distribution rate across </w:t>
      </w:r>
      <w:r w:rsidR="001C274C">
        <w:t>only listed equity</w:t>
      </w:r>
      <w:r>
        <w:t xml:space="preserve"> using this approach is broadly reinforced by evidence from the financial statements of the largest listed companies.</w:t>
      </w:r>
    </w:p>
    <w:p w:rsidR="00BC3784" w:rsidRDefault="00BC3784" w:rsidP="00BC3784">
      <w:pPr>
        <w:pStyle w:val="Heading9"/>
      </w:pPr>
      <w:r>
        <w:t xml:space="preserve">Alternative </w:t>
      </w:r>
      <w:r w:rsidRPr="00BC3784">
        <w:t>approaches</w:t>
      </w:r>
    </w:p>
    <w:p w:rsidR="00BC3784" w:rsidRDefault="00BC3784" w:rsidP="00BC3784">
      <w:pPr>
        <w:numPr>
          <w:ilvl w:val="0"/>
          <w:numId w:val="25"/>
        </w:numPr>
      </w:pPr>
      <w:r>
        <w:t>There are at least two alternative approaches to estimating the distribution rate:</w:t>
      </w:r>
    </w:p>
    <w:p w:rsidR="00BC3784" w:rsidRPr="00BC3784" w:rsidRDefault="00BC3784" w:rsidP="00BC3784">
      <w:pPr>
        <w:pStyle w:val="AERbulletlistfirststyle"/>
      </w:pPr>
      <w:r w:rsidRPr="00296C23">
        <w:t>Hathaway and NERA each estimate</w:t>
      </w:r>
      <w:r w:rsidRPr="00BC3784">
        <w:t>d a distribution rate of around 0.5 using ATO statistics on the franked dividends distributed by companies as reported in their tax returns.</w:t>
      </w:r>
      <w:r w:rsidRPr="00BC3784">
        <w:rPr>
          <w:rStyle w:val="FootnoteReference"/>
        </w:rPr>
        <w:footnoteReference w:id="207"/>
      </w:r>
      <w:r w:rsidR="00AC6F43">
        <w:t xml:space="preserve"> However, neither advocated</w:t>
      </w:r>
      <w:r w:rsidRPr="00BC3784">
        <w:t xml:space="preserve"> the use of this estimate. NERA considered:</w:t>
      </w:r>
      <w:r w:rsidRPr="00BC3784">
        <w:rPr>
          <w:rStyle w:val="FootnoteReference"/>
        </w:rPr>
        <w:footnoteReference w:id="208"/>
      </w:r>
    </w:p>
    <w:p w:rsidR="00BC3784" w:rsidRDefault="00BC3784" w:rsidP="00BC3784">
      <w:pPr>
        <w:pStyle w:val="AERquote"/>
      </w:pPr>
      <w:r w:rsidRPr="000B7792">
        <w:t>In our opinion, the cumulative payout ratio is the most reliable estimate that is least likely to be affected by potential distortions in the underlying data set.</w:t>
      </w:r>
      <w:r>
        <w:t xml:space="preserve"> </w:t>
      </w:r>
    </w:p>
    <w:p w:rsidR="00BC3784" w:rsidRPr="00BC3784" w:rsidRDefault="00BC3784" w:rsidP="00E253F7">
      <w:pPr>
        <w:pStyle w:val="AERbulletlistfirststyle"/>
        <w:numPr>
          <w:ilvl w:val="0"/>
          <w:numId w:val="0"/>
        </w:numPr>
        <w:ind w:left="357"/>
      </w:pPr>
      <w:r>
        <w:t>And Hathaway consider</w:t>
      </w:r>
      <w:r w:rsidRPr="00BC3784">
        <w:t>ed:</w:t>
      </w:r>
      <w:r w:rsidRPr="00BC3784">
        <w:rPr>
          <w:rStyle w:val="FootnoteReference"/>
        </w:rPr>
        <w:footnoteReference w:id="209"/>
      </w:r>
    </w:p>
    <w:p w:rsidR="00BC3784" w:rsidRDefault="00BC3784" w:rsidP="00BC3784">
      <w:pPr>
        <w:pStyle w:val="AERquote"/>
      </w:pPr>
      <w:r>
        <w:t>As was explained in section 3, I have more faith in the [franking account balance] data than in the dividend data. The dividend data appears to be missing about $87.5 billion and the ATO has had substantial problems with the dividend data in the past.</w:t>
      </w:r>
    </w:p>
    <w:p w:rsidR="00BC3784" w:rsidRDefault="00BC3784" w:rsidP="00BC3784">
      <w:r w:rsidRPr="00296C23">
        <w:t>Lally examine</w:t>
      </w:r>
      <w:r>
        <w:t>d</w:t>
      </w:r>
      <w:r w:rsidRPr="00296C23">
        <w:t xml:space="preserve"> the financial statements of the 20 largest ASX-listed firms by market capitalisation, and </w:t>
      </w:r>
      <w:r>
        <w:t>found</w:t>
      </w:r>
      <w:r w:rsidRPr="00296C23">
        <w:t xml:space="preserve"> an aggregate distribution rate across these firms of 0.84.</w:t>
      </w:r>
      <w:r>
        <w:rPr>
          <w:rStyle w:val="FootnoteReference"/>
        </w:rPr>
        <w:footnoteReference w:id="210"/>
      </w:r>
      <w:r w:rsidRPr="00296C23">
        <w:t xml:space="preserve"> We consider that this broadly reinforces </w:t>
      </w:r>
      <w:r w:rsidR="00AC6F43">
        <w:t>the</w:t>
      </w:r>
      <w:r w:rsidRPr="00296C23">
        <w:t xml:space="preserve"> cumulative payout ratio estimate across </w:t>
      </w:r>
      <w:r w:rsidR="001C274C">
        <w:t>only listed equity</w:t>
      </w:r>
      <w:r>
        <w:t xml:space="preserve"> </w:t>
      </w:r>
      <w:r w:rsidRPr="00296C23">
        <w:t>of 0.8.</w:t>
      </w:r>
    </w:p>
    <w:p w:rsidR="00C531B4" w:rsidRDefault="00C531B4" w:rsidP="00C531B4">
      <w:pPr>
        <w:pStyle w:val="Heading9"/>
      </w:pPr>
      <w:r>
        <w:lastRenderedPageBreak/>
        <w:t>Hathaway (2014)</w:t>
      </w:r>
    </w:p>
    <w:p w:rsidR="00C531B4" w:rsidRDefault="00C531B4" w:rsidP="00C531B4">
      <w:r>
        <w:t>Since the publication of the draft decisions</w:t>
      </w:r>
      <w:r w:rsidR="006878CF">
        <w:t xml:space="preserve">, and deep into the process of preparing </w:t>
      </w:r>
      <w:r w:rsidR="00FD4722">
        <w:t>this</w:t>
      </w:r>
      <w:r w:rsidR="006878CF">
        <w:t xml:space="preserve"> final decision,</w:t>
      </w:r>
      <w:r>
        <w:t xml:space="preserve"> we </w:t>
      </w:r>
      <w:r w:rsidR="006878CF">
        <w:t>became</w:t>
      </w:r>
      <w:r>
        <w:t xml:space="preserve"> aware of an updated analysis of the tax statistics by Hathaway</w:t>
      </w:r>
      <w:r w:rsidR="0038032B">
        <w:t xml:space="preserve"> dated October 2014</w:t>
      </w:r>
      <w:r>
        <w:t>.</w:t>
      </w:r>
      <w:r>
        <w:rPr>
          <w:rStyle w:val="FootnoteReference"/>
        </w:rPr>
        <w:footnoteReference w:id="211"/>
      </w:r>
      <w:r>
        <w:t xml:space="preserve"> This report updates the analysis to include tax data for the 2011-12 financial year, which were published by the ATO during 2014. </w:t>
      </w:r>
      <w:r w:rsidR="0038032B">
        <w:t>Hathaway (2014)</w:t>
      </w:r>
      <w:r>
        <w:t xml:space="preserve"> remains in draft form, and was not submitted to us for consideration by any party. Importantly, </w:t>
      </w:r>
      <w:r w:rsidR="0038032B">
        <w:t>Hathaway (2014)</w:t>
      </w:r>
      <w:r>
        <w:t xml:space="preserve"> appears to come to the opposite conclusion of his 2013 analysis</w:t>
      </w:r>
      <w:r w:rsidR="00AC6F43">
        <w:t xml:space="preserve"> regarding the FAB data</w:t>
      </w:r>
      <w:r>
        <w:t>:</w:t>
      </w:r>
      <w:r w:rsidR="00971DD7">
        <w:rPr>
          <w:rStyle w:val="FootnoteReference"/>
        </w:rPr>
        <w:footnoteReference w:id="212"/>
      </w:r>
    </w:p>
    <w:p w:rsidR="00C531B4" w:rsidRPr="009A4A80" w:rsidRDefault="00C531B4" w:rsidP="00C531B4">
      <w:pPr>
        <w:pStyle w:val="AERquote"/>
      </w:pPr>
      <w:r>
        <w:t xml:space="preserve">…the FAB data indicate a </w:t>
      </w:r>
      <w:r w:rsidRPr="00971DD7">
        <w:rPr>
          <w:rStyle w:val="AERtextitalic"/>
        </w:rPr>
        <w:t>net</w:t>
      </w:r>
      <w:r w:rsidRPr="009A4A80">
        <w:t xml:space="preserve"> $337.4 billion of credits have been distributed and a </w:t>
      </w:r>
      <w:r w:rsidRPr="00971DD7">
        <w:rPr>
          <w:rStyle w:val="AERtextitalic"/>
        </w:rPr>
        <w:t>gross</w:t>
      </w:r>
      <w:r w:rsidRPr="009A4A80">
        <w:t xml:space="preserve"> $428 billion was distributed.</w:t>
      </w:r>
    </w:p>
    <w:p w:rsidR="00C531B4" w:rsidRDefault="00C531B4" w:rsidP="00C531B4">
      <w:pPr>
        <w:pStyle w:val="AERquote"/>
      </w:pPr>
      <w:r w:rsidRPr="009A4A80">
        <w:t>This gross distribution seems highly improbable and is quite inconsis</w:t>
      </w:r>
      <w:r>
        <w:t xml:space="preserve">tent with the recorded franking </w:t>
      </w:r>
      <w:r w:rsidRPr="009A4A80">
        <w:t>credit income. It represents a gross payout ratio of 88% of all company tax as franking credits for</w:t>
      </w:r>
      <w:r>
        <w:t xml:space="preserve"> </w:t>
      </w:r>
      <w:r w:rsidRPr="009A4A80">
        <w:t>the period 2004-12. This is in stark contrast to the gross 66% distribution recorded by the payment</w:t>
      </w:r>
      <w:r>
        <w:t xml:space="preserve"> </w:t>
      </w:r>
      <w:r w:rsidRPr="009A4A80">
        <w:t>of franked dividends. We conclude that the FAB data are a concern.</w:t>
      </w:r>
    </w:p>
    <w:p w:rsidR="0060222E" w:rsidRDefault="004516D5" w:rsidP="00AC6F43">
      <w:r>
        <w:t xml:space="preserve">To the extent that </w:t>
      </w:r>
      <w:r w:rsidR="0038032B">
        <w:t xml:space="preserve">the </w:t>
      </w:r>
      <w:r>
        <w:t xml:space="preserve">new conclusions </w:t>
      </w:r>
      <w:r w:rsidR="0038032B">
        <w:t xml:space="preserve">in Hathaway (2014) </w:t>
      </w:r>
      <w:r>
        <w:t xml:space="preserve">are well founded, </w:t>
      </w:r>
      <w:r w:rsidR="00DC1EBA">
        <w:t>t</w:t>
      </w:r>
      <w:r w:rsidR="004510F7">
        <w:t xml:space="preserve">he potential implication is that an estimate of the distribution rate using franked dividend data </w:t>
      </w:r>
      <w:r w:rsidR="00D516A1">
        <w:t>might</w:t>
      </w:r>
      <w:r w:rsidR="004510F7">
        <w:t xml:space="preserve"> be more approp</w:t>
      </w:r>
      <w:r w:rsidR="00D516A1">
        <w:t>riate</w:t>
      </w:r>
      <w:r w:rsidR="0060222E">
        <w:t xml:space="preserve"> (that is, around 0.5, or at least between 0.5 and 0.7)</w:t>
      </w:r>
      <w:r w:rsidR="00D516A1">
        <w:t>. However, on first assessment, we are not convinced by Hathaway's</w:t>
      </w:r>
      <w:r w:rsidR="0060222E">
        <w:t xml:space="preserve"> main</w:t>
      </w:r>
      <w:r w:rsidR="00D516A1">
        <w:t xml:space="preserve"> reason for concluding that the FAB data are a concern</w:t>
      </w:r>
      <w:r w:rsidR="00D516A1">
        <w:rPr>
          <w:rFonts w:cs="Arial"/>
        </w:rPr>
        <w:t>—</w:t>
      </w:r>
      <w:r w:rsidR="00D516A1">
        <w:t>the idea that they imply a g</w:t>
      </w:r>
      <w:r w:rsidR="0060222E">
        <w:t>ross distribution rate of 0.88</w:t>
      </w:r>
      <w:r w:rsidR="00D516A1">
        <w:t xml:space="preserve"> which is 'improbable' and much higher than the gross distribution rate implied by franked dividend data</w:t>
      </w:r>
      <w:r w:rsidR="0060222E">
        <w:t xml:space="preserve"> (0.66, which appears to be</w:t>
      </w:r>
      <w:r w:rsidR="00D516A1">
        <w:t xml:space="preserve"> considered </w:t>
      </w:r>
      <w:r w:rsidR="0060222E">
        <w:t xml:space="preserve">by Hathaway to be </w:t>
      </w:r>
      <w:r w:rsidR="003E0367">
        <w:t>probable</w:t>
      </w:r>
      <w:r w:rsidR="00D516A1">
        <w:t xml:space="preserve">). This is because </w:t>
      </w:r>
      <w:r w:rsidR="0060222E">
        <w:t xml:space="preserve">Lally's estimate of </w:t>
      </w:r>
      <w:r w:rsidR="00D516A1">
        <w:t>the gross distribution rate</w:t>
      </w:r>
      <w:r w:rsidR="0060222E">
        <w:t xml:space="preserve"> across the largest listed companies is 0.84, and therefore we do not consider that an estimate of 0.8</w:t>
      </w:r>
      <w:r w:rsidR="007472A2">
        <w:t>8 is necessarily</w:t>
      </w:r>
      <w:r w:rsidR="0060222E">
        <w:t xml:space="preserve"> improbable.</w:t>
      </w:r>
    </w:p>
    <w:p w:rsidR="00CE52F5" w:rsidRDefault="001345D0" w:rsidP="00AC6F43">
      <w:r>
        <w:t>While we are aware of it, w</w:t>
      </w:r>
      <w:r w:rsidR="00D50D70">
        <w:t xml:space="preserve">e do not place reliance on </w:t>
      </w:r>
      <w:r w:rsidR="007254ED">
        <w:t>the</w:t>
      </w:r>
      <w:r w:rsidR="00D50D70">
        <w:t xml:space="preserve"> conclusion </w:t>
      </w:r>
      <w:r w:rsidR="007254ED">
        <w:t xml:space="preserve">in Hathaway (2014) </w:t>
      </w:r>
      <w:r w:rsidR="00D50D70">
        <w:t xml:space="preserve">regarding </w:t>
      </w:r>
      <w:r w:rsidR="00CE52F5">
        <w:t>the FAB data in this final decision. This is because:</w:t>
      </w:r>
    </w:p>
    <w:p w:rsidR="006878CF" w:rsidRDefault="006878CF" w:rsidP="00CE52F5">
      <w:pPr>
        <w:pStyle w:val="AERbulletlistfirststyle"/>
      </w:pPr>
      <w:r>
        <w:t xml:space="preserve">Given the </w:t>
      </w:r>
      <w:r w:rsidR="00987FA7">
        <w:t>lateness with</w:t>
      </w:r>
      <w:r>
        <w:t xml:space="preserve"> which we became aware of the report, </w:t>
      </w:r>
      <w:r w:rsidR="00987FA7">
        <w:t>there was insufficient time for a full assessment of it by ourselves</w:t>
      </w:r>
      <w:r w:rsidR="001345D0">
        <w:t>, an expert</w:t>
      </w:r>
      <w:r w:rsidR="00987FA7">
        <w:t xml:space="preserve"> or </w:t>
      </w:r>
      <w:r w:rsidR="001345D0">
        <w:t>stakeholders</w:t>
      </w:r>
      <w:r w:rsidR="00987FA7">
        <w:t>.</w:t>
      </w:r>
      <w:r>
        <w:t xml:space="preserve"> </w:t>
      </w:r>
    </w:p>
    <w:p w:rsidR="004643C3" w:rsidRDefault="00F130EF" w:rsidP="00CE52F5">
      <w:pPr>
        <w:pStyle w:val="AERbulletlistfirststyle"/>
      </w:pPr>
      <w:r>
        <w:t>B</w:t>
      </w:r>
      <w:r w:rsidR="004643C3">
        <w:t>ased on a first assessment, we do not find convincing Hathaway's reasoning for his conclusion</w:t>
      </w:r>
      <w:r>
        <w:t>.</w:t>
      </w:r>
    </w:p>
    <w:p w:rsidR="00045DD9" w:rsidRDefault="00585426" w:rsidP="00CE52F5">
      <w:pPr>
        <w:pStyle w:val="AERbulletlistfirststyle"/>
      </w:pPr>
      <w:r>
        <w:t>T</w:t>
      </w:r>
      <w:r w:rsidR="00F130EF">
        <w:t>his conclusion</w:t>
      </w:r>
      <w:r>
        <w:t xml:space="preserve"> does not appear contingent on any new information provided by the release of the 2011-12 statistics. Therefore, this conclusion would appear to have been </w:t>
      </w:r>
      <w:r w:rsidR="004B2373">
        <w:t>open to Hathaway, NERA and Handley</w:t>
      </w:r>
      <w:r>
        <w:t xml:space="preserve"> previously,</w:t>
      </w:r>
      <w:r w:rsidR="004B2373">
        <w:t xml:space="preserve"> yet none of them came to it.</w:t>
      </w:r>
    </w:p>
    <w:p w:rsidR="00045DD9" w:rsidRDefault="00045DD9" w:rsidP="00FE3331">
      <w:pPr>
        <w:pStyle w:val="Heading8"/>
      </w:pPr>
      <w:bookmarkStart w:id="77" w:name="_Ref403481535"/>
      <w:bookmarkStart w:id="78" w:name="_Toc417043266"/>
      <w:r>
        <w:lastRenderedPageBreak/>
        <w:t>Application of rate of return criteria to evidence on the utilisation rate</w:t>
      </w:r>
      <w:bookmarkEnd w:id="77"/>
      <w:bookmarkEnd w:id="78"/>
    </w:p>
    <w:p w:rsidR="00680B58" w:rsidRDefault="00045DD9" w:rsidP="00277D14">
      <w:pPr>
        <w:numPr>
          <w:ilvl w:val="0"/>
          <w:numId w:val="25"/>
        </w:numPr>
        <w:sectPr w:rsidR="00680B58" w:rsidSect="002B2C56">
          <w:pgSz w:w="11906" w:h="16838"/>
          <w:pgMar w:top="1440" w:right="1440" w:bottom="1440" w:left="1440" w:header="708" w:footer="708" w:gutter="0"/>
          <w:pgNumType w:chapStyle="1"/>
          <w:cols w:space="708"/>
          <w:docGrid w:linePitch="360"/>
        </w:sectPr>
      </w:pPr>
      <w:r>
        <w:t xml:space="preserve">Our main assessment of the various approaches to estimating the utilisation rate is set out in section </w:t>
      </w:r>
      <w:r w:rsidR="006734AB">
        <w:fldChar w:fldCharType="begin"/>
      </w:r>
      <w:r w:rsidR="006734AB">
        <w:instrText xml:space="preserve"> REF _Ref414289593 \r \h </w:instrText>
      </w:r>
      <w:r w:rsidR="006734AB">
        <w:fldChar w:fldCharType="separate"/>
      </w:r>
      <w:r w:rsidR="003F0AA6">
        <w:t>4.4.2</w:t>
      </w:r>
      <w:r w:rsidR="006734AB">
        <w:fldChar w:fldCharType="end"/>
      </w:r>
      <w:r w:rsidR="006734AB">
        <w:t xml:space="preserve"> </w:t>
      </w:r>
      <w:r>
        <w:t xml:space="preserve">of attachment 4, with supporting evidence provided in this appendix. However, we have also considered these approaches and the evidence they employ against </w:t>
      </w:r>
      <w:r w:rsidRPr="0073373B">
        <w:t>the criteria used to assess evidence on the allowed rate of return</w:t>
      </w:r>
      <w:r>
        <w:t xml:space="preserve"> (</w:t>
      </w:r>
      <w:r w:rsidR="00355B77">
        <w:fldChar w:fldCharType="begin"/>
      </w:r>
      <w:r w:rsidR="00355B77">
        <w:instrText xml:space="preserve"> REF  _Ref415046112 \* Lower \h </w:instrText>
      </w:r>
      <w:r w:rsidR="00355B77">
        <w:fldChar w:fldCharType="separate"/>
      </w:r>
      <w:r w:rsidR="003F0AA6">
        <w:t xml:space="preserve">table </w:t>
      </w:r>
      <w:r w:rsidR="003F0AA6">
        <w:rPr>
          <w:noProof/>
        </w:rPr>
        <w:t>4</w:t>
      </w:r>
      <w:r w:rsidR="003F0AA6" w:rsidRPr="00277D14">
        <w:noBreakHyphen/>
      </w:r>
      <w:r w:rsidR="003F0AA6">
        <w:rPr>
          <w:noProof/>
        </w:rPr>
        <w:t>7</w:t>
      </w:r>
      <w:r w:rsidR="00355B77">
        <w:fldChar w:fldCharType="end"/>
      </w:r>
      <w:r>
        <w:t>)</w:t>
      </w:r>
      <w:r w:rsidRPr="0073373B">
        <w:t>.</w:t>
      </w:r>
      <w:r>
        <w:t xml:space="preserve"> Assessment against these criteria broadly supports our ma</w:t>
      </w:r>
      <w:r w:rsidR="007233A4">
        <w:t>in assessment of the approache</w:t>
      </w:r>
      <w:r w:rsidR="00277D14">
        <w:t>s.</w:t>
      </w:r>
    </w:p>
    <w:tbl>
      <w:tblPr>
        <w:tblStyle w:val="AERtable-text0"/>
        <w:tblpPr w:leftFromText="180" w:rightFromText="180" w:vertAnchor="page" w:horzAnchor="margin" w:tblpY="2071"/>
        <w:tblW w:w="14152" w:type="dxa"/>
        <w:tblLayout w:type="fixed"/>
        <w:tblLook w:val="04A0" w:firstRow="1" w:lastRow="0" w:firstColumn="1" w:lastColumn="0" w:noHBand="0" w:noVBand="1"/>
      </w:tblPr>
      <w:tblGrid>
        <w:gridCol w:w="3936"/>
        <w:gridCol w:w="3140"/>
        <w:gridCol w:w="3238"/>
        <w:gridCol w:w="3838"/>
      </w:tblGrid>
      <w:tr w:rsidR="00277D14" w:rsidRPr="00FE391A" w:rsidTr="009723CE">
        <w:trPr>
          <w:cnfStyle w:val="100000000000" w:firstRow="1" w:lastRow="0" w:firstColumn="0" w:lastColumn="0" w:oddVBand="0" w:evenVBand="0" w:oddHBand="0" w:evenHBand="0" w:firstRowFirstColumn="0" w:firstRowLastColumn="0" w:lastRowFirstColumn="0" w:lastRowLastColumn="0"/>
          <w:cantSplit/>
          <w:tblHeader/>
        </w:trPr>
        <w:tc>
          <w:tcPr>
            <w:tcW w:w="3936" w:type="dxa"/>
          </w:tcPr>
          <w:p w:rsidR="00277D14" w:rsidRPr="00277D14" w:rsidRDefault="00277D14" w:rsidP="00277D14">
            <w:r>
              <w:lastRenderedPageBreak/>
              <w:t xml:space="preserve"> Criteria</w:t>
            </w:r>
            <w:r w:rsidRPr="00277D14">
              <w:rPr>
                <w:rStyle w:val="FootnoteReference"/>
              </w:rPr>
              <w:t>(a)</w:t>
            </w:r>
          </w:p>
        </w:tc>
        <w:tc>
          <w:tcPr>
            <w:tcW w:w="3140" w:type="dxa"/>
          </w:tcPr>
          <w:p w:rsidR="00277D14" w:rsidRPr="00277D14" w:rsidRDefault="00277D14" w:rsidP="00277D14">
            <w:r>
              <w:t>Equity ownership approach</w:t>
            </w:r>
          </w:p>
        </w:tc>
        <w:tc>
          <w:tcPr>
            <w:tcW w:w="3238" w:type="dxa"/>
          </w:tcPr>
          <w:p w:rsidR="00277D14" w:rsidRPr="00277D14" w:rsidRDefault="00277D14" w:rsidP="00277D14">
            <w:r>
              <w:t>Tax statistics</w:t>
            </w:r>
          </w:p>
        </w:tc>
        <w:tc>
          <w:tcPr>
            <w:tcW w:w="3838" w:type="dxa"/>
          </w:tcPr>
          <w:p w:rsidR="00277D14" w:rsidRPr="00277D14" w:rsidRDefault="00277D14" w:rsidP="00277D14">
            <w:r>
              <w:t>Implied market value studies</w:t>
            </w:r>
          </w:p>
        </w:tc>
      </w:tr>
      <w:tr w:rsidR="00277D14" w:rsidRPr="00FE391A" w:rsidTr="009723CE">
        <w:trPr>
          <w:cantSplit/>
        </w:trPr>
        <w:tc>
          <w:tcPr>
            <w:tcW w:w="3936" w:type="dxa"/>
          </w:tcPr>
          <w:p w:rsidR="00277D14" w:rsidRPr="00277D14" w:rsidRDefault="00277D14" w:rsidP="00277D14">
            <w:r>
              <w:t>W</w:t>
            </w:r>
            <w:r w:rsidRPr="00277D14">
              <w:t xml:space="preserve">here applicable, reflective of economic and finance principles and market information. </w:t>
            </w:r>
          </w:p>
          <w:p w:rsidR="00277D14" w:rsidRPr="00277D14" w:rsidRDefault="00277D14" w:rsidP="00277D14">
            <w:r>
              <w:t xml:space="preserve">- </w:t>
            </w:r>
            <w:r w:rsidRPr="00277D14">
              <w:t>Estimation methods and financial models are consistent with well accepted economic and finance principles and informed by sound empirical analysis and robust data.</w:t>
            </w:r>
          </w:p>
        </w:tc>
        <w:tc>
          <w:tcPr>
            <w:tcW w:w="3140" w:type="dxa"/>
          </w:tcPr>
          <w:p w:rsidR="00277D14" w:rsidRPr="00277D14" w:rsidRDefault="00277D14" w:rsidP="00277D14">
            <w:r>
              <w:t>Accords with Monkhouse framework and principle of investor rationality (</w:t>
            </w:r>
            <w:r w:rsidR="00477251">
              <w:t>for example,</w:t>
            </w:r>
            <w:r>
              <w:t xml:space="preserve"> eligible investors expected to utilise credits to which they are entitled).</w:t>
            </w:r>
          </w:p>
          <w:p w:rsidR="00277D14" w:rsidRPr="00277D14" w:rsidRDefault="00277D14" w:rsidP="00277D14">
            <w:r>
              <w:t>Analysis is straightforward and sound. Data is from credible source (ABS).</w:t>
            </w:r>
          </w:p>
        </w:tc>
        <w:tc>
          <w:tcPr>
            <w:tcW w:w="3238" w:type="dxa"/>
          </w:tcPr>
          <w:p w:rsidR="00277D14" w:rsidRPr="00277D14" w:rsidRDefault="00277D14" w:rsidP="00277D14">
            <w:r>
              <w:t>Market information on the amount of imputation credits utilised.</w:t>
            </w:r>
          </w:p>
          <w:p w:rsidR="00277D14" w:rsidRPr="00277D14" w:rsidRDefault="00277D14" w:rsidP="00277D14">
            <w:r>
              <w:t xml:space="preserve">Analysis is straightforward and sound. Data is from credible source (ATO), </w:t>
            </w:r>
            <w:r w:rsidRPr="00277D14">
              <w:t>but some data concerns have been identified.</w:t>
            </w:r>
          </w:p>
        </w:tc>
        <w:tc>
          <w:tcPr>
            <w:tcW w:w="3838" w:type="dxa"/>
          </w:tcPr>
          <w:p w:rsidR="00277D14" w:rsidRPr="00277D14" w:rsidRDefault="00277D14" w:rsidP="00277D14">
            <w:r>
              <w:t xml:space="preserve">Mainly based on the principle </w:t>
            </w:r>
            <w:r w:rsidRPr="00277D14">
              <w:t>that share prices reflect the present value of future dividends (and imputation credits) and 'no arbitrage'.</w:t>
            </w:r>
          </w:p>
          <w:p w:rsidR="00277D14" w:rsidRPr="00277D14" w:rsidRDefault="00277D14" w:rsidP="00477251">
            <w:r>
              <w:t>Varying opinions on the soundness of analysis across studies. Underlying data is typically from credible sources (</w:t>
            </w:r>
            <w:r w:rsidR="00477251">
              <w:t>for example,</w:t>
            </w:r>
            <w:r>
              <w:t xml:space="preserve"> Bloomberg, ASX).</w:t>
            </w:r>
          </w:p>
        </w:tc>
      </w:tr>
      <w:tr w:rsidR="00277D14" w:rsidRPr="00FE391A" w:rsidTr="009723CE">
        <w:trPr>
          <w:cnfStyle w:val="000000010000" w:firstRow="0" w:lastRow="0" w:firstColumn="0" w:lastColumn="0" w:oddVBand="0" w:evenVBand="0" w:oddHBand="0" w:evenHBand="1" w:firstRowFirstColumn="0" w:firstRowLastColumn="0" w:lastRowFirstColumn="0" w:lastRowLastColumn="0"/>
          <w:cantSplit/>
        </w:trPr>
        <w:tc>
          <w:tcPr>
            <w:tcW w:w="3936" w:type="dxa"/>
          </w:tcPr>
          <w:p w:rsidR="00277D14" w:rsidRPr="00277D14" w:rsidRDefault="00277D14" w:rsidP="00277D14">
            <w:r>
              <w:t xml:space="preserve">Fit for purpose. </w:t>
            </w:r>
          </w:p>
          <w:p w:rsidR="00277D14" w:rsidRPr="00277D14" w:rsidRDefault="00277D14" w:rsidP="00277D14">
            <w:r>
              <w:t xml:space="preserve">- </w:t>
            </w:r>
            <w:r w:rsidRPr="00277D14">
              <w:t xml:space="preserve">The use of estimation methods, financial models, market data and other evidence should be consistent with the original purpose for which it was compiled and have regard to the limitations of that purpose. </w:t>
            </w:r>
          </w:p>
          <w:p w:rsidR="00277D14" w:rsidRPr="00277D14" w:rsidRDefault="00277D14" w:rsidP="00277D14">
            <w:r>
              <w:t xml:space="preserve">- </w:t>
            </w:r>
            <w:r w:rsidRPr="00277D14">
              <w:t>Promote simple over complex approaches where appropriate.</w:t>
            </w:r>
          </w:p>
        </w:tc>
        <w:tc>
          <w:tcPr>
            <w:tcW w:w="3140" w:type="dxa"/>
          </w:tcPr>
          <w:p w:rsidR="00277D14" w:rsidRPr="00277D14" w:rsidRDefault="00277D14" w:rsidP="00277D14">
            <w:r>
              <w:t>ABS data used to estimate the domestic ownership share of Australian equity, which is consistent with its purpose. Approach is simple.</w:t>
            </w:r>
          </w:p>
        </w:tc>
        <w:tc>
          <w:tcPr>
            <w:tcW w:w="3238" w:type="dxa"/>
          </w:tcPr>
          <w:p w:rsidR="00277D14" w:rsidRPr="00277D14" w:rsidRDefault="00277D14" w:rsidP="00277D14">
            <w:r>
              <w:t>ATO statistics used to observe the reported amount of imputation credits utilised by investors, which is consistent with their purpose. Approach is simple.</w:t>
            </w:r>
          </w:p>
        </w:tc>
        <w:tc>
          <w:tcPr>
            <w:tcW w:w="3838" w:type="dxa"/>
          </w:tcPr>
          <w:p w:rsidR="00277D14" w:rsidRPr="00277D14" w:rsidRDefault="00277D14" w:rsidP="00277D14">
            <w:r>
              <w:t xml:space="preserve">Some studies undertaken for the specific purpose of estimating the utilisation rate for regulatory purposes. Results of some studies need to be interpreted carefully to be consistent with the regulatory framework. Studies can </w:t>
            </w:r>
            <w:r w:rsidRPr="00277D14">
              <w:t>employ complex and sometimes problematic estimation methodologies.</w:t>
            </w:r>
          </w:p>
        </w:tc>
      </w:tr>
      <w:tr w:rsidR="00277D14" w:rsidRPr="00FE391A" w:rsidTr="009723CE">
        <w:trPr>
          <w:cantSplit/>
        </w:trPr>
        <w:tc>
          <w:tcPr>
            <w:tcW w:w="3936" w:type="dxa"/>
          </w:tcPr>
          <w:p w:rsidR="00277D14" w:rsidRPr="00277D14" w:rsidRDefault="00277D14" w:rsidP="00277D14">
            <w:r>
              <w:t>I</w:t>
            </w:r>
            <w:r w:rsidRPr="00277D14">
              <w:t xml:space="preserve">mplemented in accordance with good practice. </w:t>
            </w:r>
          </w:p>
          <w:p w:rsidR="00277D14" w:rsidRPr="00277D14" w:rsidRDefault="00277D14" w:rsidP="00277D14">
            <w:r>
              <w:t xml:space="preserve">- </w:t>
            </w:r>
            <w:r w:rsidRPr="00277D14">
              <w:t>Supported by robust, transparent and replicable analysis that is derived from available credible datasets.</w:t>
            </w:r>
          </w:p>
        </w:tc>
        <w:tc>
          <w:tcPr>
            <w:tcW w:w="3140" w:type="dxa"/>
          </w:tcPr>
          <w:p w:rsidR="00277D14" w:rsidRPr="00277D14" w:rsidRDefault="00277D14" w:rsidP="00277D14">
            <w:r>
              <w:t>Transparent and replicable using published data. Some knowledge of ABS classifications required.</w:t>
            </w:r>
          </w:p>
        </w:tc>
        <w:tc>
          <w:tcPr>
            <w:tcW w:w="3238" w:type="dxa"/>
          </w:tcPr>
          <w:p w:rsidR="00277D14" w:rsidRPr="00277D14" w:rsidRDefault="00277D14" w:rsidP="00277D14">
            <w:r>
              <w:t>Transparent and replicable using published data, although detailed knowledge of tax return labels required. Some data concerns have been identified.</w:t>
            </w:r>
          </w:p>
        </w:tc>
        <w:tc>
          <w:tcPr>
            <w:tcW w:w="3838" w:type="dxa"/>
          </w:tcPr>
          <w:p w:rsidR="00277D14" w:rsidRPr="00277D14" w:rsidRDefault="00277D14" w:rsidP="00277D14">
            <w:r>
              <w:t>Less transparent and replicable, as econometrics knowledge required and data not always publicly or freely available.</w:t>
            </w:r>
          </w:p>
        </w:tc>
      </w:tr>
      <w:tr w:rsidR="00277D14" w:rsidRPr="00FE391A" w:rsidTr="009723CE">
        <w:trPr>
          <w:cnfStyle w:val="000000010000" w:firstRow="0" w:lastRow="0" w:firstColumn="0" w:lastColumn="0" w:oddVBand="0" w:evenVBand="0" w:oddHBand="0" w:evenHBand="1" w:firstRowFirstColumn="0" w:firstRowLastColumn="0" w:lastRowFirstColumn="0" w:lastRowLastColumn="0"/>
          <w:cantSplit/>
        </w:trPr>
        <w:tc>
          <w:tcPr>
            <w:tcW w:w="3936" w:type="dxa"/>
          </w:tcPr>
          <w:p w:rsidR="00277D14" w:rsidRPr="00277D14" w:rsidRDefault="00277D14" w:rsidP="00277D14">
            <w:r>
              <w:t>W</w:t>
            </w:r>
            <w:r w:rsidRPr="00277D14">
              <w:t>here market data and other information is used, this information is: credible and verifiable; comparable and timely; and clearly sourced.</w:t>
            </w:r>
          </w:p>
        </w:tc>
        <w:tc>
          <w:tcPr>
            <w:tcW w:w="3140" w:type="dxa"/>
          </w:tcPr>
          <w:p w:rsidR="00277D14" w:rsidRPr="00277D14" w:rsidRDefault="00277D14" w:rsidP="00277D14">
            <w:r>
              <w:t xml:space="preserve">ABS is a credible source. Relevant statistics are published online on a quarterly basis. </w:t>
            </w:r>
          </w:p>
        </w:tc>
        <w:tc>
          <w:tcPr>
            <w:tcW w:w="3238" w:type="dxa"/>
          </w:tcPr>
          <w:p w:rsidR="00277D14" w:rsidRPr="00277D14" w:rsidRDefault="00277D14" w:rsidP="00477251">
            <w:r>
              <w:t>ATO is a credible source. Relevant statistics are published online on an annual basis, with a two-year lag (</w:t>
            </w:r>
            <w:r w:rsidR="00477251">
              <w:t>for example,</w:t>
            </w:r>
            <w:r>
              <w:t xml:space="preserve"> 2011-12 statistics published in 2014). Some data concerns have been identified.</w:t>
            </w:r>
          </w:p>
        </w:tc>
        <w:tc>
          <w:tcPr>
            <w:tcW w:w="3838" w:type="dxa"/>
          </w:tcPr>
          <w:p w:rsidR="00277D14" w:rsidRPr="00277D14" w:rsidRDefault="00277D14" w:rsidP="00277D14">
            <w:r>
              <w:t>Underlying data typically from credible sources (</w:t>
            </w:r>
            <w:r w:rsidR="00477251">
              <w:t>for example,</w:t>
            </w:r>
            <w:r>
              <w:t xml:space="preserve"> Bloomberg, ASX) and is produced on a timely basis. Data not always publicly or freely available.</w:t>
            </w:r>
          </w:p>
          <w:p w:rsidR="00277D14" w:rsidRPr="00277D14" w:rsidRDefault="00277D14" w:rsidP="00277D14">
            <w:r>
              <w:t>Use of econometrics makes the results difficult and complex to verify.</w:t>
            </w:r>
          </w:p>
        </w:tc>
      </w:tr>
      <w:tr w:rsidR="00277D14" w:rsidRPr="00FE391A" w:rsidTr="009723CE">
        <w:trPr>
          <w:cantSplit/>
        </w:trPr>
        <w:tc>
          <w:tcPr>
            <w:tcW w:w="3936" w:type="dxa"/>
          </w:tcPr>
          <w:p w:rsidR="00277D14" w:rsidRPr="00277D14" w:rsidRDefault="00277D14" w:rsidP="00277D14">
            <w:r w:rsidRPr="007333FB">
              <w:t xml:space="preserve">Sufficiently flexible as to allow </w:t>
            </w:r>
            <w:r w:rsidRPr="00277D14">
              <w:t>changing market conditions and new information to be reflected in regulatory outcomes, as appropriate.</w:t>
            </w:r>
          </w:p>
        </w:tc>
        <w:tc>
          <w:tcPr>
            <w:tcW w:w="3140" w:type="dxa"/>
          </w:tcPr>
          <w:p w:rsidR="00277D14" w:rsidRPr="00277D14" w:rsidRDefault="00277D14" w:rsidP="00F96291">
            <w:r>
              <w:t xml:space="preserve">Reflects current ownership of Australian equities. However, </w:t>
            </w:r>
            <w:r w:rsidR="00F96291">
              <w:t>might</w:t>
            </w:r>
            <w:r w:rsidRPr="00277D14">
              <w:t xml:space="preserve"> not reflect any tax law changes that reduce eligible investors’ utilisation rates below 1.  </w:t>
            </w:r>
          </w:p>
        </w:tc>
        <w:tc>
          <w:tcPr>
            <w:tcW w:w="3238" w:type="dxa"/>
          </w:tcPr>
          <w:p w:rsidR="00277D14" w:rsidRPr="00277D14" w:rsidRDefault="00277D14" w:rsidP="00277D14">
            <w:r>
              <w:t>Reflects conditions up to two years ago.</w:t>
            </w:r>
          </w:p>
        </w:tc>
        <w:tc>
          <w:tcPr>
            <w:tcW w:w="3838" w:type="dxa"/>
          </w:tcPr>
          <w:p w:rsidR="00277D14" w:rsidRPr="00277D14" w:rsidRDefault="00277D14" w:rsidP="00277D14">
            <w:r>
              <w:t>Reflects current conditions to the extent that recent data is used. Different studies span various time periods.</w:t>
            </w:r>
          </w:p>
        </w:tc>
      </w:tr>
    </w:tbl>
    <w:p w:rsidR="00277D14" w:rsidRPr="00277D14" w:rsidRDefault="00277D14" w:rsidP="00277D14">
      <w:pPr>
        <w:pStyle w:val="Caption"/>
      </w:pPr>
      <w:bookmarkStart w:id="79" w:name="_Ref415046112"/>
      <w:r>
        <w:t xml:space="preserve">Table </w:t>
      </w:r>
      <w:r w:rsidR="00332D56">
        <w:fldChar w:fldCharType="begin"/>
      </w:r>
      <w:r w:rsidR="00332D56">
        <w:instrText xml:space="preserve"> STYLEREF 1 \s </w:instrText>
      </w:r>
      <w:r w:rsidR="00332D56">
        <w:fldChar w:fldCharType="separate"/>
      </w:r>
      <w:r w:rsidR="003F0AA6">
        <w:rPr>
          <w:noProof/>
        </w:rPr>
        <w:t>4</w:t>
      </w:r>
      <w:r w:rsidR="00332D56">
        <w:rPr>
          <w:noProof/>
        </w:rPr>
        <w:fldChar w:fldCharType="end"/>
      </w:r>
      <w:r w:rsidRPr="00277D14">
        <w:noBreakHyphen/>
      </w:r>
      <w:r w:rsidR="00332D56">
        <w:fldChar w:fldCharType="begin"/>
      </w:r>
      <w:r w:rsidR="00332D56">
        <w:instrText xml:space="preserve"> SEQ Table \* ARABIC \s 1 </w:instrText>
      </w:r>
      <w:r w:rsidR="00332D56">
        <w:fldChar w:fldCharType="separate"/>
      </w:r>
      <w:r w:rsidR="003F0AA6">
        <w:rPr>
          <w:noProof/>
        </w:rPr>
        <w:t>7</w:t>
      </w:r>
      <w:r w:rsidR="00332D56">
        <w:rPr>
          <w:noProof/>
        </w:rPr>
        <w:fldChar w:fldCharType="end"/>
      </w:r>
      <w:bookmarkEnd w:id="79"/>
      <w:r w:rsidRPr="00277D14">
        <w:tab/>
        <w:t>Application of rate of return criteria to evidence on the utilisation rate</w:t>
      </w:r>
    </w:p>
    <w:p w:rsidR="00277D14" w:rsidRDefault="00277D14" w:rsidP="00277D14">
      <w:pPr>
        <w:pStyle w:val="AERtablesource"/>
      </w:pPr>
      <w:r>
        <w:t xml:space="preserve">Source: </w:t>
      </w:r>
      <w:r>
        <w:tab/>
        <w:t>AER analysis.</w:t>
      </w:r>
    </w:p>
    <w:p w:rsidR="00045DD9" w:rsidRDefault="00D3675C" w:rsidP="00D3675C">
      <w:pPr>
        <w:pStyle w:val="AERtablesource"/>
        <w:ind w:left="0" w:firstLine="0"/>
      </w:pPr>
      <w:r>
        <w:lastRenderedPageBreak/>
        <w:t>(a):</w:t>
      </w:r>
      <w:r>
        <w:tab/>
        <w:t>The criteria relating specifically to return on equity and return on debt quantitative models are excluded because they are not applicable.</w:t>
      </w:r>
    </w:p>
    <w:p w:rsidR="00D02FB0" w:rsidRDefault="00D02FB0" w:rsidP="00277D14">
      <w:pPr>
        <w:sectPr w:rsidR="00D02FB0" w:rsidSect="00872109">
          <w:pgSz w:w="16838" w:h="11906" w:orient="landscape"/>
          <w:pgMar w:top="1440" w:right="1440" w:bottom="1440" w:left="1440" w:header="709" w:footer="709" w:gutter="0"/>
          <w:pgNumType w:chapStyle="1"/>
          <w:cols w:space="720"/>
          <w:docGrid w:linePitch="326"/>
        </w:sectPr>
      </w:pPr>
      <w:bookmarkStart w:id="80" w:name="_Ref403481615"/>
    </w:p>
    <w:p w:rsidR="0016005F" w:rsidRDefault="0016005F" w:rsidP="0016005F">
      <w:pPr>
        <w:pStyle w:val="Heading8"/>
      </w:pPr>
      <w:bookmarkStart w:id="81" w:name="_Ref415049811"/>
      <w:bookmarkStart w:id="82" w:name="_Toc417043267"/>
      <w:r>
        <w:lastRenderedPageBreak/>
        <w:t xml:space="preserve">The equity ownership </w:t>
      </w:r>
      <w:r w:rsidRPr="0016005F">
        <w:t>approach</w:t>
      </w:r>
      <w:bookmarkEnd w:id="80"/>
      <w:bookmarkEnd w:id="81"/>
      <w:bookmarkEnd w:id="82"/>
    </w:p>
    <w:p w:rsidR="0016005F" w:rsidRDefault="0016005F" w:rsidP="0016005F">
      <w:pPr>
        <w:numPr>
          <w:ilvl w:val="0"/>
          <w:numId w:val="25"/>
        </w:numPr>
      </w:pPr>
      <w:r>
        <w:t xml:space="preserve">Recalling that eligible investors have a utilisation rate of 1 and ineligible investors have a utilisation rate of 0, we consider that </w:t>
      </w:r>
      <w:r w:rsidRPr="0029614B">
        <w:t>the value-weighted proportion of domestic investors in th</w:t>
      </w:r>
      <w:r>
        <w:t>e Australian equity market is a reasonable</w:t>
      </w:r>
      <w:r w:rsidRPr="0029614B">
        <w:t xml:space="preserve"> estimate of the utilisation rate</w:t>
      </w:r>
      <w:r>
        <w:t xml:space="preserve">. This is because, in general, domestic investors are eligible to utilise imputation credits and foreign investors are not. </w:t>
      </w:r>
      <w:r w:rsidRPr="003A2E5B">
        <w:t xml:space="preserve">We refer to this approach as </w:t>
      </w:r>
      <w:r>
        <w:t>the 'equity ownership approach', and we use data from the National Accounts to estimate the domestic ownership share.</w:t>
      </w:r>
      <w:r>
        <w:rPr>
          <w:rStyle w:val="FootnoteReference"/>
        </w:rPr>
        <w:footnoteReference w:id="213"/>
      </w:r>
    </w:p>
    <w:p w:rsidR="0016005F" w:rsidRDefault="0016005F" w:rsidP="0016005F">
      <w:pPr>
        <w:numPr>
          <w:ilvl w:val="0"/>
          <w:numId w:val="25"/>
        </w:numPr>
      </w:pPr>
      <w:r>
        <w:t xml:space="preserve">Our </w:t>
      </w:r>
      <w:r w:rsidR="003443F7">
        <w:t>views</w:t>
      </w:r>
      <w:r>
        <w:t xml:space="preserve"> on the equity ownership approach to estimating the utilisation rate </w:t>
      </w:r>
      <w:r w:rsidR="00C5107A">
        <w:t>are</w:t>
      </w:r>
      <w:r>
        <w:t xml:space="preserve"> set out in section</w:t>
      </w:r>
      <w:r w:rsidR="00966578">
        <w:t xml:space="preserve"> </w:t>
      </w:r>
      <w:r w:rsidR="00966578">
        <w:fldChar w:fldCharType="begin"/>
      </w:r>
      <w:r w:rsidR="00966578">
        <w:instrText xml:space="preserve"> REF _Ref414289593 \r \h </w:instrText>
      </w:r>
      <w:r w:rsidR="00966578">
        <w:fldChar w:fldCharType="separate"/>
      </w:r>
      <w:r w:rsidR="003F0AA6">
        <w:t>4.4.2</w:t>
      </w:r>
      <w:r w:rsidR="00966578">
        <w:fldChar w:fldCharType="end"/>
      </w:r>
      <w:r>
        <w:t xml:space="preserve"> of attachment 4. In this section, we provide further detail on our application of the approach. We also compare our assessment of the approach in this </w:t>
      </w:r>
      <w:r w:rsidR="00CE2DEA">
        <w:t>final</w:t>
      </w:r>
      <w:r>
        <w:t xml:space="preserve"> decision with our assessment in the Guideline.</w:t>
      </w:r>
    </w:p>
    <w:p w:rsidR="0016005F" w:rsidRDefault="0016005F" w:rsidP="0016005F">
      <w:pPr>
        <w:numPr>
          <w:ilvl w:val="0"/>
          <w:numId w:val="25"/>
        </w:numPr>
      </w:pPr>
      <w:r>
        <w:t xml:space="preserve">We place significant reliance on the equity ownership approach for the reasons set out in section </w:t>
      </w:r>
      <w:r w:rsidR="00434292">
        <w:fldChar w:fldCharType="begin"/>
      </w:r>
      <w:r w:rsidR="00434292">
        <w:instrText xml:space="preserve"> REF _Ref414289593 \r \h </w:instrText>
      </w:r>
      <w:r w:rsidR="00434292">
        <w:fldChar w:fldCharType="separate"/>
      </w:r>
      <w:r w:rsidR="003F0AA6">
        <w:t>4.4.2</w:t>
      </w:r>
      <w:r w:rsidR="00434292">
        <w:fldChar w:fldCharType="end"/>
      </w:r>
      <w:r w:rsidR="00434292">
        <w:t xml:space="preserve"> </w:t>
      </w:r>
      <w:r>
        <w:t>of attachment 4. We have regard also to the limitations of this approach, but we do not consider them significant:</w:t>
      </w:r>
    </w:p>
    <w:p w:rsidR="0016005F" w:rsidRPr="0016005F" w:rsidRDefault="0016005F" w:rsidP="0016005F">
      <w:pPr>
        <w:pStyle w:val="AERbulletlistfirststyle"/>
      </w:pPr>
      <w:r w:rsidRPr="005D0122">
        <w:t>The approach does not take into account the effect of</w:t>
      </w:r>
      <w:r w:rsidRPr="0016005F">
        <w:t xml:space="preserve"> the 45-day holding rule (or any other rules that can affect the eligibility of domestic investors to claim imputation credits). However, as discussed in section</w:t>
      </w:r>
      <w:r w:rsidR="00434292">
        <w:t xml:space="preserve"> </w:t>
      </w:r>
      <w:r w:rsidR="00434292">
        <w:fldChar w:fldCharType="begin"/>
      </w:r>
      <w:r w:rsidR="00434292">
        <w:instrText xml:space="preserve"> REF _Ref414099389 \r \h </w:instrText>
      </w:r>
      <w:r w:rsidR="00434292">
        <w:fldChar w:fldCharType="separate"/>
      </w:r>
      <w:r w:rsidR="003F0AA6">
        <w:t>A.8.2</w:t>
      </w:r>
      <w:r w:rsidR="00434292">
        <w:fldChar w:fldCharType="end"/>
      </w:r>
      <w:r w:rsidRPr="0016005F">
        <w:t xml:space="preserve">, we do not consider that there is clear evidence as to effect that these rules have or </w:t>
      </w:r>
      <w:proofErr w:type="gramStart"/>
      <w:r w:rsidRPr="0016005F">
        <w:t>should be expected</w:t>
      </w:r>
      <w:proofErr w:type="gramEnd"/>
      <w:r w:rsidRPr="0016005F">
        <w:t xml:space="preserve"> to have. Moreover, we consider that the most relevant evidence on the effect of these rules suggest that they have a negligible effect.</w:t>
      </w:r>
    </w:p>
    <w:p w:rsidR="0016005F" w:rsidRPr="0016005F" w:rsidRDefault="0016005F" w:rsidP="0016005F">
      <w:pPr>
        <w:pStyle w:val="AERbulletlistfirststyle"/>
      </w:pPr>
      <w:r w:rsidRPr="005D0122">
        <w:t xml:space="preserve">The approach </w:t>
      </w:r>
      <w:r w:rsidRPr="0016005F">
        <w:t>allows investors' utilisation rates to be weighted by wealth, but not by risk aversion, as required by the definition of the utilisation rate in the Monkhouse framework.  However, we do not consider that we can feasibly weight our estimates in this regard, as this would require specific calculations or assumptions regarding the portfolios and risk preferences of individuals or classes of investors. Moreover, neither Handley nor Lally identified the inability to weight by risk aversion as an unacceptable limitation of the approach.</w:t>
      </w:r>
      <w:r w:rsidRPr="0016005F">
        <w:rPr>
          <w:rStyle w:val="FootnoteReference"/>
        </w:rPr>
        <w:footnoteReference w:id="214"/>
      </w:r>
    </w:p>
    <w:p w:rsidR="0016005F" w:rsidRPr="000F2482" w:rsidRDefault="0016005F" w:rsidP="0016005F">
      <w:pPr>
        <w:numPr>
          <w:ilvl w:val="0"/>
          <w:numId w:val="25"/>
        </w:numPr>
      </w:pPr>
      <w:r w:rsidRPr="000F2482">
        <w:t>We consider that a reasonable estimate for the utilisation rate from the equity ownership approach is between:</w:t>
      </w:r>
    </w:p>
    <w:p w:rsidR="00C66D02" w:rsidRPr="00C66D02" w:rsidRDefault="007F5442" w:rsidP="00C66D02">
      <w:pPr>
        <w:pStyle w:val="AERbulletlistfirststyle"/>
      </w:pPr>
      <w:r>
        <w:t>0.56 and 0.68</w:t>
      </w:r>
      <w:r w:rsidR="00C66D02" w:rsidRPr="00C66D02">
        <w:t>, if all equity is considered, and</w:t>
      </w:r>
    </w:p>
    <w:p w:rsidR="00C66D02" w:rsidRPr="00C66D02" w:rsidRDefault="007F5442" w:rsidP="00C66D02">
      <w:pPr>
        <w:pStyle w:val="AERbulletlistfirststyle"/>
      </w:pPr>
      <w:r>
        <w:t>0.38 and 0.55</w:t>
      </w:r>
      <w:r w:rsidR="00C66D02" w:rsidRPr="00C66D02">
        <w:t>, if only listed equity is considered.</w:t>
      </w:r>
    </w:p>
    <w:p w:rsidR="0016005F" w:rsidRPr="000F2482" w:rsidRDefault="0016005F" w:rsidP="0016005F">
      <w:pPr>
        <w:numPr>
          <w:ilvl w:val="0"/>
          <w:numId w:val="25"/>
        </w:numPr>
      </w:pPr>
      <w:r w:rsidRPr="000F2482">
        <w:t xml:space="preserve">In the </w:t>
      </w:r>
      <w:r>
        <w:t>Guideline</w:t>
      </w:r>
      <w:r w:rsidRPr="000F2482">
        <w:t>, we considered that the equity ownership approach supported a utilisation rate between 0.7 and 0.8. This range was based on:</w:t>
      </w:r>
    </w:p>
    <w:p w:rsidR="0016005F" w:rsidRPr="0016005F" w:rsidRDefault="0016005F" w:rsidP="0016005F">
      <w:pPr>
        <w:pStyle w:val="AERbulletlistfirststyle"/>
      </w:pPr>
      <w:r w:rsidRPr="00575F22">
        <w:lastRenderedPageBreak/>
        <w:t>A 2007 feature article by the ABS, in which it was estimated using data from the National Accounts that domestic investors held 71 per cent of Australian equity.</w:t>
      </w:r>
      <w:r w:rsidRPr="0016005F">
        <w:rPr>
          <w:rStyle w:val="FootnoteReference"/>
        </w:rPr>
        <w:footnoteReference w:id="215"/>
      </w:r>
    </w:p>
    <w:p w:rsidR="0016005F" w:rsidRPr="0016005F" w:rsidRDefault="0016005F" w:rsidP="0016005F">
      <w:pPr>
        <w:pStyle w:val="AERbulletlistfirststyle"/>
      </w:pPr>
      <w:r w:rsidRPr="00575F22">
        <w:t>A graph in a September 2013 report by Hathaway, which suggested that the domestic ownership share of Australian equity had fluctuated between 75 and 81 per cent over the period 1988 to 2012.</w:t>
      </w:r>
      <w:r w:rsidRPr="0016005F">
        <w:rPr>
          <w:rStyle w:val="FootnoteReference"/>
        </w:rPr>
        <w:footnoteReference w:id="216"/>
      </w:r>
      <w:r w:rsidRPr="0016005F">
        <w:t xml:space="preserve"> The data underlying this graph also came from the National Accounts.</w:t>
      </w:r>
    </w:p>
    <w:p w:rsidR="00AC6F43" w:rsidRDefault="0016005F" w:rsidP="0016005F">
      <w:r w:rsidRPr="00575F22">
        <w:t xml:space="preserve">Since the </w:t>
      </w:r>
      <w:r>
        <w:t>Guideline</w:t>
      </w:r>
      <w:r w:rsidRPr="00575F22">
        <w:t>'s publication, we have examined more closely the relevant data from the National Accounts. This has allowed us to update and refine our estimates.</w:t>
      </w:r>
      <w:r>
        <w:t xml:space="preserve"> Moreover, we now express estimates for both all equity and </w:t>
      </w:r>
      <w:r w:rsidR="001C274C">
        <w:t>only listed equity</w:t>
      </w:r>
      <w:r>
        <w:t xml:space="preserve">, consistent with the approach set out in section </w:t>
      </w:r>
      <w:r>
        <w:fldChar w:fldCharType="begin"/>
      </w:r>
      <w:r>
        <w:instrText xml:space="preserve"> REF _Ref401048631 \r \h </w:instrText>
      </w:r>
      <w:r>
        <w:fldChar w:fldCharType="separate"/>
      </w:r>
      <w:r w:rsidR="003F0AA6">
        <w:t>A.9.1</w:t>
      </w:r>
      <w:r>
        <w:fldChar w:fldCharType="end"/>
      </w:r>
      <w:r>
        <w:t>.</w:t>
      </w:r>
    </w:p>
    <w:p w:rsidR="00FE72CD" w:rsidRPr="00575F22" w:rsidRDefault="00FE72CD" w:rsidP="00FE72CD">
      <w:pPr>
        <w:numPr>
          <w:ilvl w:val="0"/>
          <w:numId w:val="25"/>
        </w:numPr>
      </w:pPr>
      <w:r w:rsidRPr="00575F22">
        <w:t xml:space="preserve">We consider that the equity ownership </w:t>
      </w:r>
      <w:r>
        <w:t>approach can be refined</w:t>
      </w:r>
      <w:r w:rsidRPr="00575F22">
        <w:t xml:space="preserve"> by filtering the National Accounts data to focus on the types of equity that </w:t>
      </w:r>
      <w:r w:rsidR="009B303B">
        <w:t>we consider</w:t>
      </w:r>
      <w:r w:rsidRPr="00575F22">
        <w:t xml:space="preserve"> most relevant to the benchmark entity, and the specific classes of investor that are expected to either utilise or waste the imputation credits they receive. That is, we can:</w:t>
      </w:r>
    </w:p>
    <w:p w:rsidR="00FE72CD" w:rsidRPr="00FE72CD" w:rsidRDefault="00FE72CD" w:rsidP="00FE72CD">
      <w:pPr>
        <w:pStyle w:val="AERbulletlistfirststyle"/>
      </w:pPr>
      <w:r w:rsidRPr="00575F22">
        <w:t xml:space="preserve">Exclude from the calculation equity in entities that are wholly owned by the public sector. In the National Accounts, this is equity issued by the 'central bank', </w:t>
      </w:r>
      <w:r w:rsidR="002E772A">
        <w:t>'central borrowing authorities' and</w:t>
      </w:r>
      <w:r w:rsidRPr="00575F22">
        <w:t xml:space="preserve"> </w:t>
      </w:r>
      <w:r w:rsidR="002E772A">
        <w:t>'</w:t>
      </w:r>
      <w:r w:rsidRPr="00575F22">
        <w:t>public non-financial corporations'.</w:t>
      </w:r>
    </w:p>
    <w:p w:rsidR="00FE72CD" w:rsidRDefault="00FE72CD" w:rsidP="00074FD1">
      <w:pPr>
        <w:pStyle w:val="AERbulletlistfirststyle"/>
      </w:pPr>
      <w:r w:rsidRPr="00575F22">
        <w:t xml:space="preserve">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w:t>
      </w:r>
      <w:r w:rsidR="00C66028">
        <w:t>these classes plus</w:t>
      </w:r>
      <w:r w:rsidRPr="00575F22">
        <w:t xml:space="preserve"> 'rest of world'.</w:t>
      </w:r>
      <w:r w:rsidR="00074FD1">
        <w:t xml:space="preserve"> </w:t>
      </w:r>
      <w:r w:rsidR="00074FD1" w:rsidRPr="00074FD1">
        <w:t>In the draft decisions, our calculation of the refined domestic ownership share effectively assumed that governments 'wasted' the imputation credits they received. We noted in the draft decisions that there was no clear case for making this assumption. In this final decision, we exclude government-held equity from the calculation of the refined domestic ownership share. This is because the value of imputation credits forms part of our determination of the rate of return required by private investors in the benchmark efficient entity.</w:t>
      </w:r>
      <w:r w:rsidR="006312C7">
        <w:rPr>
          <w:rStyle w:val="FootnoteReference"/>
        </w:rPr>
        <w:footnoteReference w:id="217"/>
      </w:r>
    </w:p>
    <w:p w:rsidR="00A23477" w:rsidRDefault="00C449C9" w:rsidP="00A23477">
      <w:pPr>
        <w:numPr>
          <w:ilvl w:val="0"/>
          <w:numId w:val="25"/>
        </w:numPr>
      </w:pPr>
      <w:r>
        <w:t>Our estimate</w:t>
      </w:r>
      <w:r w:rsidR="00A23477">
        <w:t xml:space="preserve"> ranges </w:t>
      </w:r>
      <w:r>
        <w:t>in this final decision</w:t>
      </w:r>
      <w:r w:rsidR="00A23477">
        <w:t xml:space="preserve"> differ from the corresponding ranges in the draft decisions. These changes in part reflect the views of service providers, SFG and Handley. We discuss our consideration of these views below.   </w:t>
      </w:r>
    </w:p>
    <w:p w:rsidR="009E2088" w:rsidRDefault="00A23477" w:rsidP="00045DD9">
      <w:r>
        <w:t>The service providers submitted that we erred in the draft decisions because:</w:t>
      </w:r>
      <w:r w:rsidR="00DF0B5D">
        <w:rPr>
          <w:rStyle w:val="FootnoteReference"/>
        </w:rPr>
        <w:footnoteReference w:id="218"/>
      </w:r>
    </w:p>
    <w:p w:rsidR="00A23477" w:rsidRDefault="00A23477" w:rsidP="00A23477">
      <w:pPr>
        <w:pStyle w:val="AERquote"/>
      </w:pPr>
      <w:r>
        <w:lastRenderedPageBreak/>
        <w:t xml:space="preserve">…the ranges used by the AER for the equity ownership </w:t>
      </w:r>
      <w:r w:rsidR="00F53895">
        <w:t xml:space="preserve">rate </w:t>
      </w:r>
      <w:r>
        <w:t>are inconsistent with the evidence in the Draft Decision.</w:t>
      </w:r>
    </w:p>
    <w:p w:rsidR="00A23477" w:rsidRDefault="00A23477" w:rsidP="00A23477">
      <w:r>
        <w:t xml:space="preserve">The service providers then </w:t>
      </w:r>
      <w:r w:rsidR="00FE72CD">
        <w:t>referred</w:t>
      </w:r>
      <w:r>
        <w:t xml:space="preserve"> to the data presented in the draft decisions on the refined domestic ownership share</w:t>
      </w:r>
      <w:r w:rsidR="00FE72CD">
        <w:t xml:space="preserve"> (figures 4-4 and 4-5 of the draft decisions). </w:t>
      </w:r>
      <w:r>
        <w:t xml:space="preserve">However, as </w:t>
      </w:r>
      <w:r w:rsidR="002F6A93">
        <w:t>indicated in the draft decisions, our estimates were based on evidence across both the refined domestic ownership share (figures 4-4 and 4-5 of the draft decisions) and simple domestic ownersh</w:t>
      </w:r>
      <w:r w:rsidR="00FE72CD">
        <w:t>ip share (figures 4-2 and 4-3</w:t>
      </w:r>
      <w:r w:rsidR="00A22B66">
        <w:t xml:space="preserve"> of the draft decisions</w:t>
      </w:r>
      <w:r w:rsidR="00FE72CD">
        <w:t>).</w:t>
      </w:r>
    </w:p>
    <w:p w:rsidR="00E00708" w:rsidRPr="00A23477" w:rsidRDefault="00E00708" w:rsidP="00E00708">
      <w:r>
        <w:t>In his recent advice, Handley advised that, although it is reasonable to rely on both the simple and refined domestic ownership share, '</w:t>
      </w:r>
      <w:r w:rsidRPr="00E00708">
        <w:t>the refined share should (subject to the lim</w:t>
      </w:r>
      <w:r>
        <w:t xml:space="preserve">itations in </w:t>
      </w:r>
      <w:r w:rsidRPr="00E00708">
        <w:t>the data) be more relevant by construction</w:t>
      </w:r>
      <w:r>
        <w:t>'.</w:t>
      </w:r>
      <w:r>
        <w:rPr>
          <w:rStyle w:val="FootnoteReference"/>
        </w:rPr>
        <w:footnoteReference w:id="219"/>
      </w:r>
      <w:r>
        <w:t xml:space="preserve"> Accordingly, in this final decision we </w:t>
      </w:r>
      <w:r w:rsidR="009B303B">
        <w:t>rely</w:t>
      </w:r>
      <w:r w:rsidR="00E838B8">
        <w:t xml:space="preserve"> only</w:t>
      </w:r>
      <w:r>
        <w:t xml:space="preserve"> on the refined domestic ownership share.</w:t>
      </w:r>
    </w:p>
    <w:p w:rsidR="00AC26A5" w:rsidRDefault="009E2088" w:rsidP="00045DD9">
      <w:r>
        <w:t xml:space="preserve">The service providers submitted that only the most recent point estimates </w:t>
      </w:r>
      <w:r w:rsidR="00FD4722">
        <w:t>of</w:t>
      </w:r>
      <w:r>
        <w:t xml:space="preserve"> the equity ownership </w:t>
      </w:r>
      <w:r w:rsidR="00FD4722">
        <w:t xml:space="preserve">share </w:t>
      </w:r>
      <w:r>
        <w:t>are relevant.</w:t>
      </w:r>
      <w:r w:rsidR="006A22AB">
        <w:rPr>
          <w:rStyle w:val="FootnoteReference"/>
        </w:rPr>
        <w:footnoteReference w:id="220"/>
      </w:r>
      <w:r>
        <w:t xml:space="preserve"> We disagree. </w:t>
      </w:r>
      <w:r w:rsidR="006A22AB">
        <w:t xml:space="preserve">Given that the series exhibits considerable volatility, we </w:t>
      </w:r>
      <w:r>
        <w:t xml:space="preserve">think it is reasonable to </w:t>
      </w:r>
      <w:r w:rsidR="006A22AB">
        <w:t xml:space="preserve">not </w:t>
      </w:r>
      <w:r>
        <w:t>rely solely on the</w:t>
      </w:r>
      <w:r w:rsidR="006A22AB">
        <w:t xml:space="preserve"> most recent point estimate</w:t>
      </w:r>
      <w:r w:rsidR="003D0809">
        <w:t>. Handley supported</w:t>
      </w:r>
      <w:r>
        <w:t xml:space="preserve"> this view</w:t>
      </w:r>
      <w:r w:rsidR="00AC26A5">
        <w:t>:</w:t>
      </w:r>
      <w:r w:rsidR="006A22AB">
        <w:rPr>
          <w:rStyle w:val="FootnoteReference"/>
        </w:rPr>
        <w:footnoteReference w:id="221"/>
      </w:r>
    </w:p>
    <w:p w:rsidR="00AC26A5" w:rsidRDefault="00AC26A5" w:rsidP="00AC26A5">
      <w:pPr>
        <w:pStyle w:val="AERquote"/>
      </w:pPr>
      <w:r w:rsidRPr="00AC26A5">
        <w:t>Referring to the refined data, it is apparent that there i</w:t>
      </w:r>
      <w:r>
        <w:t xml:space="preserve">s substantial volatility in the </w:t>
      </w:r>
      <w:r w:rsidRPr="00AC26A5">
        <w:t>reported ABS estimates over time. There are also resi</w:t>
      </w:r>
      <w:r>
        <w:t xml:space="preserve">dual issues with the ABS data. </w:t>
      </w:r>
      <w:r w:rsidRPr="00AC26A5">
        <w:t>This suggests that more than just the most recent estimates should be taken into</w:t>
      </w:r>
      <w:r>
        <w:t xml:space="preserve"> </w:t>
      </w:r>
      <w:r w:rsidRPr="00AC26A5">
        <w:t>consideration, although the length of period to be considered is open to judgment.</w:t>
      </w:r>
    </w:p>
    <w:p w:rsidR="003C38FE" w:rsidRDefault="003C38FE" w:rsidP="00045DD9">
      <w:r>
        <w:t>On Handley's point regarding the length of period to considered</w:t>
      </w:r>
      <w:r w:rsidR="00AC26A5">
        <w:t>, we agree with SFG's view that</w:t>
      </w:r>
      <w:r>
        <w:t>:</w:t>
      </w:r>
      <w:r>
        <w:rPr>
          <w:rStyle w:val="FootnoteReference"/>
        </w:rPr>
        <w:footnoteReference w:id="222"/>
      </w:r>
    </w:p>
    <w:p w:rsidR="003C38FE" w:rsidRDefault="003C38FE" w:rsidP="003C38FE">
      <w:pPr>
        <w:pStyle w:val="AERquote"/>
      </w:pPr>
      <w:r>
        <w:t>It is not clear why estimates of what the domestic equity ownership proportion was in the 1980s are relevant to the current determination for the forthcoming regulatory period.</w:t>
      </w:r>
    </w:p>
    <w:p w:rsidR="009E2088" w:rsidRDefault="003C38FE" w:rsidP="003C38FE">
      <w:r>
        <w:t>We consider that the most relevant period to consider is that since July 2000, when eligible investors became entitled for a refund of excess credits. This accords with one of the periods Handley</w:t>
      </w:r>
      <w:r w:rsidR="00FD4722">
        <w:t xml:space="preserve"> considered</w:t>
      </w:r>
      <w:r w:rsidR="00415BFD">
        <w:t xml:space="preserve"> relevant</w:t>
      </w:r>
      <w:r>
        <w:t>.</w:t>
      </w:r>
      <w:r>
        <w:rPr>
          <w:rStyle w:val="FootnoteReference"/>
        </w:rPr>
        <w:footnoteReference w:id="223"/>
      </w:r>
      <w:r>
        <w:t xml:space="preserve"> It is also consistent with the service providers' proposed </w:t>
      </w:r>
      <w:r>
        <w:lastRenderedPageBreak/>
        <w:t xml:space="preserve">estimation of the value of distributed </w:t>
      </w:r>
      <w:r w:rsidR="008542CA">
        <w:t>credits</w:t>
      </w:r>
      <w:r>
        <w:t xml:space="preserve"> </w:t>
      </w:r>
      <w:r w:rsidR="00F022DB">
        <w:t xml:space="preserve">via </w:t>
      </w:r>
      <w:r>
        <w:t>SFG's dividend drop off study. This study</w:t>
      </w:r>
      <w:r w:rsidR="00AC26A5">
        <w:t xml:space="preserve"> </w:t>
      </w:r>
      <w:r>
        <w:t xml:space="preserve">employs data from </w:t>
      </w:r>
      <w:r w:rsidR="008542CA">
        <w:t>July 2001 to October 2012.</w:t>
      </w:r>
    </w:p>
    <w:p w:rsidR="003B16C3" w:rsidRDefault="00E00708" w:rsidP="003C38FE">
      <w:r>
        <w:t xml:space="preserve">With </w:t>
      </w:r>
      <w:r w:rsidR="00C0259E">
        <w:t>regard to these considerations</w:t>
      </w:r>
      <w:r>
        <w:t>, the relevant data</w:t>
      </w:r>
      <w:r w:rsidR="00A26B13">
        <w:t xml:space="preserve"> </w:t>
      </w:r>
      <w:proofErr w:type="gramStart"/>
      <w:r w:rsidR="00A26B13">
        <w:t>is shown</w:t>
      </w:r>
      <w:proofErr w:type="gramEnd"/>
      <w:r w:rsidR="00E468B0">
        <w:t xml:space="preserve"> in </w:t>
      </w:r>
      <w:r w:rsidR="00E468B0">
        <w:fldChar w:fldCharType="begin"/>
      </w:r>
      <w:r w:rsidR="00E468B0">
        <w:instrText xml:space="preserve"> REF  _Ref414273399 \* Lower \h </w:instrText>
      </w:r>
      <w:r w:rsidR="00E468B0">
        <w:fldChar w:fldCharType="separate"/>
      </w:r>
      <w:r w:rsidR="003F0AA6">
        <w:t xml:space="preserve">figure </w:t>
      </w:r>
      <w:r w:rsidR="003F0AA6">
        <w:rPr>
          <w:noProof/>
        </w:rPr>
        <w:t>4</w:t>
      </w:r>
      <w:r w:rsidR="003F0AA6">
        <w:noBreakHyphen/>
      </w:r>
      <w:r w:rsidR="003F0AA6">
        <w:rPr>
          <w:noProof/>
        </w:rPr>
        <w:t>3</w:t>
      </w:r>
      <w:r w:rsidR="00E468B0">
        <w:fldChar w:fldCharType="end"/>
      </w:r>
      <w:r>
        <w:t>.</w:t>
      </w:r>
    </w:p>
    <w:p w:rsidR="00E468B0" w:rsidRDefault="003B16C3" w:rsidP="00E468B0">
      <w:pPr>
        <w:pStyle w:val="Caption"/>
      </w:pPr>
      <w:bookmarkStart w:id="83" w:name="_Ref414273399"/>
      <w:r>
        <w:t xml:space="preserve">Figure </w:t>
      </w:r>
      <w:r w:rsidR="00332D56">
        <w:fldChar w:fldCharType="begin"/>
      </w:r>
      <w:r w:rsidR="00332D56">
        <w:instrText xml:space="preserve"> STYLEREF 1 \s </w:instrText>
      </w:r>
      <w:r w:rsidR="00332D56">
        <w:fldChar w:fldCharType="separate"/>
      </w:r>
      <w:r w:rsidR="003F0AA6">
        <w:rPr>
          <w:noProof/>
        </w:rPr>
        <w:t>4</w:t>
      </w:r>
      <w:r w:rsidR="00332D56">
        <w:rPr>
          <w:noProof/>
        </w:rPr>
        <w:fldChar w:fldCharType="end"/>
      </w:r>
      <w:r w:rsidR="00A7103E">
        <w:noBreakHyphen/>
      </w:r>
      <w:r w:rsidR="00332D56">
        <w:fldChar w:fldCharType="begin"/>
      </w:r>
      <w:r w:rsidR="00332D56">
        <w:instrText xml:space="preserve"> SEQ Figure \* ARABIC \s 1 </w:instrText>
      </w:r>
      <w:r w:rsidR="00332D56">
        <w:fldChar w:fldCharType="separate"/>
      </w:r>
      <w:r w:rsidR="003F0AA6">
        <w:rPr>
          <w:noProof/>
        </w:rPr>
        <w:t>3</w:t>
      </w:r>
      <w:r w:rsidR="00332D56">
        <w:rPr>
          <w:noProof/>
        </w:rPr>
        <w:fldChar w:fldCharType="end"/>
      </w:r>
      <w:bookmarkEnd w:id="83"/>
      <w:r>
        <w:tab/>
        <w:t>Refined domestic ownership share of Australian equity</w:t>
      </w:r>
    </w:p>
    <w:p w:rsidR="00E468B0" w:rsidRDefault="00E117A1" w:rsidP="00E468B0">
      <w:r w:rsidRPr="00E117A1">
        <w:rPr>
          <w:noProof/>
          <w:lang w:eastAsia="en-AU"/>
        </w:rPr>
        <w:drawing>
          <wp:inline distT="0" distB="0" distL="0" distR="0" wp14:anchorId="79FDE891" wp14:editId="1CD00CFF">
            <wp:extent cx="5328000" cy="34704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E468B0" w:rsidRDefault="00E468B0" w:rsidP="00E468B0">
      <w:pPr>
        <w:pStyle w:val="AERtablesource"/>
      </w:pPr>
      <w:r>
        <w:t xml:space="preserve">Source: </w:t>
      </w:r>
      <w:r>
        <w:tab/>
        <w:t>Australian National Accounts: Finance and Wealth (ABS cat. 5232.0), tables 47 and 48.</w:t>
      </w:r>
    </w:p>
    <w:p w:rsidR="00E468B0" w:rsidRDefault="009E6854" w:rsidP="00E468B0">
      <w:r>
        <w:fldChar w:fldCharType="begin"/>
      </w:r>
      <w:r>
        <w:instrText xml:space="preserve"> REF _Ref414273399 \h </w:instrText>
      </w:r>
      <w:r>
        <w:fldChar w:fldCharType="separate"/>
      </w:r>
      <w:r w:rsidR="003F0AA6">
        <w:t xml:space="preserve">Figure </w:t>
      </w:r>
      <w:r w:rsidR="003F0AA6">
        <w:rPr>
          <w:noProof/>
        </w:rPr>
        <w:t>4</w:t>
      </w:r>
      <w:r w:rsidR="003F0AA6">
        <w:noBreakHyphen/>
      </w:r>
      <w:r w:rsidR="003F0AA6">
        <w:rPr>
          <w:noProof/>
        </w:rPr>
        <w:t>3</w:t>
      </w:r>
      <w:r>
        <w:fldChar w:fldCharType="end"/>
      </w:r>
      <w:r>
        <w:t xml:space="preserve"> indicates that the refined domestic ownership share of t</w:t>
      </w:r>
      <w:r w:rsidR="00C66D02">
        <w:t>otal equity has ranged from 0.56 to 0.68</w:t>
      </w:r>
      <w:r>
        <w:t xml:space="preserve"> over the relevant period, while the refined domestic ownership share of </w:t>
      </w:r>
      <w:r w:rsidR="001C274C">
        <w:t>only listed equity</w:t>
      </w:r>
      <w:r w:rsidR="00C66D02">
        <w:t xml:space="preserve"> has ranged from 0.38 to 0.55</w:t>
      </w:r>
      <w:r>
        <w:t>.</w:t>
      </w:r>
    </w:p>
    <w:p w:rsidR="00C06B80" w:rsidRDefault="00C06B80" w:rsidP="00D60D4D">
      <w:pPr>
        <w:pStyle w:val="Heading8"/>
      </w:pPr>
      <w:bookmarkStart w:id="84" w:name="_Ref402179420"/>
      <w:bookmarkStart w:id="85" w:name="_Toc417043268"/>
      <w:r>
        <w:t xml:space="preserve">Tax </w:t>
      </w:r>
      <w:r w:rsidRPr="00D60D4D">
        <w:t>statistics</w:t>
      </w:r>
      <w:bookmarkEnd w:id="84"/>
      <w:bookmarkEnd w:id="85"/>
    </w:p>
    <w:p w:rsidR="00C06B80" w:rsidRDefault="00C06B80" w:rsidP="00C06B80">
      <w:pPr>
        <w:numPr>
          <w:ilvl w:val="0"/>
          <w:numId w:val="25"/>
        </w:numPr>
      </w:pPr>
      <w:r w:rsidRPr="00863CA4">
        <w:t xml:space="preserve">The ATO publishes aggregate statistics on the tax returns submitted by individuals, superannuation funds and companies, as well as on the imputation credits refunded to </w:t>
      </w:r>
      <w:r>
        <w:t>certain income tax exempt entities (for example,</w:t>
      </w:r>
      <w:r w:rsidRPr="00863CA4">
        <w:t xml:space="preserve"> charities).</w:t>
      </w:r>
      <w:r>
        <w:rPr>
          <w:rStyle w:val="FootnoteReference"/>
        </w:rPr>
        <w:footnoteReference w:id="224"/>
      </w:r>
      <w:r w:rsidRPr="00863CA4">
        <w:t xml:space="preserve"> These statistics can be used to derive a measure of the total </w:t>
      </w:r>
      <w:r>
        <w:t>amount</w:t>
      </w:r>
      <w:r w:rsidRPr="00863CA4">
        <w:t xml:space="preserve"> of imputation credits </w:t>
      </w:r>
      <w:r>
        <w:t>utilised</w:t>
      </w:r>
      <w:r w:rsidRPr="00863CA4">
        <w:t xml:space="preserve"> by eligible investors to offset tax or to be refunded.</w:t>
      </w:r>
      <w:r>
        <w:t xml:space="preserve"> As discussed in relation to the distribution rate, ATO statistics also provide estimates of the amount of imputation credits distributed. We consider that the reported </w:t>
      </w:r>
      <w:r w:rsidR="00EA4F04">
        <w:t>value</w:t>
      </w:r>
      <w:r>
        <w:t xml:space="preserve"> of credits utilised divided by the reported </w:t>
      </w:r>
      <w:r w:rsidR="00EA4F04">
        <w:t>value</w:t>
      </w:r>
      <w:r>
        <w:t xml:space="preserve"> of credits distributed is a reasonable estimate of the utilisation rate.</w:t>
      </w:r>
    </w:p>
    <w:p w:rsidR="00C06B80" w:rsidRDefault="00C06B80" w:rsidP="00C06B80">
      <w:pPr>
        <w:numPr>
          <w:ilvl w:val="0"/>
          <w:numId w:val="25"/>
        </w:numPr>
      </w:pPr>
      <w:r>
        <w:lastRenderedPageBreak/>
        <w:t xml:space="preserve">Our position on the use of tax statistics to estimate the utilisation rate is set out in section </w:t>
      </w:r>
      <w:r w:rsidR="00B40843">
        <w:fldChar w:fldCharType="begin"/>
      </w:r>
      <w:r w:rsidR="00B40843">
        <w:instrText xml:space="preserve"> REF _Ref414289593 \r \h </w:instrText>
      </w:r>
      <w:r w:rsidR="00B40843">
        <w:fldChar w:fldCharType="separate"/>
      </w:r>
      <w:r w:rsidR="003F0AA6">
        <w:t>4.4.2</w:t>
      </w:r>
      <w:r w:rsidR="00B40843">
        <w:fldChar w:fldCharType="end"/>
      </w:r>
      <w:r w:rsidR="00B40843">
        <w:t xml:space="preserve"> </w:t>
      </w:r>
      <w:r>
        <w:t>of attachment 4. In this section, we explain how our position has changed compared to that in the Guideline.</w:t>
      </w:r>
    </w:p>
    <w:p w:rsidR="00C06B80" w:rsidRDefault="00C06B80" w:rsidP="00C06B80">
      <w:pPr>
        <w:numPr>
          <w:ilvl w:val="0"/>
          <w:numId w:val="25"/>
        </w:numPr>
      </w:pPr>
      <w:r>
        <w:t>We consider that tax statistics support an estimate of the utilisation rate between 0.4 and 0.6, although our estimate of the distribution rate implies that we should adopt a utilisation rate of around 0.43 from within this range.</w:t>
      </w:r>
    </w:p>
    <w:p w:rsidR="00C06B80" w:rsidRDefault="00C06B80" w:rsidP="00C06B80">
      <w:pPr>
        <w:numPr>
          <w:ilvl w:val="0"/>
          <w:numId w:val="25"/>
        </w:numPr>
      </w:pPr>
      <w:r>
        <w:t>In the Guideline, we considered that tax statistics supported a utilisation rate between 0.4 and 0.8. This was based on:</w:t>
      </w:r>
    </w:p>
    <w:p w:rsidR="00C06B80" w:rsidRPr="00C06B80" w:rsidRDefault="00C06B80" w:rsidP="00C06B80">
      <w:pPr>
        <w:pStyle w:val="AERbulletlistfirststyle"/>
      </w:pPr>
      <w:r>
        <w:t xml:space="preserve">A 2013 report by Hathaway, </w:t>
      </w:r>
      <w:r w:rsidRPr="00C06B80">
        <w:t xml:space="preserve">which sought to estimate the proportion of distributed credits that have been utilised. This report produced two estimates for the period 2004 to 2011: 0.43 and 0.61. The two estimates reflect two alternative measures of the value of credits distributed, which in turn imply two alternative estimates of the distribution rate (as discussed in section </w:t>
      </w:r>
      <w:r w:rsidRPr="00C06B80">
        <w:fldChar w:fldCharType="begin"/>
      </w:r>
      <w:r w:rsidRPr="00C06B80">
        <w:instrText xml:space="preserve"> REF _Ref401133206 \r \h </w:instrText>
      </w:r>
      <w:r w:rsidRPr="00C06B80">
        <w:fldChar w:fldCharType="separate"/>
      </w:r>
      <w:r w:rsidR="003F0AA6">
        <w:t>A.10</w:t>
      </w:r>
      <w:r w:rsidRPr="00C06B80">
        <w:fldChar w:fldCharType="end"/>
      </w:r>
      <w:r w:rsidRPr="00C06B80">
        <w:t>). The 0.43 and 0.61 estimates of the utilisation rate correspond to estimates of the distribution rate of around 0.7 and 0.5 respectively.</w:t>
      </w:r>
      <w:r w:rsidRPr="00C06B80">
        <w:rPr>
          <w:rStyle w:val="FootnoteReference"/>
        </w:rPr>
        <w:footnoteReference w:id="225"/>
      </w:r>
      <w:r w:rsidRPr="00C06B80">
        <w:t xml:space="preserve"> </w:t>
      </w:r>
    </w:p>
    <w:p w:rsidR="00C06B80" w:rsidRPr="00C06B80" w:rsidRDefault="00C06B80" w:rsidP="00C06B80">
      <w:pPr>
        <w:pStyle w:val="AERbulletlistfirststyle"/>
      </w:pPr>
      <w:r>
        <w:t>A 2004 paper by Handley and Maheswaran, which sought</w:t>
      </w:r>
      <w:r w:rsidRPr="00C06B80">
        <w:t xml:space="preserve"> to estimate the proportion of distributed credits that were used to reduce investors' tax liabilities. This paper produced an estimate for the period 2001 to 2004 of 0.81.</w:t>
      </w:r>
    </w:p>
    <w:p w:rsidR="00C06B80" w:rsidRDefault="00C06B80" w:rsidP="00C06B80">
      <w:pPr>
        <w:numPr>
          <w:ilvl w:val="0"/>
          <w:numId w:val="25"/>
        </w:numPr>
      </w:pPr>
      <w:r>
        <w:t xml:space="preserve">Since the Guideline we have continued to examine this evidence. We now consider that </w:t>
      </w:r>
      <w:r w:rsidR="00A16433">
        <w:t>we should rely on</w:t>
      </w:r>
      <w:r>
        <w:t xml:space="preserve"> estimates that are:</w:t>
      </w:r>
    </w:p>
    <w:p w:rsidR="00C06B80" w:rsidRPr="00C06B80" w:rsidRDefault="00C06B80" w:rsidP="00C06B80">
      <w:pPr>
        <w:pStyle w:val="AERbulletlistfirststyle"/>
      </w:pPr>
      <w:r>
        <w:t>derived from post-2004 data, consistent with Hathaway's findings that the ATO statistics are subject to a number of issues prior to 2004,</w:t>
      </w:r>
      <w:r w:rsidRPr="00C06B80">
        <w:rPr>
          <w:rStyle w:val="FootnoteReference"/>
        </w:rPr>
        <w:footnoteReference w:id="226"/>
      </w:r>
      <w:r w:rsidRPr="00C06B80">
        <w:t xml:space="preserve"> and</w:t>
      </w:r>
    </w:p>
    <w:p w:rsidR="00C06B80" w:rsidRPr="00C06B80" w:rsidRDefault="00C06B80" w:rsidP="00C06B80">
      <w:pPr>
        <w:pStyle w:val="AERbulletlistfirststyle"/>
      </w:pPr>
      <w:r>
        <w:t>consistent with our preferred estimates of the distribution rate.</w:t>
      </w:r>
    </w:p>
    <w:p w:rsidR="00C06B80" w:rsidRDefault="00C06B80" w:rsidP="00C06B80">
      <w:pPr>
        <w:numPr>
          <w:ilvl w:val="0"/>
          <w:numId w:val="25"/>
        </w:numPr>
      </w:pPr>
      <w:r>
        <w:t xml:space="preserve">Applying these considerations, we </w:t>
      </w:r>
      <w:r w:rsidR="00797099">
        <w:t>do not rely on</w:t>
      </w:r>
      <w:r>
        <w:t>:</w:t>
      </w:r>
    </w:p>
    <w:p w:rsidR="00C06B80" w:rsidRPr="00C06B80" w:rsidRDefault="00C06B80" w:rsidP="00C06B80">
      <w:pPr>
        <w:pStyle w:val="AERbulletlistfirststyle"/>
      </w:pPr>
      <w:r>
        <w:t>Handley and Maheswaran's estimate of 0.81, because this is (predominantly) derived from pre-2004 data.</w:t>
      </w:r>
    </w:p>
    <w:p w:rsidR="00C06B80" w:rsidRDefault="00C06B80" w:rsidP="00A16433">
      <w:pPr>
        <w:pStyle w:val="AERbulletlistfirststyle"/>
      </w:pPr>
      <w:r>
        <w:t>Hathaway's estimate of 0.61, because this corresponds to an estimate of the distribution rate of around 0.5 whereas we adopt an estimate of the distribution rate over all equity of 0.7.</w:t>
      </w:r>
    </w:p>
    <w:p w:rsidR="00967FFA" w:rsidRDefault="002048E1" w:rsidP="00B93D6C">
      <w:r>
        <w:t xml:space="preserve">As discussed in section </w:t>
      </w:r>
      <w:r>
        <w:fldChar w:fldCharType="begin"/>
      </w:r>
      <w:r>
        <w:instrText xml:space="preserve"> REF _Ref401133206 \r \h </w:instrText>
      </w:r>
      <w:r>
        <w:fldChar w:fldCharType="separate"/>
      </w:r>
      <w:r w:rsidR="003F0AA6">
        <w:t>A.10</w:t>
      </w:r>
      <w:r>
        <w:fldChar w:fldCharType="end"/>
      </w:r>
      <w:r>
        <w:t xml:space="preserve">, </w:t>
      </w:r>
      <w:r w:rsidR="00C309E4">
        <w:t xml:space="preserve">for this </w:t>
      </w:r>
      <w:proofErr w:type="gramStart"/>
      <w:r w:rsidR="00C309E4">
        <w:t>decision</w:t>
      </w:r>
      <w:proofErr w:type="gramEnd"/>
      <w:r w:rsidR="00C309E4">
        <w:t xml:space="preserve"> </w:t>
      </w:r>
      <w:r w:rsidR="00B20311">
        <w:t xml:space="preserve">we place no reliance on Hathaway's new report and therefore </w:t>
      </w:r>
      <w:r w:rsidR="006526FE">
        <w:t xml:space="preserve">it does not change our conclusions </w:t>
      </w:r>
      <w:r w:rsidR="00B20311">
        <w:t>regarding the utilisation rate indicated</w:t>
      </w:r>
      <w:r w:rsidR="00EA284E">
        <w:t xml:space="preserve"> by tax statistics.</w:t>
      </w:r>
    </w:p>
    <w:p w:rsidR="00292ECF" w:rsidRDefault="00292ECF" w:rsidP="00292ECF">
      <w:pPr>
        <w:pStyle w:val="Heading8"/>
      </w:pPr>
      <w:bookmarkStart w:id="86" w:name="_Ref401080753"/>
      <w:bookmarkStart w:id="87" w:name="_Toc417043269"/>
      <w:r w:rsidRPr="00292ECF">
        <w:lastRenderedPageBreak/>
        <w:t>Implied</w:t>
      </w:r>
      <w:r>
        <w:t xml:space="preserve"> market value studies</w:t>
      </w:r>
      <w:bookmarkEnd w:id="86"/>
      <w:bookmarkEnd w:id="87"/>
    </w:p>
    <w:p w:rsidR="00292ECF" w:rsidRDefault="00292ECF" w:rsidP="00292ECF">
      <w:pPr>
        <w:numPr>
          <w:ilvl w:val="0"/>
          <w:numId w:val="25"/>
        </w:numPr>
      </w:pPr>
      <w:r>
        <w:t xml:space="preserve">Implied market value studies seek to infer from market prices the </w:t>
      </w:r>
      <w:r w:rsidRPr="007E6C27">
        <w:t>value of distributed imputation credit</w:t>
      </w:r>
      <w:r>
        <w:t xml:space="preserve">s. Our position on the use of implied market value studies to estimate the utilisation rate is set out in section </w:t>
      </w:r>
      <w:r w:rsidR="00B40843">
        <w:fldChar w:fldCharType="begin"/>
      </w:r>
      <w:r w:rsidR="00B40843">
        <w:instrText xml:space="preserve"> REF _Ref414289593 \r \h </w:instrText>
      </w:r>
      <w:r w:rsidR="00B40843">
        <w:fldChar w:fldCharType="separate"/>
      </w:r>
      <w:r w:rsidR="003F0AA6">
        <w:t>4.4.2</w:t>
      </w:r>
      <w:r w:rsidR="00B40843">
        <w:fldChar w:fldCharType="end"/>
      </w:r>
      <w:r w:rsidR="00B40843">
        <w:t xml:space="preserve"> </w:t>
      </w:r>
      <w:r>
        <w:t xml:space="preserve">of attachment 4. </w:t>
      </w:r>
    </w:p>
    <w:p w:rsidR="00292ECF" w:rsidRDefault="00292ECF" w:rsidP="00292ECF">
      <w:pPr>
        <w:numPr>
          <w:ilvl w:val="0"/>
          <w:numId w:val="25"/>
        </w:numPr>
      </w:pPr>
      <w:r>
        <w:t xml:space="preserve">This section sets out further evidence which supports our position on the use of implied market value studies to estimate the utilisation rate. It describes the types of study available, and estimates from these studies. As we discuss in section </w:t>
      </w:r>
      <w:r w:rsidR="00B40843">
        <w:fldChar w:fldCharType="begin"/>
      </w:r>
      <w:r w:rsidR="00B40843">
        <w:instrText xml:space="preserve"> REF _Ref414289593 \r \h </w:instrText>
      </w:r>
      <w:r w:rsidR="00B40843">
        <w:fldChar w:fldCharType="separate"/>
      </w:r>
      <w:r w:rsidR="003F0AA6">
        <w:t>4.4.2</w:t>
      </w:r>
      <w:r w:rsidR="00B40843">
        <w:fldChar w:fldCharType="end"/>
      </w:r>
      <w:r w:rsidR="00B40843">
        <w:t xml:space="preserve"> </w:t>
      </w:r>
      <w:r>
        <w:t>of attachment 4, the level of reliance we place on implied market value studies reflects the limitations of these studies. We discuss the limitations of the most common type of implied market value study, dividend drop off studies, in section</w:t>
      </w:r>
      <w:r w:rsidR="00B40843">
        <w:t xml:space="preserve">s </w:t>
      </w:r>
      <w:r w:rsidR="00B40843">
        <w:fldChar w:fldCharType="begin"/>
      </w:r>
      <w:r w:rsidR="00B40843">
        <w:instrText xml:space="preserve"> REF _Ref414624721 \r \h </w:instrText>
      </w:r>
      <w:r w:rsidR="00B40843">
        <w:fldChar w:fldCharType="separate"/>
      </w:r>
      <w:r w:rsidR="003F0AA6">
        <w:t>A.14.5</w:t>
      </w:r>
      <w:r w:rsidR="00B40843">
        <w:fldChar w:fldCharType="end"/>
      </w:r>
      <w:r w:rsidR="00B40843">
        <w:t xml:space="preserve"> and </w:t>
      </w:r>
      <w:r w:rsidR="00B40843">
        <w:fldChar w:fldCharType="begin"/>
      </w:r>
      <w:r w:rsidR="00B40843">
        <w:instrText xml:space="preserve"> REF _Ref414619467 \r \h </w:instrText>
      </w:r>
      <w:r w:rsidR="00B40843">
        <w:fldChar w:fldCharType="separate"/>
      </w:r>
      <w:r w:rsidR="003F0AA6">
        <w:t>A.14.6</w:t>
      </w:r>
      <w:r w:rsidR="00B40843">
        <w:fldChar w:fldCharType="end"/>
      </w:r>
      <w:r>
        <w:t>.</w:t>
      </w:r>
    </w:p>
    <w:p w:rsidR="00292ECF" w:rsidRPr="00222643" w:rsidRDefault="00292ECF" w:rsidP="00292ECF">
      <w:pPr>
        <w:pStyle w:val="Heading9"/>
      </w:pPr>
      <w:bookmarkStart w:id="88" w:name="_Ref402791521"/>
      <w:r w:rsidRPr="00222643">
        <w:t xml:space="preserve">Types of implied </w:t>
      </w:r>
      <w:r w:rsidRPr="00292ECF">
        <w:t>market</w:t>
      </w:r>
      <w:r w:rsidRPr="00222643">
        <w:t xml:space="preserve"> value studies</w:t>
      </w:r>
      <w:bookmarkEnd w:id="88"/>
    </w:p>
    <w:p w:rsidR="00292ECF" w:rsidRPr="00222643" w:rsidRDefault="00292ECF" w:rsidP="00292ECF">
      <w:pPr>
        <w:numPr>
          <w:ilvl w:val="0"/>
          <w:numId w:val="25"/>
        </w:numPr>
      </w:pPr>
      <w:r w:rsidRPr="00222643">
        <w:t>In this section, we describe the key characteristics of dividend drop off studies and other implied market value studies.</w:t>
      </w:r>
    </w:p>
    <w:p w:rsidR="00292ECF" w:rsidRPr="00222643" w:rsidRDefault="00292ECF" w:rsidP="00292ECF">
      <w:pPr>
        <w:pStyle w:val="HeadingBoldBlue"/>
        <w:numPr>
          <w:ilvl w:val="0"/>
          <w:numId w:val="25"/>
        </w:numPr>
      </w:pPr>
      <w:r w:rsidRPr="00222643">
        <w:t>Dividend drop off studies</w:t>
      </w:r>
    </w:p>
    <w:p w:rsidR="00292ECF" w:rsidRPr="00222643" w:rsidRDefault="00292ECF" w:rsidP="00292ECF">
      <w:pPr>
        <w:numPr>
          <w:ilvl w:val="0"/>
          <w:numId w:val="25"/>
        </w:numPr>
      </w:pPr>
      <w:r w:rsidRPr="00222643">
        <w:t>Dividend drop off studies are the most common type of implied market value study. These studies involve comparing share prices between:</w:t>
      </w:r>
    </w:p>
    <w:p w:rsidR="00292ECF" w:rsidRPr="00292ECF" w:rsidRDefault="00292ECF" w:rsidP="00292ECF">
      <w:pPr>
        <w:pStyle w:val="AERbulletlistfirststyle"/>
      </w:pPr>
      <w:r w:rsidRPr="00222643">
        <w:t>the cum-dividend</w:t>
      </w:r>
      <w:r w:rsidRPr="00292ECF">
        <w:t xml:space="preserve"> date—the last day on which investors owning shares will be eligible to receive dividends and the attached imputation credits, and</w:t>
      </w:r>
    </w:p>
    <w:p w:rsidR="00292ECF" w:rsidRPr="00292ECF" w:rsidRDefault="00292ECF" w:rsidP="00292ECF">
      <w:pPr>
        <w:pStyle w:val="AERbulletlistfirststyle"/>
      </w:pPr>
      <w:r w:rsidRPr="00222643">
        <w:t>the ex-dividend date—the first day on which investors owning shares will not be eligible to receive dividends and attached imputation credits.</w:t>
      </w:r>
    </w:p>
    <w:p w:rsidR="00292ECF" w:rsidRDefault="00292ECF" w:rsidP="00292ECF">
      <w:pPr>
        <w:numPr>
          <w:ilvl w:val="0"/>
          <w:numId w:val="25"/>
        </w:numPr>
      </w:pPr>
      <w:r w:rsidRPr="00222643">
        <w:t xml:space="preserve">That is, an investor that buys a share on the cum-dividend date will be eligible to receive a dividend from that company. </w:t>
      </w:r>
      <w:r w:rsidR="00C309E4">
        <w:t>A</w:t>
      </w:r>
      <w:r w:rsidRPr="00222643">
        <w:t xml:space="preserve">n investor who buys a share on the ex-dividend date will not. The difference in these prices should therefore reflect investors' valuation of the combined package of dividends and </w:t>
      </w:r>
      <w:r>
        <w:t>imputation</w:t>
      </w:r>
      <w:r w:rsidRPr="00222643">
        <w:t xml:space="preserve"> credits, all other things being equal. Dividend drop off studies often will report this as a dividend drop off ratio. This is the reduction in the share price as a proportion of the face value of dividends paid out.</w:t>
      </w:r>
    </w:p>
    <w:p w:rsidR="00292ECF" w:rsidRDefault="00292ECF" w:rsidP="00292ECF">
      <w:pPr>
        <w:numPr>
          <w:ilvl w:val="0"/>
          <w:numId w:val="25"/>
        </w:numPr>
      </w:pPr>
      <w:r>
        <w:fldChar w:fldCharType="begin"/>
      </w:r>
      <w:r>
        <w:instrText xml:space="preserve"> REF _Ref401075742 \h </w:instrText>
      </w:r>
      <w:r>
        <w:fldChar w:fldCharType="separate"/>
      </w:r>
      <w:r w:rsidR="003F0AA6">
        <w:t xml:space="preserve">Table </w:t>
      </w:r>
      <w:r w:rsidR="003F0AA6">
        <w:rPr>
          <w:noProof/>
        </w:rPr>
        <w:t>4</w:t>
      </w:r>
      <w:r w:rsidR="003F0AA6">
        <w:noBreakHyphen/>
      </w:r>
      <w:r w:rsidR="003F0AA6">
        <w:rPr>
          <w:noProof/>
        </w:rPr>
        <w:t>8</w:t>
      </w:r>
      <w:r>
        <w:fldChar w:fldCharType="end"/>
      </w:r>
      <w:r>
        <w:t xml:space="preserve"> identifies the dividend drop off studies that we are aware of, and describes the methodology of each study. The results from these studies </w:t>
      </w:r>
      <w:proofErr w:type="gramStart"/>
      <w:r>
        <w:t>are presented</w:t>
      </w:r>
      <w:proofErr w:type="gramEnd"/>
      <w:r>
        <w:t xml:space="preserve"> in </w:t>
      </w:r>
      <w:r>
        <w:fldChar w:fldCharType="begin"/>
      </w:r>
      <w:r>
        <w:instrText xml:space="preserve"> REF  _Ref401075676 \* Lower \h </w:instrText>
      </w:r>
      <w:r>
        <w:fldChar w:fldCharType="separate"/>
      </w:r>
      <w:r w:rsidR="003F0AA6">
        <w:t xml:space="preserve">table </w:t>
      </w:r>
      <w:r w:rsidR="003F0AA6">
        <w:rPr>
          <w:noProof/>
        </w:rPr>
        <w:t>4</w:t>
      </w:r>
      <w:r w:rsidR="003F0AA6">
        <w:noBreakHyphen/>
      </w:r>
      <w:r w:rsidR="003F0AA6">
        <w:rPr>
          <w:noProof/>
        </w:rPr>
        <w:t>10</w:t>
      </w:r>
      <w:r>
        <w:fldChar w:fldCharType="end"/>
      </w:r>
      <w:r>
        <w:t>.</w:t>
      </w:r>
    </w:p>
    <w:p w:rsidR="00292ECF" w:rsidRDefault="00292ECF" w:rsidP="00292ECF">
      <w:pPr>
        <w:pStyle w:val="Caption"/>
      </w:pPr>
      <w:bookmarkStart w:id="89" w:name="_Ref401075742"/>
      <w:r>
        <w:t xml:space="preserve">Table </w:t>
      </w:r>
      <w:r w:rsidR="00332D56">
        <w:fldChar w:fldCharType="begin"/>
      </w:r>
      <w:r w:rsidR="00332D56">
        <w:instrText xml:space="preserve"> STYLEREF 1 \s </w:instrText>
      </w:r>
      <w:r w:rsidR="00332D56">
        <w:fldChar w:fldCharType="separate"/>
      </w:r>
      <w:r w:rsidR="003F0AA6">
        <w:rPr>
          <w:noProof/>
        </w:rPr>
        <w:t>4</w:t>
      </w:r>
      <w:r w:rsidR="00332D56">
        <w:rPr>
          <w:noProof/>
        </w:rPr>
        <w:fldChar w:fldCharType="end"/>
      </w:r>
      <w:r w:rsidR="00257FBE">
        <w:noBreakHyphen/>
      </w:r>
      <w:r w:rsidR="00332D56">
        <w:fldChar w:fldCharType="begin"/>
      </w:r>
      <w:r w:rsidR="00332D56">
        <w:instrText xml:space="preserve"> SEQ Table \* ARABIC \s 1 </w:instrText>
      </w:r>
      <w:r w:rsidR="00332D56">
        <w:fldChar w:fldCharType="separate"/>
      </w:r>
      <w:r w:rsidR="003F0AA6">
        <w:rPr>
          <w:noProof/>
        </w:rPr>
        <w:t>8</w:t>
      </w:r>
      <w:r w:rsidR="00332D56">
        <w:rPr>
          <w:noProof/>
        </w:rPr>
        <w:fldChar w:fldCharType="end"/>
      </w:r>
      <w:bookmarkEnd w:id="89"/>
      <w:r>
        <w:tab/>
        <w:t>Summary of available dividend drop off studies</w:t>
      </w:r>
    </w:p>
    <w:tbl>
      <w:tblPr>
        <w:tblStyle w:val="AERtable-text0"/>
        <w:tblW w:w="0" w:type="auto"/>
        <w:tblLook w:val="04A0" w:firstRow="1" w:lastRow="0" w:firstColumn="1" w:lastColumn="0" w:noHBand="0" w:noVBand="1"/>
      </w:tblPr>
      <w:tblGrid>
        <w:gridCol w:w="2518"/>
        <w:gridCol w:w="1276"/>
        <w:gridCol w:w="5448"/>
      </w:tblGrid>
      <w:tr w:rsidR="00292ECF" w:rsidTr="000D21E6">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rsidR="00292ECF" w:rsidRPr="00292ECF" w:rsidRDefault="00292ECF" w:rsidP="00292ECF">
            <w:r w:rsidRPr="00222643">
              <w:t>Authors</w:t>
            </w:r>
          </w:p>
        </w:tc>
        <w:tc>
          <w:tcPr>
            <w:tcW w:w="1276" w:type="dxa"/>
          </w:tcPr>
          <w:p w:rsidR="00292ECF" w:rsidRPr="00292ECF" w:rsidRDefault="00292ECF" w:rsidP="00292ECF">
            <w:r w:rsidRPr="00222643">
              <w:t>Data range</w:t>
            </w:r>
          </w:p>
        </w:tc>
        <w:tc>
          <w:tcPr>
            <w:tcW w:w="5448" w:type="dxa"/>
          </w:tcPr>
          <w:p w:rsidR="00292ECF" w:rsidRPr="00292ECF" w:rsidRDefault="00292ECF" w:rsidP="00292ECF">
            <w:r w:rsidRPr="00222643">
              <w:t xml:space="preserve">Assessment </w:t>
            </w:r>
            <w:r w:rsidRPr="00292ECF">
              <w:t>relative to other studies in that class</w:t>
            </w:r>
          </w:p>
        </w:tc>
      </w:tr>
      <w:tr w:rsidR="00292ECF" w:rsidTr="000D21E6">
        <w:trPr>
          <w:cantSplit/>
        </w:trPr>
        <w:tc>
          <w:tcPr>
            <w:tcW w:w="9242" w:type="dxa"/>
            <w:gridSpan w:val="3"/>
          </w:tcPr>
          <w:p w:rsidR="00292ECF" w:rsidRDefault="00292ECF" w:rsidP="00292ECF">
            <w:pPr>
              <w:numPr>
                <w:ilvl w:val="0"/>
                <w:numId w:val="25"/>
              </w:numPr>
            </w:pPr>
            <w:r w:rsidRPr="009229BE">
              <w:rPr>
                <w:rStyle w:val="Strong"/>
              </w:rPr>
              <w:t>Dividend drop off study</w:t>
            </w:r>
            <w:r w:rsidRPr="00222643">
              <w:t xml:space="preserve"> – Compare share prices before and after dividend events (with and without imputation credits).</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Vo et al (2013)</w:t>
            </w:r>
            <w:r w:rsidRPr="00292ECF">
              <w:rPr>
                <w:rStyle w:val="FootnoteReference"/>
              </w:rPr>
              <w:footnoteReference w:id="227"/>
            </w:r>
          </w:p>
        </w:tc>
        <w:tc>
          <w:tcPr>
            <w:tcW w:w="1276" w:type="dxa"/>
          </w:tcPr>
          <w:p w:rsidR="00292ECF" w:rsidRPr="00292ECF" w:rsidRDefault="00292ECF" w:rsidP="00292ECF">
            <w:r w:rsidRPr="00222643">
              <w:t>2001-2012</w:t>
            </w:r>
          </w:p>
        </w:tc>
        <w:tc>
          <w:tcPr>
            <w:tcW w:w="5448" w:type="dxa"/>
          </w:tcPr>
          <w:p w:rsidR="00292ECF" w:rsidRPr="00292ECF" w:rsidRDefault="00292ECF" w:rsidP="00292ECF">
            <w:r w:rsidRPr="00222643">
              <w:t xml:space="preserve">Builds on SFG (2011), </w:t>
            </w:r>
            <w:r w:rsidRPr="00292ECF">
              <w:t>includes additional econometric permutations and sensitivity analysis.</w:t>
            </w:r>
          </w:p>
        </w:tc>
      </w:tr>
      <w:tr w:rsidR="00292ECF" w:rsidTr="000D21E6">
        <w:trPr>
          <w:cantSplit/>
        </w:trPr>
        <w:tc>
          <w:tcPr>
            <w:tcW w:w="2518" w:type="dxa"/>
          </w:tcPr>
          <w:p w:rsidR="00292ECF" w:rsidRPr="00292ECF" w:rsidRDefault="00292ECF" w:rsidP="00292ECF">
            <w:r w:rsidRPr="00222643">
              <w:lastRenderedPageBreak/>
              <w:t>SFG (2013a)</w:t>
            </w:r>
            <w:r w:rsidRPr="00292ECF">
              <w:rPr>
                <w:rStyle w:val="FootnoteReference"/>
              </w:rPr>
              <w:footnoteReference w:id="228"/>
            </w:r>
          </w:p>
        </w:tc>
        <w:tc>
          <w:tcPr>
            <w:tcW w:w="1276" w:type="dxa"/>
          </w:tcPr>
          <w:p w:rsidR="00292ECF" w:rsidRPr="00292ECF" w:rsidRDefault="00292ECF" w:rsidP="00292ECF">
            <w:r w:rsidRPr="00222643">
              <w:t>2001-2012</w:t>
            </w:r>
          </w:p>
        </w:tc>
        <w:tc>
          <w:tcPr>
            <w:tcW w:w="5448" w:type="dxa"/>
          </w:tcPr>
          <w:p w:rsidR="00292ECF" w:rsidRPr="00292ECF" w:rsidRDefault="00292ECF" w:rsidP="00292ECF">
            <w:r w:rsidRPr="00222643">
              <w:t>Updates SFG (2011) – same author, longer data series.</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SFG (2011)</w:t>
            </w:r>
            <w:r w:rsidRPr="00292ECF">
              <w:rPr>
                <w:rStyle w:val="FootnoteReference"/>
              </w:rPr>
              <w:footnoteReference w:id="229"/>
            </w:r>
          </w:p>
        </w:tc>
        <w:tc>
          <w:tcPr>
            <w:tcW w:w="1276" w:type="dxa"/>
          </w:tcPr>
          <w:p w:rsidR="00292ECF" w:rsidRPr="00292ECF" w:rsidRDefault="00292ECF" w:rsidP="00292ECF">
            <w:r w:rsidRPr="00222643">
              <w:t>2001-2010</w:t>
            </w:r>
          </w:p>
        </w:tc>
        <w:tc>
          <w:tcPr>
            <w:tcW w:w="5448" w:type="dxa"/>
          </w:tcPr>
          <w:p w:rsidR="00292ECF" w:rsidRPr="00292ECF" w:rsidRDefault="00292ECF" w:rsidP="00292ECF">
            <w:r w:rsidRPr="00222643">
              <w:t xml:space="preserve">Study commissioned by the </w:t>
            </w:r>
            <w:r w:rsidRPr="00292ECF">
              <w:t>Australian Competition Tribunal.</w:t>
            </w:r>
          </w:p>
        </w:tc>
      </w:tr>
      <w:tr w:rsidR="00292ECF" w:rsidTr="000D21E6">
        <w:trPr>
          <w:cantSplit/>
        </w:trPr>
        <w:tc>
          <w:tcPr>
            <w:tcW w:w="2518" w:type="dxa"/>
          </w:tcPr>
          <w:p w:rsidR="00292ECF" w:rsidRPr="00292ECF" w:rsidRDefault="00292ECF" w:rsidP="00292ECF">
            <w:r w:rsidRPr="00222643">
              <w:t>Minney (2010)</w:t>
            </w:r>
            <w:r w:rsidRPr="00292ECF">
              <w:rPr>
                <w:rStyle w:val="FootnoteReference"/>
              </w:rPr>
              <w:footnoteReference w:id="230"/>
            </w:r>
          </w:p>
        </w:tc>
        <w:tc>
          <w:tcPr>
            <w:tcW w:w="1276" w:type="dxa"/>
          </w:tcPr>
          <w:p w:rsidR="00292ECF" w:rsidRPr="00292ECF" w:rsidRDefault="00292ECF" w:rsidP="00292ECF">
            <w:r w:rsidRPr="00222643">
              <w:t>2001–2009</w:t>
            </w:r>
          </w:p>
        </w:tc>
        <w:tc>
          <w:tcPr>
            <w:tcW w:w="5448" w:type="dxa"/>
          </w:tcPr>
          <w:p w:rsidR="00292ECF" w:rsidRPr="00292ECF" w:rsidRDefault="00292ECF" w:rsidP="00292ECF">
            <w:r w:rsidRPr="00222643">
              <w:t>Partitions by firm</w:t>
            </w:r>
            <w:r w:rsidRPr="00292ECF">
              <w:t xml:space="preserve"> size; sub-periods 2001–2005 and 2006–2009.</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Beggs and Skeels (2006)</w:t>
            </w:r>
            <w:r w:rsidRPr="00292ECF">
              <w:rPr>
                <w:rStyle w:val="FootnoteReference"/>
              </w:rPr>
              <w:footnoteReference w:id="231"/>
            </w:r>
          </w:p>
        </w:tc>
        <w:tc>
          <w:tcPr>
            <w:tcW w:w="1276" w:type="dxa"/>
          </w:tcPr>
          <w:p w:rsidR="00292ECF" w:rsidRPr="00292ECF" w:rsidRDefault="00292ECF" w:rsidP="00292ECF">
            <w:r w:rsidRPr="00222643">
              <w:t>1986-2004</w:t>
            </w:r>
          </w:p>
        </w:tc>
        <w:tc>
          <w:tcPr>
            <w:tcW w:w="5448" w:type="dxa"/>
          </w:tcPr>
          <w:p w:rsidR="00292ECF" w:rsidRPr="00292ECF" w:rsidRDefault="00292ECF" w:rsidP="00292ECF">
            <w:r w:rsidRPr="00222643">
              <w:t>Key study in the AER's 2009 review</w:t>
            </w:r>
            <w:r w:rsidRPr="00292ECF">
              <w:t xml:space="preserve"> of rate of return parameters. Data calculated yearly.</w:t>
            </w:r>
          </w:p>
        </w:tc>
      </w:tr>
      <w:tr w:rsidR="00292ECF" w:rsidTr="000D21E6">
        <w:trPr>
          <w:cantSplit/>
        </w:trPr>
        <w:tc>
          <w:tcPr>
            <w:tcW w:w="2518" w:type="dxa"/>
          </w:tcPr>
          <w:p w:rsidR="00292ECF" w:rsidRPr="00292ECF" w:rsidRDefault="00292ECF" w:rsidP="00292ECF">
            <w:r w:rsidRPr="00222643">
              <w:t>Hathaway and Officer (2004)</w:t>
            </w:r>
            <w:r w:rsidRPr="00292ECF">
              <w:rPr>
                <w:rStyle w:val="FootnoteReference"/>
              </w:rPr>
              <w:footnoteReference w:id="232"/>
            </w:r>
          </w:p>
        </w:tc>
        <w:tc>
          <w:tcPr>
            <w:tcW w:w="1276" w:type="dxa"/>
          </w:tcPr>
          <w:p w:rsidR="00292ECF" w:rsidRPr="00292ECF" w:rsidRDefault="00292ECF" w:rsidP="00292ECF">
            <w:r w:rsidRPr="00222643">
              <w:t>1986-2004</w:t>
            </w:r>
          </w:p>
        </w:tc>
        <w:tc>
          <w:tcPr>
            <w:tcW w:w="5448" w:type="dxa"/>
          </w:tcPr>
          <w:p w:rsidR="00292ECF" w:rsidRPr="00292ECF" w:rsidRDefault="00292ECF" w:rsidP="00292ECF">
            <w:r w:rsidRPr="00222643">
              <w:t xml:space="preserve">Study partitions by firm size, </w:t>
            </w:r>
            <w:r w:rsidRPr="00292ECF">
              <w:t>dividend yield level.</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Bellamy and Gray (2004)</w:t>
            </w:r>
            <w:r w:rsidRPr="00292ECF">
              <w:rPr>
                <w:rStyle w:val="FootnoteReference"/>
              </w:rPr>
              <w:footnoteReference w:id="233"/>
            </w:r>
          </w:p>
        </w:tc>
        <w:tc>
          <w:tcPr>
            <w:tcW w:w="1276" w:type="dxa"/>
          </w:tcPr>
          <w:p w:rsidR="00292ECF" w:rsidRPr="00292ECF" w:rsidRDefault="00292ECF" w:rsidP="00292ECF">
            <w:r w:rsidRPr="00222643">
              <w:t>1995-2002</w:t>
            </w:r>
          </w:p>
        </w:tc>
        <w:tc>
          <w:tcPr>
            <w:tcW w:w="5448" w:type="dxa"/>
          </w:tcPr>
          <w:p w:rsidR="00292ECF" w:rsidRPr="00292ECF" w:rsidRDefault="00292ECF" w:rsidP="00292ECF">
            <w:r w:rsidRPr="00222643">
              <w:t>Several regression forms</w:t>
            </w:r>
            <w:r w:rsidRPr="00292ECF">
              <w:t xml:space="preserve"> and sample selections. Partitions by size and time period (pre and post 45-day holding rule). Use of simulation to inform regression equation.</w:t>
            </w:r>
          </w:p>
        </w:tc>
      </w:tr>
      <w:tr w:rsidR="00292ECF" w:rsidTr="000D21E6">
        <w:trPr>
          <w:cantSplit/>
        </w:trPr>
        <w:tc>
          <w:tcPr>
            <w:tcW w:w="2518" w:type="dxa"/>
          </w:tcPr>
          <w:p w:rsidR="00292ECF" w:rsidRPr="00292ECF" w:rsidRDefault="00292ECF" w:rsidP="00292ECF">
            <w:r w:rsidRPr="00222643">
              <w:t>Bruckner et al (1994)</w:t>
            </w:r>
            <w:r w:rsidRPr="00292ECF">
              <w:rPr>
                <w:rStyle w:val="FootnoteReference"/>
              </w:rPr>
              <w:footnoteReference w:id="234"/>
            </w:r>
          </w:p>
        </w:tc>
        <w:tc>
          <w:tcPr>
            <w:tcW w:w="1276" w:type="dxa"/>
          </w:tcPr>
          <w:p w:rsidR="00292ECF" w:rsidRPr="00292ECF" w:rsidRDefault="00292ECF" w:rsidP="00292ECF">
            <w:r w:rsidRPr="00222643">
              <w:t>1987-1993</w:t>
            </w:r>
          </w:p>
        </w:tc>
        <w:tc>
          <w:tcPr>
            <w:tcW w:w="5448" w:type="dxa"/>
          </w:tcPr>
          <w:p w:rsidR="00292ECF" w:rsidRPr="00292ECF" w:rsidRDefault="00292ECF" w:rsidP="00292ECF">
            <w:r w:rsidRPr="00222643">
              <w:t>Early study</w:t>
            </w:r>
            <w:r w:rsidRPr="00292ECF">
              <w:t xml:space="preserve"> with limited data; sub-periods 1987–1990 and 1991–1993.</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Brown and Clarke (1</w:t>
            </w:r>
            <w:r w:rsidRPr="00292ECF">
              <w:t>993)</w:t>
            </w:r>
            <w:r w:rsidRPr="00292ECF">
              <w:rPr>
                <w:rStyle w:val="FootnoteReference"/>
              </w:rPr>
              <w:footnoteReference w:id="235"/>
            </w:r>
          </w:p>
        </w:tc>
        <w:tc>
          <w:tcPr>
            <w:tcW w:w="1276" w:type="dxa"/>
          </w:tcPr>
          <w:p w:rsidR="00292ECF" w:rsidRPr="00292ECF" w:rsidRDefault="00292ECF" w:rsidP="00292ECF">
            <w:r>
              <w:t>1973</w:t>
            </w:r>
            <w:r w:rsidRPr="00292ECF">
              <w:t>–1991</w:t>
            </w:r>
          </w:p>
        </w:tc>
        <w:tc>
          <w:tcPr>
            <w:tcW w:w="5448" w:type="dxa"/>
          </w:tcPr>
          <w:p w:rsidR="00292ECF" w:rsidRPr="00292ECF" w:rsidRDefault="00292ECF" w:rsidP="00292ECF">
            <w:r w:rsidRPr="00222643">
              <w:t xml:space="preserve">Compares dividend drop off before and after imputation; presents yearly </w:t>
            </w:r>
            <w:r w:rsidRPr="00292ECF">
              <w:t>figures and sub-periods.</w:t>
            </w:r>
          </w:p>
        </w:tc>
      </w:tr>
    </w:tbl>
    <w:p w:rsidR="00292ECF" w:rsidRDefault="00292ECF" w:rsidP="00292ECF">
      <w:pPr>
        <w:pStyle w:val="AERtablesource"/>
      </w:pPr>
      <w:r w:rsidRPr="00222643">
        <w:t xml:space="preserve">Source: </w:t>
      </w:r>
      <w:r w:rsidRPr="00222643">
        <w:tab/>
        <w:t>As specified in table.</w:t>
      </w:r>
    </w:p>
    <w:p w:rsidR="00292ECF" w:rsidRPr="00222643" w:rsidRDefault="00292ECF" w:rsidP="00292ECF">
      <w:pPr>
        <w:pStyle w:val="HeadingBoldBlue"/>
        <w:numPr>
          <w:ilvl w:val="0"/>
          <w:numId w:val="25"/>
        </w:numPr>
      </w:pPr>
      <w:r w:rsidRPr="00222643">
        <w:t>Alternative implied market value studies</w:t>
      </w:r>
    </w:p>
    <w:p w:rsidR="00292ECF" w:rsidRPr="00222643" w:rsidRDefault="00292ECF" w:rsidP="00292ECF">
      <w:pPr>
        <w:numPr>
          <w:ilvl w:val="0"/>
          <w:numId w:val="25"/>
        </w:numPr>
      </w:pPr>
      <w:r w:rsidRPr="00222643">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w:t>
      </w:r>
      <w:r>
        <w:t>se</w:t>
      </w:r>
      <w:r w:rsidRPr="00222643">
        <w:t xml:space="preserve"> studies typically use simultaneous price differentials that make them less affected by general market movements. That is, the differentials should more accurately reflect the implied market value of the specific dividend event. Some</w:t>
      </w:r>
      <w:r>
        <w:t xml:space="preserve"> examples of alternative market-</w:t>
      </w:r>
      <w:r w:rsidRPr="00222643">
        <w:t xml:space="preserve">based valuation approaches </w:t>
      </w:r>
      <w:r>
        <w:t>involve</w:t>
      </w:r>
      <w:r w:rsidRPr="00222643">
        <w:t>:</w:t>
      </w:r>
    </w:p>
    <w:p w:rsidR="00292ECF" w:rsidRPr="00292ECF" w:rsidRDefault="00292ECF" w:rsidP="00292ECF">
      <w:pPr>
        <w:pStyle w:val="AERbulletlistfirststyle"/>
      </w:pPr>
      <w:r>
        <w:t>S</w:t>
      </w:r>
      <w:r w:rsidRPr="00292ECF">
        <w:t>imultaneous trading of shares with and without entitlements.</w:t>
      </w:r>
    </w:p>
    <w:p w:rsidR="00292ECF" w:rsidRPr="00292ECF" w:rsidRDefault="00292ECF" w:rsidP="00292ECF">
      <w:pPr>
        <w:pStyle w:val="AERbulletlistfirststyle"/>
      </w:pPr>
      <w:r>
        <w:lastRenderedPageBreak/>
        <w:t>S</w:t>
      </w:r>
      <w:r w:rsidRPr="00292ECF">
        <w:t>imultaneous trading of derivatives and futures and of their underlying shares.</w:t>
      </w:r>
    </w:p>
    <w:p w:rsidR="00292ECF" w:rsidRPr="00292ECF" w:rsidRDefault="00292ECF" w:rsidP="00292ECF">
      <w:pPr>
        <w:pStyle w:val="AERbulletlistfirststyle"/>
      </w:pPr>
      <w:r>
        <w:t>H</w:t>
      </w:r>
      <w:r w:rsidRPr="00292ECF">
        <w:t>ybrid securities which trade with imputation credits.</w:t>
      </w:r>
    </w:p>
    <w:p w:rsidR="00292ECF" w:rsidRPr="00292ECF" w:rsidRDefault="00292ECF" w:rsidP="00292ECF">
      <w:pPr>
        <w:pStyle w:val="AERbulletlistfirststyle"/>
      </w:pPr>
      <w:r>
        <w:t>C</w:t>
      </w:r>
      <w:r w:rsidRPr="00292ECF">
        <w:t>omparison of the capital gains and (cash) dividend returns across time.</w:t>
      </w:r>
    </w:p>
    <w:p w:rsidR="00292ECF" w:rsidRDefault="00292ECF" w:rsidP="00292ECF">
      <w:pPr>
        <w:numPr>
          <w:ilvl w:val="0"/>
          <w:numId w:val="25"/>
        </w:numPr>
      </w:pPr>
      <w:r>
        <w:fldChar w:fldCharType="begin"/>
      </w:r>
      <w:r>
        <w:instrText xml:space="preserve"> REF _Ref401075839 \h </w:instrText>
      </w:r>
      <w:r>
        <w:fldChar w:fldCharType="separate"/>
      </w:r>
      <w:r w:rsidR="003F0AA6">
        <w:t xml:space="preserve">Table </w:t>
      </w:r>
      <w:r w:rsidR="003F0AA6">
        <w:rPr>
          <w:noProof/>
        </w:rPr>
        <w:t>4</w:t>
      </w:r>
      <w:r w:rsidR="003F0AA6">
        <w:noBreakHyphen/>
      </w:r>
      <w:r w:rsidR="003F0AA6">
        <w:rPr>
          <w:noProof/>
        </w:rPr>
        <w:t>9</w:t>
      </w:r>
      <w:r>
        <w:fldChar w:fldCharType="end"/>
      </w:r>
      <w:r>
        <w:t xml:space="preserve"> identifies the alternative implied market value studies that we are aware of, and describes the methodology of each study. The results from these studies </w:t>
      </w:r>
      <w:proofErr w:type="gramStart"/>
      <w:r>
        <w:t>are presented</w:t>
      </w:r>
      <w:proofErr w:type="gramEnd"/>
      <w:r>
        <w:t xml:space="preserve"> in </w:t>
      </w:r>
      <w:r>
        <w:fldChar w:fldCharType="begin"/>
      </w:r>
      <w:r>
        <w:instrText xml:space="preserve"> REF  _Ref401076250 \* Lower \h </w:instrText>
      </w:r>
      <w:r>
        <w:fldChar w:fldCharType="separate"/>
      </w:r>
      <w:r w:rsidR="003F0AA6">
        <w:t xml:space="preserve">table </w:t>
      </w:r>
      <w:r w:rsidR="003F0AA6">
        <w:rPr>
          <w:noProof/>
        </w:rPr>
        <w:t>4</w:t>
      </w:r>
      <w:r w:rsidR="003F0AA6">
        <w:noBreakHyphen/>
      </w:r>
      <w:r w:rsidR="003F0AA6">
        <w:rPr>
          <w:noProof/>
        </w:rPr>
        <w:t>11</w:t>
      </w:r>
      <w:r>
        <w:fldChar w:fldCharType="end"/>
      </w:r>
      <w:r>
        <w:t>.</w:t>
      </w:r>
    </w:p>
    <w:p w:rsidR="00292ECF" w:rsidRDefault="00292ECF" w:rsidP="00292ECF">
      <w:pPr>
        <w:pStyle w:val="Caption"/>
      </w:pPr>
      <w:bookmarkStart w:id="90" w:name="_Ref401075839"/>
      <w:r>
        <w:t xml:space="preserve">Table </w:t>
      </w:r>
      <w:r w:rsidR="00332D56">
        <w:fldChar w:fldCharType="begin"/>
      </w:r>
      <w:r w:rsidR="00332D56">
        <w:instrText xml:space="preserve"> STYLEREF 1 \s </w:instrText>
      </w:r>
      <w:r w:rsidR="00332D56">
        <w:fldChar w:fldCharType="separate"/>
      </w:r>
      <w:r w:rsidR="003F0AA6">
        <w:rPr>
          <w:noProof/>
        </w:rPr>
        <w:t>4</w:t>
      </w:r>
      <w:r w:rsidR="00332D56">
        <w:rPr>
          <w:noProof/>
        </w:rPr>
        <w:fldChar w:fldCharType="end"/>
      </w:r>
      <w:r w:rsidR="00257FBE">
        <w:noBreakHyphen/>
      </w:r>
      <w:r w:rsidR="00332D56">
        <w:fldChar w:fldCharType="begin"/>
      </w:r>
      <w:r w:rsidR="00332D56">
        <w:instrText xml:space="preserve"> SEQ Table \* ARABIC \s 1 </w:instrText>
      </w:r>
      <w:r w:rsidR="00332D56">
        <w:fldChar w:fldCharType="separate"/>
      </w:r>
      <w:r w:rsidR="003F0AA6">
        <w:rPr>
          <w:noProof/>
        </w:rPr>
        <w:t>9</w:t>
      </w:r>
      <w:r w:rsidR="00332D56">
        <w:rPr>
          <w:noProof/>
        </w:rPr>
        <w:fldChar w:fldCharType="end"/>
      </w:r>
      <w:bookmarkEnd w:id="90"/>
      <w:r>
        <w:tab/>
      </w:r>
      <w:r w:rsidRPr="00B7093A">
        <w:t>Summary of alternative implied market value studies</w:t>
      </w:r>
    </w:p>
    <w:tbl>
      <w:tblPr>
        <w:tblStyle w:val="AERtable-text0"/>
        <w:tblW w:w="0" w:type="auto"/>
        <w:tblLook w:val="04A0" w:firstRow="1" w:lastRow="0" w:firstColumn="1" w:lastColumn="0" w:noHBand="0" w:noVBand="1"/>
      </w:tblPr>
      <w:tblGrid>
        <w:gridCol w:w="2683"/>
        <w:gridCol w:w="1111"/>
        <w:gridCol w:w="5448"/>
      </w:tblGrid>
      <w:tr w:rsidR="00292ECF" w:rsidTr="00A57BA6">
        <w:trPr>
          <w:cnfStyle w:val="100000000000" w:firstRow="1" w:lastRow="0" w:firstColumn="0" w:lastColumn="0" w:oddVBand="0" w:evenVBand="0" w:oddHBand="0" w:evenHBand="0" w:firstRowFirstColumn="0" w:firstRowLastColumn="0" w:lastRowFirstColumn="0" w:lastRowLastColumn="0"/>
          <w:cantSplit/>
          <w:tblHeader/>
        </w:trPr>
        <w:tc>
          <w:tcPr>
            <w:tcW w:w="2683" w:type="dxa"/>
          </w:tcPr>
          <w:p w:rsidR="00292ECF" w:rsidRDefault="00292ECF" w:rsidP="00292ECF">
            <w:pPr>
              <w:numPr>
                <w:ilvl w:val="0"/>
                <w:numId w:val="25"/>
              </w:numPr>
            </w:pPr>
            <w:r>
              <w:t>Authors</w:t>
            </w:r>
          </w:p>
        </w:tc>
        <w:tc>
          <w:tcPr>
            <w:tcW w:w="1111" w:type="dxa"/>
          </w:tcPr>
          <w:p w:rsidR="00292ECF" w:rsidRPr="0005385E" w:rsidRDefault="00292ECF" w:rsidP="00292ECF">
            <w:pPr>
              <w:numPr>
                <w:ilvl w:val="0"/>
                <w:numId w:val="25"/>
              </w:numPr>
            </w:pPr>
            <w:r>
              <w:t>Data range</w:t>
            </w:r>
          </w:p>
        </w:tc>
        <w:tc>
          <w:tcPr>
            <w:tcW w:w="5448" w:type="dxa"/>
          </w:tcPr>
          <w:p w:rsidR="00292ECF" w:rsidRPr="0005385E" w:rsidRDefault="00292ECF" w:rsidP="00292ECF">
            <w:pPr>
              <w:numPr>
                <w:ilvl w:val="0"/>
                <w:numId w:val="25"/>
              </w:numPr>
            </w:pPr>
            <w:r>
              <w:t>Assessment relative to other studies in</w:t>
            </w:r>
            <w:r w:rsidRPr="0005385E">
              <w:t xml:space="preserve"> that class</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Dividend drop off using hybrids</w:t>
            </w:r>
            <w:r w:rsidRPr="004E6A67">
              <w:t xml:space="preserve"> – Similar to standard DDO but using debt/equity hybrid securities.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Feuerherdt et al (2010)</w:t>
            </w:r>
            <w:r w:rsidRPr="00292ECF">
              <w:rPr>
                <w:rStyle w:val="FootnoteReference"/>
              </w:rPr>
              <w:footnoteReference w:id="236"/>
            </w:r>
          </w:p>
        </w:tc>
        <w:tc>
          <w:tcPr>
            <w:tcW w:w="1111" w:type="dxa"/>
          </w:tcPr>
          <w:p w:rsidR="00292ECF" w:rsidRPr="00292ECF" w:rsidRDefault="00292ECF" w:rsidP="00292ECF">
            <w:r w:rsidRPr="00222643">
              <w:t>1995–2002</w:t>
            </w:r>
          </w:p>
        </w:tc>
        <w:tc>
          <w:tcPr>
            <w:tcW w:w="5448" w:type="dxa"/>
          </w:tcPr>
          <w:p w:rsidR="00292ECF" w:rsidRPr="00292ECF" w:rsidRDefault="00292ECF" w:rsidP="00292ECF">
            <w:r w:rsidRPr="00222643">
              <w:t xml:space="preserve">Uses hybrid securities (such as convertible preference shares), 165 ex-dividend events for 46 securities </w:t>
            </w:r>
            <w:r w:rsidRPr="00292ECF">
              <w:t>which are primarily fully franked.</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Futures study (using individual firms or index)</w:t>
            </w:r>
            <w:r w:rsidRPr="00222643">
              <w:t xml:space="preserve"> – Compare simultaneous prices for securities and futures contracts.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SFG (2013b)</w:t>
            </w:r>
            <w:r w:rsidRPr="00292ECF">
              <w:rPr>
                <w:rStyle w:val="FootnoteReference"/>
              </w:rPr>
              <w:footnoteReference w:id="237"/>
            </w:r>
          </w:p>
        </w:tc>
        <w:tc>
          <w:tcPr>
            <w:tcW w:w="1111" w:type="dxa"/>
          </w:tcPr>
          <w:p w:rsidR="00292ECF" w:rsidRPr="00292ECF" w:rsidRDefault="00292ECF" w:rsidP="00292ECF">
            <w:r w:rsidRPr="00222643">
              <w:t>2000–2013</w:t>
            </w:r>
          </w:p>
        </w:tc>
        <w:tc>
          <w:tcPr>
            <w:tcW w:w="5448" w:type="dxa"/>
          </w:tcPr>
          <w:p w:rsidR="00292ECF" w:rsidRPr="00292ECF" w:rsidRDefault="00292ECF" w:rsidP="00292ECF">
            <w:r w:rsidRPr="00222643">
              <w:t>Updates Cannavan et al</w:t>
            </w:r>
            <w:r w:rsidRPr="00292ECF">
              <w:t xml:space="preserve"> (2004). Compares matched trades in individual shares to futures contracts and low exercise price options for 98 firms (over 52,000 trades).</w:t>
            </w:r>
          </w:p>
        </w:tc>
      </w:tr>
      <w:tr w:rsidR="00292ECF" w:rsidTr="00A57BA6">
        <w:trPr>
          <w:cantSplit/>
        </w:trPr>
        <w:tc>
          <w:tcPr>
            <w:tcW w:w="2683" w:type="dxa"/>
          </w:tcPr>
          <w:p w:rsidR="00292ECF" w:rsidRPr="00292ECF" w:rsidRDefault="00292ECF" w:rsidP="00292ECF">
            <w:r w:rsidRPr="00222643">
              <w:t>Cannavan et al (2004)</w:t>
            </w:r>
            <w:r w:rsidRPr="00292ECF">
              <w:rPr>
                <w:rStyle w:val="FootnoteReference"/>
              </w:rPr>
              <w:footnoteReference w:id="238"/>
            </w:r>
          </w:p>
        </w:tc>
        <w:tc>
          <w:tcPr>
            <w:tcW w:w="1111" w:type="dxa"/>
          </w:tcPr>
          <w:p w:rsidR="00292ECF" w:rsidRPr="00292ECF" w:rsidRDefault="00292ECF" w:rsidP="00292ECF">
            <w:r w:rsidRPr="00222643">
              <w:t>1994–1999</w:t>
            </w:r>
          </w:p>
        </w:tc>
        <w:tc>
          <w:tcPr>
            <w:tcW w:w="5448" w:type="dxa"/>
          </w:tcPr>
          <w:p w:rsidR="00292ECF" w:rsidRPr="00292ECF" w:rsidRDefault="00292ECF" w:rsidP="00292ECF">
            <w:r w:rsidRPr="00222643">
              <w:t>Uses matched trades (four minute window) in individual shares and futures contracts for 19 firms (</w:t>
            </w:r>
            <w:r w:rsidRPr="00292ECF">
              <w:t>over 14,000 trades). Sub-periods 1994–1997 and 1997–1999.</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Cummings and Frino (2008)</w:t>
            </w:r>
            <w:r w:rsidRPr="00292ECF">
              <w:rPr>
                <w:rStyle w:val="FootnoteReference"/>
              </w:rPr>
              <w:footnoteReference w:id="239"/>
            </w:r>
          </w:p>
        </w:tc>
        <w:tc>
          <w:tcPr>
            <w:tcW w:w="1111" w:type="dxa"/>
          </w:tcPr>
          <w:p w:rsidR="00292ECF" w:rsidRPr="00292ECF" w:rsidRDefault="00292ECF" w:rsidP="00292ECF">
            <w:r w:rsidRPr="00222643">
              <w:t>2002-2005</w:t>
            </w:r>
          </w:p>
        </w:tc>
        <w:tc>
          <w:tcPr>
            <w:tcW w:w="5448" w:type="dxa"/>
          </w:tcPr>
          <w:p w:rsidR="00292ECF" w:rsidRPr="00292ECF" w:rsidRDefault="00292ECF" w:rsidP="00292ECF">
            <w:r w:rsidRPr="00222643">
              <w:t xml:space="preserve">Uses entire ASX200 index (rather than specific firms) and futures over the index, distinct from other studies in this class (which use individual shares). </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Rate of return study</w:t>
            </w:r>
            <w:r w:rsidRPr="008616CE">
              <w:t xml:space="preserve"> – Compare past returns (capital gains and cash dividends) or future returns (dividend forecasts).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NERA (2013b)</w:t>
            </w:r>
            <w:r w:rsidRPr="00292ECF">
              <w:rPr>
                <w:rStyle w:val="FootnoteReference"/>
              </w:rPr>
              <w:footnoteReference w:id="240"/>
            </w:r>
          </w:p>
        </w:tc>
        <w:tc>
          <w:tcPr>
            <w:tcW w:w="1111" w:type="dxa"/>
          </w:tcPr>
          <w:p w:rsidR="00292ECF" w:rsidRPr="00292ECF" w:rsidRDefault="00292ECF" w:rsidP="00292ECF">
            <w:r>
              <w:t>1987</w:t>
            </w:r>
            <w:r w:rsidRPr="00292ECF">
              <w:t>–2012</w:t>
            </w:r>
          </w:p>
        </w:tc>
        <w:tc>
          <w:tcPr>
            <w:tcW w:w="5448" w:type="dxa"/>
          </w:tcPr>
          <w:p w:rsidR="00292ECF" w:rsidRPr="00292ECF" w:rsidRDefault="00292ECF" w:rsidP="00292ECF">
            <w:r w:rsidRPr="00222643">
              <w:t xml:space="preserve">Updates the Lajbcygier </w:t>
            </w:r>
            <w:r w:rsidRPr="00292ECF">
              <w:t>and Wheatley paper; same author and more relevant data set. Sub-period splits 1987–2000 and 2000–2012.</w:t>
            </w:r>
          </w:p>
        </w:tc>
      </w:tr>
      <w:tr w:rsidR="00292ECF" w:rsidTr="00A57BA6">
        <w:trPr>
          <w:cantSplit/>
        </w:trPr>
        <w:tc>
          <w:tcPr>
            <w:tcW w:w="2683" w:type="dxa"/>
          </w:tcPr>
          <w:p w:rsidR="00292ECF" w:rsidRPr="00292ECF" w:rsidRDefault="00292ECF" w:rsidP="00292ECF">
            <w:r w:rsidRPr="00222643">
              <w:t>Lajbcygier</w:t>
            </w:r>
            <w:r w:rsidRPr="00292ECF">
              <w:t xml:space="preserve"> and Wheatley (2012)</w:t>
            </w:r>
            <w:r w:rsidRPr="00292ECF">
              <w:rPr>
                <w:rStyle w:val="FootnoteReference"/>
              </w:rPr>
              <w:footnoteReference w:id="241"/>
            </w:r>
          </w:p>
        </w:tc>
        <w:tc>
          <w:tcPr>
            <w:tcW w:w="1111" w:type="dxa"/>
          </w:tcPr>
          <w:p w:rsidR="00292ECF" w:rsidRPr="00292ECF" w:rsidRDefault="00292ECF" w:rsidP="00292ECF">
            <w:r>
              <w:t>1987</w:t>
            </w:r>
            <w:r w:rsidRPr="00292ECF">
              <w:t>–2009</w:t>
            </w:r>
          </w:p>
        </w:tc>
        <w:tc>
          <w:tcPr>
            <w:tcW w:w="5448" w:type="dxa"/>
          </w:tcPr>
          <w:p w:rsidR="00292ECF" w:rsidRPr="00292ECF" w:rsidRDefault="00292ECF" w:rsidP="00292ECF">
            <w:r w:rsidRPr="00222643">
              <w:t>Compares current prices to past returns from capital gains and dividends</w:t>
            </w:r>
            <w:r w:rsidRPr="00292ECF">
              <w:t>. Includes sub-periods from 1987–2000 and 2000-2009.</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Siau et al (2013)</w:t>
            </w:r>
            <w:r w:rsidRPr="00292ECF">
              <w:rPr>
                <w:rStyle w:val="FootnoteReference"/>
              </w:rPr>
              <w:footnoteReference w:id="242"/>
            </w:r>
          </w:p>
        </w:tc>
        <w:tc>
          <w:tcPr>
            <w:tcW w:w="1111" w:type="dxa"/>
          </w:tcPr>
          <w:p w:rsidR="00292ECF" w:rsidRPr="00292ECF" w:rsidRDefault="00292ECF" w:rsidP="00292ECF">
            <w:r w:rsidRPr="00222643">
              <w:t>1996–2011</w:t>
            </w:r>
          </w:p>
        </w:tc>
        <w:tc>
          <w:tcPr>
            <w:tcW w:w="5448" w:type="dxa"/>
          </w:tcPr>
          <w:p w:rsidR="00292ECF" w:rsidRPr="00292ECF" w:rsidRDefault="00292ECF" w:rsidP="00292ECF">
            <w:r w:rsidRPr="00222643">
              <w:t xml:space="preserve">Compares current prices to </w:t>
            </w:r>
            <w:r w:rsidRPr="00292ECF">
              <w:t xml:space="preserve">expected future returns. Uses ASX300 index firms and consensus analyst dividend forecasts. </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Simultaneous share trades</w:t>
            </w:r>
            <w:r w:rsidRPr="00222643">
              <w:t xml:space="preserve"> – Compare simultaneous prices for shares that are/are not entitled to imputation credits.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lastRenderedPageBreak/>
              <w:t>Chu and Partington (2008)</w:t>
            </w:r>
            <w:r w:rsidRPr="00292ECF">
              <w:rPr>
                <w:rStyle w:val="FootnoteReference"/>
              </w:rPr>
              <w:footnoteReference w:id="243"/>
            </w:r>
          </w:p>
        </w:tc>
        <w:tc>
          <w:tcPr>
            <w:tcW w:w="1111" w:type="dxa"/>
          </w:tcPr>
          <w:p w:rsidR="00292ECF" w:rsidRPr="00292ECF" w:rsidRDefault="00292ECF" w:rsidP="00292ECF">
            <w:r w:rsidRPr="00222643">
              <w:t>1996</w:t>
            </w:r>
          </w:p>
        </w:tc>
        <w:tc>
          <w:tcPr>
            <w:tcW w:w="5448" w:type="dxa"/>
          </w:tcPr>
          <w:p w:rsidR="00292ECF" w:rsidRPr="00292ECF" w:rsidRDefault="00292ECF" w:rsidP="00292ECF">
            <w:r w:rsidRPr="00222643">
              <w:t xml:space="preserve">Uses shares trading in two forms (one with </w:t>
            </w:r>
            <w:r w:rsidRPr="00292ECF">
              <w:t>dividend, one without) as a result of the CRA bonus issue. 154 matched trades (one minute window) across 3 months.</w:t>
            </w:r>
          </w:p>
        </w:tc>
      </w:tr>
      <w:tr w:rsidR="00292ECF" w:rsidTr="00A57BA6">
        <w:trPr>
          <w:cantSplit/>
        </w:trPr>
        <w:tc>
          <w:tcPr>
            <w:tcW w:w="2683" w:type="dxa"/>
          </w:tcPr>
          <w:p w:rsidR="00292ECF" w:rsidRPr="00292ECF" w:rsidRDefault="00292ECF" w:rsidP="00292ECF">
            <w:r w:rsidRPr="00222643">
              <w:t>Chu and Partington (2001)</w:t>
            </w:r>
            <w:r w:rsidRPr="00292ECF">
              <w:rPr>
                <w:rStyle w:val="FootnoteReference"/>
              </w:rPr>
              <w:footnoteReference w:id="244"/>
            </w:r>
          </w:p>
        </w:tc>
        <w:tc>
          <w:tcPr>
            <w:tcW w:w="1111" w:type="dxa"/>
          </w:tcPr>
          <w:p w:rsidR="00292ECF" w:rsidRPr="00292ECF" w:rsidRDefault="00292ECF" w:rsidP="00292ECF">
            <w:r w:rsidRPr="00222643">
              <w:t>1991–1999</w:t>
            </w:r>
          </w:p>
        </w:tc>
        <w:tc>
          <w:tcPr>
            <w:tcW w:w="5448" w:type="dxa"/>
          </w:tcPr>
          <w:p w:rsidR="00292ECF" w:rsidRPr="00292ECF" w:rsidDel="003D6627" w:rsidRDefault="00292ECF" w:rsidP="00292ECF">
            <w:r w:rsidRPr="00222643">
              <w:t xml:space="preserve">Uses shares trading simultaneously with and without dividend after certain rights issues - </w:t>
            </w:r>
            <w:r w:rsidRPr="00292ECF">
              <w:t>3,356 trades (matched within a minute) from 26 rights issues for 23 firms.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Walker and Partington (1999)</w:t>
            </w:r>
            <w:r w:rsidRPr="00292ECF">
              <w:rPr>
                <w:rStyle w:val="FootnoteReference"/>
              </w:rPr>
              <w:footnoteReference w:id="245"/>
            </w:r>
          </w:p>
        </w:tc>
        <w:tc>
          <w:tcPr>
            <w:tcW w:w="1111" w:type="dxa"/>
          </w:tcPr>
          <w:p w:rsidR="00292ECF" w:rsidRPr="00292ECF" w:rsidRDefault="00292ECF" w:rsidP="00292ECF">
            <w:r w:rsidRPr="00222643">
              <w:t>1995–1997</w:t>
            </w:r>
          </w:p>
        </w:tc>
        <w:tc>
          <w:tcPr>
            <w:tcW w:w="5448" w:type="dxa"/>
          </w:tcPr>
          <w:p w:rsidR="00292ECF" w:rsidRPr="00292ECF" w:rsidRDefault="00292ECF" w:rsidP="00292ECF">
            <w:r w:rsidRPr="00222643">
              <w:t>Looks at shares trading cum-dividend in the ex-dividend period. 1</w:t>
            </w:r>
            <w:r w:rsidRPr="00292ECF">
              <w:t>,015 data points (trades matched within a minute) for 93 ex-dividend events from 50 securities.</w:t>
            </w:r>
          </w:p>
        </w:tc>
      </w:tr>
    </w:tbl>
    <w:p w:rsidR="00292ECF" w:rsidRDefault="00292ECF" w:rsidP="00292ECF">
      <w:pPr>
        <w:pStyle w:val="AERtablesource"/>
      </w:pPr>
      <w:r w:rsidRPr="00222643">
        <w:t xml:space="preserve">Source: </w:t>
      </w:r>
      <w:r w:rsidRPr="00222643">
        <w:tab/>
        <w:t>As specified in table.</w:t>
      </w:r>
    </w:p>
    <w:p w:rsidR="00D15D53" w:rsidRPr="00222643" w:rsidRDefault="00D15D53" w:rsidP="00D15D53">
      <w:pPr>
        <w:pStyle w:val="Heading9"/>
      </w:pPr>
      <w:bookmarkStart w:id="91" w:name="_Ref403482459"/>
      <w:r w:rsidRPr="00222643">
        <w:t xml:space="preserve">Estimates from </w:t>
      </w:r>
      <w:r w:rsidRPr="00D15D53">
        <w:t>implied</w:t>
      </w:r>
      <w:r w:rsidRPr="00222643">
        <w:t xml:space="preserve"> market value studies</w:t>
      </w:r>
      <w:bookmarkEnd w:id="91"/>
    </w:p>
    <w:p w:rsidR="00D15D53" w:rsidRPr="00222643" w:rsidRDefault="00D15D53" w:rsidP="00D15D53">
      <w:pPr>
        <w:numPr>
          <w:ilvl w:val="0"/>
          <w:numId w:val="25"/>
        </w:numPr>
      </w:pPr>
      <w:r w:rsidRPr="00222643">
        <w:t>This section presents the results from the available implied market value studies.</w:t>
      </w:r>
    </w:p>
    <w:p w:rsidR="00D15D53" w:rsidRPr="00222643" w:rsidRDefault="00D15D53" w:rsidP="00D15D53">
      <w:pPr>
        <w:numPr>
          <w:ilvl w:val="0"/>
          <w:numId w:val="25"/>
        </w:numPr>
      </w:pPr>
      <w:r>
        <w:fldChar w:fldCharType="begin"/>
      </w:r>
      <w:r>
        <w:instrText xml:space="preserve"> REF _Ref401075676 \h </w:instrText>
      </w:r>
      <w:r>
        <w:fldChar w:fldCharType="separate"/>
      </w:r>
      <w:r w:rsidR="003F0AA6">
        <w:t xml:space="preserve">Table </w:t>
      </w:r>
      <w:r w:rsidR="003F0AA6">
        <w:rPr>
          <w:noProof/>
        </w:rPr>
        <w:t>4</w:t>
      </w:r>
      <w:r w:rsidR="003F0AA6">
        <w:noBreakHyphen/>
      </w:r>
      <w:r w:rsidR="003F0AA6">
        <w:rPr>
          <w:noProof/>
        </w:rPr>
        <w:t>10</w:t>
      </w:r>
      <w:r>
        <w:fldChar w:fldCharType="end"/>
      </w:r>
      <w:r>
        <w:t xml:space="preserve"> </w:t>
      </w:r>
      <w:r w:rsidRPr="00222643">
        <w:t>reports estimates of the utilisation rate from the set of available dividend drop off studies. As a high level summary table, it attempts to report the single utilisation rate preferred by th</w:t>
      </w:r>
      <w:r>
        <w:t>e authors</w:t>
      </w:r>
      <w:r w:rsidRPr="00222643">
        <w:t xml:space="preserve"> for the scenario most </w:t>
      </w:r>
      <w:r w:rsidRPr="001F2ECE">
        <w:t>relevant</w:t>
      </w:r>
      <w:r w:rsidRPr="00222643">
        <w:t xml:space="preserve"> to our rate of return framework. The table separately reports results based on whether the underlying data is (primarily) from before or after 2000, w</w:t>
      </w:r>
      <w:r>
        <w:t>hen the change in tax law entitled eligible investors to</w:t>
      </w:r>
      <w:r w:rsidRPr="00222643">
        <w:t xml:space="preserve"> a full refund of </w:t>
      </w:r>
      <w:r>
        <w:t>excess</w:t>
      </w:r>
      <w:r w:rsidRPr="00222643">
        <w:t xml:space="preserve"> imputation credits.</w:t>
      </w:r>
    </w:p>
    <w:p w:rsidR="00D15D53" w:rsidRPr="00222643" w:rsidRDefault="00D15D53" w:rsidP="00D15D53">
      <w:pPr>
        <w:numPr>
          <w:ilvl w:val="0"/>
          <w:numId w:val="25"/>
        </w:numPr>
      </w:pPr>
      <w:r>
        <w:fldChar w:fldCharType="begin"/>
      </w:r>
      <w:r>
        <w:instrText xml:space="preserve"> REF _Ref401076250 \h </w:instrText>
      </w:r>
      <w:r>
        <w:fldChar w:fldCharType="separate"/>
      </w:r>
      <w:r w:rsidR="003F0AA6">
        <w:t xml:space="preserve">Table </w:t>
      </w:r>
      <w:r w:rsidR="003F0AA6">
        <w:rPr>
          <w:noProof/>
        </w:rPr>
        <w:t>4</w:t>
      </w:r>
      <w:r w:rsidR="003F0AA6">
        <w:noBreakHyphen/>
      </w:r>
      <w:r w:rsidR="003F0AA6">
        <w:rPr>
          <w:noProof/>
        </w:rPr>
        <w:t>11</w:t>
      </w:r>
      <w:r>
        <w:fldChar w:fldCharType="end"/>
      </w:r>
      <w:r>
        <w:t xml:space="preserve"> </w:t>
      </w:r>
      <w:r w:rsidRPr="00222643">
        <w:t>is the equivalent table for alternative implied market value studies. In this table, several results are recorded as 'N</w:t>
      </w:r>
      <w:r>
        <w:t>/</w:t>
      </w:r>
      <w:r w:rsidRPr="00222643">
        <w:t>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w:t>
      </w:r>
      <w:r>
        <w:t>resented in the 'notes' column.</w:t>
      </w:r>
    </w:p>
    <w:p w:rsidR="00D15D53" w:rsidRPr="00222643" w:rsidRDefault="00D15D53" w:rsidP="00D15D53">
      <w:pPr>
        <w:pStyle w:val="Caption"/>
      </w:pPr>
      <w:bookmarkStart w:id="92" w:name="_Ref401075676"/>
      <w:r>
        <w:lastRenderedPageBreak/>
        <w:t xml:space="preserve">Table </w:t>
      </w:r>
      <w:r w:rsidR="00332D56">
        <w:fldChar w:fldCharType="begin"/>
      </w:r>
      <w:r w:rsidR="00332D56">
        <w:instrText xml:space="preserve"> STYLEREF 1 \s </w:instrText>
      </w:r>
      <w:r w:rsidR="00332D56">
        <w:fldChar w:fldCharType="separate"/>
      </w:r>
      <w:r w:rsidR="003F0AA6">
        <w:rPr>
          <w:noProof/>
        </w:rPr>
        <w:t>4</w:t>
      </w:r>
      <w:r w:rsidR="00332D56">
        <w:rPr>
          <w:noProof/>
        </w:rPr>
        <w:fldChar w:fldCharType="end"/>
      </w:r>
      <w:r w:rsidR="00257FBE">
        <w:noBreakHyphen/>
      </w:r>
      <w:r w:rsidR="00332D56">
        <w:fldChar w:fldCharType="begin"/>
      </w:r>
      <w:r w:rsidR="00332D56">
        <w:instrText xml:space="preserve"> SEQ Table \* ARABIC \s 1 </w:instrText>
      </w:r>
      <w:r w:rsidR="00332D56">
        <w:fldChar w:fldCharType="separate"/>
      </w:r>
      <w:r w:rsidR="003F0AA6">
        <w:rPr>
          <w:noProof/>
        </w:rPr>
        <w:t>10</w:t>
      </w:r>
      <w:r w:rsidR="00332D56">
        <w:rPr>
          <w:noProof/>
        </w:rPr>
        <w:fldChar w:fldCharType="end"/>
      </w:r>
      <w:bookmarkEnd w:id="92"/>
      <w:r>
        <w:tab/>
      </w:r>
      <w:r w:rsidRPr="00482215">
        <w:t>Estimates of the utilisation rate from dividend drop off studies</w:t>
      </w:r>
    </w:p>
    <w:tbl>
      <w:tblPr>
        <w:tblStyle w:val="AERtable-text0"/>
        <w:tblW w:w="0" w:type="auto"/>
        <w:tblLayout w:type="fixed"/>
        <w:tblLook w:val="04A0" w:firstRow="1" w:lastRow="0" w:firstColumn="1" w:lastColumn="0" w:noHBand="0" w:noVBand="1"/>
      </w:tblPr>
      <w:tblGrid>
        <w:gridCol w:w="250"/>
        <w:gridCol w:w="142"/>
        <w:gridCol w:w="2835"/>
        <w:gridCol w:w="1346"/>
        <w:gridCol w:w="1347"/>
        <w:gridCol w:w="3260"/>
      </w:tblGrid>
      <w:tr w:rsidR="00D15D53" w:rsidRPr="00222643" w:rsidTr="00A57BA6">
        <w:trPr>
          <w:cnfStyle w:val="100000000000" w:firstRow="1" w:lastRow="0" w:firstColumn="0" w:lastColumn="0" w:oddVBand="0" w:evenVBand="0" w:oddHBand="0" w:evenHBand="0" w:firstRowFirstColumn="0" w:firstRowLastColumn="0" w:lastRowFirstColumn="0" w:lastRowLastColumn="0"/>
          <w:cantSplit/>
          <w:tblHeader/>
        </w:trPr>
        <w:tc>
          <w:tcPr>
            <w:tcW w:w="392" w:type="dxa"/>
            <w:gridSpan w:val="2"/>
          </w:tcPr>
          <w:p w:rsidR="00D15D53" w:rsidRPr="00222643" w:rsidRDefault="00D15D53" w:rsidP="009E7EFB">
            <w:pPr>
              <w:keepNext/>
            </w:pPr>
          </w:p>
        </w:tc>
        <w:tc>
          <w:tcPr>
            <w:tcW w:w="2835" w:type="dxa"/>
          </w:tcPr>
          <w:p w:rsidR="00D15D53" w:rsidRPr="00D15D53" w:rsidRDefault="00D15D53" w:rsidP="009E7EFB">
            <w:pPr>
              <w:keepNext/>
            </w:pPr>
            <w:r w:rsidRPr="00222643">
              <w:t>Authors</w:t>
            </w:r>
          </w:p>
        </w:tc>
        <w:tc>
          <w:tcPr>
            <w:tcW w:w="1346" w:type="dxa"/>
          </w:tcPr>
          <w:p w:rsidR="00D15D53" w:rsidRPr="00D15D53" w:rsidRDefault="00D15D53" w:rsidP="009E7EFB">
            <w:pPr>
              <w:keepNext/>
            </w:pPr>
            <w:r w:rsidRPr="00222643">
              <w:t>Pre-2000 results</w:t>
            </w:r>
          </w:p>
        </w:tc>
        <w:tc>
          <w:tcPr>
            <w:tcW w:w="1347" w:type="dxa"/>
          </w:tcPr>
          <w:p w:rsidR="00D15D53" w:rsidRPr="00D15D53" w:rsidRDefault="00D15D53" w:rsidP="009E7EFB">
            <w:pPr>
              <w:keepNext/>
            </w:pPr>
            <w:r w:rsidRPr="00222643">
              <w:t>Post-2000 results</w:t>
            </w:r>
          </w:p>
        </w:tc>
        <w:tc>
          <w:tcPr>
            <w:tcW w:w="3260" w:type="dxa"/>
          </w:tcPr>
          <w:p w:rsidR="00D15D53" w:rsidRPr="00D15D53" w:rsidRDefault="00D15D53" w:rsidP="009E7EFB">
            <w:pPr>
              <w:keepNext/>
            </w:pPr>
            <w:r w:rsidRPr="00222643">
              <w:t>Notes</w:t>
            </w:r>
          </w:p>
        </w:tc>
      </w:tr>
      <w:tr w:rsidR="00D15D53" w:rsidRPr="00222643" w:rsidTr="00A57BA6">
        <w:trPr>
          <w:cantSplit/>
          <w:trHeight w:val="426"/>
        </w:trPr>
        <w:tc>
          <w:tcPr>
            <w:tcW w:w="3227" w:type="dxa"/>
            <w:gridSpan w:val="3"/>
          </w:tcPr>
          <w:p w:rsidR="00D15D53" w:rsidRPr="00D15D53" w:rsidRDefault="00D15D53" w:rsidP="009E7EFB">
            <w:pPr>
              <w:keepNext/>
              <w:rPr>
                <w:rStyle w:val="Strong"/>
              </w:rPr>
            </w:pPr>
            <w:r w:rsidRPr="001F2ECE">
              <w:rPr>
                <w:rStyle w:val="Strong"/>
              </w:rPr>
              <w:t>Dividend drop off study</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260" w:type="dxa"/>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406"/>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Vo et al (2013)</w:t>
            </w:r>
            <w:r w:rsidRPr="00D15D53">
              <w:rPr>
                <w:rStyle w:val="FootnoteReference"/>
              </w:rPr>
              <w:footnoteReference w:id="246"/>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0.35–0.55</w:t>
            </w:r>
            <w:r w:rsidRPr="00222643">
              <w:br/>
              <w:t>(2001–2012)</w:t>
            </w:r>
          </w:p>
        </w:tc>
        <w:tc>
          <w:tcPr>
            <w:tcW w:w="3260" w:type="dxa"/>
          </w:tcPr>
          <w:p w:rsidR="00D15D53" w:rsidRPr="00D15D53" w:rsidRDefault="00D15D53" w:rsidP="009E7EFB">
            <w:pPr>
              <w:keepNext/>
            </w:pPr>
            <w:r w:rsidRPr="00222643">
              <w:t xml:space="preserve">Range </w:t>
            </w:r>
            <w:r w:rsidRPr="00D15D53">
              <w:t>derived from large number of permutations and sensitivity tests.</w:t>
            </w:r>
          </w:p>
        </w:tc>
      </w:tr>
      <w:tr w:rsidR="00D15D53" w:rsidRPr="00222643" w:rsidTr="00A57BA6">
        <w:trPr>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SFG (2013a)</w:t>
            </w:r>
            <w:r w:rsidRPr="00D15D53">
              <w:rPr>
                <w:rStyle w:val="FootnoteReference"/>
              </w:rPr>
              <w:footnoteReference w:id="247"/>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w:t>
            </w:r>
            <w:r w:rsidRPr="00222643">
              <w:br/>
              <w:t>(2001–2012)</w:t>
            </w:r>
          </w:p>
        </w:tc>
        <w:tc>
          <w:tcPr>
            <w:tcW w:w="3260" w:type="dxa"/>
          </w:tcPr>
          <w:p w:rsidR="00D15D53" w:rsidRPr="00D15D53" w:rsidRDefault="00D15D53" w:rsidP="009E7EFB">
            <w:pPr>
              <w:keepNext/>
            </w:pPr>
            <w:r w:rsidRPr="00222643">
              <w:t>Author's point estimate across a number of different regression forms.</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SFG (2011)</w:t>
            </w:r>
            <w:r w:rsidRPr="00D15D53">
              <w:rPr>
                <w:rStyle w:val="FootnoteReference"/>
              </w:rPr>
              <w:footnoteReference w:id="248"/>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w:t>
            </w:r>
            <w:r w:rsidRPr="00222643">
              <w:br/>
              <w:t>(2001–2010)</w:t>
            </w:r>
          </w:p>
        </w:tc>
        <w:tc>
          <w:tcPr>
            <w:tcW w:w="3260" w:type="dxa"/>
          </w:tcPr>
          <w:p w:rsidR="00D15D53" w:rsidRPr="00222643" w:rsidRDefault="00D15D53" w:rsidP="009E7EFB">
            <w:pPr>
              <w:keepNext/>
            </w:pPr>
          </w:p>
        </w:tc>
      </w:tr>
      <w:tr w:rsidR="00D15D53" w:rsidRPr="00222643" w:rsidTr="00A57BA6">
        <w:trPr>
          <w:cantSplit/>
          <w:trHeight w:val="301"/>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Minney (2010)</w:t>
            </w:r>
            <w:r w:rsidRPr="00D15D53">
              <w:rPr>
                <w:rStyle w:val="FootnoteReference"/>
              </w:rPr>
              <w:footnoteReference w:id="249"/>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0.39</w:t>
            </w:r>
            <w:r w:rsidRPr="00222643">
              <w:br/>
              <w:t>(2001–2009)</w:t>
            </w:r>
          </w:p>
        </w:tc>
        <w:tc>
          <w:tcPr>
            <w:tcW w:w="3260" w:type="dxa"/>
          </w:tcPr>
          <w:p w:rsidR="00D15D53" w:rsidRPr="00D15D53" w:rsidRDefault="00D15D53" w:rsidP="009E7EFB">
            <w:pPr>
              <w:keepNext/>
            </w:pPr>
            <w:r>
              <w:t xml:space="preserve">Average of results </w:t>
            </w:r>
            <w:r w:rsidRPr="00D15D53">
              <w:t>from 2001–2005 and 2006–2009 sub-periods. For the most recent sub-period (2006–2009), utilisation rate is 0.53.</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720"/>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Beggs and Skeels (2006)</w:t>
            </w:r>
            <w:r w:rsidRPr="00D15D53">
              <w:rPr>
                <w:rStyle w:val="FootnoteReference"/>
              </w:rPr>
              <w:footnoteReference w:id="250"/>
            </w:r>
          </w:p>
        </w:tc>
        <w:tc>
          <w:tcPr>
            <w:tcW w:w="1346" w:type="dxa"/>
          </w:tcPr>
          <w:p w:rsidR="00D15D53" w:rsidRPr="00D15D53" w:rsidRDefault="00D15D53" w:rsidP="009E7EFB">
            <w:pPr>
              <w:keepNext/>
            </w:pPr>
            <w:r w:rsidRPr="00222643">
              <w:t>0.20</w:t>
            </w:r>
            <w:r w:rsidRPr="00222643">
              <w:br/>
              <w:t>(1992–1997)</w:t>
            </w:r>
          </w:p>
        </w:tc>
        <w:tc>
          <w:tcPr>
            <w:tcW w:w="1347" w:type="dxa"/>
          </w:tcPr>
          <w:p w:rsidR="00D15D53" w:rsidRPr="00D15D53" w:rsidRDefault="00D15D53" w:rsidP="009E7EFB">
            <w:pPr>
              <w:keepNext/>
            </w:pPr>
            <w:r w:rsidRPr="00222643">
              <w:t>0.57</w:t>
            </w:r>
            <w:r w:rsidRPr="00222643">
              <w:br/>
              <w:t>(2001–2004)</w:t>
            </w:r>
          </w:p>
        </w:tc>
        <w:tc>
          <w:tcPr>
            <w:tcW w:w="3260" w:type="dxa"/>
          </w:tcPr>
          <w:p w:rsidR="00D15D53" w:rsidRPr="00D15D53" w:rsidRDefault="00D15D53" w:rsidP="009E7EFB">
            <w:pPr>
              <w:keepNext/>
            </w:pPr>
            <w:r w:rsidRPr="00222643">
              <w:t>Several other pre-2000 periods are presented.</w:t>
            </w:r>
          </w:p>
        </w:tc>
      </w:tr>
      <w:tr w:rsidR="00D15D53" w:rsidRPr="00222643" w:rsidTr="00A57BA6">
        <w:trPr>
          <w:cantSplit/>
          <w:trHeight w:val="789"/>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Hathaway and Officer (2004)</w:t>
            </w:r>
            <w:r w:rsidRPr="00D15D53">
              <w:rPr>
                <w:rStyle w:val="FootnoteReference"/>
              </w:rPr>
              <w:footnoteReference w:id="251"/>
            </w:r>
          </w:p>
        </w:tc>
        <w:tc>
          <w:tcPr>
            <w:tcW w:w="1346" w:type="dxa"/>
          </w:tcPr>
          <w:p w:rsidR="00D15D53" w:rsidRPr="00D15D53" w:rsidRDefault="00D15D53" w:rsidP="009E7EFB">
            <w:pPr>
              <w:keepNext/>
            </w:pPr>
            <w:r w:rsidRPr="00222643">
              <w:t>0.49</w:t>
            </w:r>
            <w:r w:rsidRPr="00222643">
              <w:br/>
            </w:r>
            <w:r w:rsidRPr="00D15D53">
              <w:t>(1986–2004)</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 xml:space="preserve">Authors suggest that estimate has increased </w:t>
            </w:r>
            <w:r w:rsidRPr="00D15D53">
              <w:t>post-2000.</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Bellamy and Gray (2004)</w:t>
            </w:r>
            <w:r w:rsidRPr="00D15D53">
              <w:rPr>
                <w:rStyle w:val="FootnoteReference"/>
              </w:rPr>
              <w:footnoteReference w:id="252"/>
            </w:r>
          </w:p>
        </w:tc>
        <w:tc>
          <w:tcPr>
            <w:tcW w:w="1346" w:type="dxa"/>
          </w:tcPr>
          <w:p w:rsidR="00D15D53" w:rsidRPr="00D15D53" w:rsidRDefault="00D15D53" w:rsidP="009E7EFB">
            <w:pPr>
              <w:keepNext/>
            </w:pPr>
            <w:r w:rsidRPr="00222643">
              <w:t>0.36</w:t>
            </w:r>
            <w:r w:rsidRPr="00222643">
              <w:br/>
              <w:t>(1995–2002)</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Range of 0.0–0.60 is also presented.</w:t>
            </w:r>
          </w:p>
        </w:tc>
      </w:tr>
      <w:tr w:rsidR="00D15D53" w:rsidRPr="00222643" w:rsidTr="00A57BA6">
        <w:trPr>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Bruckner et al (1994)</w:t>
            </w:r>
            <w:r w:rsidRPr="00D15D53">
              <w:rPr>
                <w:rStyle w:val="FootnoteReference"/>
              </w:rPr>
              <w:footnoteReference w:id="253"/>
            </w:r>
          </w:p>
        </w:tc>
        <w:tc>
          <w:tcPr>
            <w:tcW w:w="1346" w:type="dxa"/>
          </w:tcPr>
          <w:p w:rsidR="00D15D53" w:rsidRPr="00D15D53" w:rsidRDefault="00D15D53" w:rsidP="009E7EFB">
            <w:pPr>
              <w:keepNext/>
            </w:pPr>
            <w:r>
              <w:t>0.69</w:t>
            </w:r>
            <w:r>
              <w:br/>
              <w:t>(199</w:t>
            </w:r>
            <w:r w:rsidRPr="00D15D53">
              <w:t>1–1993)</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Also</w:t>
            </w:r>
            <w:r w:rsidRPr="00D15D53">
              <w:t xml:space="preserve"> present an earlier period (1987–1990).</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t xml:space="preserve">Brown and Clarke </w:t>
            </w:r>
            <w:r w:rsidRPr="00D15D53">
              <w:t>(1993)</w:t>
            </w:r>
            <w:r w:rsidRPr="00D15D53">
              <w:rPr>
                <w:rStyle w:val="FootnoteReference"/>
              </w:rPr>
              <w:footnoteReference w:id="254"/>
            </w:r>
          </w:p>
        </w:tc>
        <w:tc>
          <w:tcPr>
            <w:tcW w:w="1346" w:type="dxa"/>
          </w:tcPr>
          <w:p w:rsidR="00D15D53" w:rsidRPr="00D15D53" w:rsidRDefault="00D15D53" w:rsidP="009E7EFB">
            <w:pPr>
              <w:keepNext/>
            </w:pPr>
            <w:r w:rsidRPr="00222643">
              <w:t>0.80</w:t>
            </w:r>
            <w:r w:rsidRPr="00222643">
              <w:br/>
              <w:t>(1988–1991)</w:t>
            </w:r>
          </w:p>
        </w:tc>
        <w:tc>
          <w:tcPr>
            <w:tcW w:w="1347" w:type="dxa"/>
          </w:tcPr>
          <w:p w:rsidR="00D15D53" w:rsidRPr="00222643" w:rsidRDefault="00D15D53" w:rsidP="009E7EFB">
            <w:pPr>
              <w:keepNext/>
            </w:pPr>
          </w:p>
        </w:tc>
        <w:tc>
          <w:tcPr>
            <w:tcW w:w="3260" w:type="dxa"/>
          </w:tcPr>
          <w:p w:rsidR="00D15D53" w:rsidRPr="00222643" w:rsidRDefault="00D15D53" w:rsidP="009E7EFB">
            <w:pPr>
              <w:keepNext/>
            </w:pPr>
          </w:p>
        </w:tc>
      </w:tr>
    </w:tbl>
    <w:p w:rsidR="00D15D53" w:rsidRPr="00222643" w:rsidRDefault="00D15D53" w:rsidP="00D15D53">
      <w:pPr>
        <w:pStyle w:val="AERtablesource"/>
      </w:pPr>
      <w:r w:rsidRPr="00222643">
        <w:t xml:space="preserve">Source: </w:t>
      </w:r>
      <w:r w:rsidRPr="00222643">
        <w:tab/>
        <w:t>As specified in table.</w:t>
      </w:r>
    </w:p>
    <w:p w:rsidR="00D15D53" w:rsidRPr="00222643" w:rsidRDefault="00D15D53" w:rsidP="00D15D53">
      <w:pPr>
        <w:pStyle w:val="Caption"/>
      </w:pPr>
      <w:bookmarkStart w:id="93" w:name="_Ref401076250"/>
      <w:r>
        <w:lastRenderedPageBreak/>
        <w:t xml:space="preserve">Table </w:t>
      </w:r>
      <w:r w:rsidR="00332D56">
        <w:fldChar w:fldCharType="begin"/>
      </w:r>
      <w:r w:rsidR="00332D56">
        <w:instrText xml:space="preserve"> STYLEREF 1 \s </w:instrText>
      </w:r>
      <w:r w:rsidR="00332D56">
        <w:fldChar w:fldCharType="separate"/>
      </w:r>
      <w:r w:rsidR="003F0AA6">
        <w:rPr>
          <w:noProof/>
        </w:rPr>
        <w:t>4</w:t>
      </w:r>
      <w:r w:rsidR="00332D56">
        <w:rPr>
          <w:noProof/>
        </w:rPr>
        <w:fldChar w:fldCharType="end"/>
      </w:r>
      <w:r w:rsidR="00257FBE">
        <w:noBreakHyphen/>
      </w:r>
      <w:r w:rsidR="00332D56">
        <w:fldChar w:fldCharType="begin"/>
      </w:r>
      <w:r w:rsidR="00332D56">
        <w:instrText xml:space="preserve"> SEQ Table \* ARABIC \s 1 </w:instrText>
      </w:r>
      <w:r w:rsidR="00332D56">
        <w:fldChar w:fldCharType="separate"/>
      </w:r>
      <w:r w:rsidR="003F0AA6">
        <w:rPr>
          <w:noProof/>
        </w:rPr>
        <w:t>11</w:t>
      </w:r>
      <w:r w:rsidR="00332D56">
        <w:rPr>
          <w:noProof/>
        </w:rPr>
        <w:fldChar w:fldCharType="end"/>
      </w:r>
      <w:bookmarkEnd w:id="93"/>
      <w:r>
        <w:tab/>
      </w:r>
      <w:r w:rsidRPr="00222643">
        <w:t>Estimates of the utilisation rate from alternative market value studies</w:t>
      </w:r>
    </w:p>
    <w:tbl>
      <w:tblPr>
        <w:tblStyle w:val="AERtable-text0"/>
        <w:tblW w:w="0" w:type="auto"/>
        <w:tblLayout w:type="fixed"/>
        <w:tblLook w:val="04A0" w:firstRow="1" w:lastRow="0" w:firstColumn="1" w:lastColumn="0" w:noHBand="0" w:noVBand="1"/>
      </w:tblPr>
      <w:tblGrid>
        <w:gridCol w:w="392"/>
        <w:gridCol w:w="2835"/>
        <w:gridCol w:w="1346"/>
        <w:gridCol w:w="1347"/>
        <w:gridCol w:w="3260"/>
        <w:gridCol w:w="62"/>
      </w:tblGrid>
      <w:tr w:rsidR="00D15D53" w:rsidRPr="00222643" w:rsidTr="00A57BA6">
        <w:trPr>
          <w:gridAfter w:val="1"/>
          <w:cnfStyle w:val="100000000000" w:firstRow="1" w:lastRow="0" w:firstColumn="0" w:lastColumn="0" w:oddVBand="0" w:evenVBand="0" w:oddHBand="0" w:evenHBand="0" w:firstRowFirstColumn="0" w:firstRowLastColumn="0" w:lastRowFirstColumn="0" w:lastRowLastColumn="0"/>
          <w:wAfter w:w="62" w:type="dxa"/>
          <w:cantSplit/>
          <w:tblHeader/>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Authors</w:t>
            </w:r>
          </w:p>
        </w:tc>
        <w:tc>
          <w:tcPr>
            <w:tcW w:w="1346" w:type="dxa"/>
          </w:tcPr>
          <w:p w:rsidR="00D15D53" w:rsidRPr="00D15D53" w:rsidRDefault="00D15D53" w:rsidP="009E7EFB">
            <w:pPr>
              <w:keepNext/>
            </w:pPr>
            <w:r w:rsidRPr="00222643">
              <w:t>Pre-2000 results</w:t>
            </w:r>
          </w:p>
        </w:tc>
        <w:tc>
          <w:tcPr>
            <w:tcW w:w="1347" w:type="dxa"/>
          </w:tcPr>
          <w:p w:rsidR="00D15D53" w:rsidRPr="00D15D53" w:rsidRDefault="00D15D53" w:rsidP="009E7EFB">
            <w:pPr>
              <w:keepNext/>
            </w:pPr>
            <w:r w:rsidRPr="00222643">
              <w:t>Post-2000 results</w:t>
            </w:r>
          </w:p>
        </w:tc>
        <w:tc>
          <w:tcPr>
            <w:tcW w:w="3260" w:type="dxa"/>
          </w:tcPr>
          <w:p w:rsidR="00D15D53" w:rsidRPr="00D15D53" w:rsidRDefault="00D15D53" w:rsidP="009E7EFB">
            <w:pPr>
              <w:keepNext/>
            </w:pPr>
            <w:r w:rsidRPr="00222643">
              <w:t>Notes</w:t>
            </w:r>
          </w:p>
        </w:tc>
      </w:tr>
      <w:tr w:rsidR="00D15D53" w:rsidRPr="00222643" w:rsidTr="00A57BA6">
        <w:trPr>
          <w:cantSplit/>
          <w:trHeight w:val="479"/>
        </w:trPr>
        <w:tc>
          <w:tcPr>
            <w:tcW w:w="3227" w:type="dxa"/>
            <w:gridSpan w:val="2"/>
          </w:tcPr>
          <w:p w:rsidR="00D15D53" w:rsidRPr="00D15D53" w:rsidRDefault="00D15D53" w:rsidP="009E7EFB">
            <w:pPr>
              <w:keepNext/>
              <w:rPr>
                <w:rStyle w:val="Strong"/>
              </w:rPr>
            </w:pPr>
            <w:r w:rsidRPr="00482215">
              <w:rPr>
                <w:rStyle w:val="Strong"/>
              </w:rPr>
              <w:t xml:space="preserve">Dividend drop </w:t>
            </w:r>
            <w:r w:rsidRPr="00D15D53">
              <w:rPr>
                <w:rStyle w:val="Strong"/>
              </w:rPr>
              <w:t>off study using hybrids</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Feuerherdt, Gray and Hall </w:t>
            </w:r>
            <w:r w:rsidRPr="00D15D53">
              <w:t>(2010)</w:t>
            </w:r>
            <w:r w:rsidRPr="00D15D53">
              <w:rPr>
                <w:rStyle w:val="FootnoteReference"/>
              </w:rPr>
              <w:footnoteReference w:id="255"/>
            </w:r>
          </w:p>
        </w:tc>
        <w:tc>
          <w:tcPr>
            <w:tcW w:w="1346" w:type="dxa"/>
          </w:tcPr>
          <w:p w:rsidR="00D15D53" w:rsidRPr="00D15D53" w:rsidRDefault="00D15D53" w:rsidP="009E7EFB">
            <w:pPr>
              <w:keepNext/>
            </w:pPr>
            <w:r w:rsidRPr="00222643">
              <w:t>N/A</w:t>
            </w:r>
            <w:r w:rsidRPr="00222643">
              <w:br/>
              <w:t>(1995–2002)</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t>Combined drop off of 1.</w:t>
            </w:r>
            <w:r w:rsidRPr="00D15D53">
              <w:t>0. With dividends at full value, this is a utilisation rate of 0.</w:t>
            </w:r>
          </w:p>
        </w:tc>
      </w:tr>
      <w:tr w:rsidR="00D15D53" w:rsidRPr="00222643" w:rsidTr="00A57BA6">
        <w:trPr>
          <w:cantSplit/>
        </w:trPr>
        <w:tc>
          <w:tcPr>
            <w:tcW w:w="3227" w:type="dxa"/>
            <w:gridSpan w:val="2"/>
          </w:tcPr>
          <w:p w:rsidR="00D15D53" w:rsidRPr="00D15D53" w:rsidRDefault="00D15D53" w:rsidP="009E7EFB">
            <w:pPr>
              <w:keepNext/>
              <w:rPr>
                <w:rStyle w:val="Strong"/>
              </w:rPr>
            </w:pPr>
            <w:r w:rsidRPr="00482215">
              <w:rPr>
                <w:rStyle w:val="Strong"/>
              </w:rPr>
              <w:t>Futures study (individual or index)</w:t>
            </w:r>
          </w:p>
        </w:tc>
        <w:tc>
          <w:tcPr>
            <w:tcW w:w="1346" w:type="dxa"/>
          </w:tcPr>
          <w:p w:rsidR="00D15D53" w:rsidRPr="00482215" w:rsidRDefault="00D15D53" w:rsidP="009E7EFB">
            <w:pPr>
              <w:keepNext/>
              <w:rPr>
                <w:rStyle w:val="Strong"/>
              </w:rPr>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542"/>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SFG (2013b)</w:t>
            </w:r>
            <w:r w:rsidRPr="00D15D53">
              <w:rPr>
                <w:rStyle w:val="FootnoteReference"/>
              </w:rPr>
              <w:footnoteReference w:id="256"/>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0.12</w:t>
            </w:r>
            <w:r w:rsidRPr="00222643">
              <w:br/>
              <w:t>(2000–2013)</w:t>
            </w:r>
          </w:p>
        </w:tc>
        <w:tc>
          <w:tcPr>
            <w:tcW w:w="3322" w:type="dxa"/>
            <w:gridSpan w:val="2"/>
          </w:tcPr>
          <w:p w:rsidR="00D15D53" w:rsidRPr="00D15D53" w:rsidRDefault="00D15D53" w:rsidP="009E7EFB">
            <w:pPr>
              <w:keepNext/>
            </w:pPr>
            <w:r w:rsidRPr="00222643">
              <w:t xml:space="preserve">Uses </w:t>
            </w:r>
            <w:r w:rsidRPr="00D15D53">
              <w:t>individual firms.</w:t>
            </w:r>
          </w:p>
        </w:tc>
      </w:tr>
      <w:tr w:rsidR="00D15D53" w:rsidRPr="00222643" w:rsidTr="00A57BA6">
        <w:trPr>
          <w:cantSplit/>
          <w:trHeight w:val="465"/>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Cannavan et al (2004)</w:t>
            </w:r>
            <w:r w:rsidRPr="00D15D53">
              <w:rPr>
                <w:rStyle w:val="FootnoteReference"/>
              </w:rPr>
              <w:footnoteReference w:id="257"/>
            </w:r>
          </w:p>
        </w:tc>
        <w:tc>
          <w:tcPr>
            <w:tcW w:w="1346" w:type="dxa"/>
          </w:tcPr>
          <w:p w:rsidR="00D15D53" w:rsidRPr="00D15D53" w:rsidRDefault="00D15D53" w:rsidP="009E7EFB">
            <w:pPr>
              <w:keepNext/>
            </w:pPr>
            <w:r w:rsidRPr="00222643">
              <w:t>0–0.15</w:t>
            </w:r>
            <w:r w:rsidRPr="00222643">
              <w:br/>
              <w:t>(1994–1999)</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rsidRPr="00222643">
              <w:t>Uses individual firms.</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Cummings and Frino (2008)</w:t>
            </w:r>
            <w:r w:rsidRPr="00D15D53">
              <w:rPr>
                <w:rStyle w:val="FootnoteReference"/>
              </w:rPr>
              <w:footnoteReference w:id="258"/>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t>0.52</w:t>
            </w:r>
            <w:r w:rsidRPr="00D15D53">
              <w:br/>
              <w:t>(2002–2005)</w:t>
            </w:r>
          </w:p>
        </w:tc>
        <w:tc>
          <w:tcPr>
            <w:tcW w:w="3322" w:type="dxa"/>
            <w:gridSpan w:val="2"/>
          </w:tcPr>
          <w:p w:rsidR="00D15D53" w:rsidRPr="00D15D53" w:rsidRDefault="00D15D53" w:rsidP="009E7EFB">
            <w:pPr>
              <w:keepNext/>
            </w:pPr>
            <w:r w:rsidRPr="00222643">
              <w:t>Uses index.</w:t>
            </w:r>
          </w:p>
        </w:tc>
      </w:tr>
      <w:tr w:rsidR="00D15D53" w:rsidRPr="00222643" w:rsidTr="00A57BA6">
        <w:trPr>
          <w:cantSplit/>
        </w:trPr>
        <w:tc>
          <w:tcPr>
            <w:tcW w:w="3227" w:type="dxa"/>
            <w:gridSpan w:val="2"/>
          </w:tcPr>
          <w:p w:rsidR="00D15D53" w:rsidRPr="00D15D53" w:rsidRDefault="00D15D53" w:rsidP="009E7EFB">
            <w:pPr>
              <w:keepNext/>
              <w:rPr>
                <w:rStyle w:val="Strong"/>
              </w:rPr>
            </w:pPr>
            <w:r w:rsidRPr="00482215">
              <w:rPr>
                <w:rStyle w:val="Strong"/>
              </w:rPr>
              <w:t>Rate of return study</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NERA (2013b)</w:t>
            </w:r>
            <w:r w:rsidRPr="00D15D53">
              <w:rPr>
                <w:rStyle w:val="FootnoteReference"/>
              </w:rPr>
              <w:footnoteReference w:id="259"/>
            </w:r>
          </w:p>
        </w:tc>
        <w:tc>
          <w:tcPr>
            <w:tcW w:w="1346" w:type="dxa"/>
          </w:tcPr>
          <w:p w:rsidR="00D15D53" w:rsidRPr="00D15D53" w:rsidRDefault="00D15D53" w:rsidP="009E7EFB">
            <w:pPr>
              <w:keepNext/>
            </w:pPr>
            <w:r>
              <w:t>-1.57</w:t>
            </w:r>
            <w:r>
              <w:br/>
              <w:t>(1987</w:t>
            </w:r>
            <w:r w:rsidRPr="00D15D53">
              <w:t>–2000)</w:t>
            </w:r>
          </w:p>
        </w:tc>
        <w:tc>
          <w:tcPr>
            <w:tcW w:w="1347" w:type="dxa"/>
          </w:tcPr>
          <w:p w:rsidR="00D15D53" w:rsidRPr="00D15D53" w:rsidRDefault="00D15D53" w:rsidP="009E7EFB">
            <w:pPr>
              <w:keepNext/>
            </w:pPr>
            <w:r>
              <w:t>-1.90</w:t>
            </w:r>
            <w:r>
              <w:br/>
              <w:t>(2000–2012</w:t>
            </w:r>
            <w:r w:rsidRPr="00D15D53">
              <w:t>)</w:t>
            </w:r>
          </w:p>
        </w:tc>
        <w:tc>
          <w:tcPr>
            <w:tcW w:w="3322" w:type="dxa"/>
            <w:gridSpan w:val="2"/>
          </w:tcPr>
          <w:p w:rsidR="00D15D53" w:rsidRPr="00D15D53" w:rsidRDefault="00D15D53" w:rsidP="009E7EFB">
            <w:pPr>
              <w:keepNext/>
            </w:pPr>
            <w:r w:rsidRPr="00222643">
              <w:t xml:space="preserve">Uses past returns. For the entire </w:t>
            </w:r>
            <w:r w:rsidRPr="00D15D53">
              <w:t>period, estimate is -1.50.</w:t>
            </w:r>
          </w:p>
        </w:tc>
      </w:tr>
      <w:tr w:rsidR="00D15D53" w:rsidRPr="00222643" w:rsidTr="00A57BA6">
        <w:trPr>
          <w:cantSplit/>
          <w:trHeight w:val="535"/>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Lajbcygier and Wheatley (2012)</w:t>
            </w:r>
            <w:r w:rsidRPr="00D15D53">
              <w:rPr>
                <w:rStyle w:val="FootnoteReference"/>
              </w:rPr>
              <w:footnoteReference w:id="260"/>
            </w:r>
          </w:p>
        </w:tc>
        <w:tc>
          <w:tcPr>
            <w:tcW w:w="1346" w:type="dxa"/>
          </w:tcPr>
          <w:p w:rsidR="00D15D53" w:rsidRPr="00D15D53" w:rsidRDefault="00D15D53" w:rsidP="009E7EFB">
            <w:pPr>
              <w:keepNext/>
            </w:pPr>
            <w:r>
              <w:t>-1.57</w:t>
            </w:r>
            <w:r>
              <w:br/>
              <w:t>(1987</w:t>
            </w:r>
            <w:r w:rsidRPr="00D15D53">
              <w:t>–2000)</w:t>
            </w:r>
          </w:p>
        </w:tc>
        <w:tc>
          <w:tcPr>
            <w:tcW w:w="1347" w:type="dxa"/>
          </w:tcPr>
          <w:p w:rsidR="00D15D53" w:rsidRPr="00D15D53" w:rsidRDefault="00D15D53" w:rsidP="009E7EFB">
            <w:pPr>
              <w:keepNext/>
            </w:pPr>
            <w:r w:rsidRPr="00222643">
              <w:t>-1.68</w:t>
            </w:r>
            <w:r w:rsidRPr="00222643">
              <w:br/>
              <w:t>(2000–2009)</w:t>
            </w:r>
          </w:p>
        </w:tc>
        <w:tc>
          <w:tcPr>
            <w:tcW w:w="3322" w:type="dxa"/>
            <w:gridSpan w:val="2"/>
          </w:tcPr>
          <w:p w:rsidR="00D15D53" w:rsidRPr="00D15D53" w:rsidRDefault="00D15D53" w:rsidP="009E7EFB">
            <w:pPr>
              <w:keepNext/>
            </w:pPr>
            <w:r w:rsidRPr="00222643">
              <w:t>Uses past returns. For the entire period, estimate is -1.88</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Siau et al (2013)</w:t>
            </w:r>
            <w:r w:rsidRPr="00D15D53">
              <w:rPr>
                <w:rStyle w:val="FootnoteReference"/>
              </w:rPr>
              <w:footnoteReference w:id="261"/>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-0.29–0.30</w:t>
            </w:r>
            <w:r w:rsidRPr="00222643">
              <w:br/>
              <w:t>(1996–2011)</w:t>
            </w:r>
          </w:p>
        </w:tc>
        <w:tc>
          <w:tcPr>
            <w:tcW w:w="3322" w:type="dxa"/>
            <w:gridSpan w:val="2"/>
          </w:tcPr>
          <w:p w:rsidR="00D15D53" w:rsidRPr="00D15D53" w:rsidRDefault="00D15D53" w:rsidP="009E7EFB">
            <w:pPr>
              <w:keepNext/>
            </w:pPr>
            <w:r w:rsidRPr="00222643">
              <w:t xml:space="preserve">Uses forecast returns. Note range is from negative </w:t>
            </w:r>
            <w:r w:rsidRPr="00D15D53">
              <w:t>0.29 to positive 0.30.</w:t>
            </w:r>
          </w:p>
        </w:tc>
      </w:tr>
      <w:tr w:rsidR="00D15D53" w:rsidRPr="00222643" w:rsidTr="00A57BA6">
        <w:trPr>
          <w:cantSplit/>
          <w:trHeight w:val="402"/>
        </w:trPr>
        <w:tc>
          <w:tcPr>
            <w:tcW w:w="3227" w:type="dxa"/>
            <w:gridSpan w:val="2"/>
          </w:tcPr>
          <w:p w:rsidR="00D15D53" w:rsidRPr="00D15D53" w:rsidRDefault="00D15D53" w:rsidP="009E7EFB">
            <w:pPr>
              <w:keepNext/>
              <w:rPr>
                <w:rStyle w:val="Strong"/>
              </w:rPr>
            </w:pPr>
            <w:r w:rsidRPr="00482215">
              <w:rPr>
                <w:rStyle w:val="Strong"/>
              </w:rPr>
              <w:t>Simultaneous share trades</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402"/>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Chu and </w:t>
            </w:r>
            <w:r w:rsidRPr="00D15D53">
              <w:t>Partington (2008)</w:t>
            </w:r>
            <w:r w:rsidRPr="00D15D53">
              <w:rPr>
                <w:rStyle w:val="FootnoteReference"/>
              </w:rPr>
              <w:footnoteReference w:id="262"/>
            </w:r>
          </w:p>
        </w:tc>
        <w:tc>
          <w:tcPr>
            <w:tcW w:w="1346" w:type="dxa"/>
          </w:tcPr>
          <w:p w:rsidR="00D15D53" w:rsidRPr="00D15D53" w:rsidRDefault="00D15D53" w:rsidP="009E7EFB">
            <w:pPr>
              <w:keepNext/>
            </w:pPr>
            <w:r w:rsidRPr="00222643">
              <w:t>N/A</w:t>
            </w:r>
            <w:r w:rsidRPr="00222643">
              <w:br/>
              <w:t>(1996)</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rsidRPr="00222643">
              <w:t>Combined drop off of 1.29. With dividends at full value, this is a utilisation rate of 0.68.</w:t>
            </w:r>
          </w:p>
        </w:tc>
      </w:tr>
      <w:tr w:rsidR="00D15D53" w:rsidRPr="00222643" w:rsidTr="00A57BA6">
        <w:trPr>
          <w:cantSplit/>
          <w:trHeight w:val="284"/>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Walker and Partington (1999)</w:t>
            </w:r>
            <w:r w:rsidRPr="00D15D53">
              <w:rPr>
                <w:rStyle w:val="FootnoteReference"/>
              </w:rPr>
              <w:footnoteReference w:id="263"/>
            </w:r>
          </w:p>
        </w:tc>
        <w:tc>
          <w:tcPr>
            <w:tcW w:w="1346" w:type="dxa"/>
          </w:tcPr>
          <w:p w:rsidR="00D15D53" w:rsidRPr="00D15D53" w:rsidRDefault="00D15D53" w:rsidP="009E7EFB">
            <w:pPr>
              <w:keepNext/>
            </w:pPr>
            <w:r w:rsidRPr="00222643">
              <w:t>0.88–0.96</w:t>
            </w:r>
            <w:r w:rsidRPr="00222643">
              <w:br/>
              <w:t>(1995–1997)</w:t>
            </w:r>
          </w:p>
        </w:tc>
        <w:tc>
          <w:tcPr>
            <w:tcW w:w="1347" w:type="dxa"/>
          </w:tcPr>
          <w:p w:rsidR="00D15D53" w:rsidRPr="00222643" w:rsidRDefault="00D15D53" w:rsidP="009E7EFB">
            <w:pPr>
              <w:keepNext/>
            </w:pPr>
          </w:p>
        </w:tc>
        <w:tc>
          <w:tcPr>
            <w:tcW w:w="3322" w:type="dxa"/>
            <w:gridSpan w:val="2"/>
          </w:tcPr>
          <w:p w:rsidR="00D15D53" w:rsidRPr="00222643" w:rsidDel="003D6627"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658"/>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Chu and </w:t>
            </w:r>
            <w:r w:rsidRPr="00D15D53">
              <w:t>Partington (2001)</w:t>
            </w:r>
            <w:r w:rsidRPr="00D15D53">
              <w:rPr>
                <w:rStyle w:val="FootnoteReference"/>
              </w:rPr>
              <w:footnoteReference w:id="264"/>
            </w:r>
          </w:p>
        </w:tc>
        <w:tc>
          <w:tcPr>
            <w:tcW w:w="1346" w:type="dxa"/>
          </w:tcPr>
          <w:p w:rsidR="00D15D53" w:rsidRPr="00D15D53" w:rsidRDefault="00D15D53" w:rsidP="009E7EFB">
            <w:pPr>
              <w:keepNext/>
            </w:pPr>
            <w:r>
              <w:t>N/A</w:t>
            </w:r>
            <w:r>
              <w:br/>
              <w:t>(</w:t>
            </w:r>
            <w:r w:rsidRPr="00D15D53">
              <w:t>1991–1999)</w:t>
            </w:r>
          </w:p>
        </w:tc>
        <w:tc>
          <w:tcPr>
            <w:tcW w:w="1347" w:type="dxa"/>
          </w:tcPr>
          <w:p w:rsidR="00D15D53" w:rsidRPr="00222643" w:rsidRDefault="00D15D53" w:rsidP="009E7EFB">
            <w:pPr>
              <w:keepNext/>
            </w:pPr>
          </w:p>
        </w:tc>
        <w:tc>
          <w:tcPr>
            <w:tcW w:w="3322" w:type="dxa"/>
            <w:gridSpan w:val="2"/>
          </w:tcPr>
          <w:p w:rsidR="00D15D53" w:rsidRPr="00D15D53" w:rsidDel="003D6627" w:rsidRDefault="00D15D53" w:rsidP="009E7EFB">
            <w:pPr>
              <w:keepNext/>
            </w:pPr>
            <w:r w:rsidRPr="00222643">
              <w:t>Combined drop off of 1.5. With</w:t>
            </w:r>
            <w:r w:rsidRPr="00D15D53">
              <w:t xml:space="preserve"> dividends at full value, this is a utilisation rate above 1.</w:t>
            </w:r>
          </w:p>
        </w:tc>
      </w:tr>
    </w:tbl>
    <w:p w:rsidR="00D15D53" w:rsidRPr="00222643" w:rsidRDefault="00D15D53" w:rsidP="00D15D53">
      <w:pPr>
        <w:pStyle w:val="AERtablesource"/>
      </w:pPr>
      <w:r w:rsidRPr="00222643">
        <w:t xml:space="preserve">Source: </w:t>
      </w:r>
      <w:r w:rsidRPr="00222643">
        <w:tab/>
        <w:t xml:space="preserve">As specified in table. </w:t>
      </w:r>
    </w:p>
    <w:p w:rsidR="00A7288F" w:rsidRDefault="00A7288F" w:rsidP="00FD5BE7">
      <w:pPr>
        <w:pStyle w:val="Heading9"/>
      </w:pPr>
      <w:r w:rsidRPr="00FD5BE7">
        <w:t>Comparison</w:t>
      </w:r>
      <w:r>
        <w:t xml:space="preserve"> with other market-based estimation approaches</w:t>
      </w:r>
    </w:p>
    <w:p w:rsidR="00945253" w:rsidRDefault="007F230D" w:rsidP="00945253">
      <w:r w:rsidRPr="007F230D">
        <w:t>The</w:t>
      </w:r>
      <w:r>
        <w:t xml:space="preserve"> service providers submitted that the</w:t>
      </w:r>
      <w:r w:rsidRPr="007F230D">
        <w:t xml:space="preserve"> use of implied market value studies to estimate the value of imputation credits is consistent with the approach to estimating other rate of return parameters.</w:t>
      </w:r>
      <w:r>
        <w:rPr>
          <w:rStyle w:val="FootnoteReference"/>
        </w:rPr>
        <w:footnoteReference w:id="265"/>
      </w:r>
      <w:r>
        <w:t xml:space="preserve"> We disagree. </w:t>
      </w:r>
      <w:r w:rsidRPr="00453BD1">
        <w:t>As we set out in the draft decision</w:t>
      </w:r>
      <w:r w:rsidR="00895E9C">
        <w:t>s</w:t>
      </w:r>
      <w:r w:rsidRPr="00453BD1">
        <w:t xml:space="preserve">, we consider that the use of market prices to estimate the value of imputation credits is fundamentally different to using market prices to estimate other rate of return parameters. </w:t>
      </w:r>
      <w:r w:rsidR="00945253" w:rsidRPr="00453BD1">
        <w:t>For example</w:t>
      </w:r>
      <w:r w:rsidR="00592FD8">
        <w:t>, bonds are separately and (generally) regularly traded, and we can observe the market price that arises from this trading. As correctly noted by SFG, '…when estimating the cost of debt the AER uses traded bond prices which reflect the value of those bonds to investors…'.</w:t>
      </w:r>
      <w:r w:rsidR="00592FD8">
        <w:rPr>
          <w:rStyle w:val="FootnoteReference"/>
        </w:rPr>
        <w:footnoteReference w:id="266"/>
      </w:r>
      <w:r w:rsidR="00592FD8">
        <w:t xml:space="preserve"> By contrast, i</w:t>
      </w:r>
      <w:r w:rsidR="00592FD8" w:rsidRPr="00B1492F">
        <w:t xml:space="preserve">mputation credits are not separately traded. Therefore, no market price </w:t>
      </w:r>
      <w:r w:rsidR="003940CD">
        <w:t xml:space="preserve">exists </w:t>
      </w:r>
      <w:r w:rsidR="00592FD8" w:rsidRPr="00B1492F">
        <w:t>for imputation credits</w:t>
      </w:r>
      <w:r w:rsidR="003940CD">
        <w:t xml:space="preserve"> in the same manner as that fo</w:t>
      </w:r>
      <w:r w:rsidR="000E79B3">
        <w:t>r separately traded assets</w:t>
      </w:r>
      <w:r w:rsidR="00480E3F">
        <w:t>.</w:t>
      </w:r>
    </w:p>
    <w:p w:rsidR="007F230D" w:rsidRPr="00453BD1" w:rsidRDefault="008C6974" w:rsidP="00945253">
      <w:r>
        <w:t>W</w:t>
      </w:r>
      <w:r w:rsidR="007F230D" w:rsidRPr="00453BD1">
        <w:t xml:space="preserve">e </w:t>
      </w:r>
      <w:r w:rsidR="00945253">
        <w:t xml:space="preserve">also noted in the draft decisions </w:t>
      </w:r>
      <w:r w:rsidR="007F230D" w:rsidRPr="00453BD1">
        <w:t>that</w:t>
      </w:r>
      <w:r>
        <w:t xml:space="preserve">, because no market price </w:t>
      </w:r>
      <w:r w:rsidR="000E79B3">
        <w:t xml:space="preserve">exists </w:t>
      </w:r>
      <w:r>
        <w:t>for imputation credits</w:t>
      </w:r>
      <w:r w:rsidR="000E79B3">
        <w:t xml:space="preserve"> in the same manner as that for separately traded assets</w:t>
      </w:r>
      <w:r>
        <w:t>,</w:t>
      </w:r>
      <w:r w:rsidR="007F230D" w:rsidRPr="00453BD1">
        <w:t xml:space="preserve"> dividend drop off studies must infer using ex-dividend price changes and econometric techniques the value attributed to imputation credits by investors.</w:t>
      </w:r>
      <w:r w:rsidR="005105C7">
        <w:t xml:space="preserve"> This is in contrast to simply observing or measuring the value attributed to imputation credits by investors via prices resulting from market transactions in imputation credits.</w:t>
      </w:r>
      <w:r>
        <w:t xml:space="preserve"> </w:t>
      </w:r>
      <w:r w:rsidR="007F230D" w:rsidRPr="00453BD1">
        <w:t>SFG noted that we apply econometric techniques (that is, regression analysis) to observed market prices when estimating beta.</w:t>
      </w:r>
      <w:r w:rsidR="007F230D">
        <w:rPr>
          <w:rStyle w:val="FootnoteReference"/>
        </w:rPr>
        <w:footnoteReference w:id="267"/>
      </w:r>
      <w:r w:rsidR="007F230D" w:rsidRPr="00453BD1">
        <w:t xml:space="preserve"> This is correct, but beta </w:t>
      </w:r>
      <w:r w:rsidR="007F230D" w:rsidRPr="00B1492F">
        <w:t>is not a measure of the value attributed to an asset by investors</w:t>
      </w:r>
      <w:r w:rsidR="00495EA5">
        <w:t>;</w:t>
      </w:r>
      <w:r w:rsidR="007F230D" w:rsidRPr="00B1492F">
        <w:t xml:space="preserve"> </w:t>
      </w:r>
      <w:r w:rsidR="00495EA5">
        <w:t>for example, SFG's definition of b</w:t>
      </w:r>
      <w:r w:rsidR="007F230D" w:rsidRPr="00B1492F">
        <w:t>eta is ‘the risk of the asset or firm in question relative to the average firm or asset’.</w:t>
      </w:r>
      <w:r w:rsidR="007F230D">
        <w:rPr>
          <w:rStyle w:val="FootnoteReference"/>
        </w:rPr>
        <w:footnoteReference w:id="268"/>
      </w:r>
    </w:p>
    <w:p w:rsidR="008B1CC6" w:rsidRDefault="008B1CC6" w:rsidP="008B1CC6">
      <w:r>
        <w:lastRenderedPageBreak/>
        <w:t>The service providers also submitted, consistent with advice from SFG, that we do not seek to adjust other rate of return parameters for personal costs.</w:t>
      </w:r>
      <w:r>
        <w:rPr>
          <w:rStyle w:val="FootnoteReference"/>
        </w:rPr>
        <w:footnoteReference w:id="269"/>
      </w:r>
      <w:r>
        <w:t xml:space="preserve"> However</w:t>
      </w:r>
      <w:r w:rsidR="00154821">
        <w:t>,</w:t>
      </w:r>
      <w:r>
        <w:t xml:space="preserve"> this consideration </w:t>
      </w:r>
      <w:r w:rsidRPr="00453BD1">
        <w:t>did not change Handley’s view—which we accept—that the value of imputation credits should be estimated on a before-personal-tax and before-personal-costs basis:</w:t>
      </w:r>
      <w:r>
        <w:rPr>
          <w:rStyle w:val="FootnoteReference"/>
        </w:rPr>
        <w:footnoteReference w:id="270"/>
      </w:r>
    </w:p>
    <w:p w:rsidR="00154821" w:rsidRDefault="00154821" w:rsidP="00154821">
      <w:pPr>
        <w:pStyle w:val="AERquote"/>
      </w:pPr>
      <w:r w:rsidRPr="00154821">
        <w:t xml:space="preserve">In other words, the per dollar value of an imputation credit </w:t>
      </w:r>
      <m:oMath>
        <m:r>
          <w:rPr>
            <w:rFonts w:ascii="Cambria Math" w:hAnsi="Cambria Math"/>
          </w:rPr>
          <m:t>γ</m:t>
        </m:r>
      </m:oMath>
      <w:r>
        <w:t xml:space="preserve"> gamma should be </w:t>
      </w:r>
      <w:r w:rsidRPr="00154821">
        <w:t>measured prior to any personal tax on the credit and prior to any personal costs</w:t>
      </w:r>
      <w:r>
        <w:t xml:space="preserve"> </w:t>
      </w:r>
      <w:r w:rsidRPr="00154821">
        <w:t xml:space="preserve">associated </w:t>
      </w:r>
      <w:r>
        <w:t>with the receipt of the credit.</w:t>
      </w:r>
      <w:r w:rsidRPr="00154821">
        <w:t xml:space="preserve"> This approach is also consistent with the</w:t>
      </w:r>
      <w:r>
        <w:t xml:space="preserve"> </w:t>
      </w:r>
      <w:r w:rsidRPr="00154821">
        <w:t>standard approach to calculating a return in a classical tax system – you take the</w:t>
      </w:r>
      <w:r>
        <w:t xml:space="preserve"> </w:t>
      </w:r>
      <w:r w:rsidRPr="00154821">
        <w:t>observed capital gain and the observed dividend without making any adjustment for</w:t>
      </w:r>
      <w:r>
        <w:t xml:space="preserve"> </w:t>
      </w:r>
      <w:r w:rsidRPr="00154821">
        <w:t>personal taxes or personal costs associated with trading the share or receiving the</w:t>
      </w:r>
      <w:r>
        <w:t xml:space="preserve"> </w:t>
      </w:r>
      <w:r w:rsidRPr="00154821">
        <w:t>dividend.</w:t>
      </w:r>
    </w:p>
    <w:p w:rsidR="007F230D" w:rsidRPr="007F230D" w:rsidRDefault="00154821" w:rsidP="007C38AD">
      <w:r w:rsidRPr="00154821">
        <w:t>That is, we take the observed distribution of $1 of dividends to yield $1 of value to investors. We do not take it to yield $1 of value minus personal taxes and personal costs associated with that dividend. Similarly, we take a $1 change in stock prices (capital gain) to yield $1 of value to investors. We do not take it to yield $1 of value minus personal taxes and personal costs associated with that capital gain.</w:t>
      </w:r>
      <w:r w:rsidRPr="00154821" w:rsidDel="00154821">
        <w:t xml:space="preserve"> </w:t>
      </w:r>
    </w:p>
    <w:p w:rsidR="00F93616" w:rsidRDefault="00F93616" w:rsidP="00F93616">
      <w:pPr>
        <w:pStyle w:val="Heading9"/>
      </w:pPr>
      <w:bookmarkStart w:id="94" w:name="_Ref415065117"/>
      <w:r w:rsidRPr="00F93616">
        <w:t>Adjustment of estimates from implied market value studies</w:t>
      </w:r>
      <w:bookmarkEnd w:id="94"/>
    </w:p>
    <w:p w:rsidR="00D01050" w:rsidRDefault="00173FB4" w:rsidP="00F27FC0">
      <w:r>
        <w:t>The service providers submitted</w:t>
      </w:r>
      <w:r w:rsidR="00F27FC0">
        <w:t xml:space="preserve"> that</w:t>
      </w:r>
      <w:r w:rsidR="002877E9">
        <w:t xml:space="preserve"> estimates of the utilisation rate from implied market value studies </w:t>
      </w:r>
      <w:proofErr w:type="gramStart"/>
      <w:r w:rsidR="002877E9">
        <w:t>can</w:t>
      </w:r>
      <w:proofErr w:type="gramEnd"/>
      <w:r w:rsidR="002877E9">
        <w:t xml:space="preserve"> be adjusted to make them consistent with the before-personal-tax and before-personal-costs value of imputation credits.</w:t>
      </w:r>
      <w:r w:rsidR="00270CE0">
        <w:rPr>
          <w:rStyle w:val="FootnoteReference"/>
        </w:rPr>
        <w:footnoteReference w:id="271"/>
      </w:r>
      <w:r w:rsidR="002877E9">
        <w:t xml:space="preserve"> However, w</w:t>
      </w:r>
      <w:r w:rsidR="00244338">
        <w:t xml:space="preserve">e do not consider that the </w:t>
      </w:r>
      <w:r w:rsidR="002877E9">
        <w:t xml:space="preserve">relevant </w:t>
      </w:r>
      <w:r w:rsidR="00244338">
        <w:t>adjustment</w:t>
      </w:r>
      <w:r w:rsidR="002877E9">
        <w:rPr>
          <w:rFonts w:cs="Arial"/>
        </w:rPr>
        <w:t>—</w:t>
      </w:r>
      <w:r w:rsidR="00244338">
        <w:t>proposed by Handley and Lally</w:t>
      </w:r>
      <w:r w:rsidR="002877E9">
        <w:t xml:space="preserve"> and discussed in section </w:t>
      </w:r>
      <w:r w:rsidR="002877E9">
        <w:fldChar w:fldCharType="begin"/>
      </w:r>
      <w:r w:rsidR="002877E9">
        <w:instrText xml:space="preserve"> REF _Ref414289593 \r \h </w:instrText>
      </w:r>
      <w:r w:rsidR="002877E9">
        <w:fldChar w:fldCharType="separate"/>
      </w:r>
      <w:r w:rsidR="003F0AA6">
        <w:t>4.4.2</w:t>
      </w:r>
      <w:r w:rsidR="002877E9">
        <w:fldChar w:fldCharType="end"/>
      </w:r>
      <w:r w:rsidR="002877E9">
        <w:rPr>
          <w:rFonts w:cs="Arial"/>
        </w:rPr>
        <w:t>—</w:t>
      </w:r>
      <w:r w:rsidR="00244338">
        <w:t xml:space="preserve">will fully account for the </w:t>
      </w:r>
      <w:r w:rsidR="002F50B7">
        <w:t xml:space="preserve">potential </w:t>
      </w:r>
      <w:r w:rsidR="00244338">
        <w:t>effect</w:t>
      </w:r>
      <w:r w:rsidR="00D01050">
        <w:t xml:space="preserve"> of</w:t>
      </w:r>
      <w:r w:rsidR="00244338">
        <w:t xml:space="preserve"> personal taxes and costs</w:t>
      </w:r>
      <w:r w:rsidR="00D01050">
        <w:t xml:space="preserve">. </w:t>
      </w:r>
      <w:r w:rsidR="002877E9">
        <w:t>This is because t</w:t>
      </w:r>
      <w:r w:rsidR="00D01050" w:rsidRPr="00D01050">
        <w:t xml:space="preserve">he </w:t>
      </w:r>
      <w:r w:rsidR="00D01050">
        <w:t>proposed</w:t>
      </w:r>
      <w:r w:rsidR="00D01050" w:rsidRPr="00D01050">
        <w:t xml:space="preserve"> adjustment seeks to remove from the estimates of investors’ valuation of dividends and imputation credits the effect of factors that </w:t>
      </w:r>
      <w:r w:rsidR="00DC2743">
        <w:t>suggest that</w:t>
      </w:r>
      <w:r w:rsidR="00D01050" w:rsidRPr="00D01050">
        <w:t xml:space="preserve"> investors’ valuation of $1 of dividends </w:t>
      </w:r>
      <w:r w:rsidR="00DC2743">
        <w:t>is</w:t>
      </w:r>
      <w:r w:rsidR="00D01050" w:rsidRPr="00D01050">
        <w:t xml:space="preserve"> less than $1. However, </w:t>
      </w:r>
      <w:r w:rsidR="00D01050">
        <w:t>according to</w:t>
      </w:r>
      <w:r w:rsidR="00D01050" w:rsidRPr="00D01050">
        <w:t xml:space="preserve"> SFG, there are:</w:t>
      </w:r>
      <w:r w:rsidR="00D01050">
        <w:rPr>
          <w:rStyle w:val="FootnoteReference"/>
        </w:rPr>
        <w:footnoteReference w:id="272"/>
      </w:r>
    </w:p>
    <w:p w:rsidR="00D01050" w:rsidRDefault="00D01050" w:rsidP="00D01050">
      <w:pPr>
        <w:pStyle w:val="AERquote"/>
      </w:pPr>
      <w:r w:rsidRPr="00D01050">
        <w:t>…costs that reasonable, efficient investors would incur in relation to imputation credits, which do not apply to dividends or capital gains.</w:t>
      </w:r>
    </w:p>
    <w:p w:rsidR="00F27FC0" w:rsidRPr="00F27FC0" w:rsidRDefault="007F65BA" w:rsidP="00D01050">
      <w:r>
        <w:t xml:space="preserve">Thus, SFG's view appears to be that there are factors which affect investors' valuation of imputation credits </w:t>
      </w:r>
      <w:r w:rsidR="007E2B2D">
        <w:t>(</w:t>
      </w:r>
      <w:r>
        <w:t>as</w:t>
      </w:r>
      <w:r w:rsidR="00D01050">
        <w:t xml:space="preserve"> reflected in share prices</w:t>
      </w:r>
      <w:r w:rsidR="007E2B2D">
        <w:t>)</w:t>
      </w:r>
      <w:r>
        <w:t xml:space="preserve"> which do not affect investors' valuation of dividends</w:t>
      </w:r>
      <w:r w:rsidR="00D01050">
        <w:t>.</w:t>
      </w:r>
      <w:r w:rsidR="00D01050">
        <w:rPr>
          <w:rStyle w:val="FootnoteReference"/>
        </w:rPr>
        <w:footnoteReference w:id="273"/>
      </w:r>
      <w:r w:rsidR="00244338">
        <w:t xml:space="preserve"> </w:t>
      </w:r>
      <w:r w:rsidR="00D01050" w:rsidRPr="00D01050">
        <w:t xml:space="preserve">Therefore, it does not </w:t>
      </w:r>
      <w:r w:rsidR="00D01050">
        <w:t>appear</w:t>
      </w:r>
      <w:r w:rsidR="00D01050" w:rsidRPr="00D01050">
        <w:t xml:space="preserve"> that the </w:t>
      </w:r>
      <w:r w:rsidR="00D01050">
        <w:t>proposed</w:t>
      </w:r>
      <w:r w:rsidR="00D01050" w:rsidRPr="00D01050">
        <w:t xml:space="preserve"> adjustment</w:t>
      </w:r>
      <w:r>
        <w:rPr>
          <w:rFonts w:cs="Arial"/>
        </w:rPr>
        <w:t>—</w:t>
      </w:r>
      <w:r>
        <w:t xml:space="preserve">which only addresses </w:t>
      </w:r>
      <w:r w:rsidR="007E2B2D">
        <w:t>factors which affect both dividends and imputation credits</w:t>
      </w:r>
      <w:r w:rsidR="007E2B2D">
        <w:rPr>
          <w:rFonts w:cs="Arial"/>
        </w:rPr>
        <w:t>—</w:t>
      </w:r>
      <w:r w:rsidR="00D01050" w:rsidRPr="00D01050">
        <w:t xml:space="preserve">would exclude the effect of </w:t>
      </w:r>
      <w:r w:rsidR="007E2B2D">
        <w:t>the factors identified by SFG as affecting just imputation credits</w:t>
      </w:r>
      <w:r w:rsidR="00D01050" w:rsidRPr="00D01050">
        <w:t>.</w:t>
      </w:r>
    </w:p>
    <w:p w:rsidR="00F93616" w:rsidRDefault="00F93616" w:rsidP="00F93616">
      <w:pPr>
        <w:pStyle w:val="Heading9"/>
      </w:pPr>
      <w:bookmarkStart w:id="95" w:name="_Ref414624721"/>
      <w:r w:rsidRPr="00F93616">
        <w:lastRenderedPageBreak/>
        <w:t>Limitations of SFG</w:t>
      </w:r>
      <w:r>
        <w:t>'s</w:t>
      </w:r>
      <w:r w:rsidRPr="00F93616">
        <w:t xml:space="preserve"> dividend drop off study</w:t>
      </w:r>
      <w:bookmarkEnd w:id="95"/>
    </w:p>
    <w:p w:rsidR="00F93616" w:rsidRDefault="00270CE0" w:rsidP="00F93616">
      <w:r w:rsidRPr="00270CE0">
        <w:t>The service providers submitted that ‘several of the general limitations [</w:t>
      </w:r>
      <w:r>
        <w:t xml:space="preserve">of implied market value studies </w:t>
      </w:r>
      <w:r w:rsidRPr="00270CE0">
        <w:t>identified in the draft decisions] do not apply to the SFG study’.</w:t>
      </w:r>
      <w:r>
        <w:rPr>
          <w:rStyle w:val="FootnoteReference"/>
        </w:rPr>
        <w:footnoteReference w:id="274"/>
      </w:r>
      <w:r w:rsidRPr="00270CE0">
        <w:t xml:space="preserve"> Below we </w:t>
      </w:r>
      <w:r w:rsidR="00552777">
        <w:t>set out</w:t>
      </w:r>
      <w:r w:rsidRPr="00270CE0">
        <w:t xml:space="preserve"> the limitations </w:t>
      </w:r>
      <w:r w:rsidR="00DC10FF">
        <w:t xml:space="preserve">that we consider apply generally to implied market value studies </w:t>
      </w:r>
      <w:r w:rsidRPr="00270CE0">
        <w:t xml:space="preserve">and consider </w:t>
      </w:r>
      <w:r w:rsidR="00DC10FF">
        <w:t>whether these apply to SFG’s dividend drop off study</w:t>
      </w:r>
      <w:r w:rsidRPr="00270CE0">
        <w:t>.</w:t>
      </w:r>
      <w:r w:rsidR="009206AF">
        <w:t xml:space="preserve"> We conclude that there is reasonable evidence to suggest that </w:t>
      </w:r>
      <w:r w:rsidR="007B6EFF">
        <w:t>several</w:t>
      </w:r>
      <w:r w:rsidR="009206AF">
        <w:t xml:space="preserve"> of the limitations do</w:t>
      </w:r>
      <w:r w:rsidR="007B6EFF">
        <w:t xml:space="preserve"> </w:t>
      </w:r>
      <w:r w:rsidR="009206AF">
        <w:t>apply to SFG's dividend drop off study.</w:t>
      </w:r>
    </w:p>
    <w:p w:rsidR="00270CE0" w:rsidRPr="00270CE0" w:rsidRDefault="00270CE0" w:rsidP="00270CE0">
      <w:pPr>
        <w:pStyle w:val="HeadingBoldBlue"/>
      </w:pPr>
      <w:r w:rsidRPr="00270CE0">
        <w:t>These studies can produce nonsensical estimates of the utilisation rate; that is, greater than one or less than zero.</w:t>
      </w:r>
    </w:p>
    <w:p w:rsidR="00270CE0" w:rsidRDefault="00552777" w:rsidP="00270CE0">
      <w:r>
        <w:t>We accept that t</w:t>
      </w:r>
      <w:r w:rsidR="00270CE0" w:rsidRPr="00270CE0">
        <w:t>his limitation does not apply to SFG’s study. Its estimate of the utilisation rate is 0.35.</w:t>
      </w:r>
    </w:p>
    <w:p w:rsidR="00270CE0" w:rsidRDefault="00270CE0" w:rsidP="00270CE0">
      <w:pPr>
        <w:pStyle w:val="HeadingBoldBlue"/>
      </w:pPr>
      <w:r w:rsidRPr="00270CE0">
        <w:t>The results of these studies can reflect factors, such as differential personal taxes and risk, which are not relevant to the utilisation rate.</w:t>
      </w:r>
    </w:p>
    <w:p w:rsidR="00270CE0" w:rsidRDefault="00270CE0" w:rsidP="00270CE0">
      <w:r w:rsidRPr="00270CE0">
        <w:t>Both Handley and Lally advised that the results from SFG’s dividend drop off study reflect these factors.</w:t>
      </w:r>
      <w:r>
        <w:rPr>
          <w:rStyle w:val="FootnoteReference"/>
        </w:rPr>
        <w:footnoteReference w:id="275"/>
      </w:r>
      <w:r w:rsidRPr="00270CE0">
        <w:t xml:space="preserve"> The service providers themselves also acknowledge</w:t>
      </w:r>
      <w:r>
        <w:t>d</w:t>
      </w:r>
      <w:r w:rsidRPr="00270CE0">
        <w:t xml:space="preserve"> this elsew</w:t>
      </w:r>
      <w:r>
        <w:t>here in their revised proposals:</w:t>
      </w:r>
      <w:r>
        <w:rPr>
          <w:rStyle w:val="FootnoteReference"/>
        </w:rPr>
        <w:footnoteReference w:id="276"/>
      </w:r>
    </w:p>
    <w:p w:rsidR="00270CE0" w:rsidRDefault="00270CE0" w:rsidP="00270CE0">
      <w:pPr>
        <w:pStyle w:val="AERquote"/>
      </w:pPr>
      <w:r>
        <w:t>…</w:t>
      </w:r>
      <w:r w:rsidRPr="00F27FC0">
        <w:t>even if the AER’s definition of theta were to be adopted, there is a relatively simple adjustment that can be made to estimates from market value studies to address this concern. As explained by Associate Professor Handley, this involves ‘grossing up’ the theta estimate from a market value study to reflect the effect of personal taxes and personal costs.</w:t>
      </w:r>
    </w:p>
    <w:p w:rsidR="00270CE0" w:rsidRDefault="00270CE0" w:rsidP="00270CE0">
      <w:r w:rsidRPr="00270CE0">
        <w:t xml:space="preserve">Therefore, we </w:t>
      </w:r>
      <w:r w:rsidR="00574A38">
        <w:t>conclude</w:t>
      </w:r>
      <w:r w:rsidRPr="00270CE0">
        <w:t xml:space="preserve"> that this limitation does apply to SFG’s study.</w:t>
      </w:r>
    </w:p>
    <w:p w:rsidR="00574A38" w:rsidRDefault="00EB61EA" w:rsidP="00EB61EA">
      <w:pPr>
        <w:pStyle w:val="HeadingBoldBlue"/>
      </w:pPr>
      <w:r w:rsidRPr="00EB61EA">
        <w:lastRenderedPageBreak/>
        <w:t>The results of these studies might not be reflective of the value of imputation credits to investors in the market as a whole.</w:t>
      </w:r>
    </w:p>
    <w:p w:rsidR="00EB61EA" w:rsidRDefault="00EB61EA" w:rsidP="00EB61EA">
      <w:r w:rsidRPr="00EB61EA">
        <w:t>SFG’s response to this point was:</w:t>
      </w:r>
      <w:r>
        <w:rPr>
          <w:rStyle w:val="FootnoteReference"/>
        </w:rPr>
        <w:footnoteReference w:id="277"/>
      </w:r>
    </w:p>
    <w:p w:rsidR="00EB61EA" w:rsidRPr="00EB61EA" w:rsidRDefault="00EB61EA" w:rsidP="00EB61EA">
      <w:pPr>
        <w:pStyle w:val="AERquote"/>
      </w:pPr>
      <w:r w:rsidRPr="00EB61EA">
        <w:t>The AER has previously argued that the increased trading volume that occurs around ex-dividend dates could potentially affect the estimates. I have previously responded to this point in great detail, explaining why, if anything, this additional trading would have the effect of increasing the estimate of theta.</w:t>
      </w:r>
    </w:p>
    <w:p w:rsidR="00EB61EA" w:rsidRDefault="00EB61EA" w:rsidP="00EB61EA">
      <w:pPr>
        <w:pStyle w:val="AERquote"/>
      </w:pPr>
      <w:r w:rsidRPr="00EB61EA">
        <w:t>I have previously addressed this issue at pp. 31-32 of SFG (2014 Gamma) and at ENA (2013), Section 7.9, pp.119-123.</w:t>
      </w:r>
    </w:p>
    <w:p w:rsidR="00EB61EA" w:rsidRDefault="00EB61EA" w:rsidP="00EB61EA">
      <w:r w:rsidRPr="00EB61EA">
        <w:t>The ENA (2013) report referred to by SFG was a response to our draft rate of return guideline. Lally reviewed our draft guideline and the ENA response. His conclusion was:</w:t>
      </w:r>
      <w:r>
        <w:rPr>
          <w:rStyle w:val="FootnoteReference"/>
        </w:rPr>
        <w:footnoteReference w:id="278"/>
      </w:r>
    </w:p>
    <w:p w:rsidR="00EB61EA" w:rsidRPr="00EB61EA" w:rsidRDefault="00EB61EA" w:rsidP="00EB61EA">
      <w:pPr>
        <w:pStyle w:val="AERquote"/>
      </w:pPr>
      <w:r w:rsidRPr="00EB61EA">
        <w:t>The AER’s third approach to estimating [the utilisation rate] involves estimates derived from market prices (AER, 2013, pp. 133-134, 239-247). The AER does not consider that these estimates are useful for a number of reasons.</w:t>
      </w:r>
    </w:p>
    <w:p w:rsidR="00EB61EA" w:rsidRPr="00EB61EA" w:rsidRDefault="00EB61EA" w:rsidP="00EB61EA">
      <w:pPr>
        <w:pStyle w:val="AERquote"/>
      </w:pPr>
      <w:r w:rsidRPr="00EB61EA">
        <w:t>…</w:t>
      </w:r>
    </w:p>
    <w:p w:rsidR="00EB61EA" w:rsidRDefault="00EB61EA" w:rsidP="00EB61EA">
      <w:pPr>
        <w:pStyle w:val="AERquote"/>
      </w:pPr>
      <w:r w:rsidRPr="00EB61EA">
        <w:t>I concur with all of these concerns, and I have additional concerns about these studies or their interpretation.</w:t>
      </w:r>
    </w:p>
    <w:p w:rsidR="00EB61EA" w:rsidRDefault="00EB61EA" w:rsidP="00EB61EA">
      <w:r w:rsidRPr="00EB61EA">
        <w:t>Regarding the particular limitation at hand, Lally noted:</w:t>
      </w:r>
      <w:r w:rsidR="0097527D">
        <w:rPr>
          <w:rStyle w:val="FootnoteReference"/>
        </w:rPr>
        <w:footnoteReference w:id="279"/>
      </w:r>
    </w:p>
    <w:p w:rsidR="00EB61EA" w:rsidRDefault="0097527D" w:rsidP="0097527D">
      <w:pPr>
        <w:pStyle w:val="AERquote"/>
      </w:pPr>
      <w:r w:rsidRPr="0097527D">
        <w:t>Tenthly, although the utilisation rate is a value-weighted average over all investors in the market, the use of market prices will produce an estimate that reflects the tax position, transactions costs and motives of those investors who transact at the relevant times (such as tax arbitrageurs) and these investors may be quite unrepresentative of the entire market.</w:t>
      </w:r>
    </w:p>
    <w:p w:rsidR="0097527D" w:rsidRDefault="00FE1608" w:rsidP="0097527D">
      <w:r w:rsidRPr="00FE1608">
        <w:t>And on the effect of trading around the ex-dividend date</w:t>
      </w:r>
      <w:r>
        <w:t>, Lally noted</w:t>
      </w:r>
      <w:r w:rsidRPr="00FE1608">
        <w:t>:</w:t>
      </w:r>
      <w:r w:rsidR="004A53D2">
        <w:rPr>
          <w:rStyle w:val="FootnoteReference"/>
        </w:rPr>
        <w:footnoteReference w:id="280"/>
      </w:r>
    </w:p>
    <w:p w:rsidR="00FE1608" w:rsidRDefault="00FE1608" w:rsidP="00FE1608">
      <w:pPr>
        <w:pStyle w:val="AERquote"/>
      </w:pPr>
      <w:r w:rsidRPr="00FE1608">
        <w:t>In respect of tax arbitrage around dividend ex-days, the ENA (2013, section 7.9) argues that this would lead to [the utilisation rate] being overestimated by such studies (because these arbitrageurs would tend to drive up the prices of shares with large imputation credits prior to ex-day in the course of buying them, and then depress them shortly afterwards in the course of selling them).  This point would be plausible if tax considerations fully explained ex-dividend day results.  However, as described above, this is not the case.</w:t>
      </w:r>
    </w:p>
    <w:p w:rsidR="00342F27" w:rsidRPr="00342F27" w:rsidRDefault="00342F27" w:rsidP="00342F27">
      <w:r w:rsidRPr="00342F27">
        <w:lastRenderedPageBreak/>
        <w:t>Thus, Lally appeared unconvinced by the ENA’s views and provided no indication that SFG’s study (or any implied market value study) should necessarily be deemed free of this limitation.</w:t>
      </w:r>
    </w:p>
    <w:p w:rsidR="00FE1608" w:rsidRDefault="00342F27" w:rsidP="00342F27">
      <w:r w:rsidRPr="00342F27">
        <w:t>Handley also appeared unconvinced by the views of SFG in its 2014 report on this limitation, noting in his September 2014 report:</w:t>
      </w:r>
      <w:r>
        <w:rPr>
          <w:rStyle w:val="FootnoteReference"/>
        </w:rPr>
        <w:footnoteReference w:id="281"/>
      </w:r>
    </w:p>
    <w:p w:rsidR="00342F27" w:rsidRDefault="001C0549" w:rsidP="001C0549">
      <w:pPr>
        <w:pStyle w:val="AERquote"/>
      </w:pPr>
      <w:r w:rsidRPr="001C0549">
        <w:t>…there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362F8C" w:rsidRDefault="00A075FC" w:rsidP="00362F8C">
      <w:r>
        <w:t>Handley reiterate</w:t>
      </w:r>
      <w:r w:rsidR="00D463CA">
        <w:t>d</w:t>
      </w:r>
      <w:r>
        <w:t xml:space="preserve"> this view in his </w:t>
      </w:r>
      <w:r w:rsidR="003E38A3">
        <w:t>April</w:t>
      </w:r>
      <w:r>
        <w:t xml:space="preserve"> 2015 report.</w:t>
      </w:r>
      <w:r>
        <w:rPr>
          <w:rStyle w:val="FootnoteReference"/>
        </w:rPr>
        <w:footnoteReference w:id="282"/>
      </w:r>
    </w:p>
    <w:p w:rsidR="00A075FC" w:rsidRDefault="00A075FC" w:rsidP="00362F8C">
      <w:r w:rsidRPr="00A075FC">
        <w:t xml:space="preserve">Finally, we note the South Australian Centre for Economic Studies recommended disregarding evidence from all </w:t>
      </w:r>
      <w:r w:rsidR="0062184D">
        <w:t>dividend drop off</w:t>
      </w:r>
      <w:r w:rsidRPr="00A075FC">
        <w:t xml:space="preserve"> studies due to this limitation entirely:</w:t>
      </w:r>
      <w:r>
        <w:rPr>
          <w:rStyle w:val="FootnoteReference"/>
        </w:rPr>
        <w:footnoteReference w:id="283"/>
      </w:r>
    </w:p>
    <w:p w:rsidR="00A075FC" w:rsidRPr="00A075FC" w:rsidRDefault="00A075FC" w:rsidP="00A075FC">
      <w:pPr>
        <w:pStyle w:val="AERquote"/>
      </w:pPr>
      <w:r w:rsidRPr="00A075FC">
        <w:t>The studies included by SFG consulting in their review of estimates for theta all appear to be of good quality and are undertaken in a manner which reflects the current best practice in the literature.</w:t>
      </w:r>
    </w:p>
    <w:p w:rsidR="00A075FC" w:rsidRPr="00A075FC" w:rsidRDefault="00A075FC" w:rsidP="00A075FC">
      <w:pPr>
        <w:pStyle w:val="AERquote"/>
      </w:pPr>
      <w:r w:rsidRPr="00A075FC">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A075FC" w:rsidRPr="00A075FC" w:rsidRDefault="00A075FC" w:rsidP="00A075FC">
      <w:pPr>
        <w:pStyle w:val="AERquote"/>
      </w:pPr>
      <w:r w:rsidRPr="00A075FC">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A075FC" w:rsidRDefault="00A075FC" w:rsidP="00A075FC">
      <w:pPr>
        <w:pStyle w:val="AERquote"/>
      </w:pPr>
      <w:r w:rsidRPr="00A075FC">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4D6693">
        <w:rPr>
          <w:rStyle w:val="Strong"/>
        </w:rPr>
        <w:t>we recommend that estimates derived from dropped dividend studies be disregarded</w:t>
      </w:r>
      <w:r w:rsidRPr="00A075FC">
        <w:t>.</w:t>
      </w:r>
    </w:p>
    <w:p w:rsidR="007E4FA2" w:rsidRDefault="007E4FA2" w:rsidP="007E4FA2">
      <w:r w:rsidRPr="007E4FA2">
        <w:lastRenderedPageBreak/>
        <w:t>We consider that there is sufficient evidence in the expert views quoted above to suggest that SFG</w:t>
      </w:r>
      <w:r>
        <w:t>'s dividend drop off</w:t>
      </w:r>
      <w:r w:rsidRPr="007E4FA2">
        <w:t xml:space="preserve"> study </w:t>
      </w:r>
      <w:r w:rsidR="008B7B67">
        <w:t>is</w:t>
      </w:r>
      <w:r w:rsidR="008B7B67" w:rsidRPr="007E4FA2">
        <w:t xml:space="preserve"> </w:t>
      </w:r>
      <w:r w:rsidRPr="007E4FA2">
        <w:t>subject to this limitation.</w:t>
      </w:r>
    </w:p>
    <w:p w:rsidR="00C92457" w:rsidRDefault="00D93A8B" w:rsidP="00D93A8B">
      <w:pPr>
        <w:pStyle w:val="HeadingBoldBlue"/>
      </w:pPr>
      <w:r>
        <w:t>These studies can be data intensive and employ complex and sometimes problematic estimation methodologies.</w:t>
      </w:r>
    </w:p>
    <w:p w:rsidR="009206AF" w:rsidRDefault="009206AF" w:rsidP="00F13198">
      <w:r>
        <w:t>We consider the</w:t>
      </w:r>
      <w:r w:rsidR="00F13198">
        <w:t xml:space="preserve"> idea that the SFG dividend drop off study is data intensive </w:t>
      </w:r>
      <w:r>
        <w:t xml:space="preserve">is evident in </w:t>
      </w:r>
      <w:r w:rsidR="000364F9">
        <w:t xml:space="preserve">pages 4 to 14 of the 2011 version of that study and </w:t>
      </w:r>
      <w:r>
        <w:t xml:space="preserve">section 3 of </w:t>
      </w:r>
      <w:r w:rsidR="000364F9">
        <w:t>the updated 2013 version</w:t>
      </w:r>
      <w:r>
        <w:t>.</w:t>
      </w:r>
      <w:r>
        <w:rPr>
          <w:rStyle w:val="FootnoteReference"/>
        </w:rPr>
        <w:footnoteReference w:id="284"/>
      </w:r>
    </w:p>
    <w:p w:rsidR="000364F9" w:rsidRDefault="0019613E" w:rsidP="000364F9">
      <w:r>
        <w:t>Regarding whether</w:t>
      </w:r>
      <w:r w:rsidR="009206AF">
        <w:t xml:space="preserve"> the SFG study employs a complex and potentially problematic estimation methodology</w:t>
      </w:r>
      <w:r>
        <w:t>, we have regard</w:t>
      </w:r>
      <w:r w:rsidR="009206AF">
        <w:t xml:space="preserve"> </w:t>
      </w:r>
      <w:r>
        <w:t>to</w:t>
      </w:r>
      <w:r w:rsidR="000364F9">
        <w:t xml:space="preserve"> the views </w:t>
      </w:r>
      <w:r w:rsidR="004E3E86">
        <w:t>on dividend drop off studies expressed by</w:t>
      </w:r>
      <w:r w:rsidR="000364F9">
        <w:t xml:space="preserve"> academics and other regulators. A wide selection of these views is set out in section </w:t>
      </w:r>
      <w:r w:rsidR="000364F9">
        <w:fldChar w:fldCharType="begin"/>
      </w:r>
      <w:r w:rsidR="000364F9">
        <w:instrText xml:space="preserve"> REF _Ref414619467 \r \h </w:instrText>
      </w:r>
      <w:r w:rsidR="000364F9">
        <w:fldChar w:fldCharType="separate"/>
      </w:r>
      <w:r w:rsidR="003F0AA6">
        <w:t>A.14.6</w:t>
      </w:r>
      <w:r w:rsidR="000364F9">
        <w:fldChar w:fldCharType="end"/>
      </w:r>
      <w:r w:rsidR="000364F9">
        <w:t xml:space="preserve"> below. </w:t>
      </w:r>
      <w:r w:rsidR="004E3E86">
        <w:t>All but one of these</w:t>
      </w:r>
      <w:r w:rsidR="000364F9">
        <w:t xml:space="preserve"> views were expressed subsequent to SFG's dividend drop off study.</w:t>
      </w:r>
      <w:r>
        <w:t xml:space="preserve"> It is not clear why </w:t>
      </w:r>
      <w:r w:rsidR="0044152D">
        <w:t>experts</w:t>
      </w:r>
      <w:r>
        <w:t xml:space="preserve"> would </w:t>
      </w:r>
      <w:r w:rsidR="001B5415">
        <w:t>continue to canvass the</w:t>
      </w:r>
      <w:r>
        <w:t xml:space="preserve"> methodological issues associated with dividend drop off studies in general if </w:t>
      </w:r>
      <w:r w:rsidR="00952246">
        <w:t>SFG's dividend drop off</w:t>
      </w:r>
      <w:r w:rsidR="000A4A5A">
        <w:t xml:space="preserve"> study</w:t>
      </w:r>
      <w:r>
        <w:t xml:space="preserve"> overcame these issue</w:t>
      </w:r>
      <w:r w:rsidR="008E03C8">
        <w:t>s</w:t>
      </w:r>
      <w:r>
        <w:t>.</w:t>
      </w:r>
      <w:r w:rsidR="00871D70">
        <w:t xml:space="preserve"> This notwithstanding, we also have regard to the </w:t>
      </w:r>
      <w:r w:rsidR="00494C30">
        <w:t>Tribunal's acceptance of the results from</w:t>
      </w:r>
      <w:r w:rsidR="00871D70">
        <w:t xml:space="preserve"> SFG's dividend drop off study </w:t>
      </w:r>
      <w:r w:rsidR="00494C30">
        <w:t>in 2011</w:t>
      </w:r>
      <w:r w:rsidR="004C5678">
        <w:t>.</w:t>
      </w:r>
    </w:p>
    <w:p w:rsidR="006C6748" w:rsidRDefault="006C6748" w:rsidP="000364F9">
      <w:r>
        <w:t xml:space="preserve">Therefore, we consider that there is evidence </w:t>
      </w:r>
      <w:r w:rsidR="004C5678">
        <w:t>both for and against</w:t>
      </w:r>
      <w:r>
        <w:t xml:space="preserve"> </w:t>
      </w:r>
      <w:r w:rsidR="004C5678">
        <w:t xml:space="preserve">the idea that </w:t>
      </w:r>
      <w:r>
        <w:t>this limitation applies to SFG's dividend drop off study.</w:t>
      </w:r>
    </w:p>
    <w:p w:rsidR="00F13198" w:rsidRDefault="00F13198" w:rsidP="00F13198">
      <w:pPr>
        <w:pStyle w:val="HeadingBoldBlue"/>
      </w:pPr>
      <w:r>
        <w:t>It is only the value of the combined package of dividends and imputation credits that can be observed in the market, and there is no consensus among experts on how to separate the value to the market of dividends from the value to the market of imputation credits.</w:t>
      </w:r>
    </w:p>
    <w:p w:rsidR="00F13198" w:rsidRPr="007E4FA2" w:rsidRDefault="00F13198" w:rsidP="00F13198">
      <w:r>
        <w:t xml:space="preserve">Firstly, we note that it </w:t>
      </w:r>
      <w:r w:rsidR="00BD7A68">
        <w:t>is</w:t>
      </w:r>
      <w:r>
        <w:t xml:space="preserve"> strictly incorrect to say that the value of the combined package of dividends and imputation credits can be 'observed'</w:t>
      </w:r>
      <w:r w:rsidR="00BD7A68">
        <w:t>. This is</w:t>
      </w:r>
      <w:r>
        <w:t xml:space="preserve"> because this value is actually estimated based on assumptions </w:t>
      </w:r>
      <w:r w:rsidR="00C468CA">
        <w:t>about what</w:t>
      </w:r>
      <w:r>
        <w:t xml:space="preserve"> the ex-dividend price change</w:t>
      </w:r>
      <w:r w:rsidR="00C468CA">
        <w:t xml:space="preserve"> represents</w:t>
      </w:r>
      <w:r>
        <w:t xml:space="preserve">. In any case, </w:t>
      </w:r>
      <w:r w:rsidR="00C468CA">
        <w:t>because imputation credits are only ever distributed with franked dividends, all dividend drop off studies must make this allocation/separation. Therefore this limitation applies to SFG's dividend drop off study.</w:t>
      </w:r>
    </w:p>
    <w:p w:rsidR="00EF42E6" w:rsidRDefault="00EF42E6" w:rsidP="00FD5BE7">
      <w:pPr>
        <w:pStyle w:val="Heading9"/>
      </w:pPr>
      <w:bookmarkStart w:id="96" w:name="_Ref402180002"/>
      <w:bookmarkStart w:id="97" w:name="_Ref414619467"/>
      <w:r>
        <w:t xml:space="preserve">The views of </w:t>
      </w:r>
      <w:r w:rsidRPr="00FD5BE7">
        <w:t>academics</w:t>
      </w:r>
      <w:r>
        <w:t xml:space="preserve"> and other regulators</w:t>
      </w:r>
      <w:bookmarkEnd w:id="96"/>
      <w:r w:rsidR="00F93616">
        <w:t xml:space="preserve"> on dividend drop off studies</w:t>
      </w:r>
      <w:bookmarkEnd w:id="97"/>
    </w:p>
    <w:p w:rsidR="00B468B2" w:rsidRDefault="00EF42E6" w:rsidP="00B468B2">
      <w:pPr>
        <w:numPr>
          <w:ilvl w:val="0"/>
          <w:numId w:val="25"/>
        </w:numPr>
      </w:pPr>
      <w:r>
        <w:t xml:space="preserve">A number of academics and regulators have recognised the limitations of dividend drop off studies. Moreover, many of these concerns continue to be expressed even after the </w:t>
      </w:r>
      <w:r w:rsidR="00446536">
        <w:t>first version of SFG's dividend drop off study</w:t>
      </w:r>
      <w:r>
        <w:t xml:space="preserve"> in 2011 (which was relied upon by the Tribunal in the Energex matter), and the 2013 update of that study (which was relied upon in service </w:t>
      </w:r>
      <w:r>
        <w:lastRenderedPageBreak/>
        <w:t>providers' current proposals).</w:t>
      </w:r>
      <w:r>
        <w:rPr>
          <w:rStyle w:val="FootnoteReference"/>
        </w:rPr>
        <w:footnoteReference w:id="285"/>
      </w:r>
      <w:r>
        <w:t xml:space="preserve"> The comments of academics and other regulators </w:t>
      </w:r>
      <w:r w:rsidR="00FD5BE7">
        <w:t xml:space="preserve">support the lesser reliance we place on </w:t>
      </w:r>
      <w:r w:rsidR="00446536">
        <w:t>SFG's dividend drop off study</w:t>
      </w:r>
      <w:r w:rsidR="00FD5BE7">
        <w:t xml:space="preserve"> in estimating the utilisation rate. </w:t>
      </w:r>
    </w:p>
    <w:p w:rsidR="00EF42E6" w:rsidRDefault="0006207D" w:rsidP="00B468B2">
      <w:pPr>
        <w:numPr>
          <w:ilvl w:val="0"/>
          <w:numId w:val="25"/>
        </w:numPr>
      </w:pPr>
      <w:r>
        <w:t>Some a</w:t>
      </w:r>
      <w:r w:rsidR="00BD6358">
        <w:t>cademics have identified a</w:t>
      </w:r>
      <w:r w:rsidR="00EF42E6">
        <w:t xml:space="preserve"> </w:t>
      </w:r>
      <w:r w:rsidR="00B468B2">
        <w:t>number of practical and methodological issues</w:t>
      </w:r>
      <w:r w:rsidR="00EF42E6">
        <w:t>:</w:t>
      </w:r>
    </w:p>
    <w:p w:rsidR="00EF42E6" w:rsidRPr="00EF42E6" w:rsidRDefault="00EF42E6" w:rsidP="00EF42E6">
      <w:pPr>
        <w:pStyle w:val="AERbulletlistfirststyle"/>
      </w:pPr>
      <w:r>
        <w:t>Cannavan, Finn and Gray (2004):</w:t>
      </w:r>
      <w:r w:rsidRPr="00EF42E6">
        <w:rPr>
          <w:rStyle w:val="FootnoteReference"/>
        </w:rPr>
        <w:footnoteReference w:id="286"/>
      </w:r>
    </w:p>
    <w:p w:rsidR="00EF42E6" w:rsidRDefault="00EF42E6" w:rsidP="00EF42E6">
      <w:pPr>
        <w:pStyle w:val="AERquote"/>
      </w:pPr>
      <w:r>
        <w:t>…</w:t>
      </w:r>
      <w:r w:rsidRPr="00127A09">
        <w:t>it is unlikely that the tradi</w:t>
      </w:r>
      <w:r>
        <w:t xml:space="preserve">tional ex-dividend day drop-off </w:t>
      </w:r>
      <w:r w:rsidRPr="00127A09">
        <w:t xml:space="preserve">methodology will be able to separately identify </w:t>
      </w:r>
      <w:r>
        <w:t>the value of cash dividends and imputation credits.</w:t>
      </w:r>
    </w:p>
    <w:p w:rsidR="00EF42E6" w:rsidRPr="00EF42E6" w:rsidRDefault="00EF42E6" w:rsidP="00EF42E6">
      <w:pPr>
        <w:pStyle w:val="AERbulletlistfirststyle"/>
      </w:pPr>
      <w:r>
        <w:t>Siau, Sault and Warren (2013):</w:t>
      </w:r>
      <w:r w:rsidRPr="00EF42E6">
        <w:rPr>
          <w:rStyle w:val="FootnoteReference"/>
        </w:rPr>
        <w:footnoteReference w:id="287"/>
      </w:r>
    </w:p>
    <w:p w:rsidR="00EF42E6" w:rsidRPr="00B749AE" w:rsidRDefault="00EF42E6" w:rsidP="00EF42E6">
      <w:pPr>
        <w:pStyle w:val="AERquote"/>
      </w:pPr>
      <w:r w:rsidRPr="007E336D">
        <w:t xml:space="preserve">Despite a large number </w:t>
      </w:r>
      <w:r>
        <w:t xml:space="preserve">of studies, the market value of </w:t>
      </w:r>
      <w:r w:rsidRPr="007E336D">
        <w:t>imputation credits remains broadly disputed (see, for example, Gr</w:t>
      </w:r>
      <w:r>
        <w:t xml:space="preserve">ay and Hall, 2006; Lally, 2008; </w:t>
      </w:r>
      <w:r w:rsidRPr="007E336D">
        <w:t>Partington and Truong, 2008; Gray, 2008). The majority of empirical s</w:t>
      </w:r>
      <w:r>
        <w:t xml:space="preserve">tudies have drawn inferences by </w:t>
      </w:r>
      <w:r w:rsidRPr="007E336D">
        <w:t>focusing on the pricing of dividend distributions. This includes analysis of stock p</w:t>
      </w:r>
      <w:r>
        <w:t xml:space="preserve">rice declines around ex-dividend </w:t>
      </w:r>
      <w:r w:rsidRPr="007E336D">
        <w:t xml:space="preserve">dates (‘ex-dividend drop-off studies’); and comparative pricing </w:t>
      </w:r>
      <w:r>
        <w:t xml:space="preserve">of instruments that differ only </w:t>
      </w:r>
      <w:r w:rsidRPr="007E336D">
        <w:t>in their dividend and imputation entitlements.</w:t>
      </w:r>
      <w:r>
        <w:t xml:space="preserve"> </w:t>
      </w:r>
      <w:r w:rsidRPr="00B749AE">
        <w:t>These studies are subject</w:t>
      </w:r>
      <w:r>
        <w:t xml:space="preserve"> to a number of issues, such as </w:t>
      </w:r>
      <w:r w:rsidRPr="00B749AE">
        <w:t>imprecise estimates that may be influenced by the presence of short-ter</w:t>
      </w:r>
      <w:r>
        <w:t xml:space="preserve">m traders arbitraging dividends </w:t>
      </w:r>
      <w:r w:rsidRPr="00B749AE">
        <w:t xml:space="preserve">and limited samples in the case of comparative studies. </w:t>
      </w:r>
    </w:p>
    <w:p w:rsidR="00EF42E6" w:rsidRPr="005906BA" w:rsidRDefault="00EF42E6" w:rsidP="00EF42E6">
      <w:pPr>
        <w:pStyle w:val="AERquote"/>
      </w:pPr>
      <w:r>
        <w:t>…</w:t>
      </w:r>
    </w:p>
    <w:p w:rsidR="00EF42E6" w:rsidRDefault="00EF42E6" w:rsidP="00EF42E6">
      <w:pPr>
        <w:pStyle w:val="AERquote"/>
      </w:pPr>
      <w:r w:rsidRPr="00B749AE">
        <w:t>The variability of estimates joins with issues over design to cast so</w:t>
      </w:r>
      <w:r>
        <w:t xml:space="preserve">me doubt over estimates for the </w:t>
      </w:r>
      <w:r w:rsidRPr="00B749AE">
        <w:t>market value of imputation credits arising from drop-off studies. A key metho</w:t>
      </w:r>
      <w:r>
        <w:t xml:space="preserve">dological issue is that price </w:t>
      </w:r>
      <w:r w:rsidRPr="00B749AE">
        <w:t>movements around ex-dividend events encapsulate not only the tax di</w:t>
      </w:r>
      <w:r>
        <w:t xml:space="preserve">fferential effect, but may also </w:t>
      </w:r>
      <w:r w:rsidRPr="00B749AE">
        <w:t>reflect the presence of traders seeking to arbitrage dividends and noise a</w:t>
      </w:r>
      <w:r>
        <w:t xml:space="preserve">ssociated with trading activity </w:t>
      </w:r>
      <w:r w:rsidRPr="00B749AE">
        <w:t>around ex-dividend dates. Drop-off ratios can be distorted by the</w:t>
      </w:r>
      <w:r>
        <w:t xml:space="preserve"> need to compensate traders for </w:t>
      </w:r>
      <w:r w:rsidRPr="00B749AE">
        <w:t>transaction costs (Eades, Hess, and Kim ,1984); Lakonishok and Vermael</w:t>
      </w:r>
      <w:r>
        <w:t xml:space="preserve">en, 1986; Karpoff and Walkling, </w:t>
      </w:r>
      <w:r w:rsidRPr="00B749AE">
        <w:t>1988, 1990; Bali and Francis, 2011); or the risk involved (Fedenia and Grammat</w:t>
      </w:r>
      <w:r>
        <w:t xml:space="preserve">ikos, 1993; Grammatikos, </w:t>
      </w:r>
      <w:r w:rsidRPr="00B749AE">
        <w:t>1989; Heath and Jarrow, 1988; Michaely and Vila, 1995). Transaction co</w:t>
      </w:r>
      <w:r>
        <w:t xml:space="preserve">sts may be substantial, and can </w:t>
      </w:r>
      <w:r w:rsidRPr="00B749AE">
        <w:t>drive the drop-off ratio below one (Kalay 1982, 1984; Boyd</w:t>
      </w:r>
      <w:r>
        <w:t xml:space="preserve"> and Jagannathan, 1994). Market </w:t>
      </w:r>
      <w:r w:rsidRPr="00B749AE">
        <w:t xml:space="preserve">microstructure effects may also complicate estimation of market value, </w:t>
      </w:r>
      <w:r>
        <w:t xml:space="preserve">as discrete tick sizes can bias </w:t>
      </w:r>
      <w:r w:rsidRPr="00B749AE">
        <w:t>drop-off ratios downwards (Dubof</w:t>
      </w:r>
      <w:r>
        <w:t>sky, 1992; Bali and Hite, 1998).</w:t>
      </w:r>
    </w:p>
    <w:p w:rsidR="00EF42E6" w:rsidRDefault="00EF42E6" w:rsidP="00EF42E6">
      <w:pPr>
        <w:pStyle w:val="AERquote"/>
      </w:pPr>
      <w:r w:rsidRPr="00AC4A58">
        <w:t xml:space="preserve">A further key methodological issue is the difficulty in attributing the </w:t>
      </w:r>
      <w:r>
        <w:t xml:space="preserve">observed drop-off value between </w:t>
      </w:r>
      <w:r w:rsidRPr="00AC4A58">
        <w:t xml:space="preserve">cash dividends and imputation credits. Dempsey and Partington </w:t>
      </w:r>
      <w:r w:rsidRPr="00AC4A58">
        <w:lastRenderedPageBreak/>
        <w:t>(200</w:t>
      </w:r>
      <w:r>
        <w:t xml:space="preserve">8) nominate this identification </w:t>
      </w:r>
      <w:r w:rsidRPr="00AC4A58">
        <w:t>problem as a serious limitation of ex-dividend drop-off studies. Dr</w:t>
      </w:r>
      <w:r>
        <w:t xml:space="preserve">op-off studies are afflicted by </w:t>
      </w:r>
      <w:r w:rsidRPr="00AC4A58">
        <w:t>multicollinearity issues. Cannavan et al. (2004) and Bellamy and Gra</w:t>
      </w:r>
      <w:r>
        <w:t xml:space="preserve">y (2006) reveal that imputation </w:t>
      </w:r>
      <w:r w:rsidRPr="00AC4A58">
        <w:t>credits are nearly perfectly collinear with their respective cash di</w:t>
      </w:r>
      <w:r>
        <w:t xml:space="preserve">vidends. This is exacerbated by </w:t>
      </w:r>
      <w:r w:rsidRPr="00AC4A58">
        <w:t xml:space="preserve">corporate tax rates being almost constant and partially-franked dividends being </w:t>
      </w:r>
      <w:r>
        <w:t xml:space="preserve">the exception rather </w:t>
      </w:r>
      <w:r w:rsidRPr="00AC4A58">
        <w:t>than the norm. Gray (2008) points out that the value attributed to imput</w:t>
      </w:r>
      <w:r>
        <w:t xml:space="preserve">ation credits is conditional on </w:t>
      </w:r>
      <w:r w:rsidRPr="00AC4A58">
        <w:t>the assumed value on cash dividends by design, to the extent that they are supplementary components within a single package. This notion is reinforced by evidence of of</w:t>
      </w:r>
      <w:r>
        <w:t xml:space="preserve">fsetting variation in the value </w:t>
      </w:r>
      <w:r w:rsidRPr="00AC4A58">
        <w:t>attributed to dividends and imputation credits across samples (see Bella</w:t>
      </w:r>
      <w:r>
        <w:t>my and Gray, 2006; Gray, 2008).</w:t>
      </w:r>
    </w:p>
    <w:p w:rsidR="00EF42E6" w:rsidRPr="00EF42E6" w:rsidRDefault="00EF42E6" w:rsidP="00EF42E6">
      <w:pPr>
        <w:pStyle w:val="AERbulletlistfirststyle"/>
      </w:pPr>
      <w:r>
        <w:t>McKenzie and Partington (2013):</w:t>
      </w:r>
      <w:r w:rsidRPr="00EF42E6">
        <w:rPr>
          <w:rStyle w:val="FootnoteReference"/>
        </w:rPr>
        <w:footnoteReference w:id="288"/>
      </w:r>
    </w:p>
    <w:p w:rsidR="00EF42E6" w:rsidRDefault="00EF42E6" w:rsidP="00EF42E6">
      <w:pPr>
        <w:pStyle w:val="AERquote"/>
      </w:pPr>
      <w:r w:rsidRPr="00FA5259">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w:t>
      </w:r>
      <w:r>
        <w:t>g credits is a major challenge.</w:t>
      </w:r>
    </w:p>
    <w:p w:rsidR="00EF42E6" w:rsidRDefault="00EF42E6" w:rsidP="00EF42E6">
      <w:pPr>
        <w:pStyle w:val="AERquote"/>
      </w:pPr>
      <w:r w:rsidRPr="00ED2709">
        <w:t xml:space="preserve">It is well understood that the market value of the package of </w:t>
      </w:r>
      <w:r>
        <w:t xml:space="preserve">dividends and franking credits  </w:t>
      </w:r>
      <w:r w:rsidRPr="00ED2709">
        <w:t>mixes together not just dividends and credits, but the effec</w:t>
      </w:r>
      <w:r>
        <w:t xml:space="preserve">ts of income and capital gains </w:t>
      </w:r>
      <w:r w:rsidRPr="00ED2709">
        <w:t xml:space="preserve">taxes, transactions costs, discounting for time and risk and </w:t>
      </w:r>
      <w:r>
        <w:t xml:space="preserve">possibly market microstructure </w:t>
      </w:r>
      <w:r w:rsidRPr="00ED2709">
        <w:t>effects as well. This leads to what we call the allocation pro</w:t>
      </w:r>
      <w:r>
        <w:t xml:space="preserve">blem. That is how we attribute </w:t>
      </w:r>
      <w:r w:rsidRPr="00ED2709">
        <w:t>the value consequence of these effects between the value</w:t>
      </w:r>
      <w:r>
        <w:t xml:space="preserve"> of dividends and the value of </w:t>
      </w:r>
      <w:r w:rsidRPr="00ED2709">
        <w:t>franking credits. All methods of splitting up the package value of dividen</w:t>
      </w:r>
      <w:r>
        <w:t xml:space="preserve">ds and franking </w:t>
      </w:r>
      <w:r w:rsidRPr="00ED2709">
        <w:t>credit involve an explicit or implicit allocation. The problem wit</w:t>
      </w:r>
      <w:r>
        <w:t xml:space="preserve">h allocations is that by their </w:t>
      </w:r>
      <w:r w:rsidRPr="00ED2709">
        <w:t>nature they are arbitrary. Thus, separating out the estimated va</w:t>
      </w:r>
      <w:r>
        <w:t xml:space="preserve">lue of the franking credits is </w:t>
      </w:r>
      <w:r w:rsidRPr="00ED2709">
        <w:t>also a major challenge.</w:t>
      </w:r>
    </w:p>
    <w:p w:rsidR="00EF42E6" w:rsidRPr="00ED2709" w:rsidRDefault="00EF42E6" w:rsidP="00EF42E6">
      <w:pPr>
        <w:pStyle w:val="AERquote"/>
      </w:pPr>
      <w:r w:rsidRPr="00ED2709">
        <w:t xml:space="preserve">One approach to the estimation of the value of dividends and </w:t>
      </w:r>
      <w:r>
        <w:t xml:space="preserve">franking credits is to measure </w:t>
      </w:r>
      <w:r w:rsidRPr="00ED2709">
        <w:t xml:space="preserve">the price drop when the stock goes ex-dividend. It is on the </w:t>
      </w:r>
      <w:r>
        <w:t xml:space="preserve">basis of </w:t>
      </w:r>
      <w:r w:rsidR="006205BB">
        <w:t xml:space="preserve">[SFG's dividend drop off study] </w:t>
      </w:r>
      <w:r w:rsidRPr="00ED2709">
        <w:t>that theta was taken to be 0.35 and hence the value of gamma is given by 0.7 x 0.35, which</w:t>
      </w:r>
      <w:r>
        <w:t xml:space="preserve"> </w:t>
      </w:r>
      <w:r w:rsidRPr="00ED2709">
        <w:t>rounded up furnishes a value of 0.25 or 25%.</w:t>
      </w:r>
    </w:p>
    <w:p w:rsidR="00EF42E6" w:rsidRDefault="00EF42E6" w:rsidP="00EF42E6">
      <w:pPr>
        <w:pStyle w:val="AERquote"/>
      </w:pPr>
      <w:r w:rsidRPr="00ED2709">
        <w:t>We have several problems with this estimate of gamma. Fi</w:t>
      </w:r>
      <w:r>
        <w:t xml:space="preserve">rst, given the difficulties in </w:t>
      </w:r>
      <w:r w:rsidRPr="00ED2709">
        <w:t>estimating theta, the estimate of theta and hence gamma sh</w:t>
      </w:r>
      <w:r>
        <w:t xml:space="preserve">ould not be based on one study, </w:t>
      </w:r>
      <w:r w:rsidRPr="00ED2709">
        <w:t>or on one method. Rather, it should be triangulated across</w:t>
      </w:r>
      <w:r>
        <w:t xml:space="preserve"> multiple studies and multiple </w:t>
      </w:r>
      <w:r w:rsidRPr="00ED2709">
        <w:t xml:space="preserve">methods. In particular the estimate of theta should not </w:t>
      </w:r>
      <w:r>
        <w:t xml:space="preserve">just be reliant on ex-dividend </w:t>
      </w:r>
      <w:r w:rsidRPr="00ED2709">
        <w:t>studies, which are afflicted with many problems. This iss</w:t>
      </w:r>
      <w:r>
        <w:t xml:space="preserve">ue is discussed extensively in </w:t>
      </w:r>
      <w:r w:rsidRPr="00ED2709">
        <w:t>McKenzie and Partington (2010). In this paper, we argue th</w:t>
      </w:r>
      <w:r>
        <w:t xml:space="preserve">at it is very unlikely that an </w:t>
      </w:r>
      <w:r w:rsidRPr="00ED2709">
        <w:t xml:space="preserve">accurate and reliable estimate of the value of franking credits </w:t>
      </w:r>
      <w:r>
        <w:t xml:space="preserve">will come out of a traditional </w:t>
      </w:r>
      <w:r w:rsidRPr="00ED2709">
        <w:t>ex-dividend study due to a number of problems including the extremely noisy data (it is no</w:t>
      </w:r>
      <w:r>
        <w:t xml:space="preserve">t </w:t>
      </w:r>
      <w:r w:rsidRPr="00ED2709">
        <w:t>unusual to have a price movement up or down of more tha</w:t>
      </w:r>
      <w:r>
        <w:t xml:space="preserve">n twenty times the dividend on </w:t>
      </w:r>
      <w:r w:rsidRPr="00ED2709">
        <w:t>the ex-dividend day). Results are also sensitive to data filte</w:t>
      </w:r>
      <w:r>
        <w:t xml:space="preserve">ring, the choice of estimation </w:t>
      </w:r>
      <w:r w:rsidRPr="00ED2709">
        <w:t xml:space="preserve">method and whether the ex-dividend day price </w:t>
      </w:r>
      <w:r w:rsidRPr="00ED2709">
        <w:lastRenderedPageBreak/>
        <w:t xml:space="preserve">is measured at the open or </w:t>
      </w:r>
      <w:r>
        <w:t xml:space="preserve">close of trading. </w:t>
      </w:r>
      <w:r w:rsidRPr="00ED2709">
        <w:t>Biased results can also arise from market microstructure effects such as bid-ask bounce. There are also abnormal volumes and abnormal returns about the ex-dividend day, which clearly indicate that trading is abnormal about the ex-dividend date. Consequently, it is an open question whether an ex-dividend study gives a dividend</w:t>
      </w:r>
      <w:r>
        <w:t xml:space="preserve"> and franking credit valuation </w:t>
      </w:r>
      <w:r w:rsidRPr="00ED2709">
        <w:t>that reflects the clientele of investors normally holding</w:t>
      </w:r>
      <w:r>
        <w:t xml:space="preserve"> the stock. Finally, there are </w:t>
      </w:r>
      <w:r w:rsidRPr="00ED2709">
        <w:t xml:space="preserve">conceptual and econometric problems. For example, </w:t>
      </w:r>
      <w:r w:rsidR="00477251" w:rsidRPr="00ED2709">
        <w:t>multi</w:t>
      </w:r>
      <w:r w:rsidR="00477251">
        <w:t>collinearity</w:t>
      </w:r>
      <w:r>
        <w:t xml:space="preserve"> in the regression </w:t>
      </w:r>
      <w:r w:rsidRPr="00ED2709">
        <w:t>equation used to separate the value of the dividends and franking credits. Reflecting the</w:t>
      </w:r>
      <w:r>
        <w:t xml:space="preserve"> </w:t>
      </w:r>
      <w:r w:rsidRPr="00ED2709">
        <w:t>inaccuracy of the ex-dividend method and associated regr</w:t>
      </w:r>
      <w:r>
        <w:t xml:space="preserve">ession technique, the standard </w:t>
      </w:r>
      <w:r w:rsidRPr="00ED2709">
        <w:t>errors of the estimates from the regression equat</w:t>
      </w:r>
      <w:r>
        <w:t>ions are typically quite large.</w:t>
      </w:r>
    </w:p>
    <w:p w:rsidR="00EF42E6" w:rsidRPr="00EF42E6" w:rsidRDefault="00EF42E6" w:rsidP="00EF42E6">
      <w:pPr>
        <w:pStyle w:val="AERbulletlistfirststyle"/>
      </w:pPr>
      <w:r>
        <w:t>Lally (2013):</w:t>
      </w:r>
      <w:r w:rsidRPr="00EF42E6">
        <w:rPr>
          <w:rStyle w:val="FootnoteReference"/>
        </w:rPr>
        <w:footnoteReference w:id="289"/>
      </w:r>
    </w:p>
    <w:p w:rsidR="00EF42E6" w:rsidRPr="00EE1293" w:rsidRDefault="00EF42E6" w:rsidP="00EF42E6">
      <w:pPr>
        <w:pStyle w:val="AERquote"/>
      </w:pPr>
      <w:r w:rsidRPr="00EE1293">
        <w:t xml:space="preserve">The AER’s third approach to estimating </w:t>
      </w:r>
      <w:r w:rsidRPr="009E601D">
        <w:rPr>
          <w:rStyle w:val="AERtextitalic"/>
        </w:rPr>
        <w:t>U</w:t>
      </w:r>
      <w:r w:rsidRPr="00EE1293">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EF42E6" w:rsidRDefault="00EF42E6" w:rsidP="00EF42E6">
      <w:pPr>
        <w:pStyle w:val="AERquote"/>
      </w:pPr>
      <w:r w:rsidRPr="00EE1293">
        <w:t>I concur with all of these concerns, and I have additional concerns about these studies or their interpretation.</w:t>
      </w:r>
    </w:p>
    <w:p w:rsidR="0006207D" w:rsidRPr="0006207D" w:rsidRDefault="0006207D" w:rsidP="0006207D">
      <w:r>
        <w:t>Other academics have focussed on the specific issue of whether dividend drop off studies produce results that are reflective of investors in the market as a whole:</w:t>
      </w:r>
    </w:p>
    <w:p w:rsidR="00EF42E6" w:rsidRPr="00EF42E6" w:rsidRDefault="00EF42E6" w:rsidP="00EF42E6">
      <w:pPr>
        <w:pStyle w:val="AERbulletlistfirststyle"/>
      </w:pPr>
      <w:r>
        <w:t>Handley (2014):</w:t>
      </w:r>
      <w:r w:rsidRPr="00EF42E6">
        <w:rPr>
          <w:rStyle w:val="FootnoteReference"/>
        </w:rPr>
        <w:footnoteReference w:id="290"/>
      </w:r>
    </w:p>
    <w:p w:rsidR="00EF42E6" w:rsidRPr="00CF096F" w:rsidRDefault="00EF42E6" w:rsidP="00EF42E6">
      <w:pPr>
        <w:pStyle w:val="AERquote"/>
      </w:pPr>
      <w:r w:rsidRPr="00D17D55">
        <w:t xml:space="preserve">The second issue also concerns the correct interpretation </w:t>
      </w:r>
      <w:r>
        <w:t xml:space="preserve">of the regression coefficient – </w:t>
      </w:r>
      <w:r w:rsidRPr="00D17D55">
        <w:t>but at a more fundamental level. Adjusting the coef</w:t>
      </w:r>
      <w:r>
        <w:t xml:space="preserve">ficient to remove the impact of </w:t>
      </w:r>
      <w:r w:rsidRPr="00D17D55">
        <w:t>differential personal taxes and risk gives us the (aft</w:t>
      </w:r>
      <w:r>
        <w:t xml:space="preserve">er-company-before-personal-tax) </w:t>
      </w:r>
      <w:r w:rsidRPr="00D17D55">
        <w:t>value of a dollar of imputation credits but the ques</w:t>
      </w:r>
      <w:r>
        <w:t xml:space="preserve">tion is value to whom? In other </w:t>
      </w:r>
      <w:r w:rsidRPr="00D17D55">
        <w:t>words, there remains a residual concern as to wheth</w:t>
      </w:r>
      <w:r>
        <w:t xml:space="preserve">er the composition of investors </w:t>
      </w:r>
      <w:r w:rsidRPr="00D17D55">
        <w:t>around the ex-dividend date is reflective of the composit</w:t>
      </w:r>
      <w:r>
        <w:t xml:space="preserve">ion of (long term) investors in </w:t>
      </w:r>
      <w:r w:rsidRPr="00D17D55">
        <w:t>the benchmark market who supply capital to firms (inclu</w:t>
      </w:r>
      <w:r>
        <w:t xml:space="preserve">ding to the benchmark efficient </w:t>
      </w:r>
      <w:r w:rsidRPr="00D17D55">
        <w:t>entity) and therefore whether the implied value of imput</w:t>
      </w:r>
      <w:r>
        <w:t xml:space="preserve">ation credits around ex-dividend </w:t>
      </w:r>
      <w:r w:rsidRPr="00D17D55">
        <w:t>dates is representative of the value of imputa</w:t>
      </w:r>
      <w:r>
        <w:t xml:space="preserve">tion credits to the market as a </w:t>
      </w:r>
      <w:r w:rsidRPr="00D17D55">
        <w:t>whole.</w:t>
      </w:r>
    </w:p>
    <w:p w:rsidR="00FA2F53" w:rsidRDefault="00FA2F53" w:rsidP="001169CA">
      <w:pPr>
        <w:pStyle w:val="AERbulletlistfirststyle"/>
        <w:keepNext/>
      </w:pPr>
      <w:r>
        <w:lastRenderedPageBreak/>
        <w:t>South Australian Centre for Economic Studies</w:t>
      </w:r>
      <w:r w:rsidR="00AA493E">
        <w:t xml:space="preserve"> (2015)</w:t>
      </w:r>
      <w:r>
        <w:t>:</w:t>
      </w:r>
      <w:r w:rsidR="001A2B61">
        <w:rPr>
          <w:rStyle w:val="FootnoteReference"/>
        </w:rPr>
        <w:footnoteReference w:id="291"/>
      </w:r>
    </w:p>
    <w:p w:rsidR="00FA2F53" w:rsidRPr="00FA2F53" w:rsidRDefault="00FA2F53" w:rsidP="00FA2F53">
      <w:pPr>
        <w:pStyle w:val="AERquote"/>
      </w:pPr>
      <w:r w:rsidRPr="00FA2F53">
        <w:t>In order for a dividend drop-off study to provide useful evidence of the value of franking credits to a</w:t>
      </w:r>
      <w:r>
        <w:t xml:space="preserve"> </w:t>
      </w:r>
      <w:r w:rsidRPr="00FA2F53">
        <w:t>representative owner of equity three conditions need to be met:</w:t>
      </w:r>
    </w:p>
    <w:p w:rsidR="00FA2F53" w:rsidRPr="00FA2F53" w:rsidRDefault="00FA2F53" w:rsidP="00FA2F53">
      <w:pPr>
        <w:pStyle w:val="AERquotebullet1"/>
      </w:pPr>
      <w:r w:rsidRPr="00FA2F53">
        <w:t>the studies being drawn on need to be of high quality;</w:t>
      </w:r>
    </w:p>
    <w:p w:rsidR="00FA2F53" w:rsidRPr="00FA2F53" w:rsidRDefault="00FA2F53" w:rsidP="00FA2F53">
      <w:pPr>
        <w:pStyle w:val="AERquotebullet1"/>
      </w:pPr>
      <w:r w:rsidRPr="00FA2F53">
        <w:t>the equity holders who buy shares in the period after dividends are issued need to be</w:t>
      </w:r>
      <w:r>
        <w:t xml:space="preserve"> </w:t>
      </w:r>
      <w:r w:rsidRPr="00FA2F53">
        <w:t>representative of the whole class of equity holders; and</w:t>
      </w:r>
    </w:p>
    <w:p w:rsidR="00FA2F53" w:rsidRPr="00FA2F53" w:rsidRDefault="00FA2F53" w:rsidP="00FA2F53">
      <w:pPr>
        <w:pStyle w:val="AERquotebullet1"/>
      </w:pPr>
      <w:r w:rsidRPr="00FA2F53">
        <w:t>the equity for which data is drawn on for the dividend drop off study needs to be representative of</w:t>
      </w:r>
      <w:r>
        <w:t xml:space="preserve"> </w:t>
      </w:r>
      <w:r w:rsidRPr="00FA2F53">
        <w:t>the overall stock of equity in the Australian economy</w:t>
      </w:r>
    </w:p>
    <w:p w:rsidR="00FA2F53" w:rsidRPr="00FA2F53" w:rsidRDefault="00FA2F53" w:rsidP="00FA2F53">
      <w:pPr>
        <w:pStyle w:val="AERquote"/>
      </w:pPr>
      <w:r w:rsidRPr="00FA2F53">
        <w:t>We would contend that only the first of these three conditions is definitely met.</w:t>
      </w:r>
    </w:p>
    <w:p w:rsidR="00FA2F53" w:rsidRPr="00FA2F53" w:rsidRDefault="00FA2F53" w:rsidP="00FA2F53">
      <w:pPr>
        <w:pStyle w:val="AERquote"/>
      </w:pPr>
      <w:r w:rsidRPr="00FA2F53">
        <w:t>The studies included by SFG consulting in their review of estimates for theta all appear to be of good</w:t>
      </w:r>
      <w:r>
        <w:t xml:space="preserve"> </w:t>
      </w:r>
      <w:r w:rsidRPr="00FA2F53">
        <w:t>quality and are undertaken in a manner which reflects the current best practice in the literature.</w:t>
      </w:r>
    </w:p>
    <w:p w:rsidR="00FA2F53" w:rsidRDefault="00FA2F53" w:rsidP="00FA2F53">
      <w:pPr>
        <w:pStyle w:val="AERquote"/>
      </w:pPr>
      <w:r w:rsidRPr="00FA2F53">
        <w:t>However, purchase of stocks in any given period is dominated by a relatively small share of equity</w:t>
      </w:r>
      <w:r>
        <w:t xml:space="preserve"> </w:t>
      </w:r>
      <w:r w:rsidRPr="00FA2F53">
        <w:t>holders who engage in active trading equities. Overall ownership of equities, however, is dominated by</w:t>
      </w:r>
      <w:r>
        <w:t xml:space="preserve"> </w:t>
      </w:r>
      <w:r w:rsidRPr="00FA2F53">
        <w:t>those who trade infrequently. As such there is no reason to believe that the value placed on franking</w:t>
      </w:r>
      <w:r>
        <w:t xml:space="preserve"> </w:t>
      </w:r>
      <w:r w:rsidRPr="00FA2F53">
        <w:t>credits</w:t>
      </w:r>
      <w:r>
        <w:t xml:space="preserve"> </w:t>
      </w:r>
      <w:r w:rsidRPr="00FA2F53">
        <w:t>by active traders of equities is the same as that placed on franking credits by those who trade</w:t>
      </w:r>
      <w:r>
        <w:t xml:space="preserve"> </w:t>
      </w:r>
      <w:r w:rsidRPr="00FA2F53">
        <w:t>infrequently.</w:t>
      </w:r>
    </w:p>
    <w:p w:rsidR="001A3A0B" w:rsidRPr="001A3A0B" w:rsidRDefault="001A3A0B" w:rsidP="001A3A0B">
      <w:pPr>
        <w:pStyle w:val="AERquote"/>
      </w:pPr>
      <w:r w:rsidRPr="001A3A0B">
        <w:t>On the third point, listed firms are also only part of the stock of Australian equity. Data from the ABS’s</w:t>
      </w:r>
      <w:r>
        <w:t xml:space="preserve"> </w:t>
      </w:r>
      <w:r w:rsidRPr="001A3A0B">
        <w:t>‘Australian National Accounts: Financial Accou</w:t>
      </w:r>
      <w:r>
        <w:t>nts’ indicates that as at June 2</w:t>
      </w:r>
      <w:r w:rsidRPr="001A3A0B">
        <w:t>014 unlisted shares</w:t>
      </w:r>
      <w:r>
        <w:t xml:space="preserve"> </w:t>
      </w:r>
      <w:r w:rsidRPr="001A3A0B">
        <w:t>comprised 44.5 per cent of the total value of shares in private firms (rising to 49.7 per cent if equity in</w:t>
      </w:r>
      <w:r>
        <w:t xml:space="preserve"> </w:t>
      </w:r>
      <w:r w:rsidRPr="001A3A0B">
        <w:t>government non-financial corporations is included).</w:t>
      </w:r>
    </w:p>
    <w:p w:rsidR="001A3A0B" w:rsidRDefault="001A3A0B" w:rsidP="001A3A0B">
      <w:pPr>
        <w:pStyle w:val="AERquote"/>
      </w:pPr>
      <w:r w:rsidRPr="001A3A0B">
        <w:t>Due to the unrepresentative nature of both traders in stock, and the ownership of listed stock, we</w:t>
      </w:r>
      <w:r>
        <w:t xml:space="preserve"> </w:t>
      </w:r>
      <w:r w:rsidRPr="001A3A0B">
        <w:t>believe that dropped dividend studies cannot be assumed to be informa</w:t>
      </w:r>
      <w:r>
        <w:t xml:space="preserve">tive about the value placed by </w:t>
      </w:r>
      <w:r w:rsidRPr="001A3A0B">
        <w:t xml:space="preserve">median investor in the ‘benchmark efficient entity’. As such, </w:t>
      </w:r>
      <w:r w:rsidRPr="001A3A0B">
        <w:rPr>
          <w:rStyle w:val="Strong"/>
        </w:rPr>
        <w:t>we recommend that estimates derived from dropped dividend studies be disregarded</w:t>
      </w:r>
      <w:r w:rsidRPr="001A3A0B">
        <w:t>.</w:t>
      </w:r>
    </w:p>
    <w:p w:rsidR="006278E3" w:rsidRDefault="006278E3" w:rsidP="006278E3">
      <w:r>
        <w:t>The limitations identified have been recognised by other regulators</w:t>
      </w:r>
      <w:r w:rsidR="006F670B">
        <w:t xml:space="preserve"> and reflected in their respective approaches to determining the utilisation rate</w:t>
      </w:r>
      <w:r>
        <w:t>:</w:t>
      </w:r>
    </w:p>
    <w:p w:rsidR="0006207D" w:rsidRPr="00EF42E6" w:rsidRDefault="0006207D" w:rsidP="0006207D">
      <w:pPr>
        <w:pStyle w:val="AERbulletlistfirststyle"/>
      </w:pPr>
      <w:r>
        <w:t>QCA (2014):</w:t>
      </w:r>
      <w:r w:rsidRPr="00EF42E6">
        <w:rPr>
          <w:rStyle w:val="FootnoteReference"/>
        </w:rPr>
        <w:footnoteReference w:id="292"/>
      </w:r>
    </w:p>
    <w:p w:rsidR="0006207D" w:rsidRDefault="0006207D" w:rsidP="0006207D">
      <w:pPr>
        <w:pStyle w:val="AERquote"/>
      </w:pPr>
      <w:r>
        <w:t>Given the concerns identified, the QCA does not prefer an estimate of 0.35 for the utilisation rate. The estimate is the result from only one study from one class of evidence, and this class of evidence suffers from serious conceptual and empirical limitations. Therefore, the QCA has assessed and given more weight to alternative approaches to estimate the utilisation rate.</w:t>
      </w:r>
    </w:p>
    <w:p w:rsidR="0006207D" w:rsidRDefault="0006207D" w:rsidP="0006207D">
      <w:pPr>
        <w:pStyle w:val="AERbulletlistfirststyle"/>
      </w:pPr>
      <w:r>
        <w:lastRenderedPageBreak/>
        <w:t>The ERA, which until the publication of a revised draft guideline in November 2014 preferred the use of dividend drop off studies, stated:</w:t>
      </w:r>
      <w:r>
        <w:rPr>
          <w:rStyle w:val="FootnoteReference"/>
        </w:rPr>
        <w:footnoteReference w:id="293"/>
      </w:r>
    </w:p>
    <w:p w:rsidR="0006207D" w:rsidRDefault="0006207D" w:rsidP="0006207D">
      <w:pPr>
        <w:pStyle w:val="AERquote"/>
      </w:pPr>
      <w:r>
        <w:t>…</w:t>
      </w:r>
      <w:r w:rsidRPr="006B7FB3">
        <w:t>dividend drop-off stu</w:t>
      </w:r>
      <w:r>
        <w:t xml:space="preserve">dies are known to suffer from a </w:t>
      </w:r>
      <w:r w:rsidRPr="006B7FB3">
        <w:t xml:space="preserve">variety of estimation issues that result in the estimated </w:t>
      </w:r>
      <w:r>
        <w:t xml:space="preserve">value of theta being vulnerable </w:t>
      </w:r>
      <w:r w:rsidRPr="006B7FB3">
        <w:t>to the dividend sample, parametric form of the reg</w:t>
      </w:r>
      <w:r>
        <w:t xml:space="preserve">ression equation and regression </w:t>
      </w:r>
      <w:r w:rsidRPr="006B7FB3">
        <w:t>technique used. As a consequence, the Authority</w:t>
      </w:r>
      <w:r>
        <w:t xml:space="preserve"> is of the view that it is more </w:t>
      </w:r>
      <w:r w:rsidRPr="006B7FB3">
        <w:t>appropriate to use a range of divi</w:t>
      </w:r>
      <w:r>
        <w:t>dend drop-off studies.</w:t>
      </w:r>
    </w:p>
    <w:p w:rsidR="00CD23CD" w:rsidRDefault="00CD23CD" w:rsidP="00CD23CD">
      <w:pPr>
        <w:pStyle w:val="Heading8"/>
      </w:pPr>
      <w:bookmarkStart w:id="98" w:name="_Ref403481482"/>
      <w:bookmarkStart w:id="99" w:name="_Toc417043270"/>
      <w:r>
        <w:t xml:space="preserve">Revised consideration </w:t>
      </w:r>
      <w:r w:rsidRPr="00CD23CD">
        <w:t>of</w:t>
      </w:r>
      <w:r>
        <w:t xml:space="preserve"> the conceptual goalposts approach</w:t>
      </w:r>
      <w:bookmarkEnd w:id="98"/>
      <w:bookmarkEnd w:id="99"/>
    </w:p>
    <w:p w:rsidR="00CD23CD" w:rsidRDefault="00CD23CD" w:rsidP="00CD23CD">
      <w:pPr>
        <w:numPr>
          <w:ilvl w:val="0"/>
          <w:numId w:val="25"/>
        </w:numPr>
      </w:pPr>
      <w:r>
        <w:t xml:space="preserve">We placed a degree of reliance upon the conceptual goalposts approach when coming to an estimate for the utilisation rate in the Guideline. However, we do not rely on the conceptual goalposts approach in this </w:t>
      </w:r>
      <w:r w:rsidR="009A3ED2">
        <w:t>final</w:t>
      </w:r>
      <w:r>
        <w:t xml:space="preserve"> decision. This is mainly to be consistent with Handley's advice on the conceptual framework, which we have accepted in making this </w:t>
      </w:r>
      <w:r w:rsidR="009A3ED2">
        <w:t>final</w:t>
      </w:r>
      <w:r>
        <w:t xml:space="preserve"> decision. Further, we do not consider this to be a significant departure from the Guideline given we placed only limited reliance on the conceptual goalposts approach in the Guideline.</w:t>
      </w:r>
      <w:r w:rsidDel="007E6C35">
        <w:t xml:space="preserve"> </w:t>
      </w:r>
      <w:r>
        <w:t>Our revised consideration of the approach is set out in this section.</w:t>
      </w:r>
    </w:p>
    <w:p w:rsidR="00CD23CD" w:rsidRDefault="00CD23CD" w:rsidP="00CD23CD">
      <w:pPr>
        <w:pStyle w:val="Heading9"/>
      </w:pPr>
      <w:r>
        <w:t>Description of the approach</w:t>
      </w:r>
    </w:p>
    <w:p w:rsidR="00CD23CD" w:rsidRDefault="00CD23CD" w:rsidP="00CD23CD">
      <w:pPr>
        <w:numPr>
          <w:ilvl w:val="0"/>
          <w:numId w:val="25"/>
        </w:numPr>
      </w:pPr>
      <w:r>
        <w:t>The conceptual goalposts approach to informing estimates of the utilisation rate is based on a test devised by Lally to consider the 'reasonableness' of such estimates. To explain the approach, however, we must first explain some theoretical aspects of the modelling framework that we employ. The starting point for a CAPM is a given set of assets and a given set of investors who hold them.</w:t>
      </w:r>
      <w:r>
        <w:rPr>
          <w:rStyle w:val="FootnoteReference"/>
        </w:rPr>
        <w:footnoteReference w:id="294"/>
      </w:r>
      <w:r>
        <w:t xml:space="preserve"> In the Officer CAPM, the given set of assets is the domestic market and Lally considered that the given set of investors is domestic investors; that is, the domestic market is assumed to be 'fully segmented' from international markets.</w:t>
      </w:r>
      <w:r>
        <w:rPr>
          <w:rStyle w:val="FootnoteReference"/>
        </w:rPr>
        <w:footnoteReference w:id="295"/>
      </w:r>
    </w:p>
    <w:p w:rsidR="00CD23CD" w:rsidRDefault="00CD23CD" w:rsidP="00CD23CD">
      <w:pPr>
        <w:numPr>
          <w:ilvl w:val="0"/>
          <w:numId w:val="25"/>
        </w:numPr>
      </w:pPr>
      <w:r w:rsidRPr="002B01D6">
        <w:t>Lally consider</w:t>
      </w:r>
      <w:r>
        <w:t>ed</w:t>
      </w:r>
      <w:r w:rsidRPr="002B01D6">
        <w:t xml:space="preserve"> </w:t>
      </w:r>
      <w:r>
        <w:t xml:space="preserve">it paramount to </w:t>
      </w:r>
      <w:r w:rsidRPr="002B01D6">
        <w:t>estimat</w:t>
      </w:r>
      <w:r>
        <w:t>e</w:t>
      </w:r>
      <w:r w:rsidRPr="002B01D6">
        <w:t xml:space="preserve"> the utilisation rate consistent</w:t>
      </w:r>
      <w:r>
        <w:t>ly</w:t>
      </w:r>
      <w:r w:rsidRPr="002B01D6">
        <w:t xml:space="preserve"> with the underlying theo</w:t>
      </w:r>
      <w:r>
        <w:t>retical framework:</w:t>
      </w:r>
      <w:r>
        <w:rPr>
          <w:rStyle w:val="FootnoteReference"/>
        </w:rPr>
        <w:footnoteReference w:id="296"/>
      </w:r>
    </w:p>
    <w:p w:rsidR="00CD23CD" w:rsidRPr="002B01D6" w:rsidRDefault="00CD23CD" w:rsidP="00CD23CD">
      <w:pPr>
        <w:pStyle w:val="AERquote"/>
      </w:pPr>
      <w:r w:rsidRPr="00BE0506">
        <w:t xml:space="preserve">In my view, the most important requirements in selecting a methodology for estimating </w:t>
      </w:r>
      <w:r w:rsidRPr="00BE0506">
        <w:rPr>
          <w:rStyle w:val="AERtextitalic"/>
        </w:rPr>
        <w:t>U</w:t>
      </w:r>
      <w:r w:rsidRPr="00BE0506">
        <w:t xml:space="preserve"> [the utilisation rate] are that the estimate be consistent with the definition of </w:t>
      </w:r>
      <w:r w:rsidRPr="00BE0506">
        <w:rPr>
          <w:rStyle w:val="AERtextitalic"/>
        </w:rPr>
        <w:t>U</w:t>
      </w:r>
      <w:r w:rsidRPr="00BE0506">
        <w:t xml:space="preserve">, as a value-weighted average over the utilisation rates of all investors who are relevant to the Officer CAPM, that the parameter estimate is likely to give rise to an estimated cost of equity from the Officer model that lies within the bounds arising from </w:t>
      </w:r>
      <w:r w:rsidRPr="00BE0506">
        <w:lastRenderedPageBreak/>
        <w:t>either complete segmentation or complete integration of equity markets, and that the estimate is reasonably precise.</w:t>
      </w:r>
    </w:p>
    <w:p w:rsidR="00CD23CD" w:rsidRPr="002B01D6" w:rsidRDefault="00CD23CD" w:rsidP="00CD23CD">
      <w:pPr>
        <w:numPr>
          <w:ilvl w:val="0"/>
          <w:numId w:val="25"/>
        </w:numPr>
      </w:pPr>
      <w:r w:rsidRPr="002B01D6">
        <w:t xml:space="preserve">The importance of theoretical consistency </w:t>
      </w:r>
      <w:r>
        <w:t>led</w:t>
      </w:r>
      <w:r w:rsidRPr="002B01D6">
        <w:t xml:space="preserve"> Lally to recommend that the optimal estim</w:t>
      </w:r>
      <w:r>
        <w:t>ate of the utilisation rate is 1</w:t>
      </w:r>
      <w:r w:rsidRPr="002B01D6">
        <w:t>, on these conceptual grounds:</w:t>
      </w:r>
      <w:r>
        <w:rPr>
          <w:rStyle w:val="FootnoteReference"/>
        </w:rPr>
        <w:footnoteReference w:id="297"/>
      </w:r>
    </w:p>
    <w:p w:rsidR="00CD23CD" w:rsidRPr="002B01D6" w:rsidRDefault="00CD23CD" w:rsidP="00CD23CD">
      <w:pPr>
        <w:pStyle w:val="AERquote"/>
      </w:pPr>
      <w:r w:rsidRPr="002B01D6">
        <w:t xml:space="preserve">In respect of </w:t>
      </w:r>
      <w:r w:rsidRPr="0008443B">
        <w:rPr>
          <w:rStyle w:val="AERtextitalic"/>
        </w:rPr>
        <w:t>U</w:t>
      </w:r>
      <w:r w:rsidRPr="002B01D6">
        <w:t xml:space="preserve">, there are five possible approaches to estimating </w:t>
      </w:r>
      <w:r>
        <w:t>it</w:t>
      </w:r>
      <w:r w:rsidRPr="002B01D6">
        <w:t>. The first of these arises from the definition of the parameter as a weighted average across all investors; coupled with ignoring foreigners (consistent with the Officer CAPM), this yields an estimate of 1 (the utilisation rate of local investors).</w:t>
      </w:r>
    </w:p>
    <w:p w:rsidR="00CD23CD" w:rsidRPr="002B01D6" w:rsidRDefault="00CD23CD" w:rsidP="00CD23CD">
      <w:pPr>
        <w:pStyle w:val="AERquote"/>
      </w:pPr>
      <w:r w:rsidRPr="002B01D6">
        <w:t>…</w:t>
      </w:r>
    </w:p>
    <w:p w:rsidR="00CD23CD" w:rsidRDefault="00CD23CD" w:rsidP="00CD23CD">
      <w:pPr>
        <w:pStyle w:val="AERquote"/>
      </w:pPr>
      <w:r w:rsidRPr="002B01D6">
        <w:t>Using the three criteria described above, my preferred estimate is 1 from the first approach…</w:t>
      </w:r>
    </w:p>
    <w:p w:rsidR="00CD23CD" w:rsidRDefault="00CD23CD" w:rsidP="00CD23CD">
      <w:pPr>
        <w:numPr>
          <w:ilvl w:val="0"/>
          <w:numId w:val="25"/>
        </w:numPr>
      </w:pPr>
      <w:r>
        <w:t>An alternative to the 'domestic' Officer CAPM is an international CAPM, whereby the relevant set of assets is all assets in the world and the relevant set of investors is all investors in the world; that is, the domestic market is assumed to be 'fully integrated' with international markets.  Using this model would require inputs based on international benchmarks, including a utilisation rate of 0 because the proportion of global investors eligible to make use of domestic imputation credits  is close to zero.</w:t>
      </w:r>
    </w:p>
    <w:p w:rsidR="00CD23CD" w:rsidRDefault="00CD23CD" w:rsidP="00CD23CD">
      <w:pPr>
        <w:numPr>
          <w:ilvl w:val="0"/>
          <w:numId w:val="25"/>
        </w:numPr>
      </w:pPr>
      <w:r>
        <w:t xml:space="preserve">Both in the Guideline and in this </w:t>
      </w:r>
      <w:r w:rsidR="009A3ED2">
        <w:t>final</w:t>
      </w:r>
      <w:r>
        <w:t xml:space="preserve"> decision, we propose an approach to estimating the utilisation rate that recognises foreign investors to the extent that they invest in the Australian market. Thus, our approach sits between the alternative positions of Lally's interpretation of the Officer framework (where only domestic investors are recognised) and an international framework. This was recognised by Lally:</w:t>
      </w:r>
      <w:r>
        <w:rPr>
          <w:rStyle w:val="FootnoteReference"/>
        </w:rPr>
        <w:footnoteReference w:id="298"/>
      </w:r>
    </w:p>
    <w:p w:rsidR="00CD23CD" w:rsidRPr="002C135E" w:rsidRDefault="00CD23CD" w:rsidP="00CD23CD">
      <w:pPr>
        <w:pStyle w:val="AERquote"/>
      </w:pPr>
      <w:r w:rsidRPr="002C135E">
        <w:t>The AER (2013, section 8.3.1, page 120) also includes foreign investors to the extent that they invest in the Australian market, to reflect the empirical reality of their existence. However this involves use of a model (the Officer CAPM) that assumes that national markets for risky assets are segmented along with the definition for a parameter (</w:t>
      </w:r>
      <w:r w:rsidRPr="007E444D">
        <w:rPr>
          <w:rStyle w:val="AERtextitalic"/>
        </w:rPr>
        <w:t>U</w:t>
      </w:r>
      <w:r>
        <w:t xml:space="preserve">) </w:t>
      </w:r>
      <w:r w:rsidRPr="002C135E">
        <w:t>that is inconsistent with this model.</w:t>
      </w:r>
    </w:p>
    <w:p w:rsidR="00CD23CD" w:rsidRPr="002C135E" w:rsidRDefault="00CD23CD" w:rsidP="00CD23CD">
      <w:pPr>
        <w:numPr>
          <w:ilvl w:val="0"/>
          <w:numId w:val="25"/>
        </w:numPr>
      </w:pPr>
      <w:r w:rsidRPr="002C135E">
        <w:t>Lally consider</w:t>
      </w:r>
      <w:r>
        <w:t>ed</w:t>
      </w:r>
      <w:r w:rsidRPr="002C135E">
        <w:t xml:space="preserve"> the overarching concern is whether the inconsistency between input parameters and model definitions might </w:t>
      </w:r>
      <w:r>
        <w:t>produce an unreasonable outcome.</w:t>
      </w:r>
      <w:r w:rsidRPr="002C135E">
        <w:t xml:space="preserve"> That is, even if the individual components are each justified in isolation, the combination might produce an overall result that is no longer reasonable:</w:t>
      </w:r>
      <w:r>
        <w:rPr>
          <w:rStyle w:val="FootnoteReference"/>
        </w:rPr>
        <w:footnoteReference w:id="299"/>
      </w:r>
      <w:r w:rsidRPr="002C135E">
        <w:t xml:space="preserve"> </w:t>
      </w:r>
    </w:p>
    <w:p w:rsidR="00CD23CD" w:rsidRPr="002C135E" w:rsidRDefault="00CD23CD" w:rsidP="00CD23CD">
      <w:pPr>
        <w:pStyle w:val="AERquote"/>
      </w:pPr>
      <w:r w:rsidRPr="002C135E">
        <w:t>The Officer (1994) CAPM implicitly assumes that national markets for risky assets are completely segmented, in the sense that investors are precluded from purchasing foreign risky ass</w:t>
      </w:r>
      <w:r>
        <w:t>ets. However, most estimates of</w:t>
      </w:r>
      <w:r w:rsidRPr="002C135E">
        <w:t xml:space="preserve"> </w:t>
      </w:r>
      <w:r w:rsidRPr="00B424BB">
        <w:rPr>
          <w:rStyle w:val="AERtextitalic"/>
        </w:rPr>
        <w:t>U</w:t>
      </w:r>
      <w:r w:rsidRPr="002C135E">
        <w:t xml:space="preserve"> reflect the presence of foreign investors. Consequently the potential for economically unreasonable estimates of the cost of equity arises, </w:t>
      </w:r>
      <w:r w:rsidR="00477251">
        <w:t>that is</w:t>
      </w:r>
      <w:r w:rsidRPr="002C135E">
        <w:t xml:space="preserve">, values that lie outside range of those arising under complete segmentation and complete integration of national markets for risky assets. </w:t>
      </w:r>
      <w:r w:rsidRPr="002C135E">
        <w:lastRenderedPageBreak/>
        <w:t xml:space="preserve">In this event the partial recognition of foreign investors would effectively constitute cherry-picking that maximises the revenue or price cap, i.e., ignoring foreign investors when it is favourable to regulated firms (choosing the CAPM) and also estimating </w:t>
      </w:r>
      <w:r w:rsidRPr="00B424BB">
        <w:rPr>
          <w:rStyle w:val="AERtextitalic"/>
        </w:rPr>
        <w:t>U</w:t>
      </w:r>
      <w:r w:rsidRPr="002C135E">
        <w:t xml:space="preserve"> by a methodology that reflects the presence of these investors when it is also favourable to regulated firms. We therefore assess whether various estimates of </w:t>
      </w:r>
      <w:r w:rsidRPr="00B424BB">
        <w:rPr>
          <w:rStyle w:val="AERtextitalic"/>
        </w:rPr>
        <w:t>U</w:t>
      </w:r>
      <w:r w:rsidRPr="002C135E">
        <w:t xml:space="preserve"> lead to this outcome.</w:t>
      </w:r>
    </w:p>
    <w:p w:rsidR="00CD23CD" w:rsidRPr="002C135E" w:rsidRDefault="00CD23CD" w:rsidP="00CD23CD">
      <w:pPr>
        <w:pStyle w:val="AERquote"/>
      </w:pPr>
      <w:r w:rsidRPr="002C135E">
        <w:t>To do so it is necessary to consider the implications for the cost of equity of complete integration and complete segmentation of national markets for risky assets.</w:t>
      </w:r>
    </w:p>
    <w:p w:rsidR="00CD23CD" w:rsidRPr="002C135E" w:rsidRDefault="00CD23CD" w:rsidP="00CD23CD">
      <w:pPr>
        <w:numPr>
          <w:ilvl w:val="0"/>
          <w:numId w:val="25"/>
        </w:numPr>
      </w:pPr>
      <w:r w:rsidRPr="002C135E">
        <w:t xml:space="preserve">Lally </w:t>
      </w:r>
      <w:r>
        <w:t>pointed</w:t>
      </w:r>
      <w:r w:rsidRPr="002C135E">
        <w:t xml:space="preserve"> out that, while there is some uncertainty about the return on equity in a partial integration scenario, it must lie within two boundaries. At one end, there is the return on equity that would be required if the domestic market was </w:t>
      </w:r>
      <w:r>
        <w:t>fully</w:t>
      </w:r>
      <w:r w:rsidRPr="002C135E">
        <w:t xml:space="preserve"> segmented</w:t>
      </w:r>
      <w:r>
        <w:t xml:space="preserve"> from international markets</w:t>
      </w:r>
      <w:r w:rsidRPr="002C135E">
        <w:t xml:space="preserve">. At the other extreme is the return on equity if the capital market was </w:t>
      </w:r>
      <w:r>
        <w:t>fully</w:t>
      </w:r>
      <w:r w:rsidRPr="002C135E">
        <w:t xml:space="preserve"> integrated </w:t>
      </w:r>
      <w:r>
        <w:t>with international markets</w:t>
      </w:r>
      <w:r w:rsidRPr="002C135E">
        <w:t xml:space="preserve">. To assess whether </w:t>
      </w:r>
      <w:r>
        <w:t>the</w:t>
      </w:r>
      <w:r w:rsidRPr="002C135E">
        <w:t xml:space="preserve"> approach</w:t>
      </w:r>
      <w:r>
        <w:t xml:space="preserve"> in the draft Guideline passed this test, Lally estimated</w:t>
      </w:r>
      <w:r w:rsidRPr="002C135E">
        <w:t xml:space="preserve"> for the average Australian firm:</w:t>
      </w:r>
      <w:r>
        <w:rPr>
          <w:rStyle w:val="FootnoteReference"/>
        </w:rPr>
        <w:footnoteReference w:id="300"/>
      </w:r>
      <w:r w:rsidRPr="002C135E">
        <w:t xml:space="preserve"> </w:t>
      </w:r>
    </w:p>
    <w:p w:rsidR="00CD23CD" w:rsidRPr="00CD23CD" w:rsidRDefault="00CD23CD" w:rsidP="00CD23CD">
      <w:pPr>
        <w:pStyle w:val="AERbulletlistfirststyle"/>
      </w:pPr>
      <w:r w:rsidRPr="002C135E">
        <w:t xml:space="preserve">The return on equity under segmentation, using a domestic-only (segmented) CAPM populated with domestic parameters. That is, a market risk premium for a segmented Australian market, an equity beta relative to the Australian market, and a utilisation rate of </w:t>
      </w:r>
      <w:r w:rsidRPr="00CD23CD">
        <w:t>1.</w:t>
      </w:r>
    </w:p>
    <w:p w:rsidR="00CD23CD" w:rsidRPr="00CD23CD" w:rsidRDefault="00CD23CD" w:rsidP="00CD23CD">
      <w:pPr>
        <w:pStyle w:val="AERbulletlistfirststyle"/>
      </w:pPr>
      <w:r w:rsidRPr="002C135E">
        <w:t xml:space="preserve">The return on equity under integration, using an international CAPM (based on Solnik, 1974) populated with global parameters. That is, using a market risk premium for an integrated (global) market, an equity beta relative to the global market and a utilisation rate of </w:t>
      </w:r>
      <w:r w:rsidRPr="00CD23CD">
        <w:t>0.</w:t>
      </w:r>
    </w:p>
    <w:p w:rsidR="00CD23CD" w:rsidRPr="00CD23CD" w:rsidRDefault="00CD23CD" w:rsidP="00CD23CD">
      <w:pPr>
        <w:pStyle w:val="AERbulletlistfirststyle"/>
      </w:pPr>
      <w:r w:rsidRPr="002C135E">
        <w:t xml:space="preserve">The return on equity using a segmented (Officer) CAPM, populated with parameters that accord with </w:t>
      </w:r>
      <w:r w:rsidRPr="00CD23CD">
        <w:t xml:space="preserve">our 'partially integrated' market definition. That is, a market risk premium and an equity beta that reflect the domestic market, but recognising foreign investors to the extent that they invest in the domestic (Australian) market. </w:t>
      </w:r>
    </w:p>
    <w:p w:rsidR="00CD23CD" w:rsidRPr="00953733" w:rsidRDefault="00CD23CD" w:rsidP="00CD23CD">
      <w:pPr>
        <w:numPr>
          <w:ilvl w:val="0"/>
          <w:numId w:val="25"/>
        </w:numPr>
      </w:pPr>
      <w:r>
        <w:t>Lally's aim wa</w:t>
      </w:r>
      <w:r w:rsidRPr="00953733">
        <w:t xml:space="preserve">s to ascertain what utilisation rates under the third scenario will result in a return on equity that lies between the </w:t>
      </w:r>
      <w:r>
        <w:t xml:space="preserve">two 'goalposts' represented by the </w:t>
      </w:r>
      <w:r w:rsidRPr="00953733">
        <w:t>return on equity from the first two scenarios (full segmentation and full integration). This is how Lally present</w:t>
      </w:r>
      <w:r>
        <w:t>ed</w:t>
      </w:r>
      <w:r w:rsidRPr="00953733">
        <w:t xml:space="preserve"> the results of this assessment:</w:t>
      </w:r>
      <w:r>
        <w:rPr>
          <w:rStyle w:val="FootnoteReference"/>
        </w:rPr>
        <w:footnoteReference w:id="301"/>
      </w:r>
      <w:r w:rsidRPr="00953733">
        <w:t xml:space="preserve"> </w:t>
      </w:r>
    </w:p>
    <w:p w:rsidR="00CD23CD" w:rsidRPr="00953733" w:rsidRDefault="00CD23CD" w:rsidP="00CD23CD">
      <w:pPr>
        <w:pStyle w:val="AERquote"/>
      </w:pPr>
      <w:r w:rsidRPr="00953733">
        <w:t>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w:t>
      </w:r>
      <w:r>
        <w:t>ration).  However, estimates of</w:t>
      </w:r>
      <w:r w:rsidRPr="00953733">
        <w:t xml:space="preserve"> </w:t>
      </w:r>
      <w:r w:rsidRPr="0039716B">
        <w:rPr>
          <w:rStyle w:val="AERtextitalic"/>
        </w:rPr>
        <w:t>U</w:t>
      </w:r>
      <w:r>
        <w:t xml:space="preserve"> </w:t>
      </w:r>
      <w:r w:rsidRPr="00953733">
        <w:t xml:space="preserve">that are significantly less than 1 fail this test in virtually every case examined, and are therefore deficient. In effect, combining Officer’s CAPM with a </w:t>
      </w:r>
      <w:r w:rsidRPr="00953733">
        <w:lastRenderedPageBreak/>
        <w:t xml:space="preserve">utilisation rate that is significantly less than 1 constitutes a </w:t>
      </w:r>
      <w:r w:rsidR="00A968B7" w:rsidRPr="00953733">
        <w:t>de</w:t>
      </w:r>
      <w:r w:rsidR="00A968B7">
        <w:t xml:space="preserve"> </w:t>
      </w:r>
      <w:r w:rsidR="00A968B7" w:rsidRPr="00953733">
        <w:t>facto</w:t>
      </w:r>
      <w:r w:rsidRPr="00953733">
        <w:t xml:space="preserve">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CD23CD" w:rsidRPr="00953733" w:rsidRDefault="00CD23CD" w:rsidP="00CD23CD">
      <w:pPr>
        <w:numPr>
          <w:ilvl w:val="0"/>
          <w:numId w:val="25"/>
        </w:numPr>
      </w:pPr>
      <w:r>
        <w:t>This analysis contributes to Lally's conclusion that</w:t>
      </w:r>
      <w:r w:rsidRPr="00953733">
        <w:t xml:space="preserve"> the uti</w:t>
      </w:r>
      <w:r>
        <w:t>lisation rate should be 1</w:t>
      </w:r>
      <w:r w:rsidRPr="00953733">
        <w:t xml:space="preserve"> or close to it. T</w:t>
      </w:r>
      <w:r>
        <w:t>o refine this estimate, we undertook</w:t>
      </w:r>
      <w:r w:rsidRPr="00953733">
        <w:t xml:space="preserve"> further analysis using the approach </w:t>
      </w:r>
      <w:r>
        <w:t>set out by Lally. This indicated</w:t>
      </w:r>
      <w:r w:rsidRPr="00953733">
        <w:t xml:space="preserve"> that utilisation</w:t>
      </w:r>
      <w:r>
        <w:t xml:space="preserve"> rates between 0.8 and 1</w:t>
      </w:r>
      <w:r w:rsidRPr="00953733">
        <w:t xml:space="preserve"> generate a reasonable return on equity (that is, one that lies between the goalposts) in the majority of permutation scenarios.  Further, when interpreting this sensitivity analysis, it is also relevant </w:t>
      </w:r>
      <w:r>
        <w:t xml:space="preserve">to consider </w:t>
      </w:r>
      <w:r w:rsidRPr="00953733">
        <w:t xml:space="preserve">whether each particular scenario has arisen from an extreme permutation—that is, if the individual parameters are all at their highest (or lowest) possible values. Such a scenario is much less likely than a permutation where most of the parameters are at their expected </w:t>
      </w:r>
      <w:r>
        <w:t>values</w:t>
      </w:r>
      <w:r w:rsidRPr="00953733">
        <w:t>. A utilisation rate of 0.6 or below generates very few return on equity results that are reasonable (between the goalposts), and these all arise at extreme permutations.</w:t>
      </w:r>
    </w:p>
    <w:p w:rsidR="00CD23CD" w:rsidRDefault="00CD23CD" w:rsidP="00CD23CD">
      <w:pPr>
        <w:numPr>
          <w:ilvl w:val="0"/>
          <w:numId w:val="25"/>
        </w:numPr>
      </w:pPr>
      <w:r>
        <w:t>In conclusion, in the Guideline we considered that</w:t>
      </w:r>
      <w:r w:rsidRPr="00953733">
        <w:t xml:space="preserve"> the concep</w:t>
      </w:r>
      <w:r>
        <w:t>tual goalposts approach supported</w:t>
      </w:r>
      <w:r w:rsidRPr="00953733">
        <w:t xml:space="preserve"> an estimate of the utilisation rate in the ra</w:t>
      </w:r>
      <w:r>
        <w:t>nge 0.8 to 1. We considered also that it suggested</w:t>
      </w:r>
      <w:r w:rsidRPr="00953733">
        <w:t xml:space="preserve"> that a ut</w:t>
      </w:r>
      <w:r>
        <w:t>ilisation rate of 0.6 or below wa</w:t>
      </w:r>
      <w:r w:rsidRPr="00953733">
        <w:t>s unreasonable.</w:t>
      </w:r>
    </w:p>
    <w:p w:rsidR="00CD23CD" w:rsidRDefault="00CD23CD" w:rsidP="00CD23CD">
      <w:pPr>
        <w:pStyle w:val="Heading9"/>
      </w:pPr>
      <w:r>
        <w:t xml:space="preserve">Advice received since </w:t>
      </w:r>
      <w:r w:rsidRPr="00CD23CD">
        <w:t>the</w:t>
      </w:r>
      <w:r>
        <w:t xml:space="preserve"> Guideline</w:t>
      </w:r>
    </w:p>
    <w:p w:rsidR="00CD23CD" w:rsidRDefault="00CD23CD" w:rsidP="00CD23CD">
      <w:pPr>
        <w:numPr>
          <w:ilvl w:val="0"/>
          <w:numId w:val="25"/>
        </w:numPr>
      </w:pPr>
      <w:r>
        <w:t>In advice received since the Guideline's publication, Handley advised that he does not consider the conceptual goalposts approach to be a reasonable approach to estimating the utilisation rate:</w:t>
      </w:r>
      <w:r>
        <w:rPr>
          <w:rStyle w:val="FootnoteReference"/>
        </w:rPr>
        <w:footnoteReference w:id="302"/>
      </w:r>
    </w:p>
    <w:p w:rsidR="00CD23CD" w:rsidRDefault="00CD23CD" w:rsidP="00CD23CD">
      <w:pPr>
        <w:pStyle w:val="AERquote"/>
      </w:pPr>
      <w:r w:rsidRPr="00831644">
        <w:t>I do not consider the conceptual goalpost approach</w:t>
      </w:r>
      <w:r>
        <w:t xml:space="preserve"> to be a reasonable approach to </w:t>
      </w:r>
      <w:r w:rsidRPr="00831644">
        <w:t>estimation as first, it is motivated by a faulty premi</w:t>
      </w:r>
      <w:r>
        <w:t xml:space="preserve">se – that the CAPM suggested by </w:t>
      </w:r>
      <w:r w:rsidRPr="00831644">
        <w:t xml:space="preserve">Officer implicitly assumes that national markets </w:t>
      </w:r>
      <w:r>
        <w:t xml:space="preserve">for risky assets are completely </w:t>
      </w:r>
      <w:r w:rsidRPr="00831644">
        <w:t>segmented in the sense that all domestic assets are held</w:t>
      </w:r>
      <w:r>
        <w:t xml:space="preserve"> by domestic investors only and </w:t>
      </w:r>
      <w:r w:rsidRPr="00831644">
        <w:t>all foreign assets are held by foreign investors only – an</w:t>
      </w:r>
      <w:r>
        <w:t xml:space="preserve">d second, that it seeks to sure </w:t>
      </w:r>
      <w:r w:rsidRPr="00831644">
        <w:t>up one uncertain estimate by reference to two other es</w:t>
      </w:r>
      <w:r>
        <w:t xml:space="preserve">timates (the “goalposts”) which </w:t>
      </w:r>
      <w:r w:rsidRPr="00831644">
        <w:t>themselves are subject to substantial uncertainty.</w:t>
      </w:r>
    </w:p>
    <w:p w:rsidR="00CD23CD" w:rsidRDefault="00CD23CD" w:rsidP="00CD23CD">
      <w:pPr>
        <w:numPr>
          <w:ilvl w:val="0"/>
          <w:numId w:val="25"/>
        </w:numPr>
      </w:pPr>
      <w:r>
        <w:t>Handley expanded on his first point elsewhere in his advice:</w:t>
      </w:r>
      <w:r>
        <w:rPr>
          <w:rStyle w:val="FootnoteReference"/>
        </w:rPr>
        <w:footnoteReference w:id="303"/>
      </w:r>
    </w:p>
    <w:p w:rsidR="00CD23CD" w:rsidRDefault="00CD23CD" w:rsidP="00CD23CD">
      <w:pPr>
        <w:pStyle w:val="AERquote"/>
      </w:pPr>
      <w:r w:rsidRPr="00831644">
        <w:t>Lally (2013) adopts an unnecessarily narrow in</w:t>
      </w:r>
      <w:r>
        <w:t xml:space="preserve">terpretation of segmentation in </w:t>
      </w:r>
      <w:r w:rsidRPr="00831644">
        <w:t xml:space="preserve">suggesting that foreign investors should be excluded </w:t>
      </w:r>
      <w:r>
        <w:t xml:space="preserve">completely. But once you choose </w:t>
      </w:r>
      <w:r w:rsidRPr="00831644">
        <w:t xml:space="preserve">a proxy for the market portfolio you define not only the set </w:t>
      </w:r>
      <w:r>
        <w:t xml:space="preserve">of assets that are relevant for </w:t>
      </w:r>
      <w:r w:rsidRPr="00831644">
        <w:t>pricing purposes but you also define the set of investor</w:t>
      </w:r>
      <w:r>
        <w:t xml:space="preserve">s that are relevant for pricing </w:t>
      </w:r>
      <w:r w:rsidRPr="00831644">
        <w:t>purposes – in other words, it is a joint assumption. Lal</w:t>
      </w:r>
      <w:r>
        <w:t xml:space="preserve">ly’s suggestion that we include </w:t>
      </w:r>
      <w:r w:rsidRPr="00831644">
        <w:t xml:space="preserve">the full set of </w:t>
      </w:r>
      <w:r w:rsidRPr="00831644">
        <w:rPr>
          <w:rStyle w:val="AERtextitalic"/>
        </w:rPr>
        <w:t>n</w:t>
      </w:r>
      <w:r w:rsidRPr="00831644">
        <w:t xml:space="preserve"> assets but only a subset of the of </w:t>
      </w:r>
      <w:r w:rsidRPr="00831644">
        <w:rPr>
          <w:rStyle w:val="AERtextitalic"/>
        </w:rPr>
        <w:t>m</w:t>
      </w:r>
      <w:r w:rsidRPr="00831644">
        <w:t xml:space="preserve"> inv</w:t>
      </w:r>
      <w:r>
        <w:t xml:space="preserve">estors not only </w:t>
      </w:r>
      <w:r>
        <w:lastRenderedPageBreak/>
        <w:t xml:space="preserve">contradicts the </w:t>
      </w:r>
      <w:r w:rsidRPr="00831644">
        <w:t>starting point of the CAPM but also does not accor</w:t>
      </w:r>
      <w:r>
        <w:t xml:space="preserve">d with the reality that foreign </w:t>
      </w:r>
      <w:r w:rsidRPr="00831644">
        <w:t>investors are present in and influence the pricing of asse</w:t>
      </w:r>
      <w:r>
        <w:t xml:space="preserve">ts in the domestic market. This </w:t>
      </w:r>
      <w:r w:rsidRPr="00831644">
        <w:t>notion of (complete) segmentation – that only domes</w:t>
      </w:r>
      <w:r>
        <w:t xml:space="preserve">tic assets are held by domestic </w:t>
      </w:r>
      <w:r w:rsidRPr="00831644">
        <w:t>investors – is an assumption of Lally but is not an assumption of the CAPM.</w:t>
      </w:r>
    </w:p>
    <w:p w:rsidR="00CD23CD" w:rsidRDefault="00CD23CD" w:rsidP="00CD23CD">
      <w:pPr>
        <w:numPr>
          <w:ilvl w:val="0"/>
          <w:numId w:val="25"/>
        </w:numPr>
      </w:pPr>
      <w:r>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Pr>
          <w:rStyle w:val="FootnoteReference"/>
        </w:rPr>
        <w:footnoteReference w:id="304"/>
      </w:r>
    </w:p>
    <w:p w:rsidR="00FA6E29" w:rsidRPr="00FA6E29" w:rsidRDefault="00CD23CD" w:rsidP="00FA6E29">
      <w:r>
        <w:t>SFG also raised concerns with the approach, and a number of these have been responded to by Lally.</w:t>
      </w:r>
      <w:r>
        <w:rPr>
          <w:rStyle w:val="FootnoteReference"/>
        </w:rPr>
        <w:footnoteReference w:id="305"/>
      </w:r>
    </w:p>
    <w:sectPr w:rsidR="00FA6E29" w:rsidRPr="00FA6E29" w:rsidSect="00872109">
      <w:pgSz w:w="11906" w:h="16838"/>
      <w:pgMar w:top="1440" w:right="1440" w:bottom="1440" w:left="1440" w:header="709" w:footer="709"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251" w:rsidRPr="00290C63" w:rsidRDefault="00477251" w:rsidP="00290C63">
      <w:r>
        <w:separator/>
      </w:r>
    </w:p>
    <w:p w:rsidR="00477251" w:rsidRDefault="00477251"/>
  </w:endnote>
  <w:endnote w:type="continuationSeparator" w:id="0">
    <w:p w:rsidR="00477251" w:rsidRPr="00290C63" w:rsidRDefault="00477251" w:rsidP="00290C63">
      <w:r>
        <w:continuationSeparator/>
      </w:r>
    </w:p>
    <w:p w:rsidR="00477251" w:rsidRDefault="00477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251" w:rsidRPr="00290C63" w:rsidRDefault="00477251"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77251" w:rsidRDefault="00477251"/>
  <w:p w:rsidR="00477251" w:rsidRDefault="00477251"/>
  <w:p w:rsidR="00477251" w:rsidRDefault="00477251"/>
  <w:p w:rsidR="00477251" w:rsidRDefault="00477251"/>
  <w:p w:rsidR="00477251" w:rsidRDefault="00477251"/>
  <w:p w:rsidR="00477251" w:rsidRDefault="00477251"/>
  <w:p w:rsidR="00477251" w:rsidRDefault="004772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477251" w:rsidRPr="009B6F84" w:rsidRDefault="00477251">
        <w:pPr>
          <w:pStyle w:val="Footer"/>
          <w:rPr>
            <w:sz w:val="20"/>
          </w:rPr>
        </w:pPr>
        <w:r>
          <w:fldChar w:fldCharType="begin"/>
        </w:r>
        <w:r>
          <w:instrText xml:space="preserve"> PAGE   \* MERGEFORMAT </w:instrText>
        </w:r>
        <w:r>
          <w:fldChar w:fldCharType="separate"/>
        </w:r>
        <w:r w:rsidR="00332D56">
          <w:rPr>
            <w:noProof/>
          </w:rPr>
          <w:t>4-2</w:t>
        </w:r>
        <w:r>
          <w:rPr>
            <w:noProof/>
          </w:rPr>
          <w:fldChar w:fldCharType="end"/>
        </w:r>
        <w:r>
          <w:rPr>
            <w:noProof/>
          </w:rPr>
          <w:t xml:space="preserve">          </w:t>
        </w:r>
        <w:r w:rsidRPr="00C04223">
          <w:rPr>
            <w:noProof/>
            <w:szCs w:val="16"/>
          </w:rPr>
          <w:t>Attachment 4 – Value of imputation credits</w:t>
        </w:r>
        <w:r w:rsidRPr="00F8653A">
          <w:t xml:space="preserve"> </w:t>
        </w:r>
        <w:r w:rsidRPr="009B6F84">
          <w:rPr>
            <w:rFonts w:cs="Gautami"/>
            <w:noProof/>
            <w:szCs w:val="16"/>
          </w:rPr>
          <w:t xml:space="preserve">| </w:t>
        </w:r>
        <w:r>
          <w:rPr>
            <w:rFonts w:cs="Gautami"/>
            <w:noProof/>
            <w:szCs w:val="16"/>
          </w:rPr>
          <w:t>Directlink</w:t>
        </w:r>
        <w:r w:rsidRPr="009B6F84">
          <w:rPr>
            <w:rFonts w:cs="Gautami"/>
            <w:noProof/>
            <w:szCs w:val="16"/>
          </w:rPr>
          <w:t xml:space="preserve"> Final decision</w:t>
        </w:r>
        <w:r w:rsidRPr="009B6F84">
          <w:rPr>
            <w:sz w:val="20"/>
          </w:rPr>
          <w:t xml:space="preserve"> </w:t>
        </w:r>
        <w:r>
          <w:rPr>
            <w:rFonts w:cs="Gautami"/>
            <w:noProof/>
            <w:szCs w:val="16"/>
          </w:rPr>
          <w:t>2015–</w:t>
        </w:r>
        <w:r>
          <w:t>20</w:t>
        </w:r>
      </w:p>
    </w:sdtContent>
  </w:sdt>
  <w:p w:rsidR="00477251" w:rsidRDefault="004772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251" w:rsidRPr="00290C63" w:rsidRDefault="00477251"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77251" w:rsidRDefault="00477251">
    <w:pPr>
      <w:pStyle w:val="Footer"/>
    </w:pPr>
  </w:p>
  <w:p w:rsidR="00477251" w:rsidRDefault="00477251"/>
  <w:p w:rsidR="00477251" w:rsidRDefault="00477251"/>
  <w:p w:rsidR="00477251" w:rsidRDefault="00477251"/>
  <w:p w:rsidR="00477251" w:rsidRDefault="00477251"/>
  <w:p w:rsidR="00477251" w:rsidRDefault="00477251"/>
  <w:p w:rsidR="00477251" w:rsidRDefault="00477251"/>
  <w:p w:rsidR="00477251" w:rsidRDefault="0047725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683390"/>
      <w:docPartObj>
        <w:docPartGallery w:val="Page Numbers (Bottom of Page)"/>
        <w:docPartUnique/>
      </w:docPartObj>
    </w:sdtPr>
    <w:sdtEndPr/>
    <w:sdtContent>
      <w:p w:rsidR="00477251" w:rsidRPr="00824CC8" w:rsidRDefault="00477251" w:rsidP="009E2088">
        <w:pPr>
          <w:pStyle w:val="Footer"/>
        </w:pPr>
        <w:r w:rsidRPr="00824CC8">
          <w:fldChar w:fldCharType="begin"/>
        </w:r>
        <w:r w:rsidRPr="00824CC8">
          <w:instrText xml:space="preserve"> PAGE   \* MERGEFORMAT </w:instrText>
        </w:r>
        <w:r w:rsidRPr="00824CC8">
          <w:fldChar w:fldCharType="separate"/>
        </w:r>
        <w:r>
          <w:rPr>
            <w:noProof/>
          </w:rPr>
          <w:t>4-76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w:t>
        </w:r>
        <w:r>
          <w:rPr>
            <w:rStyle w:val="AERbody"/>
          </w:rPr>
          <w:t>Directlink</w:t>
        </w:r>
        <w:r w:rsidRPr="00305E37">
          <w:rPr>
            <w:rStyle w:val="AERbody"/>
          </w:rPr>
          <w:t xml:space="preserve"> draft decision</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251" w:rsidRPr="00824CC8" w:rsidRDefault="00477251" w:rsidP="009E2088">
    <w:pPr>
      <w:pStyle w:val="Footer"/>
      <w:rPr>
        <w:rStyle w:val="AERbody"/>
      </w:rPr>
    </w:pPr>
    <w:r w:rsidRPr="000A7330">
      <w:rPr>
        <w:rStyle w:val="AERbody"/>
      </w:rPr>
      <w:t xml:space="preserve">Attachment </w:t>
    </w:r>
    <w:r>
      <w:rPr>
        <w:rStyle w:val="AERbody"/>
      </w:rPr>
      <w:t>4: Value of imputation credits</w:t>
    </w:r>
    <w:r w:rsidRPr="00305E37">
      <w:rPr>
        <w:rStyle w:val="AERbody"/>
      </w:rPr>
      <w:t xml:space="preserve"> | </w:t>
    </w:r>
    <w:r>
      <w:rPr>
        <w:rStyle w:val="AERbody"/>
      </w:rPr>
      <w:t>Directlink</w:t>
    </w:r>
    <w:r w:rsidRPr="00305E37">
      <w:rPr>
        <w:rStyle w:val="AERbody"/>
      </w:rPr>
      <w:t xml:space="preserve"> </w:t>
    </w:r>
    <w:r>
      <w:rPr>
        <w:rStyle w:val="AERbody"/>
      </w:rPr>
      <w:t>final</w:t>
    </w:r>
    <w:r w:rsidRPr="00305E37">
      <w:rPr>
        <w:rStyle w:val="AERbody"/>
      </w:rPr>
      <w:t xml:space="preserve"> decision</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332D56">
      <w:rPr>
        <w:rStyle w:val="AERbody"/>
        <w:noProof/>
      </w:rPr>
      <w:t>4-3</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251" w:rsidRPr="00290C63" w:rsidRDefault="00477251" w:rsidP="00290C63">
      <w:r>
        <w:separator/>
      </w:r>
    </w:p>
    <w:p w:rsidR="00477251" w:rsidRDefault="00477251"/>
  </w:footnote>
  <w:footnote w:type="continuationSeparator" w:id="0">
    <w:p w:rsidR="00477251" w:rsidRPr="00290C63" w:rsidRDefault="00477251" w:rsidP="00290C63">
      <w:r>
        <w:continuationSeparator/>
      </w:r>
    </w:p>
    <w:p w:rsidR="00477251" w:rsidRDefault="00477251"/>
  </w:footnote>
  <w:footnote w:id="1">
    <w:p w:rsidR="00477251" w:rsidRDefault="00477251" w:rsidP="00E356F9">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477251" w:rsidRDefault="00477251">
      <w:pPr>
        <w:pStyle w:val="FootnoteText"/>
      </w:pPr>
      <w:r>
        <w:rPr>
          <w:rStyle w:val="FootnoteReference"/>
        </w:rPr>
        <w:footnoteRef/>
      </w:r>
      <w:r>
        <w:t xml:space="preserve"> </w:t>
      </w:r>
      <w:r>
        <w:tab/>
        <w:t xml:space="preserve">While the return on equity is not reduced to take into account the value of imputation credits, we note our estimate of the MRP does consider the value we use for imputation credits to ensure it reflects the value to investors in the domestic Australian market inclusive of credits. </w:t>
      </w:r>
    </w:p>
  </w:footnote>
  <w:footnote w:id="3">
    <w:p w:rsidR="00477251" w:rsidRDefault="00477251" w:rsidP="00E356F9">
      <w:pPr>
        <w:pStyle w:val="FootnoteText"/>
      </w:pPr>
      <w:r>
        <w:rPr>
          <w:rStyle w:val="FootnoteReference"/>
        </w:rPr>
        <w:footnoteRef/>
      </w:r>
      <w:r>
        <w:t xml:space="preserve"> </w:t>
      </w:r>
      <w:r>
        <w:tab/>
        <w:t>NER, cll. 6.4.3(a)(4), 6.4.3(b)(4), 6.5.3, 6A.5.4(a)(4), 6A.5.4(b)(4) and 6A.6.4; NGR, rs. 76(c) and 87A.</w:t>
      </w:r>
    </w:p>
  </w:footnote>
  <w:footnote w:id="4">
    <w:p w:rsidR="00477251" w:rsidRDefault="00477251" w:rsidP="006F0FAC">
      <w:pPr>
        <w:pStyle w:val="FootnoteText"/>
      </w:pPr>
      <w:r>
        <w:rPr>
          <w:rStyle w:val="FootnoteReference"/>
        </w:rPr>
        <w:footnoteRef/>
      </w:r>
      <w:r>
        <w:t xml:space="preserve"> </w:t>
      </w:r>
      <w:r>
        <w:tab/>
        <w:t xml:space="preserve">See section </w:t>
      </w:r>
      <w:r>
        <w:fldChar w:fldCharType="begin"/>
      </w:r>
      <w:r>
        <w:instrText xml:space="preserve"> REF _Ref414621676 \r \h </w:instrText>
      </w:r>
      <w:r>
        <w:fldChar w:fldCharType="separate"/>
      </w:r>
      <w:r>
        <w:t>A.1</w:t>
      </w:r>
      <w:r>
        <w:fldChar w:fldCharType="end"/>
      </w:r>
      <w:r>
        <w:t xml:space="preserve"> of appendix A.</w:t>
      </w:r>
    </w:p>
  </w:footnote>
  <w:footnote w:id="5">
    <w:p w:rsidR="00477251" w:rsidRDefault="00477251" w:rsidP="006F0FAC">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6">
    <w:p w:rsidR="00477251" w:rsidRDefault="00477251" w:rsidP="006F0FAC">
      <w:pPr>
        <w:pStyle w:val="FootnoteText"/>
      </w:pPr>
      <w:r>
        <w:rPr>
          <w:rStyle w:val="FootnoteReference"/>
        </w:rPr>
        <w:footnoteRef/>
      </w:r>
      <w:r>
        <w:t xml:space="preserve"> </w:t>
      </w:r>
      <w:r>
        <w:tab/>
        <w:t xml:space="preserve">These sub-parameters </w:t>
      </w:r>
      <w:proofErr w:type="gramStart"/>
      <w:r>
        <w:t>are discussed</w:t>
      </w:r>
      <w:proofErr w:type="gramEnd"/>
      <w:r>
        <w:t xml:space="preserve"> further in section </w:t>
      </w:r>
      <w:r>
        <w:fldChar w:fldCharType="begin"/>
      </w:r>
      <w:r>
        <w:instrText xml:space="preserve"> REF _Ref414621693 \r \h </w:instrText>
      </w:r>
      <w:r>
        <w:fldChar w:fldCharType="separate"/>
      </w:r>
      <w:r>
        <w:t>4.4</w:t>
      </w:r>
      <w:r>
        <w:fldChar w:fldCharType="end"/>
      </w:r>
      <w:r>
        <w:t>.</w:t>
      </w:r>
    </w:p>
  </w:footnote>
  <w:footnote w:id="7">
    <w:p w:rsidR="00477251" w:rsidRDefault="00477251">
      <w:pPr>
        <w:pStyle w:val="FootnoteText"/>
      </w:pPr>
      <w:r>
        <w:rPr>
          <w:rStyle w:val="FootnoteReference"/>
        </w:rPr>
        <w:footnoteRef/>
      </w:r>
      <w:r>
        <w:t xml:space="preserve"> </w:t>
      </w:r>
      <w:r>
        <w:tab/>
        <w:t xml:space="preserve">Directlink, </w:t>
      </w:r>
      <w:r w:rsidRPr="0000771B">
        <w:rPr>
          <w:rStyle w:val="AERtextitalic"/>
        </w:rPr>
        <w:t>Directlink submission on gamma (updated)</w:t>
      </w:r>
      <w:r>
        <w:t>, January 2015.</w:t>
      </w:r>
    </w:p>
  </w:footnote>
  <w:footnote w:id="8">
    <w:p w:rsidR="00477251" w:rsidRDefault="00477251" w:rsidP="006F0FAC">
      <w:pPr>
        <w:pStyle w:val="FootnoteText"/>
      </w:pPr>
      <w:r>
        <w:rPr>
          <w:rStyle w:val="FootnoteReference"/>
        </w:rPr>
        <w:footnoteRef/>
      </w:r>
      <w:r>
        <w:t xml:space="preserve"> </w:t>
      </w:r>
      <w:r>
        <w:tab/>
        <w:t xml:space="preserve">Directlink actually referred to the utilisation rate as the Greek letter 'theta'. The labelling and interpretations of the utilisation rate </w:t>
      </w:r>
      <w:proofErr w:type="gramStart"/>
      <w:r>
        <w:t>are discussed</w:t>
      </w:r>
      <w:proofErr w:type="gramEnd"/>
      <w:r>
        <w:t xml:space="preserve"> in sections </w:t>
      </w:r>
      <w:r>
        <w:fldChar w:fldCharType="begin"/>
      </w:r>
      <w:r>
        <w:instrText xml:space="preserve"> REF _Ref400965182 \r \h </w:instrText>
      </w:r>
      <w:r>
        <w:fldChar w:fldCharType="separate"/>
      </w:r>
      <w:r>
        <w:t>A.6</w:t>
      </w:r>
      <w:r>
        <w:fldChar w:fldCharType="end"/>
      </w:r>
      <w:r>
        <w:t xml:space="preserve"> and </w:t>
      </w:r>
      <w:r>
        <w:fldChar w:fldCharType="begin"/>
      </w:r>
      <w:r>
        <w:instrText xml:space="preserve"> REF _Ref414282622 \r \h </w:instrText>
      </w:r>
      <w:r>
        <w:fldChar w:fldCharType="separate"/>
      </w:r>
      <w:r>
        <w:t>A.7</w:t>
      </w:r>
      <w:r>
        <w:fldChar w:fldCharType="end"/>
      </w:r>
      <w:r>
        <w:t xml:space="preserve"> of appendix A. </w:t>
      </w:r>
    </w:p>
  </w:footnote>
  <w:footnote w:id="9">
    <w:p w:rsidR="00477251" w:rsidRDefault="00477251" w:rsidP="000A539A">
      <w:pPr>
        <w:pStyle w:val="FootnoteText"/>
      </w:pPr>
      <w:r>
        <w:rPr>
          <w:rStyle w:val="FootnoteReference"/>
        </w:rPr>
        <w:footnoteRef/>
      </w:r>
      <w:r>
        <w:t xml:space="preserve"> </w:t>
      </w:r>
      <w:r>
        <w:tab/>
        <w:t xml:space="preserve">Directlink, </w:t>
      </w:r>
      <w:r w:rsidRPr="0000771B">
        <w:rPr>
          <w:rStyle w:val="AERtextitalic"/>
        </w:rPr>
        <w:t>Directlink submission on gamma (updated)</w:t>
      </w:r>
      <w:r>
        <w:t xml:space="preserve">, January 2015, p. 19. We discuss the different types of implied market value study in section </w:t>
      </w:r>
      <w:r>
        <w:fldChar w:fldCharType="begin"/>
      </w:r>
      <w:r>
        <w:instrText xml:space="preserve"> REF _Ref402791521 \r \h </w:instrText>
      </w:r>
      <w:r>
        <w:fldChar w:fldCharType="separate"/>
      </w:r>
      <w:r>
        <w:t>A.14.1</w:t>
      </w:r>
      <w:r>
        <w:fldChar w:fldCharType="end"/>
      </w:r>
      <w:r>
        <w:t xml:space="preserve"> of appendix A.</w:t>
      </w:r>
    </w:p>
  </w:footnote>
  <w:footnote w:id="10">
    <w:p w:rsidR="00477251" w:rsidRDefault="00477251" w:rsidP="006F0FAC">
      <w:pPr>
        <w:pStyle w:val="FootnoteText"/>
      </w:pPr>
      <w:r>
        <w:rPr>
          <w:rStyle w:val="FootnoteReference"/>
        </w:rPr>
        <w:footnoteRef/>
      </w:r>
      <w:r>
        <w:t xml:space="preserve"> </w:t>
      </w:r>
      <w:r>
        <w:tab/>
        <w:t xml:space="preserve">The service providers with current regulatory decisions that made consistent proposals on the value of imputation credits were </w:t>
      </w:r>
      <w:r w:rsidRPr="00A62FE1">
        <w:t>ActewAGL</w:t>
      </w:r>
      <w:r>
        <w:t>, Ausg</w:t>
      </w:r>
      <w:r w:rsidRPr="00A62FE1">
        <w:t>rid, Directlink</w:t>
      </w:r>
      <w:r>
        <w:t>,</w:t>
      </w:r>
      <w:r w:rsidRPr="00A62FE1">
        <w:t xml:space="preserve"> Endeavour Ene</w:t>
      </w:r>
      <w:r>
        <w:t>rgy, Essential Energy, JGN and TransGrid.</w:t>
      </w:r>
      <w:r w:rsidRPr="00A62FE1">
        <w:t xml:space="preserve"> </w:t>
      </w:r>
      <w:r>
        <w:t>Note that the timetable for JGN's decision process is different to that for the other service providers listed. Accordingly, we have not had regard to all of the submissions to JGN's decision process in making this decision.</w:t>
      </w:r>
    </w:p>
  </w:footnote>
  <w:footnote w:id="11">
    <w:p w:rsidR="00477251" w:rsidRDefault="00477251" w:rsidP="00A90D90">
      <w:pPr>
        <w:pStyle w:val="FootnoteText"/>
      </w:pPr>
      <w:r>
        <w:rPr>
          <w:rStyle w:val="FootnoteReference"/>
        </w:rPr>
        <w:footnoteRef/>
      </w:r>
      <w:r>
        <w:t xml:space="preserve"> </w:t>
      </w:r>
      <w:r>
        <w:tab/>
        <w:t>NER, cll. 6.5.3 and 6A.6.4; NGR, r. 87A.</w:t>
      </w:r>
    </w:p>
  </w:footnote>
  <w:footnote w:id="12">
    <w:p w:rsidR="00477251" w:rsidRDefault="00477251" w:rsidP="00A90D90">
      <w:pPr>
        <w:pStyle w:val="FootnoteText"/>
      </w:pPr>
      <w:r>
        <w:rPr>
          <w:rStyle w:val="FootnoteReference"/>
        </w:rPr>
        <w:footnoteRef/>
      </w:r>
      <w:r>
        <w:t xml:space="preserve"> </w:t>
      </w:r>
      <w:r>
        <w:tab/>
        <w:t>NER, cll. 6.5.2(d)(2) and 6A.6.2(d)(2); NGR, r. 87(4)(b).</w:t>
      </w:r>
    </w:p>
  </w:footnote>
  <w:footnote w:id="13">
    <w:p w:rsidR="00477251" w:rsidRDefault="00477251" w:rsidP="008C187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14">
    <w:p w:rsidR="00477251" w:rsidRDefault="00477251" w:rsidP="008C187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15">
    <w:p w:rsidR="00477251" w:rsidRDefault="00477251" w:rsidP="008C187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16">
    <w:p w:rsidR="00477251" w:rsidRDefault="00477251" w:rsidP="00CB622C">
      <w:pPr>
        <w:pStyle w:val="FootnoteText"/>
      </w:pPr>
      <w:r>
        <w:rPr>
          <w:rStyle w:val="FootnoteReference"/>
        </w:rPr>
        <w:footnoteRef/>
      </w:r>
      <w:r>
        <w:t xml:space="preserve"> </w:t>
      </w:r>
      <w:r>
        <w:tab/>
        <w:t xml:space="preserve">SFG, </w:t>
      </w:r>
      <w:r w:rsidRPr="007C38AD">
        <w:rPr>
          <w:rStyle w:val="AERtextitalic"/>
        </w:rPr>
        <w:t>Response to submissions on rule change proposals, Report for the AEMC</w:t>
      </w:r>
      <w:r>
        <w:t>, 5 November 2012, para. 2.</w:t>
      </w:r>
    </w:p>
  </w:footnote>
  <w:footnote w:id="17">
    <w:p w:rsidR="00477251" w:rsidRDefault="00477251">
      <w:pPr>
        <w:pStyle w:val="FootnoteText"/>
      </w:pPr>
      <w:r>
        <w:rPr>
          <w:rStyle w:val="FootnoteReference"/>
        </w:rPr>
        <w:footnoteRef/>
      </w:r>
      <w:r>
        <w:t xml:space="preserve"> </w:t>
      </w:r>
      <w:r>
        <w:tab/>
        <w:t xml:space="preserve">ENA, </w:t>
      </w:r>
      <w:r>
        <w:rPr>
          <w:rStyle w:val="AERtextitalic"/>
        </w:rPr>
        <w:t>Response to the 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xml:space="preserve">, 11 October 2013, p. 49. </w:t>
      </w:r>
    </w:p>
  </w:footnote>
  <w:footnote w:id="18">
    <w:p w:rsidR="00477251" w:rsidRDefault="00477251" w:rsidP="008C1870">
      <w:pPr>
        <w:pStyle w:val="FootnoteText"/>
      </w:pPr>
      <w:r>
        <w:rPr>
          <w:rStyle w:val="FootnoteReference"/>
        </w:rPr>
        <w:footnoteRef/>
      </w:r>
      <w:r>
        <w:t xml:space="preserve"> </w:t>
      </w:r>
      <w:r>
        <w:tab/>
        <w:t>NER, cll. 6.5.2 and 6A.6.2;</w:t>
      </w:r>
      <w:r w:rsidRPr="0042735A">
        <w:t xml:space="preserve"> </w:t>
      </w:r>
      <w:r>
        <w:t>NGR, r. 87.</w:t>
      </w:r>
    </w:p>
  </w:footnote>
  <w:footnote w:id="19">
    <w:p w:rsidR="00477251" w:rsidRDefault="00477251">
      <w:pPr>
        <w:pStyle w:val="FootnoteText"/>
      </w:pPr>
      <w:r>
        <w:rPr>
          <w:rStyle w:val="FootnoteReference"/>
        </w:rPr>
        <w:footnoteRef/>
      </w:r>
      <w:r>
        <w:t xml:space="preserve"> </w:t>
      </w:r>
      <w:r>
        <w:tab/>
        <w:t xml:space="preserve">For a detailed discussion of the Officer framework, see: </w:t>
      </w:r>
      <w:r w:rsidRPr="00582678">
        <w:t xml:space="preserve">J. Handley, </w:t>
      </w:r>
      <w:r w:rsidRPr="00582678">
        <w:rPr>
          <w:rStyle w:val="AERtextitalic"/>
        </w:rPr>
        <w:t>Report prepared for the Australian Energy Regulator: Advice on the value of imputation credits</w:t>
      </w:r>
      <w:r w:rsidRPr="00582678">
        <w:t>, 29 September 2014</w:t>
      </w:r>
      <w:r>
        <w:t>, pp. 7–12.</w:t>
      </w:r>
    </w:p>
  </w:footnote>
  <w:footnote w:id="20">
    <w:p w:rsidR="00477251" w:rsidRDefault="00477251" w:rsidP="00976FE8">
      <w:pPr>
        <w:pStyle w:val="FootnoteText"/>
      </w:pPr>
      <w:r>
        <w:rPr>
          <w:rStyle w:val="FootnoteReference"/>
        </w:rPr>
        <w:footnoteRef/>
      </w:r>
      <w:r>
        <w:t xml:space="preserve"> </w:t>
      </w:r>
      <w:r>
        <w:tab/>
        <w:t>Although the term 'personal' is used, we note that classes of investors other than individual persons can value imputation credits (for example, superannuation funds and charities). Therefore, an alternative characterisation might be 'before-investor-tax' and 'before-investor-costs'.</w:t>
      </w:r>
    </w:p>
  </w:footnote>
  <w:footnote w:id="21">
    <w:p w:rsidR="00477251" w:rsidRDefault="0047725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22">
    <w:p w:rsidR="00477251" w:rsidRDefault="00477251" w:rsidP="00A90D90">
      <w:pPr>
        <w:pStyle w:val="FootnoteText"/>
      </w:pPr>
      <w:r>
        <w:rPr>
          <w:rStyle w:val="FootnoteReference"/>
        </w:rPr>
        <w:footnoteRef/>
      </w:r>
      <w:r>
        <w:tab/>
        <w:t xml:space="preserve">NEL, s. 16(1)(a); NGL, s. 28(1)(a). </w:t>
      </w:r>
    </w:p>
  </w:footnote>
  <w:footnote w:id="23">
    <w:p w:rsidR="00477251" w:rsidRDefault="00477251" w:rsidP="00A90D90">
      <w:pPr>
        <w:pStyle w:val="FootnoteText"/>
      </w:pPr>
      <w:r>
        <w:rPr>
          <w:rStyle w:val="FootnoteReference"/>
        </w:rPr>
        <w:footnoteRef/>
      </w:r>
      <w:r>
        <w:t xml:space="preserve"> </w:t>
      </w:r>
      <w:r>
        <w:tab/>
        <w:t>NEL, s. 16(2)(a)(i); NGL, s. 28(2)(a)(i).</w:t>
      </w:r>
    </w:p>
  </w:footnote>
  <w:footnote w:id="24">
    <w:p w:rsidR="00477251" w:rsidRDefault="00477251" w:rsidP="00112FED">
      <w:pPr>
        <w:pStyle w:val="FootnoteText"/>
      </w:pPr>
      <w:r>
        <w:rPr>
          <w:rStyle w:val="FootnoteReference"/>
        </w:rPr>
        <w:footnoteRef/>
      </w:r>
      <w:r>
        <w:t xml:space="preserve"> </w:t>
      </w:r>
      <w:r>
        <w:tab/>
        <w:t>NEL, ss. 7A(2)–(7); NGL, ss. 24(2)–(7).</w:t>
      </w:r>
    </w:p>
  </w:footnote>
  <w:footnote w:id="25">
    <w:p w:rsidR="00477251" w:rsidRDefault="00477251" w:rsidP="00A90D90">
      <w:pPr>
        <w:pStyle w:val="FootnoteText"/>
      </w:pPr>
      <w:r>
        <w:rPr>
          <w:rStyle w:val="FootnoteReference"/>
        </w:rPr>
        <w:footnoteRef/>
      </w:r>
      <w:r>
        <w:t xml:space="preserve"> </w:t>
      </w:r>
      <w:r>
        <w:tab/>
        <w:t xml:space="preserve">The requirements to make and publish the Guideline are set out in: NER, cls. 6.5.2(m) and 6A.6.2(m); NGR, r. 87(13). </w:t>
      </w:r>
      <w:r w:rsidRPr="004B0617">
        <w:t xml:space="preserve">The </w:t>
      </w:r>
      <w:r>
        <w:t>Guideline</w:t>
      </w:r>
      <w:r w:rsidRPr="004B0617">
        <w:t xml:space="preserve"> is available at: </w:t>
      </w:r>
      <w:r w:rsidRPr="00F8556F">
        <w:t>http://www.aer.gov.au/node/18859</w:t>
      </w:r>
      <w:r>
        <w:t>.</w:t>
      </w:r>
    </w:p>
  </w:footnote>
  <w:footnote w:id="26">
    <w:p w:rsidR="00477251" w:rsidRDefault="00477251" w:rsidP="00A90D90">
      <w:pPr>
        <w:pStyle w:val="FootnoteText"/>
      </w:pPr>
      <w:r>
        <w:rPr>
          <w:rStyle w:val="FootnoteReference"/>
        </w:rPr>
        <w:footnoteRef/>
      </w:r>
      <w:r>
        <w:t xml:space="preserve"> </w:t>
      </w:r>
      <w:r>
        <w:tab/>
        <w:t>NER, cll. 6.5.2(n</w:t>
      </w:r>
      <w:r w:rsidRPr="0090536E">
        <w:t xml:space="preserve">) and </w:t>
      </w:r>
      <w:r>
        <w:t>6A.6.2(n); NGR, r. 87(14).</w:t>
      </w:r>
    </w:p>
  </w:footnote>
  <w:footnote w:id="27">
    <w:p w:rsidR="00477251" w:rsidRDefault="00477251" w:rsidP="00A90D90">
      <w:pPr>
        <w:pStyle w:val="FootnoteText"/>
      </w:pPr>
      <w:r>
        <w:rPr>
          <w:rStyle w:val="FootnoteReference"/>
        </w:rPr>
        <w:footnoteRef/>
      </w:r>
      <w:r>
        <w:t xml:space="preserve"> </w:t>
      </w:r>
      <w:r>
        <w:tab/>
        <w:t xml:space="preserve">NER, cll. </w:t>
      </w:r>
      <w:r w:rsidRPr="001E5B06">
        <w:t>6.5.2(n)</w:t>
      </w:r>
      <w:r>
        <w:t>(2) and 6.A.6.2(n)(2); NGR, r. 87(14)(b).</w:t>
      </w:r>
    </w:p>
  </w:footnote>
  <w:footnote w:id="28">
    <w:p w:rsidR="00477251" w:rsidRDefault="00477251" w:rsidP="00A90D90">
      <w:pPr>
        <w:pStyle w:val="FootnoteText"/>
      </w:pPr>
      <w:r>
        <w:rPr>
          <w:rStyle w:val="FootnoteReference"/>
        </w:rPr>
        <w:footnoteRef/>
      </w:r>
      <w:r>
        <w:t xml:space="preserve"> </w:t>
      </w:r>
      <w:r>
        <w:tab/>
        <w:t>NER, cll. 6.2.8(c) and 6A.2.3(c); NGR, r. 87(18).</w:t>
      </w:r>
    </w:p>
  </w:footnote>
  <w:footnote w:id="29">
    <w:p w:rsidR="00477251" w:rsidRDefault="00477251" w:rsidP="00A90D90">
      <w:pPr>
        <w:pStyle w:val="FootnoteText"/>
      </w:pPr>
      <w:r>
        <w:rPr>
          <w:rStyle w:val="FootnoteReference"/>
        </w:rPr>
        <w:footnoteRef/>
      </w:r>
      <w:r>
        <w:t xml:space="preserve"> </w:t>
      </w:r>
      <w:r>
        <w:tab/>
        <w:t xml:space="preserve">NER, ss. </w:t>
      </w:r>
      <w:r w:rsidRPr="00A609E3">
        <w:t>S6.1.3</w:t>
      </w:r>
      <w:r>
        <w:t>(9)–(9B) and S6A.1.3(4)(vi),(4A)–(4C); NGR, r. 72(1)(g).</w:t>
      </w:r>
    </w:p>
  </w:footnote>
  <w:footnote w:id="30">
    <w:p w:rsidR="00477251" w:rsidRDefault="00477251" w:rsidP="00A90D90">
      <w:pPr>
        <w:pStyle w:val="FootnoteText"/>
      </w:pPr>
      <w:r>
        <w:rPr>
          <w:rStyle w:val="FootnoteReference"/>
        </w:rPr>
        <w:footnoteRef/>
      </w:r>
      <w:r>
        <w:t xml:space="preserve"> </w:t>
      </w:r>
      <w:r>
        <w:tab/>
      </w:r>
      <w:r w:rsidRPr="007646B1">
        <w:t xml:space="preserve">AER, </w:t>
      </w:r>
      <w:r w:rsidRPr="007646B1">
        <w:rPr>
          <w:rStyle w:val="AERtextitalic"/>
        </w:rPr>
        <w:t>Better r</w:t>
      </w:r>
      <w:r>
        <w:rPr>
          <w:rStyle w:val="AERtextitalic"/>
        </w:rPr>
        <w:t>egulation:</w:t>
      </w:r>
      <w:r w:rsidRPr="007646B1">
        <w:rPr>
          <w:rStyle w:val="AERtextitalic"/>
        </w:rPr>
        <w:t xml:space="preserve"> </w:t>
      </w:r>
      <w:r>
        <w:rPr>
          <w:rStyle w:val="AERtextitalic"/>
        </w:rPr>
        <w:t>R</w:t>
      </w:r>
      <w:r w:rsidRPr="007646B1">
        <w:rPr>
          <w:rStyle w:val="AERtextitalic"/>
        </w:rPr>
        <w:t>ate</w:t>
      </w:r>
      <w:r>
        <w:rPr>
          <w:rStyle w:val="AERtextitalic"/>
        </w:rPr>
        <w:t xml:space="preserve"> of Return Guideline</w:t>
      </w:r>
      <w:r w:rsidRPr="007646B1">
        <w:t>, December 2013</w:t>
      </w:r>
      <w:r>
        <w:t>, p. 8.</w:t>
      </w:r>
    </w:p>
  </w:footnote>
  <w:footnote w:id="31">
    <w:p w:rsidR="00477251" w:rsidRDefault="00477251">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pp. 48–49.</w:t>
      </w:r>
    </w:p>
  </w:footnote>
  <w:footnote w:id="32">
    <w:p w:rsidR="00477251" w:rsidRDefault="00477251">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33">
    <w:p w:rsidR="00477251" w:rsidRDefault="00477251" w:rsidP="009661BA">
      <w:pPr>
        <w:pStyle w:val="FootnoteText"/>
      </w:pPr>
      <w:r>
        <w:rPr>
          <w:rStyle w:val="FootnoteReference"/>
        </w:rPr>
        <w:footnoteRef/>
      </w:r>
      <w:r>
        <w:t xml:space="preserve"> </w:t>
      </w:r>
      <w:r>
        <w:tab/>
        <w:t>NER, cll. 6.5.2(d)(2) and 6A.6.2(d)(2); NGR, r. 87(4)(b).</w:t>
      </w:r>
    </w:p>
  </w:footnote>
  <w:footnote w:id="34">
    <w:p w:rsidR="00477251" w:rsidRDefault="00477251" w:rsidP="00016F8E">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35">
    <w:p w:rsidR="00477251" w:rsidRDefault="00477251" w:rsidP="003E38A3">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J. Handley, </w:t>
      </w:r>
      <w:r w:rsidRPr="00626887">
        <w:rPr>
          <w:rStyle w:val="AERtextitalic"/>
        </w:rPr>
        <w:t>Report prepared for the Australian Energy Regulator: Further advice on the value of imputation credits</w:t>
      </w:r>
      <w:r>
        <w:t>, 16 April 2015.</w:t>
      </w:r>
    </w:p>
  </w:footnote>
  <w:footnote w:id="36">
    <w:p w:rsidR="00477251" w:rsidRDefault="00477251" w:rsidP="00A90D90">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SFG, </w:t>
      </w:r>
      <w:r>
        <w:rPr>
          <w:rStyle w:val="AERtextitalic"/>
        </w:rPr>
        <w:t>Estimating gamma for regulatory purposes</w:t>
      </w:r>
      <w:r>
        <w:t xml:space="preserve">, 6 February 2015. </w:t>
      </w:r>
    </w:p>
  </w:footnote>
  <w:footnote w:id="37">
    <w:p w:rsidR="00477251" w:rsidRDefault="00477251" w:rsidP="00A90D90">
      <w:pPr>
        <w:pStyle w:val="FootnoteText"/>
      </w:pPr>
      <w:r>
        <w:rPr>
          <w:rStyle w:val="FootnoteReference"/>
        </w:rPr>
        <w:footnoteRef/>
      </w:r>
      <w:r>
        <w:t xml:space="preserve"> </w:t>
      </w:r>
      <w:r>
        <w:tab/>
        <w:t xml:space="preserve">M. Lally, </w:t>
      </w:r>
      <w:r w:rsidRPr="008916E4">
        <w:rPr>
          <w:rStyle w:val="AERtextitalic"/>
        </w:rPr>
        <w:t>Review of submissions to the QCA on the MRP, risk-free rate and gamma</w:t>
      </w:r>
      <w:r>
        <w:t>, 12 March 2014.</w:t>
      </w:r>
    </w:p>
  </w:footnote>
  <w:footnote w:id="38">
    <w:p w:rsidR="00477251" w:rsidRDefault="00477251" w:rsidP="00A90D90">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w:t>
      </w:r>
    </w:p>
  </w:footnote>
  <w:footnote w:id="39">
    <w:p w:rsidR="00477251" w:rsidRDefault="00477251" w:rsidP="00A90D9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40">
    <w:p w:rsidR="00477251" w:rsidRDefault="00477251" w:rsidP="00A90D90">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41">
    <w:p w:rsidR="00477251" w:rsidRDefault="00477251" w:rsidP="00A90D90">
      <w:pPr>
        <w:pStyle w:val="FootnoteText"/>
      </w:pPr>
      <w:r>
        <w:rPr>
          <w:rStyle w:val="FootnoteReference"/>
        </w:rPr>
        <w:footnoteRef/>
      </w:r>
      <w:r>
        <w:t xml:space="preserve"> </w:t>
      </w:r>
      <w:r>
        <w:tab/>
        <w:t xml:space="preserve">See sections </w:t>
      </w:r>
      <w:r>
        <w:fldChar w:fldCharType="begin"/>
      </w:r>
      <w:r>
        <w:instrText xml:space="preserve"> REF _Ref414621676 \r \h </w:instrText>
      </w:r>
      <w:r>
        <w:fldChar w:fldCharType="separate"/>
      </w:r>
      <w:r>
        <w:t>A.1</w:t>
      </w:r>
      <w:r>
        <w:fldChar w:fldCharType="end"/>
      </w:r>
      <w:r>
        <w:t xml:space="preserve"> and </w:t>
      </w:r>
      <w:r>
        <w:fldChar w:fldCharType="begin"/>
      </w:r>
      <w:r>
        <w:instrText xml:space="preserve"> REF _Ref414621875 \r \h </w:instrText>
      </w:r>
      <w:r>
        <w:fldChar w:fldCharType="separate"/>
      </w:r>
      <w:r>
        <w:t>A.2</w:t>
      </w:r>
      <w:r>
        <w:fldChar w:fldCharType="end"/>
      </w:r>
      <w:r>
        <w:t xml:space="preserve"> of appendix A.</w:t>
      </w:r>
    </w:p>
  </w:footnote>
  <w:footnote w:id="42">
    <w:p w:rsidR="00477251" w:rsidRDefault="00477251" w:rsidP="00A90D90">
      <w:pPr>
        <w:pStyle w:val="FootnoteText"/>
      </w:pPr>
      <w:r>
        <w:rPr>
          <w:rStyle w:val="FootnoteReference"/>
        </w:rPr>
        <w:footnoteRef/>
      </w:r>
      <w:r>
        <w:t xml:space="preserve"> </w:t>
      </w:r>
      <w:r>
        <w:tab/>
        <w:t xml:space="preserve">See section </w:t>
      </w:r>
      <w:r>
        <w:fldChar w:fldCharType="begin"/>
      </w:r>
      <w:r>
        <w:instrText xml:space="preserve"> REF _Ref415144114 \r \h </w:instrText>
      </w:r>
      <w:r>
        <w:fldChar w:fldCharType="separate"/>
      </w:r>
      <w:r>
        <w:t>A.5</w:t>
      </w:r>
      <w:r>
        <w:fldChar w:fldCharType="end"/>
      </w:r>
      <w:r>
        <w:t xml:space="preserve"> of appendix A.</w:t>
      </w:r>
    </w:p>
  </w:footnote>
  <w:footnote w:id="43">
    <w:p w:rsidR="00477251" w:rsidRDefault="00477251" w:rsidP="00A90D90">
      <w:pPr>
        <w:pStyle w:val="FootnoteText"/>
      </w:pPr>
      <w:r>
        <w:rPr>
          <w:rStyle w:val="FootnoteReference"/>
        </w:rPr>
        <w:footnoteRef/>
      </w:r>
      <w:r>
        <w:t xml:space="preserve"> </w:t>
      </w:r>
      <w:r>
        <w:tab/>
        <w:t xml:space="preserve">See sections </w:t>
      </w:r>
      <w:r>
        <w:fldChar w:fldCharType="begin"/>
      </w:r>
      <w:r>
        <w:instrText xml:space="preserve"> REF _Ref416802130 \r \h </w:instrText>
      </w:r>
      <w:r>
        <w:fldChar w:fldCharType="separate"/>
      </w:r>
      <w:r>
        <w:t>4.3.1</w:t>
      </w:r>
      <w:r>
        <w:fldChar w:fldCharType="end"/>
      </w:r>
      <w:r>
        <w:t xml:space="preserve"> and </w:t>
      </w:r>
      <w:r>
        <w:fldChar w:fldCharType="begin"/>
      </w:r>
      <w:r>
        <w:instrText xml:space="preserve"> REF _Ref400965182 \r \h </w:instrText>
      </w:r>
      <w:r>
        <w:fldChar w:fldCharType="separate"/>
      </w:r>
      <w:r>
        <w:t>A.6</w:t>
      </w:r>
      <w:r>
        <w:fldChar w:fldCharType="end"/>
      </w:r>
      <w:r>
        <w:t xml:space="preserve"> of appendix A.</w:t>
      </w:r>
    </w:p>
  </w:footnote>
  <w:footnote w:id="44">
    <w:p w:rsidR="00477251" w:rsidRDefault="00477251" w:rsidP="00A90D90">
      <w:pPr>
        <w:pStyle w:val="FootnoteText"/>
      </w:pPr>
      <w:r>
        <w:rPr>
          <w:rStyle w:val="FootnoteReference"/>
        </w:rPr>
        <w:footnoteRef/>
      </w:r>
      <w:r>
        <w:t xml:space="preserve"> </w:t>
      </w:r>
      <w:r>
        <w:tab/>
        <w:t xml:space="preserve">Assuming retained imputation credits have no value. See section </w:t>
      </w:r>
      <w:r>
        <w:fldChar w:fldCharType="begin"/>
      </w:r>
      <w:r>
        <w:instrText xml:space="preserve"> REF _Ref400965182 \r \h </w:instrText>
      </w:r>
      <w:r>
        <w:fldChar w:fldCharType="separate"/>
      </w:r>
      <w:r>
        <w:t>A.6</w:t>
      </w:r>
      <w:r>
        <w:fldChar w:fldCharType="end"/>
      </w:r>
      <w:r>
        <w:t xml:space="preserve"> of appendix A.</w:t>
      </w:r>
    </w:p>
  </w:footnote>
  <w:footnote w:id="45">
    <w:p w:rsidR="00477251" w:rsidRDefault="00477251" w:rsidP="00A90D90">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See section </w:t>
      </w:r>
      <w:r>
        <w:fldChar w:fldCharType="begin"/>
      </w:r>
      <w:r>
        <w:instrText xml:space="preserve"> REF _Ref401048631 \r \h </w:instrText>
      </w:r>
      <w:r>
        <w:fldChar w:fldCharType="separate"/>
      </w:r>
      <w:r>
        <w:t>A.9.1</w:t>
      </w:r>
      <w:r>
        <w:fldChar w:fldCharType="end"/>
      </w:r>
      <w:r>
        <w:t xml:space="preserve"> of appendix A for more discussion. </w:t>
      </w:r>
    </w:p>
  </w:footnote>
  <w:footnote w:id="46">
    <w:p w:rsidR="00477251" w:rsidRDefault="00477251"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47">
    <w:p w:rsidR="00477251" w:rsidRDefault="00477251" w:rsidP="00730504">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r w:rsidRPr="00582678">
        <w:t>.</w:t>
      </w:r>
      <w:r>
        <w:t xml:space="preserve">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48">
    <w:p w:rsidR="00477251" w:rsidRDefault="00477251"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49">
    <w:p w:rsidR="00477251" w:rsidRDefault="00477251"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Report to the Queensland Resources Council: Review of Aurizon Network’s draft access undertaking</w:t>
      </w:r>
      <w:r>
        <w:t xml:space="preserve">, 5 October 2013, pp. 31–35. See also section </w:t>
      </w:r>
      <w:r>
        <w:fldChar w:fldCharType="begin"/>
      </w:r>
      <w:r>
        <w:instrText xml:space="preserve"> REF _Ref414621676 \r \h </w:instrText>
      </w:r>
      <w:r>
        <w:fldChar w:fldCharType="separate"/>
      </w:r>
      <w:r>
        <w:t>A.1</w:t>
      </w:r>
      <w:r>
        <w:fldChar w:fldCharType="end"/>
      </w:r>
      <w:r>
        <w:t xml:space="preserve"> of appendix A.</w:t>
      </w:r>
    </w:p>
  </w:footnote>
  <w:footnote w:id="50">
    <w:p w:rsidR="00477251" w:rsidRDefault="00477251"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51">
    <w:p w:rsidR="00477251" w:rsidRDefault="00477251">
      <w:pPr>
        <w:pStyle w:val="FootnoteText"/>
      </w:pPr>
      <w:r>
        <w:rPr>
          <w:rStyle w:val="FootnoteReference"/>
        </w:rPr>
        <w:footnoteRef/>
      </w:r>
      <w:r>
        <w:t xml:space="preserve"> </w:t>
      </w:r>
      <w:r>
        <w:tab/>
        <w:t xml:space="preserve">Note that our estimates of the distribution rate for listed equity come from ATO data on public companies. Handley advised that it is not strictly correct to refer to ATO data on public companies as data on listed companies. This is because the ATO definition of a public company includes but is not limited to listed companies. However, Handley also advised that referring to the public company data as relating to listed companies is suitable for our purpose. </w:t>
      </w:r>
      <w:r w:rsidRPr="00874F27">
        <w:t xml:space="preserve">J. Handley, </w:t>
      </w:r>
      <w:r w:rsidRPr="00874F27">
        <w:rPr>
          <w:rStyle w:val="AERtextitalic"/>
        </w:rPr>
        <w:t xml:space="preserve">Report prepared for the Australian Energy Regulator: </w:t>
      </w:r>
      <w:r>
        <w:rPr>
          <w:rStyle w:val="AERtextitalic"/>
        </w:rPr>
        <w:t>Further a</w:t>
      </w:r>
      <w:r w:rsidRPr="00874F27">
        <w:rPr>
          <w:rStyle w:val="AERtextitalic"/>
        </w:rPr>
        <w:t>dvice on the value of imputation credits</w:t>
      </w:r>
      <w:r w:rsidRPr="00874F27">
        <w:t xml:space="preserve">, </w:t>
      </w:r>
      <w:r>
        <w:t>16 April 2015, footnote 26</w:t>
      </w:r>
      <w:r w:rsidRPr="00874F27">
        <w:t>.</w:t>
      </w:r>
    </w:p>
  </w:footnote>
  <w:footnote w:id="52">
    <w:p w:rsidR="00477251" w:rsidRDefault="00477251" w:rsidP="00730504">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53">
    <w:p w:rsidR="00477251" w:rsidRDefault="00477251" w:rsidP="00730504">
      <w:pPr>
        <w:pStyle w:val="FootnoteText"/>
      </w:pPr>
      <w:r>
        <w:rPr>
          <w:rStyle w:val="FootnoteReference"/>
        </w:rPr>
        <w:footnoteRef/>
      </w:r>
      <w:r>
        <w:t xml:space="preserve"> </w:t>
      </w:r>
      <w:r>
        <w:tab/>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_Ref414289593 \r \h </w:instrText>
      </w:r>
      <w:r>
        <w:fldChar w:fldCharType="separate"/>
      </w:r>
      <w:r>
        <w:t>4.4.2</w:t>
      </w:r>
      <w:r>
        <w:fldChar w:fldCharType="end"/>
      </w:r>
      <w:r>
        <w:t>.</w:t>
      </w:r>
    </w:p>
  </w:footnote>
  <w:footnote w:id="54">
    <w:p w:rsidR="00477251" w:rsidRDefault="00477251" w:rsidP="00730504">
      <w:pPr>
        <w:pStyle w:val="FootnoteText"/>
      </w:pPr>
      <w:r>
        <w:rPr>
          <w:rStyle w:val="FootnoteReference"/>
        </w:rPr>
        <w:footnoteRef/>
      </w:r>
      <w:r>
        <w:t xml:space="preserve"> </w:t>
      </w:r>
      <w:r>
        <w:tab/>
        <w:t xml:space="preserve">McKenzie and Partington describe the approach to estimating the utilisation rate in our draft rate of return Guideline, which relied on evidence other than implied market value studies, as making a 'reasonable case' for the estimate adopted in that document; M. McKenzie and G. Partington, </w:t>
      </w:r>
      <w:r w:rsidRPr="00523EF7">
        <w:rPr>
          <w:rStyle w:val="AERtextitalic"/>
        </w:rPr>
        <w:t>Report to the Queensland Resources Council: Review of Aurizon Network’s draft access undertaking</w:t>
      </w:r>
      <w:r>
        <w:t>, 5 October 2013, p. 32.</w:t>
      </w:r>
    </w:p>
  </w:footnote>
  <w:footnote w:id="55">
    <w:p w:rsidR="00477251" w:rsidRDefault="00477251">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56">
    <w:p w:rsidR="00477251" w:rsidRDefault="00477251" w:rsidP="00730504">
      <w:pPr>
        <w:pStyle w:val="FootnoteText"/>
      </w:pPr>
      <w:r>
        <w:rPr>
          <w:rStyle w:val="FootnoteReference"/>
        </w:rPr>
        <w:footnoteRef/>
      </w:r>
      <w:r>
        <w:t xml:space="preserve"> </w:t>
      </w:r>
      <w:r>
        <w:tab/>
        <w:t xml:space="preserve">We discuss the adjustment advised by Handley and </w:t>
      </w:r>
      <w:proofErr w:type="spellStart"/>
      <w:r>
        <w:t>Lally</w:t>
      </w:r>
      <w:proofErr w:type="spellEnd"/>
      <w:r>
        <w:t xml:space="preserve"> in section </w:t>
      </w:r>
      <w:r>
        <w:fldChar w:fldCharType="begin"/>
      </w:r>
      <w:r>
        <w:instrText xml:space="preserve"> REF _Ref414289593 \r \h </w:instrText>
      </w:r>
      <w:r>
        <w:fldChar w:fldCharType="separate"/>
      </w:r>
      <w:r>
        <w:t>4.4.2</w:t>
      </w:r>
      <w:r>
        <w:fldChar w:fldCharType="end"/>
      </w:r>
      <w:r>
        <w:t>.</w:t>
      </w:r>
    </w:p>
  </w:footnote>
  <w:footnote w:id="57">
    <w:p w:rsidR="00477251" w:rsidRDefault="00477251">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58">
    <w:p w:rsidR="00477251" w:rsidRPr="001966E3" w:rsidRDefault="00477251" w:rsidP="001966E3">
      <w:pPr>
        <w:pStyle w:val="FootnoteText"/>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xml:space="preserve">, 8 August 2014, pp. 90–92; PIAC, </w:t>
      </w:r>
      <w:r w:rsidRPr="001966E3">
        <w:rPr>
          <w:rStyle w:val="AERtextitalic"/>
        </w:rPr>
        <w:t>A missed opportunity? Submission to the Australian Energy Regulator’s draft determination for Ausgrid, Endeavour Energy and Essential Energy</w:t>
      </w:r>
      <w:r>
        <w:t>, 13 February 2015, p. 46.</w:t>
      </w:r>
    </w:p>
  </w:footnote>
  <w:footnote w:id="59">
    <w:p w:rsidR="00477251" w:rsidRDefault="00477251" w:rsidP="005401BC">
      <w:pPr>
        <w:pStyle w:val="FootnoteText"/>
      </w:pPr>
      <w:r>
        <w:rPr>
          <w:rStyle w:val="FootnoteReference"/>
        </w:rPr>
        <w:footnoteRef/>
      </w:r>
      <w:r>
        <w:t xml:space="preserve"> </w:t>
      </w:r>
      <w:r>
        <w:tab/>
      </w:r>
      <w:r w:rsidRPr="0074446C">
        <w:t xml:space="preserve">Australian Competition Tribunal, </w:t>
      </w:r>
      <w:r w:rsidRPr="008A03DA">
        <w:rPr>
          <w:rStyle w:val="AERtextitalic"/>
        </w:rPr>
        <w:t>Application by Energex Limited (Gamma) (No 5) [2011] ACompT 9</w:t>
      </w:r>
      <w:r>
        <w:t>, 12 May 2011, para. 45.</w:t>
      </w:r>
    </w:p>
  </w:footnote>
  <w:footnote w:id="60">
    <w:p w:rsidR="00477251" w:rsidRDefault="00477251">
      <w:pPr>
        <w:pStyle w:val="FootnoteText"/>
      </w:pPr>
      <w:r>
        <w:rPr>
          <w:rStyle w:val="FootnoteReference"/>
        </w:rPr>
        <w:footnoteRef/>
      </w:r>
      <w:r>
        <w:t xml:space="preserve"> </w:t>
      </w:r>
      <w:r>
        <w:tab/>
        <w:t xml:space="preserve">PIAC, </w:t>
      </w:r>
      <w:r w:rsidRPr="001966E3">
        <w:rPr>
          <w:rStyle w:val="AERtextitalic"/>
        </w:rPr>
        <w:t>A missed opportunity? Submission to the Australian Energy Regulator’s draft determination for Ausgrid, Endeavour Energy and Essential Energy</w:t>
      </w:r>
      <w:r>
        <w:t>, 13 February 2015, pp. 19–20.</w:t>
      </w:r>
    </w:p>
  </w:footnote>
  <w:footnote w:id="61">
    <w:p w:rsidR="00477251" w:rsidRDefault="00477251" w:rsidP="006D5D8E">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62">
    <w:p w:rsidR="00477251" w:rsidRDefault="00477251">
      <w:pPr>
        <w:pStyle w:val="FootnoteText"/>
      </w:pPr>
      <w:r>
        <w:rPr>
          <w:rStyle w:val="FootnoteReference"/>
        </w:rPr>
        <w:footnoteRef/>
      </w:r>
      <w:r>
        <w:t xml:space="preserve"> </w:t>
      </w:r>
      <w:r>
        <w:tab/>
      </w:r>
      <w:r w:rsidRPr="007646B1">
        <w:t xml:space="preserve">AER, </w:t>
      </w:r>
      <w:r w:rsidRPr="007646B1">
        <w:rPr>
          <w:rStyle w:val="AERtextitalic"/>
        </w:rPr>
        <w:t>Better regulation: Explanatory</w:t>
      </w:r>
      <w:r>
        <w:rPr>
          <w:rStyle w:val="AERtextitalic"/>
        </w:rPr>
        <w:t xml:space="preserve">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63">
    <w:p w:rsidR="00477251" w:rsidRDefault="00477251" w:rsidP="00B36753">
      <w:pPr>
        <w:pStyle w:val="FootnoteText"/>
      </w:pPr>
      <w:r>
        <w:rPr>
          <w:rStyle w:val="FootnoteReference"/>
        </w:rPr>
        <w:footnoteRef/>
      </w:r>
      <w:r>
        <w:t xml:space="preserve"> </w:t>
      </w:r>
      <w:r>
        <w:tab/>
        <w:t xml:space="preserve">SACOSS, </w:t>
      </w:r>
      <w:r w:rsidRPr="00B36753">
        <w:rPr>
          <w:rStyle w:val="AERtextitalic"/>
        </w:rPr>
        <w:t>Submission to Australian Energy Regulator on SA Power Networks’ 2015 – 2020 Regulatory Proposal</w:t>
      </w:r>
      <w:r>
        <w:t>, January 2015, p. 21.</w:t>
      </w:r>
    </w:p>
  </w:footnote>
  <w:footnote w:id="64">
    <w:p w:rsidR="00477251" w:rsidRDefault="00477251" w:rsidP="003504FC">
      <w:pPr>
        <w:pStyle w:val="FootnoteText"/>
      </w:pPr>
      <w:r>
        <w:rPr>
          <w:rStyle w:val="FootnoteReference"/>
        </w:rPr>
        <w:footnoteRef/>
      </w:r>
      <w:r>
        <w:t xml:space="preserve"> </w:t>
      </w:r>
      <w:r>
        <w:tab/>
        <w:t xml:space="preserve">ECCSA, </w:t>
      </w:r>
      <w:r w:rsidRPr="003504FC">
        <w:rPr>
          <w:rStyle w:val="AERtextitalic"/>
        </w:rPr>
        <w:t>SA Electricity Distribution Revenue Reset, SA PowerNetworks Application, A response</w:t>
      </w:r>
      <w:r>
        <w:t>, December 2014, pp. 80–81.</w:t>
      </w:r>
    </w:p>
  </w:footnote>
  <w:footnote w:id="65">
    <w:p w:rsidR="00477251" w:rsidRDefault="00477251" w:rsidP="0014196F">
      <w:pPr>
        <w:pStyle w:val="FootnoteText"/>
      </w:pPr>
      <w:r>
        <w:rPr>
          <w:rStyle w:val="FootnoteReference"/>
        </w:rPr>
        <w:footnoteRef/>
      </w:r>
      <w:r>
        <w:t xml:space="preserve"> </w:t>
      </w:r>
      <w:r>
        <w:tab/>
        <w:t xml:space="preserve">QCOSS, </w:t>
      </w:r>
      <w:r w:rsidRPr="0014196F">
        <w:rPr>
          <w:rStyle w:val="AERtextitalic"/>
        </w:rPr>
        <w:t>Understanding the long term interests of electricity customers, Submission to the AER’s Queensland electricity distribution determination 2015-2020</w:t>
      </w:r>
      <w:r>
        <w:t>, 30 January 2015, p. 81.</w:t>
      </w:r>
    </w:p>
  </w:footnote>
  <w:footnote w:id="66">
    <w:p w:rsidR="00477251" w:rsidRDefault="00477251" w:rsidP="00F31D12">
      <w:pPr>
        <w:pStyle w:val="FootnoteText"/>
      </w:pPr>
      <w:r>
        <w:rPr>
          <w:rStyle w:val="FootnoteReference"/>
        </w:rPr>
        <w:footnoteRef/>
      </w:r>
      <w:r>
        <w:t xml:space="preserve"> </w:t>
      </w:r>
      <w:r>
        <w:tab/>
        <w:t xml:space="preserve">Alliance of Electricity Consumers, </w:t>
      </w:r>
      <w:r w:rsidRPr="00F31D12">
        <w:rPr>
          <w:rStyle w:val="AERtextitalic"/>
        </w:rPr>
        <w:t>Submission on Ergon Energy’s Regulatory Proposal 2015-­</w:t>
      </w:r>
      <w:r w:rsidRPr="00F31D12">
        <w:rPr>
          <w:rStyle w:val="AERtextitalic"/>
          <w:rFonts w:ascii="Cambria Math" w:hAnsi="Cambria Math" w:cs="Cambria Math"/>
        </w:rPr>
        <w:t>‐</w:t>
      </w:r>
      <w:r w:rsidRPr="00F31D12">
        <w:rPr>
          <w:rStyle w:val="AERtextitalic"/>
        </w:rPr>
        <w:t>2020</w:t>
      </w:r>
      <w:r>
        <w:t>, 30 January 2015, p. 24.</w:t>
      </w:r>
    </w:p>
  </w:footnote>
  <w:footnote w:id="67">
    <w:p w:rsidR="00477251" w:rsidRDefault="00477251" w:rsidP="009B2ABF">
      <w:pPr>
        <w:pStyle w:val="FootnoteText"/>
      </w:pPr>
      <w:r>
        <w:rPr>
          <w:rStyle w:val="FootnoteReference"/>
        </w:rPr>
        <w:footnoteRef/>
      </w:r>
      <w:r>
        <w:t xml:space="preserve"> </w:t>
      </w:r>
      <w:r>
        <w:tab/>
        <w:t>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Monkhouse framework.</w:t>
      </w:r>
    </w:p>
  </w:footnote>
  <w:footnote w:id="68">
    <w:p w:rsidR="00477251" w:rsidRDefault="00477251" w:rsidP="009B2ABF">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t>A.10</w:t>
      </w:r>
      <w:r>
        <w:fldChar w:fldCharType="end"/>
      </w:r>
      <w:r w:rsidRPr="007F4E38">
        <w:t xml:space="preserve"> of </w:t>
      </w:r>
      <w:r>
        <w:t>appendix A.</w:t>
      </w:r>
    </w:p>
  </w:footnote>
  <w:footnote w:id="69">
    <w:p w:rsidR="00477251" w:rsidRDefault="00477251" w:rsidP="009B2ABF">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70">
    <w:p w:rsidR="00477251" w:rsidRDefault="00477251" w:rsidP="009B2AB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71">
    <w:p w:rsidR="00477251" w:rsidRDefault="00477251" w:rsidP="009B2ABF">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Report to the Queensland Resources Council: Review of Aurizon Network’s draft access undertaking</w:t>
      </w:r>
      <w:r>
        <w:t>, 5 October 2013, p. 31.</w:t>
      </w:r>
    </w:p>
  </w:footnote>
  <w:footnote w:id="72">
    <w:p w:rsidR="00477251" w:rsidRDefault="00477251" w:rsidP="009B2ABF">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73">
    <w:p w:rsidR="00477251" w:rsidRDefault="00477251">
      <w:pPr>
        <w:pStyle w:val="FootnoteText"/>
      </w:pPr>
      <w:r>
        <w:rPr>
          <w:rStyle w:val="FootnoteReference"/>
        </w:rPr>
        <w:footnoteRef/>
      </w:r>
      <w:r>
        <w:t xml:space="preserve"> </w:t>
      </w:r>
      <w:r>
        <w:tab/>
        <w:t xml:space="preserve">See section </w:t>
      </w:r>
      <w:r>
        <w:fldChar w:fldCharType="begin"/>
      </w:r>
      <w:r>
        <w:instrText xml:space="preserve"> REF _Ref401133206 \r \h </w:instrText>
      </w:r>
      <w:r>
        <w:fldChar w:fldCharType="separate"/>
      </w:r>
      <w:r>
        <w:t>A.10</w:t>
      </w:r>
      <w:r>
        <w:fldChar w:fldCharType="end"/>
      </w:r>
      <w:r>
        <w:t xml:space="preserve"> for more detail.</w:t>
      </w:r>
    </w:p>
  </w:footnote>
  <w:footnote w:id="74">
    <w:p w:rsidR="00477251" w:rsidRDefault="0047725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75">
    <w:p w:rsidR="00477251" w:rsidRDefault="00477251" w:rsidP="008D1665">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t>A.8.1</w:t>
      </w:r>
      <w:r>
        <w:fldChar w:fldCharType="end"/>
      </w:r>
      <w:r>
        <w:t xml:space="preserve"> of appendix A.</w:t>
      </w:r>
    </w:p>
  </w:footnote>
  <w:footnote w:id="76">
    <w:p w:rsidR="00477251" w:rsidRDefault="00477251"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Report to the Queensland Resources Council: Review of Aurizon Network’s draft access undertaking</w:t>
      </w:r>
      <w:r>
        <w:t>, 5 October 2013, p. 32.</w:t>
      </w:r>
    </w:p>
  </w:footnote>
  <w:footnote w:id="77">
    <w:p w:rsidR="00477251" w:rsidRDefault="00477251" w:rsidP="008D1665">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t>A.11</w:t>
      </w:r>
      <w:r>
        <w:fldChar w:fldCharType="end"/>
      </w:r>
      <w:r>
        <w:t xml:space="preserve"> of appendix A.</w:t>
      </w:r>
    </w:p>
  </w:footnote>
  <w:footnote w:id="78">
    <w:p w:rsidR="00477251" w:rsidRDefault="00477251" w:rsidP="008D1665">
      <w:pPr>
        <w:pStyle w:val="FootnoteText"/>
      </w:pPr>
      <w:r>
        <w:rPr>
          <w:rStyle w:val="FootnoteReference"/>
        </w:rPr>
        <w:footnoteRef/>
      </w:r>
      <w:r>
        <w:t xml:space="preserve"> </w:t>
      </w:r>
      <w:r>
        <w:tab/>
        <w:t xml:space="preserve">Specifically, we use data from </w:t>
      </w:r>
      <w:r w:rsidRPr="0061054A">
        <w:t>Australian National Accounts:</w:t>
      </w:r>
      <w:r>
        <w:t xml:space="preserve"> Finance and Wealth </w:t>
      </w:r>
      <w:r w:rsidRPr="0061054A">
        <w:t>(ABS cat. 5232.0)</w:t>
      </w:r>
      <w:r>
        <w:t>.</w:t>
      </w:r>
    </w:p>
  </w:footnote>
  <w:footnote w:id="79">
    <w:p w:rsidR="00477251" w:rsidRDefault="00477251" w:rsidP="008D166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80">
    <w:p w:rsidR="00477251" w:rsidRDefault="00477251" w:rsidP="008D1665">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81">
    <w:p w:rsidR="00477251" w:rsidRDefault="00477251"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82">
    <w:p w:rsidR="00477251" w:rsidRDefault="00477251"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83">
    <w:p w:rsidR="00477251" w:rsidRDefault="00477251">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84">
    <w:p w:rsidR="00477251" w:rsidRDefault="00477251" w:rsidP="0044032A">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 and 99–100.</w:t>
      </w:r>
    </w:p>
  </w:footnote>
  <w:footnote w:id="85">
    <w:p w:rsidR="00477251" w:rsidRDefault="00477251" w:rsidP="008D1665">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the regulations</w:t>
      </w:r>
      <w:r w:rsidRPr="00293592">
        <w:t>.</w:t>
      </w:r>
      <w:r>
        <w:t xml:space="preserve"> See: </w:t>
      </w:r>
      <w:r w:rsidRPr="00057D4F">
        <w:t>https://www.ato.gov.au/Non-profit/Franking-credits/In-detail/FAQs/Refund-of-franking-credits--endorsed-entities---FAQs/?page=3</w:t>
      </w:r>
      <w:r>
        <w:t>. Accessed 9 April 2015.</w:t>
      </w:r>
    </w:p>
  </w:footnote>
  <w:footnote w:id="86">
    <w:p w:rsidR="00477251" w:rsidRDefault="00477251" w:rsidP="008D1665">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t>A.9.1</w:t>
      </w:r>
      <w:r>
        <w:fldChar w:fldCharType="end"/>
      </w:r>
      <w:r>
        <w:t xml:space="preserve"> of appendix A.</w:t>
      </w:r>
    </w:p>
  </w:footnote>
  <w:footnote w:id="87">
    <w:p w:rsidR="00477251" w:rsidRDefault="00477251" w:rsidP="008D166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88">
    <w:p w:rsidR="00477251" w:rsidRDefault="00477251" w:rsidP="008D166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32.</w:t>
      </w:r>
    </w:p>
  </w:footnote>
  <w:footnote w:id="89">
    <w:p w:rsidR="00477251" w:rsidRDefault="00477251" w:rsidP="008D166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90">
    <w:p w:rsidR="00477251" w:rsidRDefault="00477251"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91">
    <w:p w:rsidR="00477251" w:rsidRDefault="00477251"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92">
    <w:p w:rsidR="00477251" w:rsidRDefault="00477251" w:rsidP="008D166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93">
    <w:p w:rsidR="00477251" w:rsidRDefault="00477251" w:rsidP="008D1665">
      <w:pPr>
        <w:pStyle w:val="FootnoteText"/>
      </w:pPr>
      <w:r>
        <w:rPr>
          <w:rStyle w:val="FootnoteReference"/>
        </w:rPr>
        <w:footnoteRef/>
      </w:r>
      <w:r>
        <w:t xml:space="preserve"> </w:t>
      </w:r>
      <w:r>
        <w:tab/>
        <w:t xml:space="preserve">Economic Regulation Authority, </w:t>
      </w:r>
      <w:r w:rsidRPr="00D5068A">
        <w:rPr>
          <w:rStyle w:val="AERtextitalic"/>
        </w:rPr>
        <w:t xml:space="preserve">Explanatory </w:t>
      </w:r>
      <w:r>
        <w:rPr>
          <w:rStyle w:val="AERtextitalic"/>
        </w:rPr>
        <w:t>S</w:t>
      </w:r>
      <w:r w:rsidRPr="00D5068A">
        <w:rPr>
          <w:rStyle w:val="AERtextitalic"/>
        </w:rPr>
        <w:t xml:space="preserve">tatement for the </w:t>
      </w:r>
      <w:r>
        <w:rPr>
          <w:rStyle w:val="AERtextitalic"/>
        </w:rPr>
        <w:t>R</w:t>
      </w:r>
      <w:r w:rsidRPr="00D5068A">
        <w:rPr>
          <w:rStyle w:val="AERtextitalic"/>
        </w:rPr>
        <w:t xml:space="preserve">ate of </w:t>
      </w:r>
      <w:r>
        <w:rPr>
          <w:rStyle w:val="AERtextitalic"/>
        </w:rPr>
        <w:t>R</w:t>
      </w:r>
      <w:r w:rsidRPr="00D5068A">
        <w:rPr>
          <w:rStyle w:val="AERtextitalic"/>
        </w:rPr>
        <w:t xml:space="preserve">eturn </w:t>
      </w:r>
      <w:r>
        <w:rPr>
          <w:rStyle w:val="AERtextitalic"/>
        </w:rPr>
        <w:t>G</w:t>
      </w:r>
      <w:r w:rsidRPr="00D5068A">
        <w:rPr>
          <w:rStyle w:val="AERtextitalic"/>
        </w:rPr>
        <w:t>uidelines</w:t>
      </w:r>
      <w:r>
        <w:t>, 13 December 2013, para. 921.</w:t>
      </w:r>
    </w:p>
  </w:footnote>
  <w:footnote w:id="94">
    <w:p w:rsidR="00477251" w:rsidRDefault="00477251"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95">
    <w:p w:rsidR="00477251" w:rsidRDefault="00477251">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24–26 and 28–29; M. Lally, </w:t>
      </w:r>
      <w:r w:rsidRPr="008916E4">
        <w:rPr>
          <w:rStyle w:val="AERtextitalic"/>
        </w:rPr>
        <w:t>Review of submissions to the QCA on the MRP, risk-free rate and gamma</w:t>
      </w:r>
      <w:r>
        <w:t>, 12 March 2014, pp. 35–38.</w:t>
      </w:r>
    </w:p>
  </w:footnote>
  <w:footnote w:id="96">
    <w:p w:rsidR="00477251" w:rsidRDefault="00477251" w:rsidP="008D1665">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34.</w:t>
      </w:r>
    </w:p>
  </w:footnote>
  <w:footnote w:id="97">
    <w:p w:rsidR="00477251" w:rsidRDefault="00477251">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p.16; </w:t>
      </w:r>
      <w:r w:rsidRPr="00582678">
        <w:t xml:space="preserve">M. Lally, </w:t>
      </w:r>
      <w:r w:rsidRPr="00582678">
        <w:rPr>
          <w:rStyle w:val="AERtextitalic"/>
        </w:rPr>
        <w:t>The estimation of gamma</w:t>
      </w:r>
      <w:r w:rsidRPr="00582678">
        <w:t>, 23 November 2013</w:t>
      </w:r>
      <w:r>
        <w:t xml:space="preserve">, p. 21. </w:t>
      </w:r>
    </w:p>
  </w:footnote>
  <w:footnote w:id="98">
    <w:p w:rsidR="00477251" w:rsidRDefault="00477251" w:rsidP="00733809">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99">
    <w:p w:rsidR="00477251" w:rsidRDefault="00477251">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pp. 33–35.</w:t>
      </w:r>
    </w:p>
  </w:footnote>
  <w:footnote w:id="100">
    <w:p w:rsidR="00477251" w:rsidRDefault="00477251">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17 and 20. </w:t>
      </w:r>
    </w:p>
  </w:footnote>
  <w:footnote w:id="101">
    <w:p w:rsidR="00477251" w:rsidRDefault="0047725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pp. 5–6 and 9; Ausgrid, </w:t>
      </w:r>
      <w:r w:rsidRPr="00D75F7A">
        <w:rPr>
          <w:rStyle w:val="AERtextitalic"/>
        </w:rPr>
        <w:t>Ausgrid's revised proposal on gamma</w:t>
      </w:r>
      <w:r>
        <w:t xml:space="preserve">, January 2015, pp. 6–7 and 11; Directlink, </w:t>
      </w:r>
      <w:r w:rsidRPr="0000771B">
        <w:rPr>
          <w:rStyle w:val="AERtextitalic"/>
        </w:rPr>
        <w:t>Directlink submission on gamma (updated)</w:t>
      </w:r>
      <w:r>
        <w:t>, January 2015, pp. 8</w:t>
      </w:r>
      <w:r>
        <w:softHyphen/>
        <w:t xml:space="preserve">–9 and 14; Endeavour Energy, </w:t>
      </w:r>
      <w:r w:rsidRPr="00DF3162">
        <w:rPr>
          <w:rStyle w:val="AERtextitalic"/>
        </w:rPr>
        <w:t>Endeavour Energy's response to the AER draft decision re gamma</w:t>
      </w:r>
      <w:r>
        <w:t xml:space="preserve">, January 2015, pp. 6–7 and 11; Essential Energy, </w:t>
      </w:r>
      <w:r w:rsidRPr="000E181F">
        <w:rPr>
          <w:rStyle w:val="AERtextitalic"/>
        </w:rPr>
        <w:t>Essential's response to AER draft decision re gamma</w:t>
      </w:r>
      <w:r>
        <w:t xml:space="preserve">, January 2015, pp. 6–7 and 11; and JGN, </w:t>
      </w:r>
      <w:r w:rsidRPr="000E181F">
        <w:rPr>
          <w:rStyle w:val="AERtextitalic"/>
        </w:rPr>
        <w:t>Gamma - response to the draft decision</w:t>
      </w:r>
      <w:r>
        <w:t>, February 2015, pp. 8–9 and 13.</w:t>
      </w:r>
    </w:p>
  </w:footnote>
  <w:footnote w:id="102">
    <w:p w:rsidR="00477251" w:rsidRDefault="00477251" w:rsidP="00A36459">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M.Lally, </w:t>
      </w:r>
      <w:r w:rsidRPr="002519FD">
        <w:rPr>
          <w:rStyle w:val="AERtextitalic"/>
        </w:rPr>
        <w:t>Estimating gamma</w:t>
      </w:r>
      <w:r>
        <w:t xml:space="preserve">, 25 November 2013; </w:t>
      </w:r>
      <w:r w:rsidRPr="00712BC2">
        <w:t xml:space="preserve">M. Lally, </w:t>
      </w:r>
      <w:r w:rsidRPr="00712BC2">
        <w:rPr>
          <w:rStyle w:val="AERtextitalic"/>
        </w:rPr>
        <w:t>Review of submissions to the QCA on the MRP, risk-free rate and gamma</w:t>
      </w:r>
      <w:r>
        <w:t>, 12 March 2014.</w:t>
      </w:r>
    </w:p>
  </w:footnote>
  <w:footnote w:id="103">
    <w:p w:rsidR="00477251" w:rsidRDefault="00477251" w:rsidP="00A36459">
      <w:pPr>
        <w:pStyle w:val="FootnoteText"/>
      </w:pPr>
      <w:r>
        <w:rPr>
          <w:rStyle w:val="FootnoteReference"/>
        </w:rPr>
        <w:footnoteRef/>
      </w:r>
      <w:r>
        <w:t xml:space="preserve"> </w:t>
      </w:r>
      <w:r>
        <w:tab/>
      </w:r>
      <w:r w:rsidRPr="00712BC2">
        <w:t xml:space="preserve">M. McKenzie and G. Partington, </w:t>
      </w:r>
      <w:r w:rsidRPr="00712BC2">
        <w:rPr>
          <w:rStyle w:val="AERtextitalic"/>
        </w:rPr>
        <w:t>Report to the Queensland Resources Council: Review of Aurizon Network’s draft access undertaking</w:t>
      </w:r>
      <w:r w:rsidRPr="00712BC2">
        <w:t>, 5 October 2013</w:t>
      </w:r>
      <w:r>
        <w:t>.</w:t>
      </w:r>
    </w:p>
  </w:footnote>
  <w:footnote w:id="104">
    <w:p w:rsidR="00477251" w:rsidRDefault="00477251" w:rsidP="00A36459">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105">
    <w:p w:rsidR="00477251" w:rsidRPr="00EB47DF" w:rsidRDefault="00477251" w:rsidP="00EB47DF">
      <w:pPr>
        <w:pStyle w:val="FootnoteText"/>
        <w:rPr>
          <w:i/>
        </w:rPr>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w:t>
      </w:r>
    </w:p>
  </w:footnote>
  <w:footnote w:id="106">
    <w:p w:rsidR="00477251" w:rsidRDefault="00477251" w:rsidP="00A36459">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107">
    <w:p w:rsidR="00477251" w:rsidRDefault="00477251" w:rsidP="00A36459">
      <w:pPr>
        <w:pStyle w:val="FootnoteText"/>
      </w:pPr>
      <w:r>
        <w:rPr>
          <w:rStyle w:val="FootnoteReference"/>
        </w:rPr>
        <w:footnoteRef/>
      </w:r>
      <w:r>
        <w:t xml:space="preserve"> </w:t>
      </w:r>
      <w:r>
        <w:tab/>
      </w:r>
      <w:r w:rsidRPr="00712BC2">
        <w:t xml:space="preserve">SFG, </w:t>
      </w:r>
      <w:r>
        <w:rPr>
          <w:rStyle w:val="AERtextitalic"/>
        </w:rPr>
        <w:t>Estimating gamma for regulatory purposes</w:t>
      </w:r>
      <w:r>
        <w:t>, February 2015.</w:t>
      </w:r>
    </w:p>
  </w:footnote>
  <w:footnote w:id="108">
    <w:p w:rsidR="00477251" w:rsidRDefault="00477251" w:rsidP="000B65E0">
      <w:pPr>
        <w:pStyle w:val="FootnoteText"/>
      </w:pPr>
      <w:r>
        <w:rPr>
          <w:rStyle w:val="FootnoteReference"/>
        </w:rPr>
        <w:footnoteRef/>
      </w:r>
      <w:r>
        <w:t xml:space="preserve"> </w:t>
      </w:r>
      <w:r>
        <w:tab/>
      </w:r>
      <w:r w:rsidRPr="00227D75">
        <w:t>Independent Pricing and Regulatory Tribunal</w:t>
      </w:r>
      <w:r>
        <w:t xml:space="preserve">, </w:t>
      </w:r>
      <w:r w:rsidRPr="00227D75">
        <w:rPr>
          <w:rStyle w:val="AERtextitalic"/>
        </w:rPr>
        <w:t xml:space="preserve">Review of imputation credits (gamma), </w:t>
      </w:r>
      <w:r>
        <w:rPr>
          <w:rStyle w:val="AERtextitalic"/>
        </w:rPr>
        <w:t>Research</w:t>
      </w:r>
      <w:r w:rsidRPr="00227D75">
        <w:rPr>
          <w:rStyle w:val="AERtextitalic"/>
        </w:rPr>
        <w:t>—</w:t>
      </w:r>
      <w:r>
        <w:rPr>
          <w:rStyle w:val="AERtextitalic"/>
        </w:rPr>
        <w:t>F</w:t>
      </w:r>
      <w:r w:rsidRPr="00227D75">
        <w:rPr>
          <w:rStyle w:val="AERtextitalic"/>
        </w:rPr>
        <w:t>inal decision</w:t>
      </w:r>
      <w:r>
        <w:t>, March 2012.</w:t>
      </w:r>
    </w:p>
  </w:footnote>
  <w:footnote w:id="109">
    <w:p w:rsidR="00477251" w:rsidRDefault="00477251" w:rsidP="000B65E0">
      <w:pPr>
        <w:pStyle w:val="FootnoteText"/>
      </w:pPr>
      <w:r>
        <w:rPr>
          <w:rStyle w:val="FootnoteReference"/>
        </w:rPr>
        <w:footnoteRef/>
      </w:r>
      <w:r>
        <w:t xml:space="preserve"> </w:t>
      </w:r>
      <w:r>
        <w:tab/>
        <w:t>Essential Services Commission</w:t>
      </w:r>
      <w:r w:rsidRPr="00922C37">
        <w:t xml:space="preserve">, </w:t>
      </w:r>
      <w:r w:rsidRPr="00922C37">
        <w:rPr>
          <w:rStyle w:val="AERtextitalic"/>
        </w:rPr>
        <w:t xml:space="preserve">Price Review 2013: Greater </w:t>
      </w:r>
      <w:r>
        <w:rPr>
          <w:rStyle w:val="AERtextitalic"/>
        </w:rPr>
        <w:t>Metropolitan Water Businesses, F</w:t>
      </w:r>
      <w:r w:rsidRPr="00922C37">
        <w:rPr>
          <w:rStyle w:val="AERtextitalic"/>
        </w:rPr>
        <w:t>inal decision</w:t>
      </w:r>
      <w:r w:rsidRPr="00922C37">
        <w:t>, June</w:t>
      </w:r>
      <w:r>
        <w:t xml:space="preserve"> 2013</w:t>
      </w:r>
      <w:r w:rsidRPr="00922C37">
        <w:t>.</w:t>
      </w:r>
    </w:p>
  </w:footnote>
  <w:footnote w:id="110">
    <w:p w:rsidR="00477251" w:rsidRDefault="00477251" w:rsidP="000B65E0">
      <w:pPr>
        <w:pStyle w:val="FootnoteText"/>
      </w:pPr>
      <w:r>
        <w:rPr>
          <w:rStyle w:val="FootnoteReference"/>
        </w:rPr>
        <w:footnoteRef/>
      </w:r>
      <w:r>
        <w:t xml:space="preserve"> </w:t>
      </w:r>
      <w:r>
        <w:tab/>
        <w:t>Essential Services Commission</w:t>
      </w:r>
      <w:r w:rsidRPr="00752771">
        <w:t xml:space="preserve">, </w:t>
      </w:r>
      <w:r>
        <w:rPr>
          <w:rStyle w:val="AERtextitalic"/>
        </w:rPr>
        <w:t xml:space="preserve">2013 Water Price Review, </w:t>
      </w:r>
      <w:r w:rsidRPr="009F679B">
        <w:rPr>
          <w:rStyle w:val="AERtextitalic"/>
        </w:rPr>
        <w:t>Guidance on Water Plans</w:t>
      </w:r>
      <w:r w:rsidRPr="00752771">
        <w:t>, October</w:t>
      </w:r>
      <w:r>
        <w:t xml:space="preserve"> 2011, p. 66</w:t>
      </w:r>
      <w:r w:rsidRPr="00752771">
        <w:t>.</w:t>
      </w:r>
      <w:r>
        <w:t xml:space="preserve"> The Essential Services Commission also proposes to continue to apply a value of imputation credits of 0.5 to Melbourne Water's 2016 price review: Essential Services Commission, </w:t>
      </w:r>
      <w:r w:rsidRPr="00BA0C40">
        <w:rPr>
          <w:rStyle w:val="AERtextitalic"/>
        </w:rPr>
        <w:t>Proposed approach to Melbourne Water's 2016 price review—Consultation paper</w:t>
      </w:r>
      <w:r>
        <w:t>, February 2015, p. 40.</w:t>
      </w:r>
    </w:p>
  </w:footnote>
  <w:footnote w:id="111">
    <w:p w:rsidR="00477251" w:rsidRDefault="00477251" w:rsidP="000B65E0">
      <w:pPr>
        <w:pStyle w:val="FootnoteText"/>
      </w:pPr>
      <w:r>
        <w:rPr>
          <w:rStyle w:val="FootnoteReference"/>
        </w:rPr>
        <w:footnoteRef/>
      </w:r>
      <w:r>
        <w:t xml:space="preserve"> </w:t>
      </w:r>
      <w:r>
        <w:tab/>
        <w:t xml:space="preserve">Queensland Competition Authority, </w:t>
      </w:r>
      <w:r w:rsidRPr="009A7392">
        <w:rPr>
          <w:rStyle w:val="AERtextitalic"/>
        </w:rPr>
        <w:t>Cost of ca</w:t>
      </w:r>
      <w:r>
        <w:rPr>
          <w:rStyle w:val="AERtextitalic"/>
        </w:rPr>
        <w:t>pital: M</w:t>
      </w:r>
      <w:r w:rsidRPr="009A7392">
        <w:rPr>
          <w:rStyle w:val="AERtextitalic"/>
        </w:rPr>
        <w:t>arket parameters</w:t>
      </w:r>
      <w:r>
        <w:t>, August 2014.</w:t>
      </w:r>
    </w:p>
  </w:footnote>
  <w:footnote w:id="112">
    <w:p w:rsidR="00477251" w:rsidRDefault="00477251" w:rsidP="000B65E0">
      <w:pPr>
        <w:pStyle w:val="FootnoteText"/>
      </w:pPr>
      <w:r>
        <w:rPr>
          <w:rStyle w:val="FootnoteReference"/>
        </w:rPr>
        <w:footnoteRef/>
      </w:r>
      <w:r>
        <w:t xml:space="preserve"> </w:t>
      </w:r>
      <w:r>
        <w:tab/>
        <w:t xml:space="preserve">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113">
    <w:p w:rsidR="00477251" w:rsidRDefault="00477251" w:rsidP="00656B47">
      <w:pPr>
        <w:pStyle w:val="FootnoteText"/>
      </w:pPr>
      <w:r>
        <w:rPr>
          <w:rStyle w:val="FootnoteReference"/>
        </w:rPr>
        <w:footnoteRef/>
      </w:r>
      <w:r>
        <w:t xml:space="preserve"> </w:t>
      </w:r>
      <w:r>
        <w:tab/>
      </w:r>
      <w:r w:rsidRPr="009777EC">
        <w:t xml:space="preserve">Australian Competition and Consumer Commission, </w:t>
      </w:r>
      <w:r w:rsidRPr="00656B47">
        <w:rPr>
          <w:rStyle w:val="AERtextitalic"/>
        </w:rPr>
        <w:t xml:space="preserve">Public inquiry into final access determinations for fixed line </w:t>
      </w:r>
      <w:r>
        <w:rPr>
          <w:rStyle w:val="AERtextitalic"/>
        </w:rPr>
        <w:t>services</w:t>
      </w:r>
      <w:r>
        <w:rPr>
          <w:rStyle w:val="AERtextitalic"/>
          <w:rFonts w:cs="Arial"/>
        </w:rPr>
        <w:t>—</w:t>
      </w:r>
      <w:r w:rsidRPr="00656B47">
        <w:rPr>
          <w:rStyle w:val="AERtextitalic"/>
        </w:rPr>
        <w:t>primary price terms</w:t>
      </w:r>
      <w:r>
        <w:rPr>
          <w:rStyle w:val="AERtextitalic"/>
        </w:rPr>
        <w:t>,</w:t>
      </w:r>
      <w:r w:rsidRPr="00656B47">
        <w:rPr>
          <w:rStyle w:val="AERtextitalic"/>
        </w:rPr>
        <w:t xml:space="preserve"> </w:t>
      </w:r>
      <w:r>
        <w:rPr>
          <w:rStyle w:val="AERtextitalic"/>
        </w:rPr>
        <w:t>Draft d</w:t>
      </w:r>
      <w:r w:rsidRPr="00656B47">
        <w:rPr>
          <w:rStyle w:val="AERtextitalic"/>
        </w:rPr>
        <w:t>ecision</w:t>
      </w:r>
      <w:r>
        <w:t>, March 2015</w:t>
      </w:r>
      <w:r w:rsidRPr="009777EC">
        <w:t>.</w:t>
      </w:r>
    </w:p>
  </w:footnote>
  <w:footnote w:id="114">
    <w:p w:rsidR="00477251" w:rsidRDefault="00477251" w:rsidP="008B661B">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115">
    <w:p w:rsidR="00477251" w:rsidRDefault="00477251" w:rsidP="008B661B">
      <w:pPr>
        <w:pStyle w:val="FootnoteText"/>
      </w:pPr>
      <w:r>
        <w:rPr>
          <w:rStyle w:val="FootnoteReference"/>
        </w:rPr>
        <w:footnoteRef/>
      </w:r>
      <w:r>
        <w:t xml:space="preserve"> </w:t>
      </w:r>
      <w:r>
        <w:tab/>
        <w:t xml:space="preserve">Australian Competition Tribunal, </w:t>
      </w:r>
      <w:r w:rsidRPr="000F2066">
        <w:rPr>
          <w:rStyle w:val="AERtextitalic"/>
        </w:rPr>
        <w:t>Application by Energex Limited (No 2) [2010] ACompT 7</w:t>
      </w:r>
      <w:r>
        <w:t>, October 2010, paras. 149–150.</w:t>
      </w:r>
    </w:p>
  </w:footnote>
  <w:footnote w:id="116">
    <w:p w:rsidR="00477251" w:rsidRDefault="00477251" w:rsidP="008B661B">
      <w:pPr>
        <w:pStyle w:val="FootnoteText"/>
      </w:pPr>
      <w:r>
        <w:rPr>
          <w:rStyle w:val="FootnoteReference"/>
        </w:rPr>
        <w:footnoteRef/>
      </w:r>
      <w:r>
        <w:t xml:space="preserve"> </w:t>
      </w:r>
      <w:r>
        <w:tab/>
        <w:t xml:space="preserve">Australian Competition Tribunal, </w:t>
      </w:r>
      <w:r w:rsidRPr="004D5073">
        <w:rPr>
          <w:rStyle w:val="AERtextitalic"/>
        </w:rPr>
        <w:t>Application by Energex Limited (Distribution Ratio (Gamma)) (No 3) [2010] ACompT 9</w:t>
      </w:r>
      <w:r>
        <w:t>, December 2010, para. 2.</w:t>
      </w:r>
    </w:p>
  </w:footnote>
  <w:footnote w:id="117">
    <w:p w:rsidR="00477251" w:rsidRDefault="00477251" w:rsidP="008B661B">
      <w:pPr>
        <w:pStyle w:val="FootnoteText"/>
      </w:pPr>
      <w:r>
        <w:rPr>
          <w:rStyle w:val="FootnoteReference"/>
        </w:rPr>
        <w:footnoteRef/>
      </w:r>
      <w:r>
        <w:t xml:space="preserve"> </w:t>
      </w:r>
      <w:r>
        <w:tab/>
        <w:t xml:space="preserve">Australian Competition Tribunal, </w:t>
      </w:r>
      <w:r w:rsidRPr="001619BA">
        <w:rPr>
          <w:rStyle w:val="AERtextitalic"/>
        </w:rPr>
        <w:t>Application by Energex Limited (No 2) [2010] ACompT 7</w:t>
      </w:r>
      <w:r>
        <w:t>, October 2010, para.</w:t>
      </w:r>
      <w:r w:rsidRPr="0077656B">
        <w:t xml:space="preserve"> 91.</w:t>
      </w:r>
    </w:p>
  </w:footnote>
  <w:footnote w:id="118">
    <w:p w:rsidR="00477251" w:rsidRDefault="00477251"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32–34.</w:t>
      </w:r>
    </w:p>
  </w:footnote>
  <w:footnote w:id="119">
    <w:p w:rsidR="00477251" w:rsidRDefault="00477251"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40–41.</w:t>
      </w:r>
    </w:p>
  </w:footnote>
  <w:footnote w:id="120">
    <w:p w:rsidR="00477251" w:rsidRDefault="00477251"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45.</w:t>
      </w:r>
    </w:p>
  </w:footnote>
  <w:footnote w:id="121">
    <w:p w:rsidR="00477251" w:rsidRDefault="00477251" w:rsidP="0006219D">
      <w:pPr>
        <w:pStyle w:val="FootnoteText"/>
      </w:pPr>
      <w:r>
        <w:rPr>
          <w:rStyle w:val="FootnoteReference"/>
        </w:rPr>
        <w:footnoteRef/>
      </w:r>
      <w:r>
        <w:t xml:space="preserve"> </w:t>
      </w:r>
      <w:r>
        <w:tab/>
        <w:t xml:space="preserve">For example, see: ENA, </w:t>
      </w:r>
      <w:r w:rsidRPr="0006219D">
        <w:rPr>
          <w:rStyle w:val="AERtextitalic"/>
        </w:rPr>
        <w:t xml:space="preserve">Response to the </w:t>
      </w:r>
      <w:r>
        <w:rPr>
          <w:rStyle w:val="AERtextitalic"/>
        </w:rPr>
        <w:t>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11 October 2013.</w:t>
      </w:r>
    </w:p>
  </w:footnote>
  <w:footnote w:id="122">
    <w:p w:rsidR="00477251" w:rsidRDefault="00477251" w:rsidP="00055B09">
      <w:pPr>
        <w:pStyle w:val="FootnoteText"/>
      </w:pPr>
      <w:r>
        <w:rPr>
          <w:rStyle w:val="FootnoteReference"/>
        </w:rPr>
        <w:footnoteRef/>
      </w:r>
      <w:r>
        <w:t xml:space="preserve"> </w:t>
      </w:r>
      <w:r>
        <w:tab/>
        <w:t xml:space="preserve">Australian Competition Tribunal, </w:t>
      </w:r>
      <w:r w:rsidRPr="00A216BD">
        <w:rPr>
          <w:rStyle w:val="AERtextitalic"/>
        </w:rPr>
        <w:t>Application by DBNGP (WA) Transmission Pty Ltd (No 3) [2012] ACompT 14</w:t>
      </w:r>
      <w:r>
        <w:t>, July 2012.</w:t>
      </w:r>
    </w:p>
  </w:footnote>
  <w:footnote w:id="123">
    <w:p w:rsidR="00477251" w:rsidRDefault="00477251" w:rsidP="00055B09">
      <w:pPr>
        <w:pStyle w:val="FootnoteText"/>
      </w:pPr>
      <w:r>
        <w:rPr>
          <w:rStyle w:val="FootnoteReference"/>
        </w:rPr>
        <w:footnoteRef/>
      </w:r>
      <w:r>
        <w:t xml:space="preserve"> </w:t>
      </w:r>
      <w:r>
        <w:tab/>
        <w:t xml:space="preserve">Australian Competition Tribunal, </w:t>
      </w:r>
      <w:r w:rsidRPr="003D0DF0">
        <w:rPr>
          <w:rStyle w:val="AERtextitalic"/>
        </w:rPr>
        <w:t>Application by WA Gas Networks Pty Ltd (No 3) [2012] ACompT 12</w:t>
      </w:r>
      <w:r>
        <w:t>, June 2012, paras. 119 and 125.</w:t>
      </w:r>
    </w:p>
  </w:footnote>
  <w:footnote w:id="124">
    <w:p w:rsidR="00477251" w:rsidRDefault="00477251">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pp. 1</w:t>
      </w:r>
      <w:r>
        <w:softHyphen/>
        <w:t xml:space="preserve">–2;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125">
    <w:p w:rsidR="00477251" w:rsidRDefault="00477251" w:rsidP="00615CE6">
      <w:pPr>
        <w:pStyle w:val="FootnoteText"/>
      </w:pPr>
      <w:r>
        <w:rPr>
          <w:rStyle w:val="FootnoteReference"/>
        </w:rPr>
        <w:footnoteRef/>
      </w:r>
      <w:r>
        <w:t xml:space="preserve"> </w:t>
      </w:r>
      <w:r>
        <w:tab/>
      </w:r>
      <w:r w:rsidRPr="00FF5DB5">
        <w:t>NER, cl</w:t>
      </w:r>
      <w:r>
        <w:t>l. 6.4.3 and</w:t>
      </w:r>
      <w:r w:rsidRPr="00FF5DB5">
        <w:t xml:space="preserve"> 6A.5.4; NGR, r. 76.</w:t>
      </w:r>
    </w:p>
  </w:footnote>
  <w:footnote w:id="126">
    <w:p w:rsidR="00477251" w:rsidRDefault="00477251" w:rsidP="00615CE6">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 and footnote 2.</w:t>
      </w:r>
    </w:p>
  </w:footnote>
  <w:footnote w:id="127">
    <w:p w:rsidR="00477251" w:rsidRDefault="00477251" w:rsidP="00615CE6">
      <w:pPr>
        <w:pStyle w:val="FootnoteText"/>
      </w:pPr>
      <w:r>
        <w:rPr>
          <w:rStyle w:val="FootnoteReference"/>
        </w:rPr>
        <w:footnoteRef/>
      </w:r>
      <w:r>
        <w:t xml:space="preserve"> </w:t>
      </w:r>
      <w:r>
        <w:tab/>
        <w:t>NER, cll. 6.5.2 and 6A.6.2;</w:t>
      </w:r>
      <w:r w:rsidRPr="0042735A">
        <w:t xml:space="preserve"> </w:t>
      </w:r>
      <w:r>
        <w:t>NGR, r. 87.</w:t>
      </w:r>
    </w:p>
  </w:footnote>
  <w:footnote w:id="128">
    <w:p w:rsidR="00477251" w:rsidRDefault="00477251">
      <w:pPr>
        <w:pStyle w:val="FootnoteText"/>
      </w:pPr>
      <w:r>
        <w:rPr>
          <w:rStyle w:val="FootnoteReference"/>
        </w:rPr>
        <w:footnoteRef/>
      </w:r>
      <w:r>
        <w:t xml:space="preserve"> </w:t>
      </w:r>
      <w:r>
        <w:tab/>
        <w:t>Although we consider that it is implied that the 'value of imputation credits' refers to the value of imputation credits to investors in the benchmark efficient entity, we note that the NER/NGR are not explicit on this point.</w:t>
      </w:r>
    </w:p>
  </w:footnote>
  <w:footnote w:id="129">
    <w:p w:rsidR="00477251" w:rsidRDefault="00477251" w:rsidP="00A3557D">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130">
    <w:p w:rsidR="00477251" w:rsidRDefault="00477251" w:rsidP="00A3557D">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131">
    <w:p w:rsidR="00477251" w:rsidRDefault="00477251"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132">
    <w:p w:rsidR="00477251" w:rsidRDefault="00477251" w:rsidP="00A3557D">
      <w:pPr>
        <w:pStyle w:val="FootnoteText"/>
      </w:pPr>
      <w:r>
        <w:rPr>
          <w:rStyle w:val="FootnoteReference"/>
        </w:rPr>
        <w:footnoteRef/>
      </w:r>
      <w:r>
        <w:t xml:space="preserve"> </w:t>
      </w:r>
      <w:r>
        <w:tab/>
        <w:t>NER, cll. 6.5.2 and 6A.6.2;</w:t>
      </w:r>
      <w:r w:rsidRPr="0042735A">
        <w:t xml:space="preserve"> </w:t>
      </w:r>
      <w:r>
        <w:t>NGR, r. 87.</w:t>
      </w:r>
    </w:p>
  </w:footnote>
  <w:footnote w:id="133">
    <w:p w:rsidR="00477251" w:rsidRDefault="00477251"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134">
    <w:p w:rsidR="00477251" w:rsidRDefault="00477251" w:rsidP="00A3557D">
      <w:pPr>
        <w:pStyle w:val="FootnoteText"/>
      </w:pPr>
      <w:r>
        <w:rPr>
          <w:rStyle w:val="FootnoteReference"/>
        </w:rPr>
        <w:footnoteRef/>
      </w:r>
      <w:r>
        <w:t xml:space="preserve"> </w:t>
      </w:r>
      <w:r>
        <w:tab/>
        <w:t>This is evident in companies having positive franking account balances in aggregate.</w:t>
      </w:r>
    </w:p>
  </w:footnote>
  <w:footnote w:id="135">
    <w:p w:rsidR="00477251" w:rsidRDefault="00477251" w:rsidP="00A3557D">
      <w:pPr>
        <w:pStyle w:val="FootnoteText"/>
      </w:pPr>
      <w:r>
        <w:rPr>
          <w:rStyle w:val="FootnoteReference"/>
        </w:rPr>
        <w:footnoteRef/>
      </w:r>
      <w:r>
        <w:t xml:space="preserve"> </w:t>
      </w:r>
      <w:r>
        <w:tab/>
        <w:t xml:space="preserve">Handley considered that, although Monkhouse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136">
    <w:p w:rsidR="00477251" w:rsidRDefault="00477251"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18</w:t>
      </w:r>
      <w:r>
        <w:rPr>
          <w:rFonts w:cs="Arial"/>
        </w:rPr>
        <w:t>–</w:t>
      </w:r>
      <w:r>
        <w:t>20.</w:t>
      </w:r>
    </w:p>
  </w:footnote>
  <w:footnote w:id="137">
    <w:p w:rsidR="00477251" w:rsidRDefault="00477251" w:rsidP="00A3557D">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138">
    <w:p w:rsidR="00477251" w:rsidRDefault="00477251" w:rsidP="00A3557D">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139">
    <w:p w:rsidR="00477251" w:rsidRDefault="00477251">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14.</w:t>
      </w:r>
    </w:p>
  </w:footnote>
  <w:footnote w:id="140">
    <w:p w:rsidR="00477251" w:rsidRDefault="00477251">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141">
    <w:p w:rsidR="00477251" w:rsidRDefault="00477251">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142">
    <w:p w:rsidR="00477251" w:rsidRDefault="00477251">
      <w:pPr>
        <w:pStyle w:val="FootnoteText"/>
      </w:pPr>
      <w:r>
        <w:rPr>
          <w:rStyle w:val="FootnoteReference"/>
        </w:rPr>
        <w:footnoteRef/>
      </w:r>
      <w:r>
        <w:t xml:space="preserve"> </w:t>
      </w:r>
      <w:r>
        <w:tab/>
        <w:t xml:space="preserve">SFG, </w:t>
      </w:r>
      <w:r>
        <w:rPr>
          <w:rStyle w:val="AERtextitalic"/>
        </w:rPr>
        <w:t>Estimating gamma for regulatory purposes</w:t>
      </w:r>
      <w:r>
        <w:t>, 6 February 2015, para. 53.</w:t>
      </w:r>
    </w:p>
  </w:footnote>
  <w:footnote w:id="143">
    <w:p w:rsidR="00477251" w:rsidRDefault="00477251">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294–313, 331–334 and 341(b).</w:t>
      </w:r>
    </w:p>
  </w:footnote>
  <w:footnote w:id="144">
    <w:p w:rsidR="00477251" w:rsidRDefault="00477251">
      <w:pPr>
        <w:pStyle w:val="FootnoteText"/>
      </w:pPr>
      <w:r>
        <w:rPr>
          <w:rStyle w:val="FootnoteReference"/>
        </w:rPr>
        <w:footnoteRef/>
      </w:r>
      <w:r>
        <w:t xml:space="preserve"> </w:t>
      </w:r>
      <w:r>
        <w:tab/>
        <w:t>See section A.6.1 of the draft decisions.</w:t>
      </w:r>
    </w:p>
  </w:footnote>
  <w:footnote w:id="145">
    <w:p w:rsidR="00477251" w:rsidRDefault="00477251">
      <w:pPr>
        <w:pStyle w:val="FootnoteText"/>
      </w:pPr>
      <w:r>
        <w:rPr>
          <w:rStyle w:val="FootnoteReference"/>
        </w:rPr>
        <w:footnoteRef/>
      </w:r>
      <w:r>
        <w:t xml:space="preserve"> </w:t>
      </w:r>
      <w:r>
        <w:tab/>
        <w:t xml:space="preserve">SFG, </w:t>
      </w:r>
      <w:r>
        <w:rPr>
          <w:rStyle w:val="AERtextitalic"/>
        </w:rPr>
        <w:t>Estimating gamma for regulatory purposes</w:t>
      </w:r>
      <w:r>
        <w:t>, 6 February 2015, paras. 111–121 and 136–137.</w:t>
      </w:r>
    </w:p>
  </w:footnote>
  <w:footnote w:id="146">
    <w:p w:rsidR="00477251" w:rsidRDefault="00477251">
      <w:pPr>
        <w:pStyle w:val="FootnoteText"/>
      </w:pPr>
      <w:r>
        <w:rPr>
          <w:rStyle w:val="FootnoteReference"/>
        </w:rPr>
        <w:footnoteRef/>
      </w:r>
      <w:r>
        <w:t xml:space="preserve"> </w:t>
      </w:r>
      <w:r>
        <w:tab/>
        <w:t xml:space="preserve">SFG, </w:t>
      </w:r>
      <w:r>
        <w:rPr>
          <w:rStyle w:val="AERtextitalic"/>
        </w:rPr>
        <w:t>Estimating gamma for regulatory purposes</w:t>
      </w:r>
      <w:r>
        <w:t>, 6 February 2015, paras. 122–123.</w:t>
      </w:r>
    </w:p>
  </w:footnote>
  <w:footnote w:id="147">
    <w:p w:rsidR="00477251" w:rsidRDefault="00477251">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pp. 8–9.</w:t>
      </w:r>
    </w:p>
  </w:footnote>
  <w:footnote w:id="148">
    <w:p w:rsidR="00477251" w:rsidRDefault="0047725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149">
    <w:p w:rsidR="00477251" w:rsidRDefault="0047725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4.</w:t>
      </w:r>
    </w:p>
  </w:footnote>
  <w:footnote w:id="150">
    <w:p w:rsidR="00477251" w:rsidRDefault="00477251" w:rsidP="00C7355B">
      <w:pPr>
        <w:pStyle w:val="FootnoteText"/>
      </w:pPr>
      <w:r>
        <w:rPr>
          <w:rStyle w:val="FootnoteReference"/>
        </w:rPr>
        <w:footnoteRef/>
      </w:r>
      <w:r>
        <w:t xml:space="preserve"> </w:t>
      </w:r>
      <w:r>
        <w:tab/>
        <w:t>Recall that the utilisation rate equals gamma under Officer's perpetuity framework.</w:t>
      </w:r>
    </w:p>
  </w:footnote>
  <w:footnote w:id="151">
    <w:p w:rsidR="00477251" w:rsidRDefault="00477251">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319.</w:t>
      </w:r>
    </w:p>
  </w:footnote>
  <w:footnote w:id="152">
    <w:p w:rsidR="00477251" w:rsidRDefault="00477251">
      <w:pPr>
        <w:pStyle w:val="FootnoteText"/>
      </w:pPr>
      <w:r>
        <w:rPr>
          <w:rStyle w:val="FootnoteReference"/>
        </w:rPr>
        <w:footnoteRef/>
      </w:r>
      <w:r>
        <w:t xml:space="preserve"> </w:t>
      </w:r>
      <w:r>
        <w:tab/>
        <w:t xml:space="preserve">SFG, </w:t>
      </w:r>
      <w:r>
        <w:rPr>
          <w:rStyle w:val="AERtextitalic"/>
        </w:rPr>
        <w:t>Estimating gamma for regulatory purposes</w:t>
      </w:r>
      <w:r>
        <w:t>, 6 February 2015, paras. 126–127.</w:t>
      </w:r>
    </w:p>
  </w:footnote>
  <w:footnote w:id="153">
    <w:p w:rsidR="00477251" w:rsidRDefault="0047725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154">
    <w:p w:rsidR="00477251" w:rsidRDefault="00477251">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section 4.</w:t>
      </w:r>
    </w:p>
  </w:footnote>
  <w:footnote w:id="155">
    <w:p w:rsidR="00477251" w:rsidRDefault="00477251">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156">
    <w:p w:rsidR="00477251" w:rsidRDefault="00477251">
      <w:pPr>
        <w:pStyle w:val="FootnoteText"/>
      </w:pPr>
      <w:r>
        <w:rPr>
          <w:rStyle w:val="FootnoteReference"/>
        </w:rPr>
        <w:footnoteRef/>
      </w:r>
      <w:r>
        <w:t xml:space="preserve"> </w:t>
      </w:r>
      <w:r>
        <w:tab/>
        <w:t xml:space="preserve">SFG, </w:t>
      </w:r>
      <w:r>
        <w:rPr>
          <w:rStyle w:val="AERtextitalic"/>
        </w:rPr>
        <w:t>Estimating gamma for regulatory purposes</w:t>
      </w:r>
      <w:r>
        <w:t>, 6 February 2015, para. 89.</w:t>
      </w:r>
    </w:p>
  </w:footnote>
  <w:footnote w:id="157">
    <w:p w:rsidR="00477251" w:rsidRDefault="0047725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10–11.</w:t>
      </w:r>
    </w:p>
  </w:footnote>
  <w:footnote w:id="158">
    <w:p w:rsidR="00477251" w:rsidRDefault="00477251">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paras. 103–105.</w:t>
      </w:r>
    </w:p>
  </w:footnote>
  <w:footnote w:id="159">
    <w:p w:rsidR="00477251" w:rsidRDefault="0047725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14.</w:t>
      </w:r>
    </w:p>
  </w:footnote>
  <w:footnote w:id="160">
    <w:p w:rsidR="00477251" w:rsidRDefault="00477251">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161">
    <w:p w:rsidR="00477251" w:rsidRDefault="00477251" w:rsidP="0060054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162">
    <w:p w:rsidR="00477251" w:rsidRDefault="00477251" w:rsidP="0060054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163">
    <w:p w:rsidR="00477251" w:rsidRDefault="00477251">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 485;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 1</w:t>
      </w:r>
      <w:r>
        <w:softHyphen/>
        <w:t xml:space="preserve">;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164">
    <w:p w:rsidR="00477251" w:rsidRDefault="0047725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2; Ausgrid, </w:t>
      </w:r>
      <w:r w:rsidRPr="00D75F7A">
        <w:rPr>
          <w:rStyle w:val="AERtextitalic"/>
        </w:rPr>
        <w:t>Ausgrid's revised proposal on gamma</w:t>
      </w:r>
      <w:r>
        <w:t xml:space="preserve">, January 2015, p. 4; Directlink, </w:t>
      </w:r>
      <w:r w:rsidRPr="0000771B">
        <w:rPr>
          <w:rStyle w:val="AERtextitalic"/>
        </w:rPr>
        <w:t>Directlink submission on gamma (updated)</w:t>
      </w:r>
      <w:r>
        <w:t xml:space="preserve">, January 2015, p. 5; Endeavour Energy, </w:t>
      </w:r>
      <w:r w:rsidRPr="00DF3162">
        <w:rPr>
          <w:rStyle w:val="AERtextitalic"/>
        </w:rPr>
        <w:t>Endeavour Energy's response to the AER draft decision re gamma</w:t>
      </w:r>
      <w:r>
        <w:t xml:space="preserve">, January 2015, p. 4; Essential Energy, </w:t>
      </w:r>
      <w:r w:rsidRPr="000E181F">
        <w:rPr>
          <w:rStyle w:val="AERtextitalic"/>
        </w:rPr>
        <w:t>Essential's response to AER draft decision re gamma</w:t>
      </w:r>
      <w:r>
        <w:t xml:space="preserve">, January 2015, p. 4; and JGN, </w:t>
      </w:r>
      <w:r w:rsidRPr="000E181F">
        <w:rPr>
          <w:rStyle w:val="AERtextitalic"/>
        </w:rPr>
        <w:t>Gamma - response to the draft decision</w:t>
      </w:r>
      <w:r>
        <w:t>, February 2015, p. 6.</w:t>
      </w:r>
    </w:p>
  </w:footnote>
  <w:footnote w:id="165">
    <w:p w:rsidR="00477251" w:rsidRDefault="00477251">
      <w:pPr>
        <w:pStyle w:val="FootnoteText"/>
      </w:pPr>
      <w:r>
        <w:rPr>
          <w:rStyle w:val="FootnoteReference"/>
        </w:rPr>
        <w:footnoteRef/>
      </w:r>
      <w:r>
        <w:t xml:space="preserve"> </w:t>
      </w:r>
      <w:r>
        <w:tab/>
        <w:t xml:space="preserve">See section A.5 of the draft decisions and: </w:t>
      </w:r>
      <w:r w:rsidRPr="007646B1">
        <w:t xml:space="preserve">AER, </w:t>
      </w:r>
      <w:r w:rsidRPr="007646B1">
        <w:rPr>
          <w:rStyle w:val="AERtextitalic"/>
        </w:rPr>
        <w:t xml:space="preserve">Better regulation: Explanatory </w:t>
      </w:r>
      <w:r>
        <w:rPr>
          <w:rStyle w:val="AERtextitalic"/>
        </w:rPr>
        <w:t>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 Appendices,</w:t>
      </w:r>
      <w:r w:rsidRPr="007646B1">
        <w:t xml:space="preserve"> December 2013</w:t>
      </w:r>
      <w:r>
        <w:t>, p.138.</w:t>
      </w:r>
    </w:p>
  </w:footnote>
  <w:footnote w:id="166">
    <w:p w:rsidR="00477251" w:rsidRDefault="0047725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167">
    <w:p w:rsidR="00477251" w:rsidRDefault="00477251" w:rsidP="00D52BA6">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9 April 2015.</w:t>
      </w:r>
    </w:p>
  </w:footnote>
  <w:footnote w:id="168">
    <w:p w:rsidR="00477251" w:rsidRDefault="00477251" w:rsidP="00D52BA6">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169">
    <w:p w:rsidR="00477251" w:rsidRDefault="00477251" w:rsidP="00D52BA6">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70">
    <w:p w:rsidR="00477251" w:rsidRDefault="00477251" w:rsidP="00D52BA6">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71">
    <w:p w:rsidR="00477251" w:rsidRDefault="0047725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29.</w:t>
      </w:r>
    </w:p>
  </w:footnote>
  <w:footnote w:id="172">
    <w:p w:rsidR="00477251" w:rsidRDefault="00477251" w:rsidP="00D52BA6">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173">
    <w:p w:rsidR="00477251" w:rsidRDefault="00477251">
      <w:pPr>
        <w:pStyle w:val="FootnoteText"/>
      </w:pPr>
      <w:r>
        <w:rPr>
          <w:rStyle w:val="FootnoteReference"/>
        </w:rPr>
        <w:footnoteRef/>
      </w:r>
      <w:r>
        <w:t xml:space="preserve"> </w:t>
      </w:r>
      <w:r>
        <w:tab/>
        <w:t>Franked dividends must be paid out of after-tax profits. Accordingly, if the corporate tax rate is 30 per cent, then the pre-tax profit (X) that gives rise to $1 dollar of fully franked dividends is given by the expression X - 0.3X = $1 where X = $1.43. Therefore, $0.43 of tax is paid on (and $0.43 of imputation credits can be attached to) each $1 of fully franked dividends.</w:t>
      </w:r>
    </w:p>
  </w:footnote>
  <w:footnote w:id="174">
    <w:p w:rsidR="00477251" w:rsidRDefault="00477251" w:rsidP="00D52BA6">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w:t>
      </w:r>
      <w:proofErr w:type="gramStart"/>
      <w:r>
        <w:t>are discussed</w:t>
      </w:r>
      <w:proofErr w:type="gramEnd"/>
      <w:r>
        <w:t xml:space="preserve"> in section </w:t>
      </w:r>
      <w:r>
        <w:fldChar w:fldCharType="begin"/>
      </w:r>
      <w:r>
        <w:instrText xml:space="preserve"> REF _Ref414289593 \r \h </w:instrText>
      </w:r>
      <w:r>
        <w:fldChar w:fldCharType="separate"/>
      </w:r>
      <w:r>
        <w:t>4.4.2</w:t>
      </w:r>
      <w:r>
        <w:fldChar w:fldCharType="end"/>
      </w:r>
      <w:r>
        <w:t xml:space="preserve"> of attachment 4.  </w:t>
      </w:r>
    </w:p>
  </w:footnote>
  <w:footnote w:id="175">
    <w:p w:rsidR="00477251" w:rsidRDefault="0047725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4; Ausgrid, </w:t>
      </w:r>
      <w:r w:rsidRPr="00D75F7A">
        <w:rPr>
          <w:rStyle w:val="AERtextitalic"/>
        </w:rPr>
        <w:t>Ausgrid's revised proposal on gamma</w:t>
      </w:r>
      <w:r>
        <w:t xml:space="preserve">, January 2015, pp. 5–6; Directlink, </w:t>
      </w:r>
      <w:r w:rsidRPr="0000771B">
        <w:rPr>
          <w:rStyle w:val="AERtextitalic"/>
        </w:rPr>
        <w:t>Directlink submission on gamma (updated)</w:t>
      </w:r>
      <w:r>
        <w:t xml:space="preserve">, January 2015, p. 7; Endeavour Energy, </w:t>
      </w:r>
      <w:r w:rsidRPr="00DF3162">
        <w:rPr>
          <w:rStyle w:val="AERtextitalic"/>
        </w:rPr>
        <w:t>Endeavour Energy's response to the AER draft decision re gamma</w:t>
      </w:r>
      <w:r>
        <w:t xml:space="preserve">, January 2015, pp. 5–6; Essential Energy, </w:t>
      </w:r>
      <w:r w:rsidRPr="000E181F">
        <w:rPr>
          <w:rStyle w:val="AERtextitalic"/>
        </w:rPr>
        <w:t>Essential's response to AER draft decision re gamma</w:t>
      </w:r>
      <w:r>
        <w:t xml:space="preserve">, January 2015, pp. 5–6; and JGN, </w:t>
      </w:r>
      <w:r w:rsidRPr="000E181F">
        <w:rPr>
          <w:rStyle w:val="AERtextitalic"/>
        </w:rPr>
        <w:t>Gamma - response to the draft decision</w:t>
      </w:r>
      <w:r>
        <w:t>, February 2015, p. 7.</w:t>
      </w:r>
    </w:p>
  </w:footnote>
  <w:footnote w:id="176">
    <w:p w:rsidR="00477251" w:rsidRDefault="00477251" w:rsidP="00E05D4A">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177">
    <w:p w:rsidR="00477251" w:rsidRDefault="00477251" w:rsidP="00A2453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6; Directlink, </w:t>
      </w:r>
      <w:r w:rsidRPr="0000771B">
        <w:rPr>
          <w:rStyle w:val="AERtextitalic"/>
        </w:rPr>
        <w:t>Directlink submission on gamma (updated)</w:t>
      </w:r>
      <w:r>
        <w:t xml:space="preserve">, January 2015, p. 8; Endeavour Energy, </w:t>
      </w:r>
      <w:r w:rsidRPr="00DF3162">
        <w:rPr>
          <w:rStyle w:val="AERtextitalic"/>
        </w:rPr>
        <w:t>Endeavour Energy's response to the AER draft decision re gamma</w:t>
      </w:r>
      <w:r>
        <w:t xml:space="preserve">, January 2015, p. 6; Essential Energy, </w:t>
      </w:r>
      <w:r w:rsidRPr="000E181F">
        <w:rPr>
          <w:rStyle w:val="AERtextitalic"/>
        </w:rPr>
        <w:t>Essential's response to AER draft decision re gamma</w:t>
      </w:r>
      <w:r>
        <w:t xml:space="preserve">, January 2015, p. 6; and JGN, </w:t>
      </w:r>
      <w:r w:rsidRPr="000E181F">
        <w:rPr>
          <w:rStyle w:val="AERtextitalic"/>
        </w:rPr>
        <w:t>Gamma - response to the draft decision</w:t>
      </w:r>
      <w:r>
        <w:t>, February 2015, p. 8.</w:t>
      </w:r>
    </w:p>
  </w:footnote>
  <w:footnote w:id="178">
    <w:p w:rsidR="00477251" w:rsidRDefault="00477251" w:rsidP="00A24531">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79">
    <w:p w:rsidR="00477251" w:rsidRDefault="00477251" w:rsidP="00A24531">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180">
    <w:p w:rsidR="00477251" w:rsidRDefault="00477251" w:rsidP="00A24531">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9 April 2015. We consider that the form is quite straightforward, and therefore the cost of filling it out and submitting it is unlikely to outweigh the benefit of any material amount of imputation credits.  </w:t>
      </w:r>
    </w:p>
  </w:footnote>
  <w:footnote w:id="181">
    <w:p w:rsidR="00477251" w:rsidRDefault="00477251" w:rsidP="005A184F">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6; Directlink, </w:t>
      </w:r>
      <w:r w:rsidRPr="0000771B">
        <w:rPr>
          <w:rStyle w:val="AERtextitalic"/>
        </w:rPr>
        <w:t>Directlink submission on gamma (updated)</w:t>
      </w:r>
      <w:r>
        <w:t xml:space="preserve">, January 2015, p. 9; Endeavour Energy, </w:t>
      </w:r>
      <w:r w:rsidRPr="00DF3162">
        <w:rPr>
          <w:rStyle w:val="AERtextitalic"/>
        </w:rPr>
        <w:t>Endeavour Energy's response to the AER draft decision re gamma</w:t>
      </w:r>
      <w:r>
        <w:t xml:space="preserve">, January 2015, p. 6; Essential Energy, </w:t>
      </w:r>
      <w:r w:rsidRPr="000E181F">
        <w:rPr>
          <w:rStyle w:val="AERtextitalic"/>
        </w:rPr>
        <w:t>Essential's response to AER draft decision re gamma</w:t>
      </w:r>
      <w:r>
        <w:t xml:space="preserve">, January 2015, p. 6; and JGN, </w:t>
      </w:r>
      <w:r w:rsidRPr="000E181F">
        <w:rPr>
          <w:rStyle w:val="AERtextitalic"/>
        </w:rPr>
        <w:t>Gamma - response to the draft decision</w:t>
      </w:r>
      <w:r>
        <w:t>, February 2015, p. 9.</w:t>
      </w:r>
    </w:p>
  </w:footnote>
  <w:footnote w:id="182">
    <w:p w:rsidR="00477251" w:rsidRDefault="00477251" w:rsidP="005A184F">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83">
    <w:p w:rsidR="00477251" w:rsidRPr="006C07EA" w:rsidRDefault="00477251" w:rsidP="006C07E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7; Directlink, </w:t>
      </w:r>
      <w:r w:rsidRPr="0000771B">
        <w:rPr>
          <w:rStyle w:val="AERtextitalic"/>
        </w:rPr>
        <w:t>Directlink submission on gamma (updated)</w:t>
      </w:r>
      <w:r>
        <w:t xml:space="preserve">, January 2015, p. 9; Endeavour Energy, </w:t>
      </w:r>
      <w:r w:rsidRPr="00DF3162">
        <w:rPr>
          <w:rStyle w:val="AERtextitalic"/>
        </w:rPr>
        <w:t>Endeavour Energy's response to the AER draft decision re gamma</w:t>
      </w:r>
      <w:r>
        <w:t xml:space="preserve">, January 2015, p. 7; Essential Energy, </w:t>
      </w:r>
      <w:r w:rsidRPr="000E181F">
        <w:rPr>
          <w:rStyle w:val="AERtextitalic"/>
        </w:rPr>
        <w:t>Essential's response to AER draft decision re gamma</w:t>
      </w:r>
      <w:r>
        <w:t xml:space="preserve">, January 2015, p. 7; and JGN, </w:t>
      </w:r>
      <w:r w:rsidRPr="000E181F">
        <w:rPr>
          <w:rStyle w:val="AERtextitalic"/>
        </w:rPr>
        <w:t>Gamma - response to the draft decision</w:t>
      </w:r>
      <w:r>
        <w:t>, February 2015, p. 9.</w:t>
      </w:r>
    </w:p>
  </w:footnote>
  <w:footnote w:id="184">
    <w:p w:rsidR="00477251" w:rsidRDefault="00477251" w:rsidP="005A184F">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65(e).</w:t>
      </w:r>
    </w:p>
  </w:footnote>
  <w:footnote w:id="185">
    <w:p w:rsidR="00477251" w:rsidRDefault="0047725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14; Ausgrid, </w:t>
      </w:r>
      <w:r w:rsidRPr="00D75F7A">
        <w:rPr>
          <w:rStyle w:val="AERtextitalic"/>
        </w:rPr>
        <w:t>Ausgrid's revised proposal on gamma</w:t>
      </w:r>
      <w:r>
        <w:t xml:space="preserve">, January 2015, p. 15; Directlink, </w:t>
      </w:r>
      <w:r w:rsidRPr="0000771B">
        <w:rPr>
          <w:rStyle w:val="AERtextitalic"/>
        </w:rPr>
        <w:t>Directlink submission on gamma (updated)</w:t>
      </w:r>
      <w:r>
        <w:t xml:space="preserve">, January 2015, p. 20; Endeavour Energy, </w:t>
      </w:r>
      <w:r w:rsidRPr="00DF3162">
        <w:rPr>
          <w:rStyle w:val="AERtextitalic"/>
        </w:rPr>
        <w:t>Endeavour Energy's response to the AER draft decision re gamma</w:t>
      </w:r>
      <w:r>
        <w:t xml:space="preserve">, January 2015, p. 15; Essential Energy, </w:t>
      </w:r>
      <w:r w:rsidRPr="000E181F">
        <w:rPr>
          <w:rStyle w:val="AERtextitalic"/>
        </w:rPr>
        <w:t>Essential's response to AER draft decision re gamma</w:t>
      </w:r>
      <w:r>
        <w:t xml:space="preserve">, January 2015, p. 15; and JGN, </w:t>
      </w:r>
      <w:r w:rsidRPr="000E181F">
        <w:rPr>
          <w:rStyle w:val="AERtextitalic"/>
        </w:rPr>
        <w:t>Gamma - response to the draft decision</w:t>
      </w:r>
      <w:r>
        <w:t>, February 2015, p. 18.</w:t>
      </w:r>
    </w:p>
  </w:footnote>
  <w:footnote w:id="186">
    <w:p w:rsidR="00477251" w:rsidRDefault="00477251">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187">
    <w:p w:rsidR="00477251" w:rsidRDefault="00477251">
      <w:pPr>
        <w:pStyle w:val="FootnoteText"/>
      </w:pPr>
      <w:r>
        <w:rPr>
          <w:rStyle w:val="FootnoteReference"/>
        </w:rPr>
        <w:footnoteRef/>
      </w:r>
      <w:r>
        <w:t xml:space="preserve"> </w:t>
      </w:r>
      <w:r>
        <w:tab/>
        <w:t>The refined foreign ownership share of all equity between June 2001 and December 2012 was 0.39 on average.</w:t>
      </w:r>
    </w:p>
  </w:footnote>
  <w:footnote w:id="188">
    <w:p w:rsidR="00477251" w:rsidRDefault="00477251">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189">
    <w:p w:rsidR="00477251" w:rsidRDefault="00477251" w:rsidP="00063611">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190">
    <w:p w:rsidR="00477251" w:rsidRDefault="00477251" w:rsidP="00B67C84">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191">
    <w:p w:rsidR="00477251" w:rsidRDefault="00477251" w:rsidP="00B67C84">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412.</w:t>
      </w:r>
    </w:p>
  </w:footnote>
  <w:footnote w:id="192">
    <w:p w:rsidR="00477251" w:rsidRDefault="00477251">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193">
    <w:p w:rsidR="00477251" w:rsidRDefault="0047725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194">
    <w:p w:rsidR="00477251" w:rsidRDefault="0047725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13; Ausgrid, </w:t>
      </w:r>
      <w:r w:rsidRPr="00D75F7A">
        <w:rPr>
          <w:rStyle w:val="AERtextitalic"/>
        </w:rPr>
        <w:t>Ausgrid's revised proposal on gamma</w:t>
      </w:r>
      <w:r>
        <w:t xml:space="preserve">, January 2015, p. 14; Directlink, </w:t>
      </w:r>
      <w:r w:rsidRPr="0000771B">
        <w:rPr>
          <w:rStyle w:val="AERtextitalic"/>
        </w:rPr>
        <w:t>Directlink submission on gamma (updated)</w:t>
      </w:r>
      <w:r>
        <w:t xml:space="preserve">, January 2015, p. 19; Endeavour Energy, </w:t>
      </w:r>
      <w:r w:rsidRPr="00DF3162">
        <w:rPr>
          <w:rStyle w:val="AERtextitalic"/>
        </w:rPr>
        <w:t>Endeavour Energy's response to the AER draft decision re gamma</w:t>
      </w:r>
      <w:r>
        <w:t xml:space="preserve">, January 2015, p. 14; Essential Energy, </w:t>
      </w:r>
      <w:r w:rsidRPr="000E181F">
        <w:rPr>
          <w:rStyle w:val="AERtextitalic"/>
        </w:rPr>
        <w:t>Essential's response to AER draft decision re gamma</w:t>
      </w:r>
      <w:r>
        <w:t xml:space="preserve">, January 2015, p. 14; and JGN, </w:t>
      </w:r>
      <w:r w:rsidRPr="000E181F">
        <w:rPr>
          <w:rStyle w:val="AERtextitalic"/>
        </w:rPr>
        <w:t>Gamma - response to the draft decision</w:t>
      </w:r>
      <w:r>
        <w:t>, February 2015, p. 17.</w:t>
      </w:r>
    </w:p>
  </w:footnote>
  <w:footnote w:id="195">
    <w:p w:rsidR="00477251" w:rsidRDefault="00477251" w:rsidP="00BC3784">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96">
    <w:p w:rsidR="00477251" w:rsidRDefault="00477251"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197">
    <w:p w:rsidR="00477251" w:rsidRDefault="00477251" w:rsidP="00BC378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98">
    <w:p w:rsidR="00477251" w:rsidRDefault="0047725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199">
    <w:p w:rsidR="00477251" w:rsidRDefault="00477251" w:rsidP="00B56451">
      <w:pPr>
        <w:pStyle w:val="FootnoteText"/>
      </w:pPr>
      <w:r>
        <w:rPr>
          <w:rStyle w:val="FootnoteReference"/>
        </w:rPr>
        <w:footnoteRef/>
      </w:r>
      <w:r>
        <w:t xml:space="preserve"> </w:t>
      </w:r>
      <w:r>
        <w:tab/>
        <w:t xml:space="preserve">SFG, </w:t>
      </w:r>
      <w:r>
        <w:rPr>
          <w:rStyle w:val="AERtextitalic"/>
        </w:rPr>
        <w:t>Estimating gamma for regulatory purposes</w:t>
      </w:r>
      <w:r>
        <w:t>, 6 February 2015, para. 211.</w:t>
      </w:r>
    </w:p>
  </w:footnote>
  <w:footnote w:id="200">
    <w:p w:rsidR="00477251" w:rsidRDefault="00477251">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201">
    <w:p w:rsidR="00477251" w:rsidRDefault="00477251">
      <w:pPr>
        <w:pStyle w:val="FootnoteText"/>
      </w:pPr>
      <w:r>
        <w:rPr>
          <w:rStyle w:val="FootnoteReference"/>
        </w:rPr>
        <w:footnoteRef/>
      </w:r>
      <w:r>
        <w:t xml:space="preserve">  </w:t>
      </w:r>
      <w:r>
        <w:tab/>
        <w:t xml:space="preserve">SFG, </w:t>
      </w:r>
      <w:r>
        <w:rPr>
          <w:rStyle w:val="AERtextitalic"/>
        </w:rPr>
        <w:t>Estimating gamma for regulatory purposes</w:t>
      </w:r>
      <w:r>
        <w:t>, 6 February 2015, paras. 215 and 217–218.</w:t>
      </w:r>
    </w:p>
  </w:footnote>
  <w:footnote w:id="202">
    <w:p w:rsidR="00477251" w:rsidRDefault="00477251">
      <w:pPr>
        <w:pStyle w:val="FootnoteText"/>
      </w:pPr>
      <w:r>
        <w:rPr>
          <w:rStyle w:val="FootnoteReference"/>
        </w:rPr>
        <w:footnoteRef/>
      </w:r>
      <w:r>
        <w:t xml:space="preserve"> </w:t>
      </w:r>
      <w:r>
        <w:tab/>
        <w:t xml:space="preserve">SFG, </w:t>
      </w:r>
      <w:r>
        <w:rPr>
          <w:rStyle w:val="AERtextitalic"/>
        </w:rPr>
        <w:t>Estimating gamma for regulatory purposes</w:t>
      </w:r>
      <w:r>
        <w:t>, 6 February 2015, para. 223.</w:t>
      </w:r>
    </w:p>
  </w:footnote>
  <w:footnote w:id="203">
    <w:p w:rsidR="00477251" w:rsidRDefault="0047725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204">
    <w:p w:rsidR="00477251" w:rsidRDefault="00477251">
      <w:pPr>
        <w:pStyle w:val="FootnoteText"/>
      </w:pPr>
      <w:r>
        <w:rPr>
          <w:rStyle w:val="FootnoteReference"/>
        </w:rPr>
        <w:footnoteRef/>
      </w:r>
      <w:r>
        <w:t xml:space="preserve"> </w:t>
      </w:r>
      <w:r>
        <w:tab/>
        <w:t xml:space="preserve">SFG, </w:t>
      </w:r>
      <w:r>
        <w:rPr>
          <w:rStyle w:val="AERtextitalic"/>
        </w:rPr>
        <w:t>Estimating gamma for regulatory purposes</w:t>
      </w:r>
      <w:r>
        <w:t>, 6 February 2015, para. 209.</w:t>
      </w:r>
    </w:p>
  </w:footnote>
  <w:footnote w:id="205">
    <w:p w:rsidR="00477251" w:rsidRDefault="00477251">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206">
    <w:p w:rsidR="00477251" w:rsidRDefault="00477251" w:rsidP="00BC3784">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9 April 2015.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207">
    <w:p w:rsidR="00477251" w:rsidRDefault="00477251"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208">
    <w:p w:rsidR="00477251" w:rsidRDefault="00477251" w:rsidP="00BC3784">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209">
    <w:p w:rsidR="00477251" w:rsidRDefault="00477251"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99.</w:t>
      </w:r>
    </w:p>
  </w:footnote>
  <w:footnote w:id="210">
    <w:p w:rsidR="00477251" w:rsidRDefault="00477251" w:rsidP="00BC3784">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30.</w:t>
      </w:r>
    </w:p>
  </w:footnote>
  <w:footnote w:id="211">
    <w:p w:rsidR="00477251" w:rsidRDefault="00477251" w:rsidP="00C531B4">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212">
    <w:p w:rsidR="00477251" w:rsidRDefault="00477251">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xml:space="preserve">, October 2014, p. </w:t>
      </w:r>
    </w:p>
  </w:footnote>
  <w:footnote w:id="213">
    <w:p w:rsidR="00477251" w:rsidRDefault="00477251" w:rsidP="0016005F">
      <w:pPr>
        <w:pStyle w:val="FootnoteText"/>
      </w:pPr>
      <w:r>
        <w:rPr>
          <w:rStyle w:val="FootnoteReference"/>
        </w:rPr>
        <w:footnoteRef/>
      </w:r>
      <w:r>
        <w:t xml:space="preserve"> </w:t>
      </w:r>
      <w:r>
        <w:tab/>
        <w:t xml:space="preserve">Specifically, we use data from </w:t>
      </w:r>
      <w:r w:rsidRPr="00B01373">
        <w:t>Australian National Accounts: Finance and Wealth</w:t>
      </w:r>
      <w:r w:rsidRPr="0061054A">
        <w:t xml:space="preserve"> (ABS cat. 5232.0)</w:t>
      </w:r>
      <w:r>
        <w:t>.</w:t>
      </w:r>
    </w:p>
  </w:footnote>
  <w:footnote w:id="214">
    <w:p w:rsidR="00477251" w:rsidRDefault="00477251" w:rsidP="0016005F">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215">
    <w:p w:rsidR="00477251" w:rsidRDefault="00477251" w:rsidP="0016005F">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9 April 2015.</w:t>
      </w:r>
    </w:p>
  </w:footnote>
  <w:footnote w:id="216">
    <w:p w:rsidR="00477251" w:rsidRDefault="00477251" w:rsidP="0016005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217">
    <w:p w:rsidR="00477251" w:rsidRDefault="00477251">
      <w:pPr>
        <w:pStyle w:val="FootnoteText"/>
      </w:pPr>
      <w:r>
        <w:rPr>
          <w:rStyle w:val="FootnoteReference"/>
        </w:rPr>
        <w:footnoteRef/>
      </w:r>
      <w:r>
        <w:t xml:space="preserve"> </w:t>
      </w:r>
      <w:r>
        <w:tab/>
        <w:t>If governments are assumed to waste the credits they receive, the equity ownership approach supports an estimate of the utilisation rate of between 0.54 and 0.65 if all equity is considered, and between 0.38 and 0.54 if only listed equity is considered.</w:t>
      </w:r>
    </w:p>
  </w:footnote>
  <w:footnote w:id="218">
    <w:p w:rsidR="00477251" w:rsidRDefault="00477251">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 1</w:t>
      </w:r>
      <w:r>
        <w:softHyphen/>
        <w:t xml:space="preserve">;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219">
    <w:p w:rsidR="00477251" w:rsidRDefault="0047725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p.12.</w:t>
      </w:r>
    </w:p>
  </w:footnote>
  <w:footnote w:id="220">
    <w:p w:rsidR="00477251" w:rsidRDefault="0047725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11; Ausgrid, </w:t>
      </w:r>
      <w:r w:rsidRPr="00D75F7A">
        <w:rPr>
          <w:rStyle w:val="AERtextitalic"/>
        </w:rPr>
        <w:t>Ausgrid's revised proposal on gamma</w:t>
      </w:r>
      <w:r>
        <w:t xml:space="preserve">, January 2015, p. 12; Directlink, </w:t>
      </w:r>
      <w:r w:rsidRPr="0000771B">
        <w:rPr>
          <w:rStyle w:val="AERtextitalic"/>
        </w:rPr>
        <w:t>Directlink submission on gamma (updated)</w:t>
      </w:r>
      <w:r>
        <w:t xml:space="preserve">, January 2015, p. 16; Endeavour Energy, </w:t>
      </w:r>
      <w:r w:rsidRPr="00DF3162">
        <w:rPr>
          <w:rStyle w:val="AERtextitalic"/>
        </w:rPr>
        <w:t>Endeavour Energy's response to the AER draft decision re gamma</w:t>
      </w:r>
      <w:r>
        <w:t xml:space="preserve">, January 2015, p. 12; Essential Energy, </w:t>
      </w:r>
      <w:r w:rsidRPr="000E181F">
        <w:rPr>
          <w:rStyle w:val="AERtextitalic"/>
        </w:rPr>
        <w:t>Essential's response to AER draft decision re gamma</w:t>
      </w:r>
      <w:r>
        <w:t xml:space="preserve">, January 2015, p. 12; and JGN, </w:t>
      </w:r>
      <w:r w:rsidRPr="000E181F">
        <w:rPr>
          <w:rStyle w:val="AERtextitalic"/>
        </w:rPr>
        <w:t>Gamma - response to the draft decision</w:t>
      </w:r>
      <w:r>
        <w:t>, February 2015, p. 14.</w:t>
      </w:r>
    </w:p>
  </w:footnote>
  <w:footnote w:id="221">
    <w:p w:rsidR="00477251" w:rsidRDefault="0047725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13.</w:t>
      </w:r>
    </w:p>
  </w:footnote>
  <w:footnote w:id="222">
    <w:p w:rsidR="00477251" w:rsidRDefault="00477251">
      <w:pPr>
        <w:pStyle w:val="FootnoteText"/>
      </w:pPr>
      <w:r>
        <w:rPr>
          <w:rStyle w:val="FootnoteReference"/>
        </w:rPr>
        <w:footnoteRef/>
      </w:r>
      <w:r>
        <w:t xml:space="preserve"> </w:t>
      </w:r>
      <w:r>
        <w:tab/>
        <w:t xml:space="preserve">SFG, </w:t>
      </w:r>
      <w:r>
        <w:rPr>
          <w:rStyle w:val="AERtextitalic"/>
        </w:rPr>
        <w:t>Estimating gamma for regulatory purposes</w:t>
      </w:r>
      <w:r>
        <w:t>, 6 February 2015, para. 147(a).</w:t>
      </w:r>
    </w:p>
  </w:footnote>
  <w:footnote w:id="223">
    <w:p w:rsidR="00477251" w:rsidRDefault="0047725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16.</w:t>
      </w:r>
    </w:p>
  </w:footnote>
  <w:footnote w:id="224">
    <w:p w:rsidR="00477251" w:rsidRDefault="00477251" w:rsidP="00C06B80">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225">
    <w:p w:rsidR="00477251" w:rsidRDefault="00477251" w:rsidP="00C06B80">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  </w:t>
      </w:r>
    </w:p>
  </w:footnote>
  <w:footnote w:id="226">
    <w:p w:rsidR="00477251" w:rsidRDefault="00477251" w:rsidP="00C06B80">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September 2013, para. 32.</w:t>
      </w:r>
    </w:p>
  </w:footnote>
  <w:footnote w:id="227">
    <w:p w:rsidR="00477251" w:rsidRDefault="00477251" w:rsidP="00292ECF">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228">
    <w:p w:rsidR="00477251" w:rsidRDefault="00477251" w:rsidP="00292ECF">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229">
    <w:p w:rsidR="00477251" w:rsidRDefault="00477251" w:rsidP="00292ECF">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230">
    <w:p w:rsidR="00477251" w:rsidRDefault="00477251" w:rsidP="00292ECF">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231">
    <w:p w:rsidR="00477251" w:rsidRDefault="00477251" w:rsidP="00292ECF">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232">
    <w:p w:rsidR="00477251" w:rsidRDefault="00477251" w:rsidP="00292ECF">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233">
    <w:p w:rsidR="00477251" w:rsidRDefault="00477251" w:rsidP="00292ECF">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rsidRPr="003A3A99">
        <w:t>, March 2004.</w:t>
      </w:r>
    </w:p>
  </w:footnote>
  <w:footnote w:id="234">
    <w:p w:rsidR="00477251" w:rsidRDefault="00477251" w:rsidP="00292ECF">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w:t>
      </w:r>
    </w:p>
  </w:footnote>
  <w:footnote w:id="235">
    <w:p w:rsidR="00477251" w:rsidRDefault="00477251" w:rsidP="00292ECF">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236">
    <w:p w:rsidR="00477251" w:rsidRDefault="00477251" w:rsidP="00292ECF">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37">
    <w:p w:rsidR="00477251" w:rsidRDefault="00477251" w:rsidP="00292ECF">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238">
    <w:p w:rsidR="00477251" w:rsidRDefault="00477251" w:rsidP="00292ECF">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Pr>
          <w:rFonts w:cs="Gautami"/>
        </w:rPr>
        <w:t>–</w:t>
      </w:r>
      <w:r>
        <w:t>197.</w:t>
      </w:r>
    </w:p>
  </w:footnote>
  <w:footnote w:id="239">
    <w:p w:rsidR="00477251" w:rsidRDefault="00477251" w:rsidP="00292ECF">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40">
    <w:p w:rsidR="00477251" w:rsidRDefault="00477251" w:rsidP="00292ECF">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241">
    <w:p w:rsidR="00477251" w:rsidRDefault="00477251" w:rsidP="00292ECF">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242">
    <w:p w:rsidR="00477251" w:rsidRDefault="00477251" w:rsidP="00292ECF">
      <w:pPr>
        <w:pStyle w:val="FootnoteText"/>
      </w:pPr>
      <w:r>
        <w:rPr>
          <w:rStyle w:val="FootnoteReference"/>
        </w:rPr>
        <w:footnoteRef/>
      </w:r>
      <w:r>
        <w:t xml:space="preserve"> </w:t>
      </w:r>
      <w:r>
        <w:tab/>
        <w:t xml:space="preserve">K. Siau, S. Sault and G. Warren, 'Are imputation credits capitalised into stock prices', </w:t>
      </w:r>
      <w:r>
        <w:rPr>
          <w:rStyle w:val="AERtextitalic"/>
        </w:rPr>
        <w:t xml:space="preserve">ANU </w:t>
      </w:r>
      <w:r w:rsidRPr="00647825">
        <w:rPr>
          <w:rStyle w:val="AERtextitalic"/>
        </w:rPr>
        <w:t>working paper</w:t>
      </w:r>
      <w:r w:rsidRPr="00647825">
        <w:t>,</w:t>
      </w:r>
      <w:r>
        <w:t xml:space="preserve"> 18 June 2013.</w:t>
      </w:r>
    </w:p>
  </w:footnote>
  <w:footnote w:id="243">
    <w:p w:rsidR="00477251" w:rsidRDefault="00477251" w:rsidP="00292ECF">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44">
    <w:p w:rsidR="00477251" w:rsidRDefault="00477251" w:rsidP="00292ECF">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rPr>
        <w:t xml:space="preserve">Paper presented at the Accounting Association of Australia and New Zealand Annual Conference, Wellington, </w:t>
      </w:r>
      <w:r w:rsidRPr="009C64A5">
        <w:t>2001.</w:t>
      </w:r>
    </w:p>
  </w:footnote>
  <w:footnote w:id="245">
    <w:p w:rsidR="00477251" w:rsidRDefault="00477251" w:rsidP="00292ECF">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246">
    <w:p w:rsidR="00477251" w:rsidRDefault="00477251" w:rsidP="00D15D53">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247">
    <w:p w:rsidR="00477251" w:rsidRDefault="00477251" w:rsidP="00D15D53">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248">
    <w:p w:rsidR="00477251" w:rsidRDefault="00477251" w:rsidP="00D15D53">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 3.</w:t>
      </w:r>
    </w:p>
  </w:footnote>
  <w:footnote w:id="249">
    <w:p w:rsidR="00477251" w:rsidRDefault="00477251" w:rsidP="00D15D53">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250">
    <w:p w:rsidR="00477251" w:rsidRDefault="00477251" w:rsidP="00D15D53">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 247.</w:t>
      </w:r>
    </w:p>
  </w:footnote>
  <w:footnote w:id="251">
    <w:p w:rsidR="00477251" w:rsidRDefault="00477251" w:rsidP="00D15D53">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252">
    <w:p w:rsidR="00477251" w:rsidRDefault="00477251" w:rsidP="00D15D53">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t>, March 2004, pp. 5 and 21.</w:t>
      </w:r>
    </w:p>
  </w:footnote>
  <w:footnote w:id="253">
    <w:p w:rsidR="00477251" w:rsidRDefault="00477251" w:rsidP="00D15D53">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 p. 27.</w:t>
      </w:r>
    </w:p>
  </w:footnote>
  <w:footnote w:id="254">
    <w:p w:rsidR="00477251" w:rsidRDefault="00477251" w:rsidP="00D15D53">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255">
    <w:p w:rsidR="00477251" w:rsidRDefault="00477251" w:rsidP="00D15D53">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56">
    <w:p w:rsidR="00477251" w:rsidRDefault="00477251" w:rsidP="00D15D53">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257">
    <w:p w:rsidR="00477251" w:rsidRDefault="00477251" w:rsidP="00D15D53">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sidRPr="003C16EB">
        <w:t>–</w:t>
      </w:r>
      <w:r>
        <w:t>197.</w:t>
      </w:r>
    </w:p>
  </w:footnote>
  <w:footnote w:id="258">
    <w:p w:rsidR="00477251" w:rsidRDefault="00477251" w:rsidP="00D15D53">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59">
    <w:p w:rsidR="00477251" w:rsidRDefault="00477251" w:rsidP="00D15D53">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260">
    <w:p w:rsidR="00477251" w:rsidRDefault="00477251" w:rsidP="00D15D53">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 490.</w:t>
      </w:r>
    </w:p>
  </w:footnote>
  <w:footnote w:id="261">
    <w:p w:rsidR="00477251" w:rsidRDefault="00477251" w:rsidP="00D15D53">
      <w:pPr>
        <w:pStyle w:val="FootnoteText"/>
      </w:pPr>
      <w:r>
        <w:rPr>
          <w:rStyle w:val="FootnoteReference"/>
        </w:rPr>
        <w:footnoteRef/>
      </w:r>
      <w:r>
        <w:t xml:space="preserve"> </w:t>
      </w:r>
      <w:r>
        <w:tab/>
        <w:t xml:space="preserve">K. Siau, S. Sault and G. Warren, 'Are imputation credits capitalised into stock </w:t>
      </w:r>
      <w:r w:rsidRPr="00647825">
        <w:t xml:space="preserve">prices', </w:t>
      </w:r>
      <w:r w:rsidRPr="00647825">
        <w:rPr>
          <w:rStyle w:val="AERtextitalic"/>
        </w:rPr>
        <w:t>ANU working paper</w:t>
      </w:r>
      <w:r w:rsidRPr="00647825">
        <w:t>, 18 June</w:t>
      </w:r>
      <w:r>
        <w:t xml:space="preserve"> 2013, pp. 24 and 27.</w:t>
      </w:r>
    </w:p>
  </w:footnote>
  <w:footnote w:id="262">
    <w:p w:rsidR="00477251" w:rsidRDefault="00477251" w:rsidP="00D15D53">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63">
    <w:p w:rsidR="00477251" w:rsidRDefault="00477251" w:rsidP="00D15D53">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264">
    <w:p w:rsidR="00477251" w:rsidRDefault="00477251" w:rsidP="00D15D53">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265">
    <w:p w:rsidR="00477251" w:rsidRDefault="0047725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10;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66">
    <w:p w:rsidR="00477251" w:rsidRDefault="00477251">
      <w:pPr>
        <w:pStyle w:val="FootnoteText"/>
      </w:pPr>
      <w:r>
        <w:rPr>
          <w:rStyle w:val="FootnoteReference"/>
        </w:rPr>
        <w:footnoteRef/>
      </w:r>
      <w:r>
        <w:t xml:space="preserve"> </w:t>
      </w:r>
      <w:r>
        <w:tab/>
        <w:t xml:space="preserve">SFG, </w:t>
      </w:r>
      <w:r>
        <w:rPr>
          <w:rStyle w:val="AERtextitalic"/>
        </w:rPr>
        <w:t>Estimating gamma for regulatory purposes</w:t>
      </w:r>
      <w:r>
        <w:t>, 6 February 2015, para. 79.</w:t>
      </w:r>
    </w:p>
  </w:footnote>
  <w:footnote w:id="267">
    <w:p w:rsidR="00477251" w:rsidRDefault="00477251" w:rsidP="007F230D">
      <w:pPr>
        <w:pStyle w:val="FootnoteText"/>
      </w:pPr>
      <w:r>
        <w:rPr>
          <w:rStyle w:val="FootnoteReference"/>
        </w:rPr>
        <w:footnoteRef/>
      </w:r>
      <w:r>
        <w:t xml:space="preserve"> </w:t>
      </w:r>
      <w:r>
        <w:tab/>
        <w:t xml:space="preserve">SFG, </w:t>
      </w:r>
      <w:r>
        <w:rPr>
          <w:rStyle w:val="AERtextitalic"/>
        </w:rPr>
        <w:t>Estimating gamma for regulatory purposes</w:t>
      </w:r>
      <w:r>
        <w:t>, 6 February 2015, para. 78.</w:t>
      </w:r>
    </w:p>
  </w:footnote>
  <w:footnote w:id="268">
    <w:p w:rsidR="00477251" w:rsidRDefault="00477251" w:rsidP="007F230D">
      <w:pPr>
        <w:pStyle w:val="FootnoteText"/>
      </w:pPr>
      <w:r>
        <w:rPr>
          <w:rStyle w:val="FootnoteReference"/>
        </w:rPr>
        <w:footnoteRef/>
      </w:r>
      <w:r>
        <w:t xml:space="preserve"> </w:t>
      </w:r>
      <w:r>
        <w:tab/>
        <w:t>SFG</w:t>
      </w:r>
      <w:r w:rsidRPr="007C38AD">
        <w:rPr>
          <w:rStyle w:val="AERtextitalic"/>
        </w:rPr>
        <w:t>, Equity beta</w:t>
      </w:r>
      <w:r>
        <w:t>, 12 May 2014, para. 15.</w:t>
      </w:r>
    </w:p>
  </w:footnote>
  <w:footnote w:id="269">
    <w:p w:rsidR="00477251" w:rsidRDefault="00477251">
      <w:pPr>
        <w:pStyle w:val="FootnoteText"/>
      </w:pPr>
      <w:r>
        <w:rPr>
          <w:rStyle w:val="FootnoteReference"/>
        </w:rPr>
        <w:footnoteRef/>
      </w:r>
      <w:r>
        <w:t xml:space="preserve"> </w:t>
      </w:r>
      <w:r>
        <w:tab/>
        <w:t xml:space="preserve">SFG, </w:t>
      </w:r>
      <w:r>
        <w:rPr>
          <w:rStyle w:val="AERtextitalic"/>
        </w:rPr>
        <w:t>Estimating gamma for regulatory purposes</w:t>
      </w:r>
      <w:r>
        <w:t>, 6 February 2015, para. 52.</w:t>
      </w:r>
    </w:p>
  </w:footnote>
  <w:footnote w:id="270">
    <w:p w:rsidR="00477251" w:rsidRDefault="00477251" w:rsidP="008B1CC6">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271">
    <w:p w:rsidR="00477251" w:rsidRDefault="0047725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72">
    <w:p w:rsidR="00477251" w:rsidRDefault="00477251">
      <w:pPr>
        <w:pStyle w:val="FootnoteText"/>
      </w:pPr>
      <w:r>
        <w:rPr>
          <w:rStyle w:val="FootnoteReference"/>
        </w:rPr>
        <w:footnoteRef/>
      </w:r>
      <w:r>
        <w:t xml:space="preserve"> </w:t>
      </w:r>
      <w:r>
        <w:tab/>
        <w:t xml:space="preserve">SFG, </w:t>
      </w:r>
      <w:r>
        <w:rPr>
          <w:rStyle w:val="AERtextitalic"/>
        </w:rPr>
        <w:t>Estimating gamma for regulatory purposes</w:t>
      </w:r>
      <w:r>
        <w:t>, 6 February 2015, p</w:t>
      </w:r>
      <w:r w:rsidRPr="00D01050">
        <w:t>ara</w:t>
      </w:r>
      <w:r>
        <w:t>.</w:t>
      </w:r>
      <w:r w:rsidRPr="00D01050">
        <w:t xml:space="preserve"> 50</w:t>
      </w:r>
      <w:r>
        <w:t>.</w:t>
      </w:r>
    </w:p>
  </w:footnote>
  <w:footnote w:id="273">
    <w:p w:rsidR="00477251" w:rsidRDefault="00477251">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w:t>
      </w:r>
    </w:p>
  </w:footnote>
  <w:footnote w:id="274">
    <w:p w:rsidR="00477251" w:rsidRDefault="0047725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9; Ausgrid, </w:t>
      </w:r>
      <w:r w:rsidRPr="00D75F7A">
        <w:rPr>
          <w:rStyle w:val="AERtextitalic"/>
        </w:rPr>
        <w:t>Ausgrid's revised proposal on gamma</w:t>
      </w:r>
      <w:r>
        <w:t xml:space="preserve">, January 2015, p. 10; Directlink, </w:t>
      </w:r>
      <w:r w:rsidRPr="0000771B">
        <w:rPr>
          <w:rStyle w:val="AERtextitalic"/>
        </w:rPr>
        <w:t>Directlink submission on gamma (updated)</w:t>
      </w:r>
      <w:r>
        <w:t xml:space="preserve">, January 2015, p. 14; Endeavour Energy, </w:t>
      </w:r>
      <w:r w:rsidRPr="00DF3162">
        <w:rPr>
          <w:rStyle w:val="AERtextitalic"/>
        </w:rPr>
        <w:t>Endeavour Energy's response to the AER draft decision re gamma</w:t>
      </w:r>
      <w:r>
        <w:t xml:space="preserve">, January 2015, p. 10; Essential Energy, </w:t>
      </w:r>
      <w:r w:rsidRPr="000E181F">
        <w:rPr>
          <w:rStyle w:val="AERtextitalic"/>
        </w:rPr>
        <w:t>Essential's response to AER draft decision re gamma</w:t>
      </w:r>
      <w:r>
        <w:t xml:space="preserve">, January 2015, p. 10; and JGN, </w:t>
      </w:r>
      <w:r w:rsidRPr="000E181F">
        <w:rPr>
          <w:rStyle w:val="AERtextitalic"/>
        </w:rPr>
        <w:t>Gamma - response to the draft decision</w:t>
      </w:r>
      <w:r>
        <w:t>, February 2015, p. 13.</w:t>
      </w:r>
    </w:p>
  </w:footnote>
  <w:footnote w:id="275">
    <w:p w:rsidR="00477251" w:rsidRDefault="00477251">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p.16; </w:t>
      </w:r>
      <w:r w:rsidRPr="00582678">
        <w:t xml:space="preserve">M. Lally, </w:t>
      </w:r>
      <w:r w:rsidRPr="00582678">
        <w:rPr>
          <w:rStyle w:val="AERtextitalic"/>
        </w:rPr>
        <w:t>The estimation of gamma</w:t>
      </w:r>
      <w:r w:rsidRPr="00582678">
        <w:t>, 23 November 2013</w:t>
      </w:r>
      <w:r>
        <w:t>, p. 21.</w:t>
      </w:r>
    </w:p>
  </w:footnote>
  <w:footnote w:id="276">
    <w:p w:rsidR="00477251" w:rsidRDefault="0047725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77">
    <w:p w:rsidR="00477251" w:rsidRDefault="00477251">
      <w:pPr>
        <w:pStyle w:val="FootnoteText"/>
      </w:pPr>
      <w:r>
        <w:rPr>
          <w:rStyle w:val="FootnoteReference"/>
        </w:rPr>
        <w:footnoteRef/>
      </w:r>
      <w:r>
        <w:t xml:space="preserve"> </w:t>
      </w:r>
      <w:r>
        <w:tab/>
        <w:t xml:space="preserve">SFG, </w:t>
      </w:r>
      <w:r>
        <w:rPr>
          <w:rStyle w:val="AERtextitalic"/>
        </w:rPr>
        <w:t>Estimating gamma for regulatory purposes</w:t>
      </w:r>
      <w:r>
        <w:t>, 6 February 2015, para. 185(c).</w:t>
      </w:r>
    </w:p>
  </w:footnote>
  <w:footnote w:id="278">
    <w:p w:rsidR="00477251" w:rsidRDefault="00477251">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20.</w:t>
      </w:r>
    </w:p>
  </w:footnote>
  <w:footnote w:id="279">
    <w:p w:rsidR="00477251" w:rsidRDefault="00477251">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26.</w:t>
      </w:r>
    </w:p>
  </w:footnote>
  <w:footnote w:id="280">
    <w:p w:rsidR="00477251" w:rsidRDefault="00477251">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29.</w:t>
      </w:r>
    </w:p>
  </w:footnote>
  <w:footnote w:id="281">
    <w:p w:rsidR="00477251" w:rsidRDefault="00477251">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44.</w:t>
      </w:r>
    </w:p>
  </w:footnote>
  <w:footnote w:id="282">
    <w:p w:rsidR="00477251" w:rsidRDefault="00477251">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18.</w:t>
      </w:r>
    </w:p>
  </w:footnote>
  <w:footnote w:id="283">
    <w:p w:rsidR="00477251" w:rsidRDefault="00477251">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284">
    <w:p w:rsidR="00477251" w:rsidRDefault="00477251">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SFG, </w:t>
      </w:r>
      <w:r w:rsidRPr="00B04480">
        <w:rPr>
          <w:rStyle w:val="AERtextitalic"/>
        </w:rPr>
        <w:t>Updated dividend drop-off estimate of theta: Report for the Energy Networks Association</w:t>
      </w:r>
      <w:r w:rsidRPr="00B04480">
        <w:t>, 7 June 2013.</w:t>
      </w:r>
      <w:r>
        <w:t xml:space="preserve"> </w:t>
      </w:r>
    </w:p>
  </w:footnote>
  <w:footnote w:id="285">
    <w:p w:rsidR="00477251" w:rsidRDefault="00477251" w:rsidP="00EF42E6">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Australian Competition Tribunal, </w:t>
      </w:r>
      <w:r w:rsidRPr="00B04480">
        <w:rPr>
          <w:rStyle w:val="AERtextitalic"/>
        </w:rPr>
        <w:t>Application by Energex Limited (Gamma) (No 5) [2011] ACompT 9</w:t>
      </w:r>
      <w:r w:rsidRPr="00B04480">
        <w:t>, May 2011</w:t>
      </w:r>
      <w:r>
        <w:t xml:space="preserve">, para. 38; </w:t>
      </w:r>
      <w:r w:rsidRPr="00B04480">
        <w:t xml:space="preserve">SFG, </w:t>
      </w:r>
      <w:r w:rsidRPr="00B04480">
        <w:rPr>
          <w:rStyle w:val="AERtextitalic"/>
        </w:rPr>
        <w:t>Updated dividend drop-off estimate of theta: Report for the Energy Networks Association</w:t>
      </w:r>
      <w:r w:rsidRPr="00B04480">
        <w:t>, 7 June 2013.</w:t>
      </w:r>
    </w:p>
  </w:footnote>
  <w:footnote w:id="286">
    <w:p w:rsidR="00477251" w:rsidRDefault="00477251" w:rsidP="00EF42E6">
      <w:pPr>
        <w:pStyle w:val="FootnoteText"/>
      </w:pPr>
      <w:r>
        <w:rPr>
          <w:rStyle w:val="FootnoteReference"/>
        </w:rPr>
        <w:footnoteRef/>
      </w:r>
      <w:r>
        <w:t xml:space="preserve"> </w:t>
      </w:r>
      <w:r>
        <w:tab/>
      </w:r>
      <w:r w:rsidRPr="006C192F">
        <w:t xml:space="preserve">D. Cannavan, F. Finn, S. Gray, 'The value of dividend imputation tax credits in Australia', </w:t>
      </w:r>
      <w:r w:rsidRPr="006C192F">
        <w:rPr>
          <w:rStyle w:val="AERtextitalic"/>
        </w:rPr>
        <w:t>Journal of financial economics</w:t>
      </w:r>
      <w:r>
        <w:t>, vol. 73, 2004, p. 175.</w:t>
      </w:r>
    </w:p>
  </w:footnote>
  <w:footnote w:id="287">
    <w:p w:rsidR="00477251" w:rsidRDefault="00477251" w:rsidP="00EF42E6">
      <w:pPr>
        <w:pStyle w:val="FootnoteText"/>
      </w:pPr>
      <w:r>
        <w:rPr>
          <w:rStyle w:val="FootnoteReference"/>
        </w:rPr>
        <w:footnoteRef/>
      </w:r>
      <w:r>
        <w:t xml:space="preserve"> </w:t>
      </w:r>
      <w:r>
        <w:tab/>
      </w:r>
      <w:r w:rsidRPr="006C192F">
        <w:t xml:space="preserve">K. Siau, S. Sault and G. Warren, 'Are imputation credits capitalised into stock prices', </w:t>
      </w:r>
      <w:r w:rsidRPr="006C192F">
        <w:rPr>
          <w:rStyle w:val="AERtextitalic"/>
        </w:rPr>
        <w:t>ANU working paper</w:t>
      </w:r>
      <w:r w:rsidRPr="006C192F">
        <w:t>, 18 June 2013, p. 2 and pp. 8–9.</w:t>
      </w:r>
    </w:p>
  </w:footnote>
  <w:footnote w:id="288">
    <w:p w:rsidR="00477251" w:rsidRDefault="00477251" w:rsidP="00EF42E6">
      <w:pPr>
        <w:pStyle w:val="FootnoteText"/>
      </w:pPr>
      <w:r>
        <w:rPr>
          <w:rStyle w:val="FootnoteReference"/>
        </w:rPr>
        <w:footnoteRef/>
      </w:r>
      <w:r>
        <w:t xml:space="preserve"> </w:t>
      </w:r>
      <w:r>
        <w:tab/>
      </w:r>
      <w:r w:rsidRPr="00BE4458">
        <w:t xml:space="preserve">M. McKenzie and G. Partington, </w:t>
      </w:r>
      <w:r w:rsidRPr="00BE4458">
        <w:rPr>
          <w:rStyle w:val="AERtextitalic"/>
        </w:rPr>
        <w:t>Report to the Queensland Resources Council: Review of Aurizon Network’s draft access undertaking</w:t>
      </w:r>
      <w:r>
        <w:t>, 5 October 2013,</w:t>
      </w:r>
      <w:r w:rsidRPr="00BE4458">
        <w:t xml:space="preserve"> </w:t>
      </w:r>
      <w:r>
        <w:t>pp. 33</w:t>
      </w:r>
      <w:r w:rsidRPr="00BE4458">
        <w:t>–</w:t>
      </w:r>
      <w:r>
        <w:t>34.</w:t>
      </w:r>
    </w:p>
  </w:footnote>
  <w:footnote w:id="289">
    <w:p w:rsidR="00477251" w:rsidRDefault="00477251" w:rsidP="00EF42E6">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290">
    <w:p w:rsidR="00477251" w:rsidRDefault="00477251" w:rsidP="00EF42E6">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291">
    <w:p w:rsidR="00477251" w:rsidRDefault="00477251">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pp. 16–17.</w:t>
      </w:r>
    </w:p>
  </w:footnote>
  <w:footnote w:id="292">
    <w:p w:rsidR="00477251" w:rsidRDefault="00477251" w:rsidP="0006207D">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293">
    <w:p w:rsidR="00477251" w:rsidRDefault="00477251" w:rsidP="0006207D">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xml:space="preserve">, para. 920. As noted, the ERA has published a revised draft Guideline, which no longer prefers the use of dividend drop off studies: 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294">
    <w:p w:rsidR="00477251" w:rsidRDefault="00477251"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295">
    <w:p w:rsidR="00477251" w:rsidRDefault="00477251" w:rsidP="00CD23CD">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296">
    <w:p w:rsidR="00477251" w:rsidRDefault="00477251"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w:t>
      </w:r>
    </w:p>
  </w:footnote>
  <w:footnote w:id="297">
    <w:p w:rsidR="00477251" w:rsidRDefault="00477251" w:rsidP="00CD23CD">
      <w:pPr>
        <w:pStyle w:val="FootnoteText"/>
      </w:pPr>
      <w:r>
        <w:rPr>
          <w:rStyle w:val="FootnoteReference"/>
        </w:rPr>
        <w:footnoteRef/>
      </w:r>
      <w:r>
        <w:t xml:space="preserve"> </w:t>
      </w:r>
      <w:r>
        <w:tab/>
      </w:r>
      <w:r w:rsidRPr="002B01D6">
        <w:t xml:space="preserve">Lally, </w:t>
      </w:r>
      <w:r w:rsidRPr="00A70E2C">
        <w:rPr>
          <w:rStyle w:val="AERtextitalic"/>
        </w:rPr>
        <w:t>The estimation of gamma</w:t>
      </w:r>
      <w:r>
        <w:t>, 23 November 2013, pp. 3 and 4.</w:t>
      </w:r>
    </w:p>
  </w:footnote>
  <w:footnote w:id="298">
    <w:p w:rsidR="00477251" w:rsidRDefault="00477251"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14.</w:t>
      </w:r>
    </w:p>
  </w:footnote>
  <w:footnote w:id="299">
    <w:p w:rsidR="00477251" w:rsidRDefault="00477251"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38.</w:t>
      </w:r>
    </w:p>
  </w:footnote>
  <w:footnote w:id="300">
    <w:p w:rsidR="00477251" w:rsidRDefault="00477251"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38–47.</w:t>
      </w:r>
    </w:p>
  </w:footnote>
  <w:footnote w:id="301">
    <w:p w:rsidR="00477251" w:rsidRDefault="00477251"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46–47.</w:t>
      </w:r>
    </w:p>
  </w:footnote>
  <w:footnote w:id="302">
    <w:p w:rsidR="00477251" w:rsidRDefault="00477251"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303">
    <w:p w:rsidR="00477251" w:rsidRDefault="00477251"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304">
    <w:p w:rsidR="00477251" w:rsidRDefault="00477251"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305">
    <w:p w:rsidR="00477251" w:rsidRDefault="00477251" w:rsidP="00CD23CD">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21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95C7239"/>
    <w:multiLevelType w:val="multilevel"/>
    <w:tmpl w:val="950A1C52"/>
    <w:numStyleLink w:val="AERHeadings"/>
  </w:abstractNum>
  <w:abstractNum w:abstractNumId="21">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5F4FFC"/>
    <w:multiLevelType w:val="multilevel"/>
    <w:tmpl w:val="950A1C52"/>
    <w:numStyleLink w:val="AERHeadings"/>
  </w:abstractNum>
  <w:abstractNum w:abstractNumId="27">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1A80E45"/>
    <w:multiLevelType w:val="multilevel"/>
    <w:tmpl w:val="950A1C52"/>
    <w:numStyleLink w:val="AERHeadings"/>
  </w:abstractNum>
  <w:abstractNum w:abstractNumId="29">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30">
    <w:nsid w:val="487C7731"/>
    <w:multiLevelType w:val="multilevel"/>
    <w:tmpl w:val="950A1C52"/>
    <w:numStyleLink w:val="AERHeadings"/>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6">
    <w:nsid w:val="5ECE4384"/>
    <w:multiLevelType w:val="multilevel"/>
    <w:tmpl w:val="63FE7DBA"/>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8">
    <w:nsid w:val="6DE36827"/>
    <w:multiLevelType w:val="multilevel"/>
    <w:tmpl w:val="950A1C52"/>
    <w:numStyleLink w:val="AERHeadings"/>
  </w:abstractNum>
  <w:abstractNum w:abstractNumId="3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7"/>
  </w:num>
  <w:num w:numId="13">
    <w:abstractNumId w:val="24"/>
  </w:num>
  <w:num w:numId="14">
    <w:abstractNumId w:val="11"/>
  </w:num>
  <w:num w:numId="15">
    <w:abstractNumId w:val="14"/>
  </w:num>
  <w:num w:numId="16">
    <w:abstractNumId w:val="31"/>
  </w:num>
  <w:num w:numId="17">
    <w:abstractNumId w:val="10"/>
  </w:num>
  <w:num w:numId="18">
    <w:abstractNumId w:val="19"/>
  </w:num>
  <w:num w:numId="19">
    <w:abstractNumId w:val="32"/>
  </w:num>
  <w:num w:numId="20">
    <w:abstractNumId w:val="39"/>
  </w:num>
  <w:num w:numId="21">
    <w:abstractNumId w:val="15"/>
  </w:num>
  <w:num w:numId="22">
    <w:abstractNumId w:val="35"/>
  </w:num>
  <w:num w:numId="23">
    <w:abstractNumId w:val="33"/>
  </w:num>
  <w:num w:numId="24">
    <w:abstractNumId w:val="22"/>
  </w:num>
  <w:num w:numId="25">
    <w:abstractNumId w:val="34"/>
  </w:num>
  <w:num w:numId="26">
    <w:abstractNumId w:val="36"/>
  </w:num>
  <w:num w:numId="27">
    <w:abstractNumId w:val="23"/>
  </w:num>
  <w:num w:numId="28">
    <w:abstractNumId w:val="21"/>
  </w:num>
  <w:num w:numId="29">
    <w:abstractNumId w:val="18"/>
  </w:num>
  <w:num w:numId="30">
    <w:abstractNumId w:val="40"/>
  </w:num>
  <w:num w:numId="31">
    <w:abstractNumId w:val="16"/>
  </w:num>
  <w:num w:numId="32">
    <w:abstractNumId w:val="27"/>
  </w:num>
  <w:num w:numId="33">
    <w:abstractNumId w:val="22"/>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8"/>
  </w:num>
  <w:num w:numId="37">
    <w:abstractNumId w:val="30"/>
  </w:num>
  <w:num w:numId="38">
    <w:abstractNumId w:val="26"/>
  </w:num>
  <w:num w:numId="39">
    <w:abstractNumId w:val="13"/>
  </w:num>
  <w:num w:numId="40">
    <w:abstractNumId w:val="36"/>
  </w:num>
  <w:num w:numId="41">
    <w:abstractNumId w:val="36"/>
  </w:num>
  <w:num w:numId="42">
    <w:abstractNumId w:val="28"/>
  </w:num>
  <w:num w:numId="43">
    <w:abstractNumId w:val="17"/>
  </w:num>
  <w:num w:numId="44">
    <w:abstractNumId w:val="29"/>
  </w:num>
  <w:num w:numId="45">
    <w:abstractNumId w:val="25"/>
  </w:num>
  <w:num w:numId="46">
    <w:abstractNumId w:val="9"/>
  </w:num>
  <w:num w:numId="47">
    <w:abstractNumId w:val="20"/>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s5lZMrkAha8sZSJDLPu/QjAM7PJDZw9XQ8TVP8gv87U=" w:saltValue="I/6dzkHQ3RSt1hxofMvB1Q==" w:algorithmName="SHA-256"/>
  <w:defaultTabStop w:val="34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AER - Final decision Directlink transmission determination - Attachment 4 - Value of imputation credits - April 2015.DOCX"/>
  </w:docVars>
  <w:rsids>
    <w:rsidRoot w:val="00961A4A"/>
    <w:rsid w:val="00000225"/>
    <w:rsid w:val="00005796"/>
    <w:rsid w:val="00006EFD"/>
    <w:rsid w:val="0000771B"/>
    <w:rsid w:val="00011245"/>
    <w:rsid w:val="0001233B"/>
    <w:rsid w:val="00016F8E"/>
    <w:rsid w:val="00017D36"/>
    <w:rsid w:val="00021202"/>
    <w:rsid w:val="00021C02"/>
    <w:rsid w:val="00021C2B"/>
    <w:rsid w:val="000222ED"/>
    <w:rsid w:val="00022375"/>
    <w:rsid w:val="00024EA4"/>
    <w:rsid w:val="0002517F"/>
    <w:rsid w:val="00025203"/>
    <w:rsid w:val="00025F6F"/>
    <w:rsid w:val="000308B5"/>
    <w:rsid w:val="0003311D"/>
    <w:rsid w:val="0003430E"/>
    <w:rsid w:val="00034B5D"/>
    <w:rsid w:val="0003578C"/>
    <w:rsid w:val="00035CF5"/>
    <w:rsid w:val="000364F9"/>
    <w:rsid w:val="000401B4"/>
    <w:rsid w:val="00040E5F"/>
    <w:rsid w:val="000420EA"/>
    <w:rsid w:val="00042A44"/>
    <w:rsid w:val="00045DD9"/>
    <w:rsid w:val="00050D76"/>
    <w:rsid w:val="00051598"/>
    <w:rsid w:val="000515FE"/>
    <w:rsid w:val="0005360D"/>
    <w:rsid w:val="0005367F"/>
    <w:rsid w:val="00055B09"/>
    <w:rsid w:val="00056E10"/>
    <w:rsid w:val="00057160"/>
    <w:rsid w:val="00057D4F"/>
    <w:rsid w:val="0006055D"/>
    <w:rsid w:val="00060B47"/>
    <w:rsid w:val="00060F5E"/>
    <w:rsid w:val="0006168A"/>
    <w:rsid w:val="0006207D"/>
    <w:rsid w:val="00062164"/>
    <w:rsid w:val="0006219D"/>
    <w:rsid w:val="00062777"/>
    <w:rsid w:val="0006280F"/>
    <w:rsid w:val="00062AC8"/>
    <w:rsid w:val="00063247"/>
    <w:rsid w:val="00063611"/>
    <w:rsid w:val="00064FE8"/>
    <w:rsid w:val="00065075"/>
    <w:rsid w:val="00067873"/>
    <w:rsid w:val="00070F9F"/>
    <w:rsid w:val="00071146"/>
    <w:rsid w:val="0007137B"/>
    <w:rsid w:val="00071484"/>
    <w:rsid w:val="00071AFB"/>
    <w:rsid w:val="00071CD2"/>
    <w:rsid w:val="0007292A"/>
    <w:rsid w:val="00072EB6"/>
    <w:rsid w:val="00074F5F"/>
    <w:rsid w:val="00074FD1"/>
    <w:rsid w:val="00075197"/>
    <w:rsid w:val="00076A67"/>
    <w:rsid w:val="00076E11"/>
    <w:rsid w:val="00077580"/>
    <w:rsid w:val="00081917"/>
    <w:rsid w:val="000819E1"/>
    <w:rsid w:val="00082AC5"/>
    <w:rsid w:val="00085663"/>
    <w:rsid w:val="00085AAC"/>
    <w:rsid w:val="00085EBF"/>
    <w:rsid w:val="000905E4"/>
    <w:rsid w:val="00090D47"/>
    <w:rsid w:val="00091B15"/>
    <w:rsid w:val="000926C0"/>
    <w:rsid w:val="0009456D"/>
    <w:rsid w:val="00094AA1"/>
    <w:rsid w:val="000950A5"/>
    <w:rsid w:val="000957E9"/>
    <w:rsid w:val="000A3020"/>
    <w:rsid w:val="000A442D"/>
    <w:rsid w:val="000A4A5A"/>
    <w:rsid w:val="000A539A"/>
    <w:rsid w:val="000A6351"/>
    <w:rsid w:val="000A6BA0"/>
    <w:rsid w:val="000A6C7B"/>
    <w:rsid w:val="000B0043"/>
    <w:rsid w:val="000B1FB9"/>
    <w:rsid w:val="000B5240"/>
    <w:rsid w:val="000B5C47"/>
    <w:rsid w:val="000B65E0"/>
    <w:rsid w:val="000B7BB5"/>
    <w:rsid w:val="000C07D1"/>
    <w:rsid w:val="000C2A56"/>
    <w:rsid w:val="000C2B40"/>
    <w:rsid w:val="000C3752"/>
    <w:rsid w:val="000C3E94"/>
    <w:rsid w:val="000C4F1E"/>
    <w:rsid w:val="000D0BA1"/>
    <w:rsid w:val="000D1220"/>
    <w:rsid w:val="000D122C"/>
    <w:rsid w:val="000D1E3A"/>
    <w:rsid w:val="000D21E6"/>
    <w:rsid w:val="000D2DBF"/>
    <w:rsid w:val="000D40E3"/>
    <w:rsid w:val="000D5ED8"/>
    <w:rsid w:val="000D6352"/>
    <w:rsid w:val="000D6A3C"/>
    <w:rsid w:val="000D7B2D"/>
    <w:rsid w:val="000D7C93"/>
    <w:rsid w:val="000E0997"/>
    <w:rsid w:val="000E1819"/>
    <w:rsid w:val="000E181F"/>
    <w:rsid w:val="000E3BA4"/>
    <w:rsid w:val="000E4821"/>
    <w:rsid w:val="000E6C72"/>
    <w:rsid w:val="000E79B3"/>
    <w:rsid w:val="000F0BB8"/>
    <w:rsid w:val="000F2352"/>
    <w:rsid w:val="000F2CE8"/>
    <w:rsid w:val="001029F3"/>
    <w:rsid w:val="00103C71"/>
    <w:rsid w:val="00106C16"/>
    <w:rsid w:val="00112FED"/>
    <w:rsid w:val="0011669D"/>
    <w:rsid w:val="001169CA"/>
    <w:rsid w:val="00116EB2"/>
    <w:rsid w:val="00120980"/>
    <w:rsid w:val="00120E2C"/>
    <w:rsid w:val="00122745"/>
    <w:rsid w:val="00123C40"/>
    <w:rsid w:val="00124609"/>
    <w:rsid w:val="001246EA"/>
    <w:rsid w:val="00125A4B"/>
    <w:rsid w:val="0012691B"/>
    <w:rsid w:val="00126A4C"/>
    <w:rsid w:val="001272D5"/>
    <w:rsid w:val="001311D0"/>
    <w:rsid w:val="001315AD"/>
    <w:rsid w:val="00131F1D"/>
    <w:rsid w:val="00133DB9"/>
    <w:rsid w:val="001345D0"/>
    <w:rsid w:val="00134C81"/>
    <w:rsid w:val="00135513"/>
    <w:rsid w:val="001379E9"/>
    <w:rsid w:val="00140344"/>
    <w:rsid w:val="0014196F"/>
    <w:rsid w:val="001434F7"/>
    <w:rsid w:val="0014573B"/>
    <w:rsid w:val="00146C6B"/>
    <w:rsid w:val="00146FCD"/>
    <w:rsid w:val="00150117"/>
    <w:rsid w:val="00150BF7"/>
    <w:rsid w:val="00150E76"/>
    <w:rsid w:val="00151FE7"/>
    <w:rsid w:val="00152536"/>
    <w:rsid w:val="0015261E"/>
    <w:rsid w:val="001530F9"/>
    <w:rsid w:val="001534F5"/>
    <w:rsid w:val="00154821"/>
    <w:rsid w:val="00155A26"/>
    <w:rsid w:val="001573AB"/>
    <w:rsid w:val="001573E4"/>
    <w:rsid w:val="00157B48"/>
    <w:rsid w:val="0016005F"/>
    <w:rsid w:val="00160756"/>
    <w:rsid w:val="00163568"/>
    <w:rsid w:val="00163AC7"/>
    <w:rsid w:val="0016706E"/>
    <w:rsid w:val="001674B1"/>
    <w:rsid w:val="0017232E"/>
    <w:rsid w:val="00172780"/>
    <w:rsid w:val="00173FB4"/>
    <w:rsid w:val="00174102"/>
    <w:rsid w:val="001754EE"/>
    <w:rsid w:val="00177488"/>
    <w:rsid w:val="001776CA"/>
    <w:rsid w:val="00180157"/>
    <w:rsid w:val="00180297"/>
    <w:rsid w:val="00181D6F"/>
    <w:rsid w:val="00182FCB"/>
    <w:rsid w:val="001853F1"/>
    <w:rsid w:val="00185CB9"/>
    <w:rsid w:val="00186F77"/>
    <w:rsid w:val="00191633"/>
    <w:rsid w:val="001926A4"/>
    <w:rsid w:val="00192A3E"/>
    <w:rsid w:val="00192AD5"/>
    <w:rsid w:val="00193E3A"/>
    <w:rsid w:val="001943F7"/>
    <w:rsid w:val="00194992"/>
    <w:rsid w:val="00194C1A"/>
    <w:rsid w:val="00195DBC"/>
    <w:rsid w:val="0019613E"/>
    <w:rsid w:val="001966E3"/>
    <w:rsid w:val="00196FC6"/>
    <w:rsid w:val="00197B69"/>
    <w:rsid w:val="001A233B"/>
    <w:rsid w:val="001A29C8"/>
    <w:rsid w:val="001A2B61"/>
    <w:rsid w:val="001A3A0B"/>
    <w:rsid w:val="001A4F7C"/>
    <w:rsid w:val="001B0396"/>
    <w:rsid w:val="001B1D7E"/>
    <w:rsid w:val="001B1D8E"/>
    <w:rsid w:val="001B45A0"/>
    <w:rsid w:val="001B5324"/>
    <w:rsid w:val="001B5415"/>
    <w:rsid w:val="001B77CE"/>
    <w:rsid w:val="001C0549"/>
    <w:rsid w:val="001C1EBE"/>
    <w:rsid w:val="001C24A0"/>
    <w:rsid w:val="001C274C"/>
    <w:rsid w:val="001C5CFF"/>
    <w:rsid w:val="001C72D6"/>
    <w:rsid w:val="001D055E"/>
    <w:rsid w:val="001D2269"/>
    <w:rsid w:val="001D2C85"/>
    <w:rsid w:val="001D46FE"/>
    <w:rsid w:val="001D4E2C"/>
    <w:rsid w:val="001D62E9"/>
    <w:rsid w:val="001D659B"/>
    <w:rsid w:val="001E0741"/>
    <w:rsid w:val="001E0AE9"/>
    <w:rsid w:val="001E1424"/>
    <w:rsid w:val="001E1745"/>
    <w:rsid w:val="001E4012"/>
    <w:rsid w:val="001F05A4"/>
    <w:rsid w:val="001F2C5D"/>
    <w:rsid w:val="001F492E"/>
    <w:rsid w:val="001F5131"/>
    <w:rsid w:val="001F5AF0"/>
    <w:rsid w:val="001F6A3E"/>
    <w:rsid w:val="001F6DA3"/>
    <w:rsid w:val="0020052E"/>
    <w:rsid w:val="002010BC"/>
    <w:rsid w:val="002016E7"/>
    <w:rsid w:val="002025C3"/>
    <w:rsid w:val="00202E03"/>
    <w:rsid w:val="002030C9"/>
    <w:rsid w:val="00203B96"/>
    <w:rsid w:val="00204858"/>
    <w:rsid w:val="002048E1"/>
    <w:rsid w:val="0020492C"/>
    <w:rsid w:val="00205605"/>
    <w:rsid w:val="00205A12"/>
    <w:rsid w:val="00206294"/>
    <w:rsid w:val="00207189"/>
    <w:rsid w:val="00207318"/>
    <w:rsid w:val="00207CDF"/>
    <w:rsid w:val="002113E4"/>
    <w:rsid w:val="00212850"/>
    <w:rsid w:val="00212CFB"/>
    <w:rsid w:val="002155A2"/>
    <w:rsid w:val="0021566A"/>
    <w:rsid w:val="002157C2"/>
    <w:rsid w:val="00215D70"/>
    <w:rsid w:val="002207E5"/>
    <w:rsid w:val="00220FF2"/>
    <w:rsid w:val="002212D2"/>
    <w:rsid w:val="002231B2"/>
    <w:rsid w:val="00223316"/>
    <w:rsid w:val="00223923"/>
    <w:rsid w:val="00224DB9"/>
    <w:rsid w:val="00225435"/>
    <w:rsid w:val="00230165"/>
    <w:rsid w:val="00231C11"/>
    <w:rsid w:val="00232176"/>
    <w:rsid w:val="00233775"/>
    <w:rsid w:val="002339AE"/>
    <w:rsid w:val="002344B4"/>
    <w:rsid w:val="002345E2"/>
    <w:rsid w:val="002356A3"/>
    <w:rsid w:val="00237419"/>
    <w:rsid w:val="00240132"/>
    <w:rsid w:val="00240569"/>
    <w:rsid w:val="00240C12"/>
    <w:rsid w:val="00241B8E"/>
    <w:rsid w:val="00241DFB"/>
    <w:rsid w:val="002424BE"/>
    <w:rsid w:val="00242C5C"/>
    <w:rsid w:val="0024321E"/>
    <w:rsid w:val="0024385A"/>
    <w:rsid w:val="00244338"/>
    <w:rsid w:val="00245670"/>
    <w:rsid w:val="00245902"/>
    <w:rsid w:val="00246058"/>
    <w:rsid w:val="0024692C"/>
    <w:rsid w:val="0025055F"/>
    <w:rsid w:val="00251745"/>
    <w:rsid w:val="002519FD"/>
    <w:rsid w:val="00253C46"/>
    <w:rsid w:val="00254F30"/>
    <w:rsid w:val="00256041"/>
    <w:rsid w:val="002564C1"/>
    <w:rsid w:val="00257FBE"/>
    <w:rsid w:val="002630C5"/>
    <w:rsid w:val="00263AC0"/>
    <w:rsid w:val="00264264"/>
    <w:rsid w:val="00265983"/>
    <w:rsid w:val="00267663"/>
    <w:rsid w:val="0026772D"/>
    <w:rsid w:val="00270474"/>
    <w:rsid w:val="0027049E"/>
    <w:rsid w:val="00270CE0"/>
    <w:rsid w:val="002711F2"/>
    <w:rsid w:val="00271E09"/>
    <w:rsid w:val="00271F25"/>
    <w:rsid w:val="0027315E"/>
    <w:rsid w:val="00277D14"/>
    <w:rsid w:val="00280044"/>
    <w:rsid w:val="002829F1"/>
    <w:rsid w:val="0028481C"/>
    <w:rsid w:val="00286874"/>
    <w:rsid w:val="00286B3E"/>
    <w:rsid w:val="002877E9"/>
    <w:rsid w:val="00290201"/>
    <w:rsid w:val="00290879"/>
    <w:rsid w:val="00290C63"/>
    <w:rsid w:val="00291E95"/>
    <w:rsid w:val="002928A4"/>
    <w:rsid w:val="00292ECF"/>
    <w:rsid w:val="00293B86"/>
    <w:rsid w:val="00296B65"/>
    <w:rsid w:val="00297C4E"/>
    <w:rsid w:val="002A0549"/>
    <w:rsid w:val="002A0FA0"/>
    <w:rsid w:val="002A458B"/>
    <w:rsid w:val="002A4ED6"/>
    <w:rsid w:val="002A5BA9"/>
    <w:rsid w:val="002A5F9A"/>
    <w:rsid w:val="002A6968"/>
    <w:rsid w:val="002A7DEF"/>
    <w:rsid w:val="002B0240"/>
    <w:rsid w:val="002B0F5E"/>
    <w:rsid w:val="002B1173"/>
    <w:rsid w:val="002B1F73"/>
    <w:rsid w:val="002B23F7"/>
    <w:rsid w:val="002B24B7"/>
    <w:rsid w:val="002B2AC7"/>
    <w:rsid w:val="002B2B81"/>
    <w:rsid w:val="002B2C56"/>
    <w:rsid w:val="002B6B6D"/>
    <w:rsid w:val="002C0A37"/>
    <w:rsid w:val="002C233C"/>
    <w:rsid w:val="002C25C3"/>
    <w:rsid w:val="002C25CF"/>
    <w:rsid w:val="002C28FE"/>
    <w:rsid w:val="002C2D1A"/>
    <w:rsid w:val="002C3021"/>
    <w:rsid w:val="002C45CC"/>
    <w:rsid w:val="002C640C"/>
    <w:rsid w:val="002C6AF7"/>
    <w:rsid w:val="002C75FE"/>
    <w:rsid w:val="002D23E3"/>
    <w:rsid w:val="002D3EB3"/>
    <w:rsid w:val="002D42E1"/>
    <w:rsid w:val="002D46D2"/>
    <w:rsid w:val="002D637F"/>
    <w:rsid w:val="002D72E8"/>
    <w:rsid w:val="002E1BBD"/>
    <w:rsid w:val="002E21E3"/>
    <w:rsid w:val="002E321B"/>
    <w:rsid w:val="002E4B63"/>
    <w:rsid w:val="002E76F0"/>
    <w:rsid w:val="002E772A"/>
    <w:rsid w:val="002E7B22"/>
    <w:rsid w:val="002F28E0"/>
    <w:rsid w:val="002F42B8"/>
    <w:rsid w:val="002F5023"/>
    <w:rsid w:val="002F50B7"/>
    <w:rsid w:val="002F6A93"/>
    <w:rsid w:val="002F7986"/>
    <w:rsid w:val="00300299"/>
    <w:rsid w:val="003009F6"/>
    <w:rsid w:val="00301B40"/>
    <w:rsid w:val="003029EE"/>
    <w:rsid w:val="00305CC8"/>
    <w:rsid w:val="00307F6D"/>
    <w:rsid w:val="00311850"/>
    <w:rsid w:val="00311927"/>
    <w:rsid w:val="00311C26"/>
    <w:rsid w:val="00312607"/>
    <w:rsid w:val="003139FD"/>
    <w:rsid w:val="00313C79"/>
    <w:rsid w:val="0031438A"/>
    <w:rsid w:val="00315858"/>
    <w:rsid w:val="00316050"/>
    <w:rsid w:val="003160FF"/>
    <w:rsid w:val="00316AC2"/>
    <w:rsid w:val="00317576"/>
    <w:rsid w:val="003177A2"/>
    <w:rsid w:val="0031795F"/>
    <w:rsid w:val="00320DFC"/>
    <w:rsid w:val="00322B99"/>
    <w:rsid w:val="00324438"/>
    <w:rsid w:val="003259A3"/>
    <w:rsid w:val="003266F4"/>
    <w:rsid w:val="003271B5"/>
    <w:rsid w:val="00327774"/>
    <w:rsid w:val="00327A1E"/>
    <w:rsid w:val="00331264"/>
    <w:rsid w:val="0033258C"/>
    <w:rsid w:val="00332A53"/>
    <w:rsid w:val="00332D56"/>
    <w:rsid w:val="00332E89"/>
    <w:rsid w:val="0033341B"/>
    <w:rsid w:val="00334C8D"/>
    <w:rsid w:val="0033521E"/>
    <w:rsid w:val="00335E54"/>
    <w:rsid w:val="00340378"/>
    <w:rsid w:val="0034249A"/>
    <w:rsid w:val="00342F27"/>
    <w:rsid w:val="0034337A"/>
    <w:rsid w:val="00343A18"/>
    <w:rsid w:val="003443F7"/>
    <w:rsid w:val="00344F8E"/>
    <w:rsid w:val="003504FC"/>
    <w:rsid w:val="003518B3"/>
    <w:rsid w:val="00352736"/>
    <w:rsid w:val="00352983"/>
    <w:rsid w:val="00352DBF"/>
    <w:rsid w:val="00355B65"/>
    <w:rsid w:val="00355B77"/>
    <w:rsid w:val="00361EF1"/>
    <w:rsid w:val="00362F8C"/>
    <w:rsid w:val="00364352"/>
    <w:rsid w:val="00364692"/>
    <w:rsid w:val="003658B2"/>
    <w:rsid w:val="0036613F"/>
    <w:rsid w:val="00366244"/>
    <w:rsid w:val="003663DE"/>
    <w:rsid w:val="00367EDE"/>
    <w:rsid w:val="0037145F"/>
    <w:rsid w:val="00371865"/>
    <w:rsid w:val="00371C1E"/>
    <w:rsid w:val="00371DBB"/>
    <w:rsid w:val="0038032B"/>
    <w:rsid w:val="00380B80"/>
    <w:rsid w:val="003817F2"/>
    <w:rsid w:val="00384402"/>
    <w:rsid w:val="003846F1"/>
    <w:rsid w:val="00386FCB"/>
    <w:rsid w:val="00391221"/>
    <w:rsid w:val="003914B5"/>
    <w:rsid w:val="00392DDE"/>
    <w:rsid w:val="0039342E"/>
    <w:rsid w:val="003940CD"/>
    <w:rsid w:val="00394553"/>
    <w:rsid w:val="00394590"/>
    <w:rsid w:val="00394742"/>
    <w:rsid w:val="00396D7C"/>
    <w:rsid w:val="003972DD"/>
    <w:rsid w:val="00397527"/>
    <w:rsid w:val="003A079E"/>
    <w:rsid w:val="003A0A60"/>
    <w:rsid w:val="003A41F1"/>
    <w:rsid w:val="003A4A61"/>
    <w:rsid w:val="003A55CA"/>
    <w:rsid w:val="003A55DC"/>
    <w:rsid w:val="003A5A7F"/>
    <w:rsid w:val="003A5CF8"/>
    <w:rsid w:val="003B0C3D"/>
    <w:rsid w:val="003B16C3"/>
    <w:rsid w:val="003B1A41"/>
    <w:rsid w:val="003B29E9"/>
    <w:rsid w:val="003B2FA1"/>
    <w:rsid w:val="003B3322"/>
    <w:rsid w:val="003B3BB6"/>
    <w:rsid w:val="003B4139"/>
    <w:rsid w:val="003B484F"/>
    <w:rsid w:val="003B66B5"/>
    <w:rsid w:val="003B6A25"/>
    <w:rsid w:val="003B7BA4"/>
    <w:rsid w:val="003B7FBA"/>
    <w:rsid w:val="003C0026"/>
    <w:rsid w:val="003C19B5"/>
    <w:rsid w:val="003C23B4"/>
    <w:rsid w:val="003C2C75"/>
    <w:rsid w:val="003C38FE"/>
    <w:rsid w:val="003C7914"/>
    <w:rsid w:val="003D0809"/>
    <w:rsid w:val="003D173A"/>
    <w:rsid w:val="003D1DC3"/>
    <w:rsid w:val="003D2313"/>
    <w:rsid w:val="003D29A2"/>
    <w:rsid w:val="003D3385"/>
    <w:rsid w:val="003D495E"/>
    <w:rsid w:val="003D4D99"/>
    <w:rsid w:val="003D59ED"/>
    <w:rsid w:val="003D6A3C"/>
    <w:rsid w:val="003D6DCD"/>
    <w:rsid w:val="003E0367"/>
    <w:rsid w:val="003E1DBF"/>
    <w:rsid w:val="003E2CEA"/>
    <w:rsid w:val="003E2CFF"/>
    <w:rsid w:val="003E38A3"/>
    <w:rsid w:val="003E4445"/>
    <w:rsid w:val="003E4F74"/>
    <w:rsid w:val="003E6B35"/>
    <w:rsid w:val="003E7CEB"/>
    <w:rsid w:val="003F0AA6"/>
    <w:rsid w:val="003F174D"/>
    <w:rsid w:val="003F1C59"/>
    <w:rsid w:val="003F4E76"/>
    <w:rsid w:val="003F5B81"/>
    <w:rsid w:val="003F7E3A"/>
    <w:rsid w:val="00402A80"/>
    <w:rsid w:val="004056F3"/>
    <w:rsid w:val="00406B74"/>
    <w:rsid w:val="00406E58"/>
    <w:rsid w:val="0041319C"/>
    <w:rsid w:val="004144BF"/>
    <w:rsid w:val="004145CB"/>
    <w:rsid w:val="004152B3"/>
    <w:rsid w:val="00415BFD"/>
    <w:rsid w:val="00415DA8"/>
    <w:rsid w:val="00415F31"/>
    <w:rsid w:val="00417647"/>
    <w:rsid w:val="00420456"/>
    <w:rsid w:val="004224A2"/>
    <w:rsid w:val="004224DB"/>
    <w:rsid w:val="00422781"/>
    <w:rsid w:val="004235C1"/>
    <w:rsid w:val="00423A77"/>
    <w:rsid w:val="00424E33"/>
    <w:rsid w:val="00426C80"/>
    <w:rsid w:val="00427B26"/>
    <w:rsid w:val="00430293"/>
    <w:rsid w:val="00434292"/>
    <w:rsid w:val="00435D64"/>
    <w:rsid w:val="004362BB"/>
    <w:rsid w:val="004374B5"/>
    <w:rsid w:val="004379A0"/>
    <w:rsid w:val="00440267"/>
    <w:rsid w:val="0044032A"/>
    <w:rsid w:val="0044152D"/>
    <w:rsid w:val="0044181C"/>
    <w:rsid w:val="00444456"/>
    <w:rsid w:val="00444B5D"/>
    <w:rsid w:val="0044559A"/>
    <w:rsid w:val="004459E3"/>
    <w:rsid w:val="0044623D"/>
    <w:rsid w:val="00446536"/>
    <w:rsid w:val="00446B6C"/>
    <w:rsid w:val="004478BB"/>
    <w:rsid w:val="004510F7"/>
    <w:rsid w:val="004510FE"/>
    <w:rsid w:val="004516D5"/>
    <w:rsid w:val="0045219F"/>
    <w:rsid w:val="00453364"/>
    <w:rsid w:val="00453BD1"/>
    <w:rsid w:val="00455715"/>
    <w:rsid w:val="004569D9"/>
    <w:rsid w:val="0045743A"/>
    <w:rsid w:val="0045777E"/>
    <w:rsid w:val="004604E6"/>
    <w:rsid w:val="00461725"/>
    <w:rsid w:val="00462E01"/>
    <w:rsid w:val="00463624"/>
    <w:rsid w:val="0046390C"/>
    <w:rsid w:val="004643C3"/>
    <w:rsid w:val="0046783C"/>
    <w:rsid w:val="00467CCF"/>
    <w:rsid w:val="0047186A"/>
    <w:rsid w:val="00472DCE"/>
    <w:rsid w:val="00473169"/>
    <w:rsid w:val="004749DC"/>
    <w:rsid w:val="00474BFD"/>
    <w:rsid w:val="00477251"/>
    <w:rsid w:val="004807E2"/>
    <w:rsid w:val="00480B4B"/>
    <w:rsid w:val="00480E3F"/>
    <w:rsid w:val="00481511"/>
    <w:rsid w:val="00481B86"/>
    <w:rsid w:val="00485DC4"/>
    <w:rsid w:val="00485FF7"/>
    <w:rsid w:val="00486A2F"/>
    <w:rsid w:val="00486FC1"/>
    <w:rsid w:val="00490637"/>
    <w:rsid w:val="00491828"/>
    <w:rsid w:val="00494C30"/>
    <w:rsid w:val="00495EA5"/>
    <w:rsid w:val="004A0169"/>
    <w:rsid w:val="004A2574"/>
    <w:rsid w:val="004A2B49"/>
    <w:rsid w:val="004A345B"/>
    <w:rsid w:val="004A38D4"/>
    <w:rsid w:val="004A43D1"/>
    <w:rsid w:val="004A4790"/>
    <w:rsid w:val="004A4E86"/>
    <w:rsid w:val="004A53D2"/>
    <w:rsid w:val="004A56A1"/>
    <w:rsid w:val="004A6D94"/>
    <w:rsid w:val="004A726F"/>
    <w:rsid w:val="004B182E"/>
    <w:rsid w:val="004B2373"/>
    <w:rsid w:val="004B343B"/>
    <w:rsid w:val="004B3DBD"/>
    <w:rsid w:val="004B4412"/>
    <w:rsid w:val="004B6775"/>
    <w:rsid w:val="004B6D07"/>
    <w:rsid w:val="004C12E0"/>
    <w:rsid w:val="004C1F8C"/>
    <w:rsid w:val="004C2A51"/>
    <w:rsid w:val="004C348C"/>
    <w:rsid w:val="004C5678"/>
    <w:rsid w:val="004C5EC7"/>
    <w:rsid w:val="004C6664"/>
    <w:rsid w:val="004C71D5"/>
    <w:rsid w:val="004C7CD9"/>
    <w:rsid w:val="004C7D6F"/>
    <w:rsid w:val="004D16B8"/>
    <w:rsid w:val="004D1A69"/>
    <w:rsid w:val="004D2B94"/>
    <w:rsid w:val="004D44E4"/>
    <w:rsid w:val="004D55BA"/>
    <w:rsid w:val="004D6693"/>
    <w:rsid w:val="004D7477"/>
    <w:rsid w:val="004E22EC"/>
    <w:rsid w:val="004E2511"/>
    <w:rsid w:val="004E3E86"/>
    <w:rsid w:val="004E4BF6"/>
    <w:rsid w:val="004E4F29"/>
    <w:rsid w:val="004E5A52"/>
    <w:rsid w:val="004F15DE"/>
    <w:rsid w:val="004F290A"/>
    <w:rsid w:val="004F46B8"/>
    <w:rsid w:val="004F6A0E"/>
    <w:rsid w:val="0050152B"/>
    <w:rsid w:val="00502349"/>
    <w:rsid w:val="0050279A"/>
    <w:rsid w:val="00504808"/>
    <w:rsid w:val="005105C7"/>
    <w:rsid w:val="0051069B"/>
    <w:rsid w:val="0051087C"/>
    <w:rsid w:val="00511750"/>
    <w:rsid w:val="00511C9E"/>
    <w:rsid w:val="00512D10"/>
    <w:rsid w:val="00513CCD"/>
    <w:rsid w:val="005144CD"/>
    <w:rsid w:val="00514A0A"/>
    <w:rsid w:val="00516132"/>
    <w:rsid w:val="00516B92"/>
    <w:rsid w:val="005170E4"/>
    <w:rsid w:val="0052084F"/>
    <w:rsid w:val="00520C80"/>
    <w:rsid w:val="00521767"/>
    <w:rsid w:val="00521D96"/>
    <w:rsid w:val="00525909"/>
    <w:rsid w:val="005260A3"/>
    <w:rsid w:val="00526307"/>
    <w:rsid w:val="005265FB"/>
    <w:rsid w:val="00526A4B"/>
    <w:rsid w:val="00527378"/>
    <w:rsid w:val="0052772E"/>
    <w:rsid w:val="00530128"/>
    <w:rsid w:val="00530F0A"/>
    <w:rsid w:val="0053193C"/>
    <w:rsid w:val="0053195A"/>
    <w:rsid w:val="00532467"/>
    <w:rsid w:val="00533922"/>
    <w:rsid w:val="005401BC"/>
    <w:rsid w:val="00542703"/>
    <w:rsid w:val="005436C8"/>
    <w:rsid w:val="00545B75"/>
    <w:rsid w:val="00545E09"/>
    <w:rsid w:val="00545E37"/>
    <w:rsid w:val="0055021B"/>
    <w:rsid w:val="0055160E"/>
    <w:rsid w:val="0055244B"/>
    <w:rsid w:val="00552640"/>
    <w:rsid w:val="00552777"/>
    <w:rsid w:val="00555DC4"/>
    <w:rsid w:val="00555FE2"/>
    <w:rsid w:val="005612D9"/>
    <w:rsid w:val="00563AB6"/>
    <w:rsid w:val="00564A4D"/>
    <w:rsid w:val="005662F3"/>
    <w:rsid w:val="005668B8"/>
    <w:rsid w:val="00566A62"/>
    <w:rsid w:val="00566AE2"/>
    <w:rsid w:val="00566C70"/>
    <w:rsid w:val="00566D1D"/>
    <w:rsid w:val="00566FF4"/>
    <w:rsid w:val="005676FF"/>
    <w:rsid w:val="00567904"/>
    <w:rsid w:val="00567BA5"/>
    <w:rsid w:val="005703B2"/>
    <w:rsid w:val="00570EA2"/>
    <w:rsid w:val="00571B35"/>
    <w:rsid w:val="00571D57"/>
    <w:rsid w:val="0057496F"/>
    <w:rsid w:val="005749E3"/>
    <w:rsid w:val="00574A38"/>
    <w:rsid w:val="0057544B"/>
    <w:rsid w:val="00577A09"/>
    <w:rsid w:val="00577CEA"/>
    <w:rsid w:val="00581D5B"/>
    <w:rsid w:val="0058252B"/>
    <w:rsid w:val="0058278F"/>
    <w:rsid w:val="00582799"/>
    <w:rsid w:val="005828FB"/>
    <w:rsid w:val="005829C2"/>
    <w:rsid w:val="00582C62"/>
    <w:rsid w:val="005843B2"/>
    <w:rsid w:val="00584D8F"/>
    <w:rsid w:val="00585426"/>
    <w:rsid w:val="0058574D"/>
    <w:rsid w:val="00592FD8"/>
    <w:rsid w:val="00593797"/>
    <w:rsid w:val="005941AB"/>
    <w:rsid w:val="005979D5"/>
    <w:rsid w:val="005A0758"/>
    <w:rsid w:val="005A0CCF"/>
    <w:rsid w:val="005A184F"/>
    <w:rsid w:val="005A404D"/>
    <w:rsid w:val="005A4352"/>
    <w:rsid w:val="005A4862"/>
    <w:rsid w:val="005A7FDD"/>
    <w:rsid w:val="005B011C"/>
    <w:rsid w:val="005B1345"/>
    <w:rsid w:val="005B1D22"/>
    <w:rsid w:val="005B1E3C"/>
    <w:rsid w:val="005B2D94"/>
    <w:rsid w:val="005B339B"/>
    <w:rsid w:val="005B33F5"/>
    <w:rsid w:val="005B539D"/>
    <w:rsid w:val="005B61AD"/>
    <w:rsid w:val="005B6EE2"/>
    <w:rsid w:val="005B704A"/>
    <w:rsid w:val="005C0ACE"/>
    <w:rsid w:val="005C26CC"/>
    <w:rsid w:val="005C27F7"/>
    <w:rsid w:val="005C3962"/>
    <w:rsid w:val="005C42B2"/>
    <w:rsid w:val="005C4C1D"/>
    <w:rsid w:val="005C5BA5"/>
    <w:rsid w:val="005C7134"/>
    <w:rsid w:val="005C74F4"/>
    <w:rsid w:val="005C7BE1"/>
    <w:rsid w:val="005D2A97"/>
    <w:rsid w:val="005D46A7"/>
    <w:rsid w:val="005D4939"/>
    <w:rsid w:val="005D5322"/>
    <w:rsid w:val="005D54B2"/>
    <w:rsid w:val="005D57FC"/>
    <w:rsid w:val="005D59BA"/>
    <w:rsid w:val="005D5EA2"/>
    <w:rsid w:val="005D6B4F"/>
    <w:rsid w:val="005D795E"/>
    <w:rsid w:val="005D7BA2"/>
    <w:rsid w:val="005D7F83"/>
    <w:rsid w:val="005E0668"/>
    <w:rsid w:val="005E36C2"/>
    <w:rsid w:val="005E424C"/>
    <w:rsid w:val="005E5D9D"/>
    <w:rsid w:val="005E5FA5"/>
    <w:rsid w:val="005E63F7"/>
    <w:rsid w:val="005E65FB"/>
    <w:rsid w:val="005F066A"/>
    <w:rsid w:val="005F0A6F"/>
    <w:rsid w:val="005F1463"/>
    <w:rsid w:val="005F1845"/>
    <w:rsid w:val="005F1F34"/>
    <w:rsid w:val="005F5F69"/>
    <w:rsid w:val="00600543"/>
    <w:rsid w:val="0060222E"/>
    <w:rsid w:val="00602CA1"/>
    <w:rsid w:val="00603831"/>
    <w:rsid w:val="00604705"/>
    <w:rsid w:val="00604A26"/>
    <w:rsid w:val="00605B17"/>
    <w:rsid w:val="00605EF2"/>
    <w:rsid w:val="0061019B"/>
    <w:rsid w:val="006105F9"/>
    <w:rsid w:val="00610EF9"/>
    <w:rsid w:val="00611E02"/>
    <w:rsid w:val="00612C68"/>
    <w:rsid w:val="00612F4F"/>
    <w:rsid w:val="006138FF"/>
    <w:rsid w:val="00615BED"/>
    <w:rsid w:val="00615C6B"/>
    <w:rsid w:val="00615CE6"/>
    <w:rsid w:val="006178F5"/>
    <w:rsid w:val="006201C9"/>
    <w:rsid w:val="006205BB"/>
    <w:rsid w:val="0062184D"/>
    <w:rsid w:val="00621DCE"/>
    <w:rsid w:val="0062492D"/>
    <w:rsid w:val="00624BED"/>
    <w:rsid w:val="00626887"/>
    <w:rsid w:val="006278E3"/>
    <w:rsid w:val="00627928"/>
    <w:rsid w:val="006312C7"/>
    <w:rsid w:val="00631904"/>
    <w:rsid w:val="00632C60"/>
    <w:rsid w:val="00632D6D"/>
    <w:rsid w:val="00634E0F"/>
    <w:rsid w:val="006402DC"/>
    <w:rsid w:val="00640550"/>
    <w:rsid w:val="00641251"/>
    <w:rsid w:val="0064251C"/>
    <w:rsid w:val="00642C3E"/>
    <w:rsid w:val="00645407"/>
    <w:rsid w:val="00645444"/>
    <w:rsid w:val="0064546B"/>
    <w:rsid w:val="0064645C"/>
    <w:rsid w:val="00646595"/>
    <w:rsid w:val="00647254"/>
    <w:rsid w:val="006479AE"/>
    <w:rsid w:val="006508E8"/>
    <w:rsid w:val="00650984"/>
    <w:rsid w:val="006526FE"/>
    <w:rsid w:val="00652824"/>
    <w:rsid w:val="00652A46"/>
    <w:rsid w:val="00656B47"/>
    <w:rsid w:val="006607B2"/>
    <w:rsid w:val="0066104A"/>
    <w:rsid w:val="006628CF"/>
    <w:rsid w:val="00663DAD"/>
    <w:rsid w:val="00665932"/>
    <w:rsid w:val="00666C5C"/>
    <w:rsid w:val="006709F8"/>
    <w:rsid w:val="00671C74"/>
    <w:rsid w:val="00672143"/>
    <w:rsid w:val="006734AB"/>
    <w:rsid w:val="00674847"/>
    <w:rsid w:val="00675214"/>
    <w:rsid w:val="00675E20"/>
    <w:rsid w:val="0067614A"/>
    <w:rsid w:val="00676679"/>
    <w:rsid w:val="00680B58"/>
    <w:rsid w:val="00680EF4"/>
    <w:rsid w:val="006824AD"/>
    <w:rsid w:val="0068291C"/>
    <w:rsid w:val="00683A41"/>
    <w:rsid w:val="00683C89"/>
    <w:rsid w:val="00684460"/>
    <w:rsid w:val="0068466A"/>
    <w:rsid w:val="0068763F"/>
    <w:rsid w:val="006878CF"/>
    <w:rsid w:val="00690365"/>
    <w:rsid w:val="00690713"/>
    <w:rsid w:val="0069090B"/>
    <w:rsid w:val="00694D8D"/>
    <w:rsid w:val="00696CB8"/>
    <w:rsid w:val="00697232"/>
    <w:rsid w:val="00697799"/>
    <w:rsid w:val="006979C8"/>
    <w:rsid w:val="006A1984"/>
    <w:rsid w:val="006A22AB"/>
    <w:rsid w:val="006A237E"/>
    <w:rsid w:val="006A4B77"/>
    <w:rsid w:val="006A4F4B"/>
    <w:rsid w:val="006A5C87"/>
    <w:rsid w:val="006A60B8"/>
    <w:rsid w:val="006A61BE"/>
    <w:rsid w:val="006A6A65"/>
    <w:rsid w:val="006A7BBB"/>
    <w:rsid w:val="006B0A57"/>
    <w:rsid w:val="006B0DA0"/>
    <w:rsid w:val="006B1012"/>
    <w:rsid w:val="006B2395"/>
    <w:rsid w:val="006B28F5"/>
    <w:rsid w:val="006B3E5C"/>
    <w:rsid w:val="006B4CF9"/>
    <w:rsid w:val="006B7702"/>
    <w:rsid w:val="006B7AC8"/>
    <w:rsid w:val="006B7D63"/>
    <w:rsid w:val="006C07EA"/>
    <w:rsid w:val="006C1736"/>
    <w:rsid w:val="006C1FFB"/>
    <w:rsid w:val="006C6748"/>
    <w:rsid w:val="006D1B7D"/>
    <w:rsid w:val="006D296A"/>
    <w:rsid w:val="006D29E1"/>
    <w:rsid w:val="006D550F"/>
    <w:rsid w:val="006D5D8E"/>
    <w:rsid w:val="006D712C"/>
    <w:rsid w:val="006E1716"/>
    <w:rsid w:val="006E31DA"/>
    <w:rsid w:val="006E3A04"/>
    <w:rsid w:val="006E4661"/>
    <w:rsid w:val="006E587D"/>
    <w:rsid w:val="006F05EF"/>
    <w:rsid w:val="006F0FAC"/>
    <w:rsid w:val="006F2F17"/>
    <w:rsid w:val="006F3583"/>
    <w:rsid w:val="006F41AD"/>
    <w:rsid w:val="006F670B"/>
    <w:rsid w:val="0070011E"/>
    <w:rsid w:val="00700D28"/>
    <w:rsid w:val="00700E74"/>
    <w:rsid w:val="007017ED"/>
    <w:rsid w:val="00701CAB"/>
    <w:rsid w:val="00706DA4"/>
    <w:rsid w:val="00707563"/>
    <w:rsid w:val="00712924"/>
    <w:rsid w:val="00713CA9"/>
    <w:rsid w:val="00713D13"/>
    <w:rsid w:val="00713EDC"/>
    <w:rsid w:val="00715F1D"/>
    <w:rsid w:val="00722823"/>
    <w:rsid w:val="007233A4"/>
    <w:rsid w:val="0072348C"/>
    <w:rsid w:val="007240A6"/>
    <w:rsid w:val="00724A37"/>
    <w:rsid w:val="00724D0B"/>
    <w:rsid w:val="007254ED"/>
    <w:rsid w:val="0072581E"/>
    <w:rsid w:val="00725A26"/>
    <w:rsid w:val="007263E1"/>
    <w:rsid w:val="00727CC1"/>
    <w:rsid w:val="007303C3"/>
    <w:rsid w:val="00730504"/>
    <w:rsid w:val="00730AF7"/>
    <w:rsid w:val="00733809"/>
    <w:rsid w:val="007402EC"/>
    <w:rsid w:val="00741647"/>
    <w:rsid w:val="007429BE"/>
    <w:rsid w:val="00743223"/>
    <w:rsid w:val="007442F4"/>
    <w:rsid w:val="00746E01"/>
    <w:rsid w:val="00746FBC"/>
    <w:rsid w:val="007472A2"/>
    <w:rsid w:val="00751D26"/>
    <w:rsid w:val="00754223"/>
    <w:rsid w:val="00755206"/>
    <w:rsid w:val="00755AD8"/>
    <w:rsid w:val="0075677D"/>
    <w:rsid w:val="00756785"/>
    <w:rsid w:val="00756D5F"/>
    <w:rsid w:val="00757364"/>
    <w:rsid w:val="00757BDF"/>
    <w:rsid w:val="007606EA"/>
    <w:rsid w:val="007609D0"/>
    <w:rsid w:val="00761492"/>
    <w:rsid w:val="00762979"/>
    <w:rsid w:val="007629CB"/>
    <w:rsid w:val="007632C9"/>
    <w:rsid w:val="00763E5D"/>
    <w:rsid w:val="00764017"/>
    <w:rsid w:val="007651D1"/>
    <w:rsid w:val="00765A31"/>
    <w:rsid w:val="007661C9"/>
    <w:rsid w:val="00766333"/>
    <w:rsid w:val="00766B3F"/>
    <w:rsid w:val="00767740"/>
    <w:rsid w:val="00767F4B"/>
    <w:rsid w:val="00770A2A"/>
    <w:rsid w:val="00771934"/>
    <w:rsid w:val="00774060"/>
    <w:rsid w:val="007742D3"/>
    <w:rsid w:val="00776237"/>
    <w:rsid w:val="00777581"/>
    <w:rsid w:val="00777A49"/>
    <w:rsid w:val="00777CAF"/>
    <w:rsid w:val="00777EE6"/>
    <w:rsid w:val="00777EFC"/>
    <w:rsid w:val="00781295"/>
    <w:rsid w:val="00782EEA"/>
    <w:rsid w:val="00785C3F"/>
    <w:rsid w:val="00786E7E"/>
    <w:rsid w:val="007873AE"/>
    <w:rsid w:val="007921FD"/>
    <w:rsid w:val="007923B3"/>
    <w:rsid w:val="00792483"/>
    <w:rsid w:val="0079377E"/>
    <w:rsid w:val="00797099"/>
    <w:rsid w:val="007A0FE7"/>
    <w:rsid w:val="007A16ED"/>
    <w:rsid w:val="007A2B49"/>
    <w:rsid w:val="007A37FD"/>
    <w:rsid w:val="007A49B2"/>
    <w:rsid w:val="007A4EF0"/>
    <w:rsid w:val="007A5DF9"/>
    <w:rsid w:val="007A66EF"/>
    <w:rsid w:val="007A6C22"/>
    <w:rsid w:val="007B186E"/>
    <w:rsid w:val="007B2C72"/>
    <w:rsid w:val="007B336F"/>
    <w:rsid w:val="007B6EFF"/>
    <w:rsid w:val="007B763B"/>
    <w:rsid w:val="007B7C96"/>
    <w:rsid w:val="007B7CC9"/>
    <w:rsid w:val="007C1C53"/>
    <w:rsid w:val="007C38AD"/>
    <w:rsid w:val="007C4236"/>
    <w:rsid w:val="007C48BA"/>
    <w:rsid w:val="007C5918"/>
    <w:rsid w:val="007C6522"/>
    <w:rsid w:val="007C6807"/>
    <w:rsid w:val="007C6D31"/>
    <w:rsid w:val="007C74BB"/>
    <w:rsid w:val="007C7DB6"/>
    <w:rsid w:val="007D19F6"/>
    <w:rsid w:val="007D3EF5"/>
    <w:rsid w:val="007D456E"/>
    <w:rsid w:val="007D7B91"/>
    <w:rsid w:val="007E1258"/>
    <w:rsid w:val="007E2325"/>
    <w:rsid w:val="007E2B2D"/>
    <w:rsid w:val="007E4904"/>
    <w:rsid w:val="007E4A93"/>
    <w:rsid w:val="007E4CB5"/>
    <w:rsid w:val="007E4FA2"/>
    <w:rsid w:val="007F066B"/>
    <w:rsid w:val="007F075B"/>
    <w:rsid w:val="007F230D"/>
    <w:rsid w:val="007F3085"/>
    <w:rsid w:val="007F34BC"/>
    <w:rsid w:val="007F5442"/>
    <w:rsid w:val="007F56E6"/>
    <w:rsid w:val="007F65BA"/>
    <w:rsid w:val="007F6FE2"/>
    <w:rsid w:val="008006B0"/>
    <w:rsid w:val="008033C4"/>
    <w:rsid w:val="0080443B"/>
    <w:rsid w:val="00804BB8"/>
    <w:rsid w:val="008061F1"/>
    <w:rsid w:val="00806C88"/>
    <w:rsid w:val="00806F4F"/>
    <w:rsid w:val="0080798E"/>
    <w:rsid w:val="0081034E"/>
    <w:rsid w:val="00811D6B"/>
    <w:rsid w:val="0081211C"/>
    <w:rsid w:val="0081214E"/>
    <w:rsid w:val="00814EEE"/>
    <w:rsid w:val="0081589C"/>
    <w:rsid w:val="00817DCC"/>
    <w:rsid w:val="008201BC"/>
    <w:rsid w:val="0082200E"/>
    <w:rsid w:val="00823705"/>
    <w:rsid w:val="00826B31"/>
    <w:rsid w:val="00826CF1"/>
    <w:rsid w:val="00827A8B"/>
    <w:rsid w:val="00827F1B"/>
    <w:rsid w:val="00832DB7"/>
    <w:rsid w:val="00833625"/>
    <w:rsid w:val="008344F6"/>
    <w:rsid w:val="0083510F"/>
    <w:rsid w:val="00836289"/>
    <w:rsid w:val="00841278"/>
    <w:rsid w:val="00842206"/>
    <w:rsid w:val="0084307D"/>
    <w:rsid w:val="00844051"/>
    <w:rsid w:val="00845565"/>
    <w:rsid w:val="00845DE5"/>
    <w:rsid w:val="00846525"/>
    <w:rsid w:val="00847F09"/>
    <w:rsid w:val="00851209"/>
    <w:rsid w:val="00852D20"/>
    <w:rsid w:val="008542CA"/>
    <w:rsid w:val="00855DD3"/>
    <w:rsid w:val="008563E4"/>
    <w:rsid w:val="00857647"/>
    <w:rsid w:val="0086055D"/>
    <w:rsid w:val="0086108A"/>
    <w:rsid w:val="00861BAC"/>
    <w:rsid w:val="00862982"/>
    <w:rsid w:val="00863D70"/>
    <w:rsid w:val="008662BD"/>
    <w:rsid w:val="00867115"/>
    <w:rsid w:val="00870597"/>
    <w:rsid w:val="008705A5"/>
    <w:rsid w:val="00871D70"/>
    <w:rsid w:val="00872109"/>
    <w:rsid w:val="00874839"/>
    <w:rsid w:val="00880298"/>
    <w:rsid w:val="008829EA"/>
    <w:rsid w:val="008837AC"/>
    <w:rsid w:val="00884B75"/>
    <w:rsid w:val="00885D6D"/>
    <w:rsid w:val="00885F90"/>
    <w:rsid w:val="00887F2D"/>
    <w:rsid w:val="00892201"/>
    <w:rsid w:val="00895E9C"/>
    <w:rsid w:val="0089793A"/>
    <w:rsid w:val="008A0008"/>
    <w:rsid w:val="008A369B"/>
    <w:rsid w:val="008A3987"/>
    <w:rsid w:val="008A403F"/>
    <w:rsid w:val="008A4877"/>
    <w:rsid w:val="008A587D"/>
    <w:rsid w:val="008A6898"/>
    <w:rsid w:val="008A7005"/>
    <w:rsid w:val="008B16A9"/>
    <w:rsid w:val="008B1CC6"/>
    <w:rsid w:val="008B35CD"/>
    <w:rsid w:val="008B5FCC"/>
    <w:rsid w:val="008B661B"/>
    <w:rsid w:val="008B773E"/>
    <w:rsid w:val="008B7B67"/>
    <w:rsid w:val="008C053C"/>
    <w:rsid w:val="008C1870"/>
    <w:rsid w:val="008C2052"/>
    <w:rsid w:val="008C5486"/>
    <w:rsid w:val="008C6974"/>
    <w:rsid w:val="008C7338"/>
    <w:rsid w:val="008C744F"/>
    <w:rsid w:val="008D0136"/>
    <w:rsid w:val="008D1661"/>
    <w:rsid w:val="008D1665"/>
    <w:rsid w:val="008D20A2"/>
    <w:rsid w:val="008D32C8"/>
    <w:rsid w:val="008D330C"/>
    <w:rsid w:val="008D59B7"/>
    <w:rsid w:val="008D6800"/>
    <w:rsid w:val="008D7EEE"/>
    <w:rsid w:val="008E03C8"/>
    <w:rsid w:val="008E2948"/>
    <w:rsid w:val="008E3B4F"/>
    <w:rsid w:val="008E57A0"/>
    <w:rsid w:val="008E7031"/>
    <w:rsid w:val="008E74FF"/>
    <w:rsid w:val="008E77DE"/>
    <w:rsid w:val="008F07A3"/>
    <w:rsid w:val="008F34DD"/>
    <w:rsid w:val="008F44A1"/>
    <w:rsid w:val="008F5248"/>
    <w:rsid w:val="008F5443"/>
    <w:rsid w:val="008F5CC1"/>
    <w:rsid w:val="008F6CCB"/>
    <w:rsid w:val="008F710E"/>
    <w:rsid w:val="009001B6"/>
    <w:rsid w:val="00900771"/>
    <w:rsid w:val="00900A09"/>
    <w:rsid w:val="00900E1B"/>
    <w:rsid w:val="0090116D"/>
    <w:rsid w:val="00902809"/>
    <w:rsid w:val="00905F96"/>
    <w:rsid w:val="00907570"/>
    <w:rsid w:val="0091090D"/>
    <w:rsid w:val="0091227E"/>
    <w:rsid w:val="009132FD"/>
    <w:rsid w:val="009138A1"/>
    <w:rsid w:val="00913C57"/>
    <w:rsid w:val="00915740"/>
    <w:rsid w:val="0091576E"/>
    <w:rsid w:val="00916CF5"/>
    <w:rsid w:val="009206AF"/>
    <w:rsid w:val="009211EF"/>
    <w:rsid w:val="00922ABC"/>
    <w:rsid w:val="00922E05"/>
    <w:rsid w:val="009233EE"/>
    <w:rsid w:val="00924584"/>
    <w:rsid w:val="00925205"/>
    <w:rsid w:val="0092541D"/>
    <w:rsid w:val="0093066A"/>
    <w:rsid w:val="009320CE"/>
    <w:rsid w:val="0094112A"/>
    <w:rsid w:val="0094160D"/>
    <w:rsid w:val="00943109"/>
    <w:rsid w:val="00943F7A"/>
    <w:rsid w:val="00945253"/>
    <w:rsid w:val="009456E9"/>
    <w:rsid w:val="009460AA"/>
    <w:rsid w:val="00946639"/>
    <w:rsid w:val="00951501"/>
    <w:rsid w:val="00951978"/>
    <w:rsid w:val="00951C90"/>
    <w:rsid w:val="00952246"/>
    <w:rsid w:val="00954895"/>
    <w:rsid w:val="00955DFE"/>
    <w:rsid w:val="009568E2"/>
    <w:rsid w:val="00957226"/>
    <w:rsid w:val="00957968"/>
    <w:rsid w:val="00960EBC"/>
    <w:rsid w:val="00960F6E"/>
    <w:rsid w:val="00961A4A"/>
    <w:rsid w:val="00963A8F"/>
    <w:rsid w:val="00963EFB"/>
    <w:rsid w:val="009661BA"/>
    <w:rsid w:val="009661DE"/>
    <w:rsid w:val="00966578"/>
    <w:rsid w:val="009673FC"/>
    <w:rsid w:val="00967FFA"/>
    <w:rsid w:val="00970771"/>
    <w:rsid w:val="0097120F"/>
    <w:rsid w:val="00971DD7"/>
    <w:rsid w:val="009723CE"/>
    <w:rsid w:val="0097471D"/>
    <w:rsid w:val="0097527D"/>
    <w:rsid w:val="00975A16"/>
    <w:rsid w:val="00975C30"/>
    <w:rsid w:val="00976FE8"/>
    <w:rsid w:val="0097715F"/>
    <w:rsid w:val="009771BB"/>
    <w:rsid w:val="00977EFF"/>
    <w:rsid w:val="00982793"/>
    <w:rsid w:val="0098360C"/>
    <w:rsid w:val="00983C25"/>
    <w:rsid w:val="00984362"/>
    <w:rsid w:val="009855E7"/>
    <w:rsid w:val="009856B7"/>
    <w:rsid w:val="00985C86"/>
    <w:rsid w:val="00987687"/>
    <w:rsid w:val="00987FA7"/>
    <w:rsid w:val="00990F02"/>
    <w:rsid w:val="00990FD9"/>
    <w:rsid w:val="00991EC1"/>
    <w:rsid w:val="009928D7"/>
    <w:rsid w:val="00992993"/>
    <w:rsid w:val="00992DFE"/>
    <w:rsid w:val="00993877"/>
    <w:rsid w:val="00995370"/>
    <w:rsid w:val="0099577C"/>
    <w:rsid w:val="00997F72"/>
    <w:rsid w:val="009A0FED"/>
    <w:rsid w:val="009A2292"/>
    <w:rsid w:val="009A2D83"/>
    <w:rsid w:val="009A3578"/>
    <w:rsid w:val="009A3ED2"/>
    <w:rsid w:val="009A4376"/>
    <w:rsid w:val="009A4592"/>
    <w:rsid w:val="009A4A80"/>
    <w:rsid w:val="009A53F8"/>
    <w:rsid w:val="009A5E98"/>
    <w:rsid w:val="009A5FC3"/>
    <w:rsid w:val="009B01C0"/>
    <w:rsid w:val="009B202B"/>
    <w:rsid w:val="009B2ABF"/>
    <w:rsid w:val="009B2B2A"/>
    <w:rsid w:val="009B303B"/>
    <w:rsid w:val="009B30D4"/>
    <w:rsid w:val="009B55D2"/>
    <w:rsid w:val="009B6E05"/>
    <w:rsid w:val="009B6F84"/>
    <w:rsid w:val="009B7005"/>
    <w:rsid w:val="009B74B0"/>
    <w:rsid w:val="009C0F2A"/>
    <w:rsid w:val="009C12C9"/>
    <w:rsid w:val="009C1402"/>
    <w:rsid w:val="009C20EE"/>
    <w:rsid w:val="009C266A"/>
    <w:rsid w:val="009C2C65"/>
    <w:rsid w:val="009C48F7"/>
    <w:rsid w:val="009C4BAF"/>
    <w:rsid w:val="009C5A79"/>
    <w:rsid w:val="009C61F8"/>
    <w:rsid w:val="009D2ABC"/>
    <w:rsid w:val="009D300F"/>
    <w:rsid w:val="009D3906"/>
    <w:rsid w:val="009D487B"/>
    <w:rsid w:val="009D6B46"/>
    <w:rsid w:val="009D7071"/>
    <w:rsid w:val="009E2088"/>
    <w:rsid w:val="009E2B76"/>
    <w:rsid w:val="009E40F2"/>
    <w:rsid w:val="009E4F6C"/>
    <w:rsid w:val="009E59CE"/>
    <w:rsid w:val="009E6854"/>
    <w:rsid w:val="009E6B5D"/>
    <w:rsid w:val="009E7BA2"/>
    <w:rsid w:val="009E7EF6"/>
    <w:rsid w:val="009E7EFB"/>
    <w:rsid w:val="009F47F4"/>
    <w:rsid w:val="009F4940"/>
    <w:rsid w:val="009F49E6"/>
    <w:rsid w:val="009F4D7E"/>
    <w:rsid w:val="009F549C"/>
    <w:rsid w:val="009F5BA1"/>
    <w:rsid w:val="009F6D3F"/>
    <w:rsid w:val="00A00887"/>
    <w:rsid w:val="00A015CD"/>
    <w:rsid w:val="00A02A88"/>
    <w:rsid w:val="00A02DC2"/>
    <w:rsid w:val="00A0562E"/>
    <w:rsid w:val="00A067BD"/>
    <w:rsid w:val="00A0726D"/>
    <w:rsid w:val="00A075FC"/>
    <w:rsid w:val="00A1081D"/>
    <w:rsid w:val="00A11953"/>
    <w:rsid w:val="00A12627"/>
    <w:rsid w:val="00A12A0E"/>
    <w:rsid w:val="00A15048"/>
    <w:rsid w:val="00A16433"/>
    <w:rsid w:val="00A20056"/>
    <w:rsid w:val="00A20CC4"/>
    <w:rsid w:val="00A221E7"/>
    <w:rsid w:val="00A22AC1"/>
    <w:rsid w:val="00A22B66"/>
    <w:rsid w:val="00A23155"/>
    <w:rsid w:val="00A23477"/>
    <w:rsid w:val="00A24531"/>
    <w:rsid w:val="00A24755"/>
    <w:rsid w:val="00A2493B"/>
    <w:rsid w:val="00A24B51"/>
    <w:rsid w:val="00A26B13"/>
    <w:rsid w:val="00A32FBB"/>
    <w:rsid w:val="00A33583"/>
    <w:rsid w:val="00A34FE2"/>
    <w:rsid w:val="00A3557D"/>
    <w:rsid w:val="00A35A6E"/>
    <w:rsid w:val="00A35C46"/>
    <w:rsid w:val="00A36459"/>
    <w:rsid w:val="00A3725A"/>
    <w:rsid w:val="00A37907"/>
    <w:rsid w:val="00A40349"/>
    <w:rsid w:val="00A4070F"/>
    <w:rsid w:val="00A428EE"/>
    <w:rsid w:val="00A4478A"/>
    <w:rsid w:val="00A44852"/>
    <w:rsid w:val="00A50502"/>
    <w:rsid w:val="00A507B8"/>
    <w:rsid w:val="00A513C2"/>
    <w:rsid w:val="00A54EFC"/>
    <w:rsid w:val="00A55AE7"/>
    <w:rsid w:val="00A55C1E"/>
    <w:rsid w:val="00A5740F"/>
    <w:rsid w:val="00A57BA6"/>
    <w:rsid w:val="00A57D04"/>
    <w:rsid w:val="00A60A26"/>
    <w:rsid w:val="00A61598"/>
    <w:rsid w:val="00A7103E"/>
    <w:rsid w:val="00A712E1"/>
    <w:rsid w:val="00A72155"/>
    <w:rsid w:val="00A72430"/>
    <w:rsid w:val="00A7288F"/>
    <w:rsid w:val="00A736D1"/>
    <w:rsid w:val="00A73C1C"/>
    <w:rsid w:val="00A756AB"/>
    <w:rsid w:val="00A75C76"/>
    <w:rsid w:val="00A76A5A"/>
    <w:rsid w:val="00A77091"/>
    <w:rsid w:val="00A83DC4"/>
    <w:rsid w:val="00A8436C"/>
    <w:rsid w:val="00A84A99"/>
    <w:rsid w:val="00A84F46"/>
    <w:rsid w:val="00A87014"/>
    <w:rsid w:val="00A871F4"/>
    <w:rsid w:val="00A90D90"/>
    <w:rsid w:val="00A910D2"/>
    <w:rsid w:val="00A91589"/>
    <w:rsid w:val="00A92655"/>
    <w:rsid w:val="00A94D97"/>
    <w:rsid w:val="00A968B7"/>
    <w:rsid w:val="00A96BBA"/>
    <w:rsid w:val="00A96DA6"/>
    <w:rsid w:val="00A971D2"/>
    <w:rsid w:val="00A97288"/>
    <w:rsid w:val="00AA00B7"/>
    <w:rsid w:val="00AA1441"/>
    <w:rsid w:val="00AA229B"/>
    <w:rsid w:val="00AA2B22"/>
    <w:rsid w:val="00AA493E"/>
    <w:rsid w:val="00AA4E4D"/>
    <w:rsid w:val="00AA5FA5"/>
    <w:rsid w:val="00AA5FAB"/>
    <w:rsid w:val="00AA71CA"/>
    <w:rsid w:val="00AB00D4"/>
    <w:rsid w:val="00AB06BE"/>
    <w:rsid w:val="00AB3E09"/>
    <w:rsid w:val="00AB4B7B"/>
    <w:rsid w:val="00AB755D"/>
    <w:rsid w:val="00AC1B2C"/>
    <w:rsid w:val="00AC26A5"/>
    <w:rsid w:val="00AC3264"/>
    <w:rsid w:val="00AC6F43"/>
    <w:rsid w:val="00AC7E23"/>
    <w:rsid w:val="00AD2808"/>
    <w:rsid w:val="00AD351F"/>
    <w:rsid w:val="00AD436D"/>
    <w:rsid w:val="00AD45FF"/>
    <w:rsid w:val="00AD67D9"/>
    <w:rsid w:val="00AE0135"/>
    <w:rsid w:val="00AE07D8"/>
    <w:rsid w:val="00AE18CF"/>
    <w:rsid w:val="00AE1BF1"/>
    <w:rsid w:val="00AE5BF4"/>
    <w:rsid w:val="00AE6040"/>
    <w:rsid w:val="00AE7532"/>
    <w:rsid w:val="00AE7786"/>
    <w:rsid w:val="00AF0DD2"/>
    <w:rsid w:val="00AF1508"/>
    <w:rsid w:val="00AF1A4A"/>
    <w:rsid w:val="00AF3A97"/>
    <w:rsid w:val="00AF6C11"/>
    <w:rsid w:val="00AF7182"/>
    <w:rsid w:val="00AF7793"/>
    <w:rsid w:val="00B01263"/>
    <w:rsid w:val="00B01373"/>
    <w:rsid w:val="00B03641"/>
    <w:rsid w:val="00B05B53"/>
    <w:rsid w:val="00B06845"/>
    <w:rsid w:val="00B07419"/>
    <w:rsid w:val="00B10699"/>
    <w:rsid w:val="00B13048"/>
    <w:rsid w:val="00B13B83"/>
    <w:rsid w:val="00B1492F"/>
    <w:rsid w:val="00B14B88"/>
    <w:rsid w:val="00B168A4"/>
    <w:rsid w:val="00B16D33"/>
    <w:rsid w:val="00B1716D"/>
    <w:rsid w:val="00B176EB"/>
    <w:rsid w:val="00B17A1D"/>
    <w:rsid w:val="00B20311"/>
    <w:rsid w:val="00B207A0"/>
    <w:rsid w:val="00B20B5D"/>
    <w:rsid w:val="00B20D89"/>
    <w:rsid w:val="00B21144"/>
    <w:rsid w:val="00B21884"/>
    <w:rsid w:val="00B227B7"/>
    <w:rsid w:val="00B23437"/>
    <w:rsid w:val="00B26301"/>
    <w:rsid w:val="00B300C6"/>
    <w:rsid w:val="00B30B6D"/>
    <w:rsid w:val="00B30E4A"/>
    <w:rsid w:val="00B32987"/>
    <w:rsid w:val="00B336A6"/>
    <w:rsid w:val="00B34D36"/>
    <w:rsid w:val="00B3659B"/>
    <w:rsid w:val="00B36753"/>
    <w:rsid w:val="00B36F42"/>
    <w:rsid w:val="00B370E9"/>
    <w:rsid w:val="00B378AD"/>
    <w:rsid w:val="00B40843"/>
    <w:rsid w:val="00B40D7B"/>
    <w:rsid w:val="00B40F68"/>
    <w:rsid w:val="00B41D32"/>
    <w:rsid w:val="00B41DD9"/>
    <w:rsid w:val="00B45F6D"/>
    <w:rsid w:val="00B466E8"/>
    <w:rsid w:val="00B46702"/>
    <w:rsid w:val="00B468B2"/>
    <w:rsid w:val="00B514DD"/>
    <w:rsid w:val="00B52AF0"/>
    <w:rsid w:val="00B545D7"/>
    <w:rsid w:val="00B561BD"/>
    <w:rsid w:val="00B56451"/>
    <w:rsid w:val="00B56E03"/>
    <w:rsid w:val="00B56F09"/>
    <w:rsid w:val="00B57CC1"/>
    <w:rsid w:val="00B61A9F"/>
    <w:rsid w:val="00B65F1A"/>
    <w:rsid w:val="00B67C84"/>
    <w:rsid w:val="00B71AA2"/>
    <w:rsid w:val="00B7259E"/>
    <w:rsid w:val="00B749E0"/>
    <w:rsid w:val="00B7668A"/>
    <w:rsid w:val="00B8080B"/>
    <w:rsid w:val="00B81EAE"/>
    <w:rsid w:val="00B82166"/>
    <w:rsid w:val="00B82223"/>
    <w:rsid w:val="00B838B5"/>
    <w:rsid w:val="00B84CBC"/>
    <w:rsid w:val="00B85A95"/>
    <w:rsid w:val="00B870C4"/>
    <w:rsid w:val="00B87BA5"/>
    <w:rsid w:val="00B87C39"/>
    <w:rsid w:val="00B93D6C"/>
    <w:rsid w:val="00B9562D"/>
    <w:rsid w:val="00BA0C40"/>
    <w:rsid w:val="00BA153F"/>
    <w:rsid w:val="00BA3CD6"/>
    <w:rsid w:val="00BA4665"/>
    <w:rsid w:val="00BA6364"/>
    <w:rsid w:val="00BA7B2E"/>
    <w:rsid w:val="00BB0325"/>
    <w:rsid w:val="00BB2FB2"/>
    <w:rsid w:val="00BB3304"/>
    <w:rsid w:val="00BB3C6E"/>
    <w:rsid w:val="00BB4507"/>
    <w:rsid w:val="00BB533D"/>
    <w:rsid w:val="00BB5D41"/>
    <w:rsid w:val="00BC20A5"/>
    <w:rsid w:val="00BC2F08"/>
    <w:rsid w:val="00BC2F8D"/>
    <w:rsid w:val="00BC3784"/>
    <w:rsid w:val="00BC57BA"/>
    <w:rsid w:val="00BC5CB4"/>
    <w:rsid w:val="00BD1CE0"/>
    <w:rsid w:val="00BD2387"/>
    <w:rsid w:val="00BD2B34"/>
    <w:rsid w:val="00BD315D"/>
    <w:rsid w:val="00BD3446"/>
    <w:rsid w:val="00BD6358"/>
    <w:rsid w:val="00BD732B"/>
    <w:rsid w:val="00BD7A68"/>
    <w:rsid w:val="00BE1E99"/>
    <w:rsid w:val="00BE1F1B"/>
    <w:rsid w:val="00BE1FD8"/>
    <w:rsid w:val="00BE3934"/>
    <w:rsid w:val="00BE43BB"/>
    <w:rsid w:val="00BE47B5"/>
    <w:rsid w:val="00BE4EF1"/>
    <w:rsid w:val="00BE589D"/>
    <w:rsid w:val="00BE5924"/>
    <w:rsid w:val="00BE6222"/>
    <w:rsid w:val="00BF0AFF"/>
    <w:rsid w:val="00BF0CA2"/>
    <w:rsid w:val="00BF174C"/>
    <w:rsid w:val="00BF256A"/>
    <w:rsid w:val="00BF3B92"/>
    <w:rsid w:val="00BF4B0E"/>
    <w:rsid w:val="00BF7E1D"/>
    <w:rsid w:val="00C01A21"/>
    <w:rsid w:val="00C0259E"/>
    <w:rsid w:val="00C02961"/>
    <w:rsid w:val="00C03880"/>
    <w:rsid w:val="00C038D8"/>
    <w:rsid w:val="00C04223"/>
    <w:rsid w:val="00C04CC4"/>
    <w:rsid w:val="00C054E0"/>
    <w:rsid w:val="00C06B80"/>
    <w:rsid w:val="00C07166"/>
    <w:rsid w:val="00C10EC6"/>
    <w:rsid w:val="00C17027"/>
    <w:rsid w:val="00C17494"/>
    <w:rsid w:val="00C17711"/>
    <w:rsid w:val="00C20980"/>
    <w:rsid w:val="00C20C67"/>
    <w:rsid w:val="00C20D54"/>
    <w:rsid w:val="00C250BF"/>
    <w:rsid w:val="00C25FA6"/>
    <w:rsid w:val="00C2621C"/>
    <w:rsid w:val="00C2670E"/>
    <w:rsid w:val="00C27B59"/>
    <w:rsid w:val="00C309E4"/>
    <w:rsid w:val="00C31B22"/>
    <w:rsid w:val="00C32554"/>
    <w:rsid w:val="00C34462"/>
    <w:rsid w:val="00C35DCF"/>
    <w:rsid w:val="00C36177"/>
    <w:rsid w:val="00C449C9"/>
    <w:rsid w:val="00C468CA"/>
    <w:rsid w:val="00C477A7"/>
    <w:rsid w:val="00C5107A"/>
    <w:rsid w:val="00C514E6"/>
    <w:rsid w:val="00C531B4"/>
    <w:rsid w:val="00C538A9"/>
    <w:rsid w:val="00C53B5A"/>
    <w:rsid w:val="00C54F5A"/>
    <w:rsid w:val="00C569B4"/>
    <w:rsid w:val="00C56D48"/>
    <w:rsid w:val="00C579B7"/>
    <w:rsid w:val="00C66028"/>
    <w:rsid w:val="00C66D02"/>
    <w:rsid w:val="00C67A92"/>
    <w:rsid w:val="00C7355B"/>
    <w:rsid w:val="00C73E51"/>
    <w:rsid w:val="00C74F83"/>
    <w:rsid w:val="00C75DDD"/>
    <w:rsid w:val="00C7783C"/>
    <w:rsid w:val="00C8161F"/>
    <w:rsid w:val="00C81CE9"/>
    <w:rsid w:val="00C823CA"/>
    <w:rsid w:val="00C824A4"/>
    <w:rsid w:val="00C82CF0"/>
    <w:rsid w:val="00C82DBF"/>
    <w:rsid w:val="00C84560"/>
    <w:rsid w:val="00C86679"/>
    <w:rsid w:val="00C87D8D"/>
    <w:rsid w:val="00C903FF"/>
    <w:rsid w:val="00C91626"/>
    <w:rsid w:val="00C92457"/>
    <w:rsid w:val="00C925F8"/>
    <w:rsid w:val="00C93C4D"/>
    <w:rsid w:val="00C95042"/>
    <w:rsid w:val="00C954B5"/>
    <w:rsid w:val="00C95D9F"/>
    <w:rsid w:val="00C9626B"/>
    <w:rsid w:val="00CA2ABE"/>
    <w:rsid w:val="00CA3013"/>
    <w:rsid w:val="00CA32AF"/>
    <w:rsid w:val="00CA39FE"/>
    <w:rsid w:val="00CA489E"/>
    <w:rsid w:val="00CA6F3F"/>
    <w:rsid w:val="00CA7764"/>
    <w:rsid w:val="00CB0279"/>
    <w:rsid w:val="00CB42DF"/>
    <w:rsid w:val="00CB444E"/>
    <w:rsid w:val="00CB4A4D"/>
    <w:rsid w:val="00CB59C0"/>
    <w:rsid w:val="00CB622C"/>
    <w:rsid w:val="00CB666B"/>
    <w:rsid w:val="00CC09CE"/>
    <w:rsid w:val="00CC1C95"/>
    <w:rsid w:val="00CC4265"/>
    <w:rsid w:val="00CC5A62"/>
    <w:rsid w:val="00CC70EE"/>
    <w:rsid w:val="00CC7F1D"/>
    <w:rsid w:val="00CD06D5"/>
    <w:rsid w:val="00CD0AF9"/>
    <w:rsid w:val="00CD0F98"/>
    <w:rsid w:val="00CD1BFE"/>
    <w:rsid w:val="00CD23CD"/>
    <w:rsid w:val="00CD5D5C"/>
    <w:rsid w:val="00CD6563"/>
    <w:rsid w:val="00CE2DEA"/>
    <w:rsid w:val="00CE3D09"/>
    <w:rsid w:val="00CE484B"/>
    <w:rsid w:val="00CE4FA6"/>
    <w:rsid w:val="00CE52F5"/>
    <w:rsid w:val="00CE55B5"/>
    <w:rsid w:val="00CE6FC4"/>
    <w:rsid w:val="00CE7F4B"/>
    <w:rsid w:val="00CF0DEE"/>
    <w:rsid w:val="00CF1131"/>
    <w:rsid w:val="00CF4164"/>
    <w:rsid w:val="00CF54F7"/>
    <w:rsid w:val="00CF7C05"/>
    <w:rsid w:val="00CF7CCA"/>
    <w:rsid w:val="00D006AE"/>
    <w:rsid w:val="00D01050"/>
    <w:rsid w:val="00D01CF0"/>
    <w:rsid w:val="00D02FB0"/>
    <w:rsid w:val="00D03122"/>
    <w:rsid w:val="00D0442A"/>
    <w:rsid w:val="00D05C2A"/>
    <w:rsid w:val="00D07EBF"/>
    <w:rsid w:val="00D10A69"/>
    <w:rsid w:val="00D11729"/>
    <w:rsid w:val="00D1413F"/>
    <w:rsid w:val="00D15D53"/>
    <w:rsid w:val="00D179C0"/>
    <w:rsid w:val="00D21843"/>
    <w:rsid w:val="00D23317"/>
    <w:rsid w:val="00D24944"/>
    <w:rsid w:val="00D25EE1"/>
    <w:rsid w:val="00D31F44"/>
    <w:rsid w:val="00D33983"/>
    <w:rsid w:val="00D34564"/>
    <w:rsid w:val="00D34D38"/>
    <w:rsid w:val="00D36390"/>
    <w:rsid w:val="00D3675C"/>
    <w:rsid w:val="00D37196"/>
    <w:rsid w:val="00D37541"/>
    <w:rsid w:val="00D37E2A"/>
    <w:rsid w:val="00D40C02"/>
    <w:rsid w:val="00D41318"/>
    <w:rsid w:val="00D416EC"/>
    <w:rsid w:val="00D41DE3"/>
    <w:rsid w:val="00D44750"/>
    <w:rsid w:val="00D44A47"/>
    <w:rsid w:val="00D463CA"/>
    <w:rsid w:val="00D505B1"/>
    <w:rsid w:val="00D50B24"/>
    <w:rsid w:val="00D50D70"/>
    <w:rsid w:val="00D5135B"/>
    <w:rsid w:val="00D516A1"/>
    <w:rsid w:val="00D51F71"/>
    <w:rsid w:val="00D52BA6"/>
    <w:rsid w:val="00D535D7"/>
    <w:rsid w:val="00D53B3F"/>
    <w:rsid w:val="00D57DE0"/>
    <w:rsid w:val="00D60D4D"/>
    <w:rsid w:val="00D61249"/>
    <w:rsid w:val="00D61388"/>
    <w:rsid w:val="00D61A54"/>
    <w:rsid w:val="00D623A2"/>
    <w:rsid w:val="00D637C0"/>
    <w:rsid w:val="00D64DEA"/>
    <w:rsid w:val="00D66291"/>
    <w:rsid w:val="00D66679"/>
    <w:rsid w:val="00D66A91"/>
    <w:rsid w:val="00D67B35"/>
    <w:rsid w:val="00D67BE2"/>
    <w:rsid w:val="00D70B03"/>
    <w:rsid w:val="00D712D1"/>
    <w:rsid w:val="00D7168E"/>
    <w:rsid w:val="00D71DDD"/>
    <w:rsid w:val="00D71E57"/>
    <w:rsid w:val="00D72907"/>
    <w:rsid w:val="00D73907"/>
    <w:rsid w:val="00D75F7A"/>
    <w:rsid w:val="00D76FC4"/>
    <w:rsid w:val="00D80637"/>
    <w:rsid w:val="00D80893"/>
    <w:rsid w:val="00D81099"/>
    <w:rsid w:val="00D83801"/>
    <w:rsid w:val="00D843AD"/>
    <w:rsid w:val="00D84854"/>
    <w:rsid w:val="00D91188"/>
    <w:rsid w:val="00D924AB"/>
    <w:rsid w:val="00D92A6A"/>
    <w:rsid w:val="00D92BA6"/>
    <w:rsid w:val="00D92CF1"/>
    <w:rsid w:val="00D92D38"/>
    <w:rsid w:val="00D93A8B"/>
    <w:rsid w:val="00D94302"/>
    <w:rsid w:val="00D950F5"/>
    <w:rsid w:val="00D96C92"/>
    <w:rsid w:val="00DA1396"/>
    <w:rsid w:val="00DA15EE"/>
    <w:rsid w:val="00DA1C41"/>
    <w:rsid w:val="00DA2269"/>
    <w:rsid w:val="00DA4752"/>
    <w:rsid w:val="00DA5DCC"/>
    <w:rsid w:val="00DA61F3"/>
    <w:rsid w:val="00DA68FA"/>
    <w:rsid w:val="00DA76A4"/>
    <w:rsid w:val="00DB0F93"/>
    <w:rsid w:val="00DB127F"/>
    <w:rsid w:val="00DB1A67"/>
    <w:rsid w:val="00DB3908"/>
    <w:rsid w:val="00DB4BDD"/>
    <w:rsid w:val="00DB5074"/>
    <w:rsid w:val="00DB5B21"/>
    <w:rsid w:val="00DB70E3"/>
    <w:rsid w:val="00DB721E"/>
    <w:rsid w:val="00DC0192"/>
    <w:rsid w:val="00DC10FF"/>
    <w:rsid w:val="00DC1EBA"/>
    <w:rsid w:val="00DC2743"/>
    <w:rsid w:val="00DC3E3C"/>
    <w:rsid w:val="00DC44C3"/>
    <w:rsid w:val="00DC4B28"/>
    <w:rsid w:val="00DC7981"/>
    <w:rsid w:val="00DD2ADD"/>
    <w:rsid w:val="00DD2EA6"/>
    <w:rsid w:val="00DD4B8D"/>
    <w:rsid w:val="00DD577F"/>
    <w:rsid w:val="00DD7B9A"/>
    <w:rsid w:val="00DE0079"/>
    <w:rsid w:val="00DE1093"/>
    <w:rsid w:val="00DE138E"/>
    <w:rsid w:val="00DE2894"/>
    <w:rsid w:val="00DE4B9F"/>
    <w:rsid w:val="00DE4EFA"/>
    <w:rsid w:val="00DE5520"/>
    <w:rsid w:val="00DE563D"/>
    <w:rsid w:val="00DF0574"/>
    <w:rsid w:val="00DF0B5D"/>
    <w:rsid w:val="00DF17E4"/>
    <w:rsid w:val="00DF3162"/>
    <w:rsid w:val="00DF35D9"/>
    <w:rsid w:val="00DF43F9"/>
    <w:rsid w:val="00DF7286"/>
    <w:rsid w:val="00DF756A"/>
    <w:rsid w:val="00E00708"/>
    <w:rsid w:val="00E00716"/>
    <w:rsid w:val="00E03834"/>
    <w:rsid w:val="00E03FB9"/>
    <w:rsid w:val="00E04818"/>
    <w:rsid w:val="00E05D4A"/>
    <w:rsid w:val="00E06442"/>
    <w:rsid w:val="00E069DC"/>
    <w:rsid w:val="00E079BB"/>
    <w:rsid w:val="00E1018A"/>
    <w:rsid w:val="00E115BA"/>
    <w:rsid w:val="00E117A1"/>
    <w:rsid w:val="00E11FEA"/>
    <w:rsid w:val="00E13071"/>
    <w:rsid w:val="00E206E8"/>
    <w:rsid w:val="00E21DC8"/>
    <w:rsid w:val="00E21E1D"/>
    <w:rsid w:val="00E21F6C"/>
    <w:rsid w:val="00E22691"/>
    <w:rsid w:val="00E238B0"/>
    <w:rsid w:val="00E23993"/>
    <w:rsid w:val="00E23ACA"/>
    <w:rsid w:val="00E24213"/>
    <w:rsid w:val="00E253F7"/>
    <w:rsid w:val="00E25B8C"/>
    <w:rsid w:val="00E26282"/>
    <w:rsid w:val="00E30084"/>
    <w:rsid w:val="00E30C68"/>
    <w:rsid w:val="00E30CA5"/>
    <w:rsid w:val="00E323D7"/>
    <w:rsid w:val="00E32943"/>
    <w:rsid w:val="00E356F9"/>
    <w:rsid w:val="00E36DF4"/>
    <w:rsid w:val="00E37B79"/>
    <w:rsid w:val="00E424CC"/>
    <w:rsid w:val="00E425A1"/>
    <w:rsid w:val="00E437AB"/>
    <w:rsid w:val="00E452F1"/>
    <w:rsid w:val="00E468B0"/>
    <w:rsid w:val="00E478F1"/>
    <w:rsid w:val="00E50147"/>
    <w:rsid w:val="00E50184"/>
    <w:rsid w:val="00E547E2"/>
    <w:rsid w:val="00E54936"/>
    <w:rsid w:val="00E5555B"/>
    <w:rsid w:val="00E566E1"/>
    <w:rsid w:val="00E574A4"/>
    <w:rsid w:val="00E57690"/>
    <w:rsid w:val="00E61699"/>
    <w:rsid w:val="00E64F30"/>
    <w:rsid w:val="00E65C85"/>
    <w:rsid w:val="00E66041"/>
    <w:rsid w:val="00E66199"/>
    <w:rsid w:val="00E713FC"/>
    <w:rsid w:val="00E72935"/>
    <w:rsid w:val="00E73355"/>
    <w:rsid w:val="00E7346E"/>
    <w:rsid w:val="00E755EC"/>
    <w:rsid w:val="00E75BCC"/>
    <w:rsid w:val="00E7624D"/>
    <w:rsid w:val="00E7661A"/>
    <w:rsid w:val="00E76C30"/>
    <w:rsid w:val="00E770A9"/>
    <w:rsid w:val="00E77E30"/>
    <w:rsid w:val="00E82B50"/>
    <w:rsid w:val="00E83279"/>
    <w:rsid w:val="00E838B8"/>
    <w:rsid w:val="00E83B83"/>
    <w:rsid w:val="00E849A8"/>
    <w:rsid w:val="00E84BF8"/>
    <w:rsid w:val="00E86394"/>
    <w:rsid w:val="00E86DD9"/>
    <w:rsid w:val="00E8749E"/>
    <w:rsid w:val="00E874BD"/>
    <w:rsid w:val="00E92D10"/>
    <w:rsid w:val="00E9305C"/>
    <w:rsid w:val="00E9408C"/>
    <w:rsid w:val="00E97C81"/>
    <w:rsid w:val="00EA00CC"/>
    <w:rsid w:val="00EA086D"/>
    <w:rsid w:val="00EA1DDB"/>
    <w:rsid w:val="00EA2806"/>
    <w:rsid w:val="00EA284E"/>
    <w:rsid w:val="00EA3D42"/>
    <w:rsid w:val="00EA3DE0"/>
    <w:rsid w:val="00EA4309"/>
    <w:rsid w:val="00EA4C8F"/>
    <w:rsid w:val="00EA4F04"/>
    <w:rsid w:val="00EA6B1B"/>
    <w:rsid w:val="00EA6D49"/>
    <w:rsid w:val="00EA7DA9"/>
    <w:rsid w:val="00EB09CB"/>
    <w:rsid w:val="00EB10C5"/>
    <w:rsid w:val="00EB1D7C"/>
    <w:rsid w:val="00EB47DF"/>
    <w:rsid w:val="00EB4959"/>
    <w:rsid w:val="00EB61EA"/>
    <w:rsid w:val="00EC01BD"/>
    <w:rsid w:val="00EC04F1"/>
    <w:rsid w:val="00EC0AD1"/>
    <w:rsid w:val="00EC0B07"/>
    <w:rsid w:val="00EC3159"/>
    <w:rsid w:val="00EC3873"/>
    <w:rsid w:val="00EC4849"/>
    <w:rsid w:val="00EC5D62"/>
    <w:rsid w:val="00EC5EB8"/>
    <w:rsid w:val="00EC7B42"/>
    <w:rsid w:val="00ED0EF0"/>
    <w:rsid w:val="00ED3B44"/>
    <w:rsid w:val="00ED498D"/>
    <w:rsid w:val="00ED54F2"/>
    <w:rsid w:val="00ED6A81"/>
    <w:rsid w:val="00ED7323"/>
    <w:rsid w:val="00EE0ABB"/>
    <w:rsid w:val="00EE10D7"/>
    <w:rsid w:val="00EE28F3"/>
    <w:rsid w:val="00EE2D04"/>
    <w:rsid w:val="00EE3EF9"/>
    <w:rsid w:val="00EE4E88"/>
    <w:rsid w:val="00EE50D1"/>
    <w:rsid w:val="00EF0918"/>
    <w:rsid w:val="00EF37FC"/>
    <w:rsid w:val="00EF4237"/>
    <w:rsid w:val="00EF42E6"/>
    <w:rsid w:val="00EF5110"/>
    <w:rsid w:val="00EF5861"/>
    <w:rsid w:val="00EF5E4A"/>
    <w:rsid w:val="00EF7EC0"/>
    <w:rsid w:val="00F022DB"/>
    <w:rsid w:val="00F02448"/>
    <w:rsid w:val="00F04FB9"/>
    <w:rsid w:val="00F05353"/>
    <w:rsid w:val="00F06C60"/>
    <w:rsid w:val="00F07264"/>
    <w:rsid w:val="00F0737A"/>
    <w:rsid w:val="00F10411"/>
    <w:rsid w:val="00F10D01"/>
    <w:rsid w:val="00F11DE9"/>
    <w:rsid w:val="00F130EF"/>
    <w:rsid w:val="00F13198"/>
    <w:rsid w:val="00F15882"/>
    <w:rsid w:val="00F1706D"/>
    <w:rsid w:val="00F171E0"/>
    <w:rsid w:val="00F17734"/>
    <w:rsid w:val="00F17A22"/>
    <w:rsid w:val="00F17B34"/>
    <w:rsid w:val="00F20BD3"/>
    <w:rsid w:val="00F20DBA"/>
    <w:rsid w:val="00F2235A"/>
    <w:rsid w:val="00F27BB2"/>
    <w:rsid w:val="00F27FC0"/>
    <w:rsid w:val="00F30705"/>
    <w:rsid w:val="00F30931"/>
    <w:rsid w:val="00F315A8"/>
    <w:rsid w:val="00F31D12"/>
    <w:rsid w:val="00F34737"/>
    <w:rsid w:val="00F34E74"/>
    <w:rsid w:val="00F36FE9"/>
    <w:rsid w:val="00F373A5"/>
    <w:rsid w:val="00F37AA0"/>
    <w:rsid w:val="00F40A85"/>
    <w:rsid w:val="00F42728"/>
    <w:rsid w:val="00F430C2"/>
    <w:rsid w:val="00F470A2"/>
    <w:rsid w:val="00F47559"/>
    <w:rsid w:val="00F50D64"/>
    <w:rsid w:val="00F518EB"/>
    <w:rsid w:val="00F53895"/>
    <w:rsid w:val="00F55728"/>
    <w:rsid w:val="00F559E5"/>
    <w:rsid w:val="00F56EED"/>
    <w:rsid w:val="00F60E41"/>
    <w:rsid w:val="00F622DF"/>
    <w:rsid w:val="00F6250E"/>
    <w:rsid w:val="00F64C7B"/>
    <w:rsid w:val="00F650D2"/>
    <w:rsid w:val="00F6552D"/>
    <w:rsid w:val="00F66519"/>
    <w:rsid w:val="00F674BC"/>
    <w:rsid w:val="00F676DD"/>
    <w:rsid w:val="00F707CD"/>
    <w:rsid w:val="00F70E61"/>
    <w:rsid w:val="00F72575"/>
    <w:rsid w:val="00F73160"/>
    <w:rsid w:val="00F73B34"/>
    <w:rsid w:val="00F75A26"/>
    <w:rsid w:val="00F76706"/>
    <w:rsid w:val="00F77A67"/>
    <w:rsid w:val="00F80D91"/>
    <w:rsid w:val="00F815FE"/>
    <w:rsid w:val="00F83FAD"/>
    <w:rsid w:val="00F848BC"/>
    <w:rsid w:val="00F8556F"/>
    <w:rsid w:val="00F8653A"/>
    <w:rsid w:val="00F86B8F"/>
    <w:rsid w:val="00F87A62"/>
    <w:rsid w:val="00F907EA"/>
    <w:rsid w:val="00F93616"/>
    <w:rsid w:val="00F952A0"/>
    <w:rsid w:val="00F9593C"/>
    <w:rsid w:val="00F96291"/>
    <w:rsid w:val="00F97576"/>
    <w:rsid w:val="00F97A9B"/>
    <w:rsid w:val="00F97E3D"/>
    <w:rsid w:val="00F97F03"/>
    <w:rsid w:val="00FA1E6D"/>
    <w:rsid w:val="00FA2F53"/>
    <w:rsid w:val="00FA3C7F"/>
    <w:rsid w:val="00FA54C8"/>
    <w:rsid w:val="00FA5E9C"/>
    <w:rsid w:val="00FA68C2"/>
    <w:rsid w:val="00FA6E29"/>
    <w:rsid w:val="00FA6E98"/>
    <w:rsid w:val="00FB35A9"/>
    <w:rsid w:val="00FB4ADF"/>
    <w:rsid w:val="00FB4F6C"/>
    <w:rsid w:val="00FB5F32"/>
    <w:rsid w:val="00FB5F7C"/>
    <w:rsid w:val="00FB60FE"/>
    <w:rsid w:val="00FB634A"/>
    <w:rsid w:val="00FB6971"/>
    <w:rsid w:val="00FB6DB6"/>
    <w:rsid w:val="00FB6FD6"/>
    <w:rsid w:val="00FB70E8"/>
    <w:rsid w:val="00FB74E2"/>
    <w:rsid w:val="00FC04ED"/>
    <w:rsid w:val="00FC0662"/>
    <w:rsid w:val="00FD000C"/>
    <w:rsid w:val="00FD09CE"/>
    <w:rsid w:val="00FD2399"/>
    <w:rsid w:val="00FD2B42"/>
    <w:rsid w:val="00FD3811"/>
    <w:rsid w:val="00FD4722"/>
    <w:rsid w:val="00FD5614"/>
    <w:rsid w:val="00FD5BE7"/>
    <w:rsid w:val="00FD5E78"/>
    <w:rsid w:val="00FD6816"/>
    <w:rsid w:val="00FD6B8C"/>
    <w:rsid w:val="00FD7FDB"/>
    <w:rsid w:val="00FE0BE1"/>
    <w:rsid w:val="00FE1608"/>
    <w:rsid w:val="00FE182A"/>
    <w:rsid w:val="00FE1DE9"/>
    <w:rsid w:val="00FE1E1F"/>
    <w:rsid w:val="00FE2C3D"/>
    <w:rsid w:val="00FE3331"/>
    <w:rsid w:val="00FE35D2"/>
    <w:rsid w:val="00FE36AF"/>
    <w:rsid w:val="00FE391A"/>
    <w:rsid w:val="00FE39C2"/>
    <w:rsid w:val="00FE3C32"/>
    <w:rsid w:val="00FE3C8D"/>
    <w:rsid w:val="00FE404A"/>
    <w:rsid w:val="00FE445D"/>
    <w:rsid w:val="00FE64AE"/>
    <w:rsid w:val="00FE72CD"/>
    <w:rsid w:val="00FE7452"/>
    <w:rsid w:val="00FE7DEB"/>
    <w:rsid w:val="00FF0DA8"/>
    <w:rsid w:val="00FF2341"/>
    <w:rsid w:val="00FF2854"/>
    <w:rsid w:val="00FF2AD0"/>
    <w:rsid w:val="00FF61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857647"/>
    <w:pPr>
      <w:keepNext/>
      <w:numPr>
        <w:ilvl w:val="1"/>
        <w:numId w:val="26"/>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91B"/>
    <w:pPr>
      <w:keepNext/>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12691B"/>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12691B"/>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857647"/>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91B"/>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12691B"/>
    <w:pPr>
      <w:numPr>
        <w:ilvl w:val="0"/>
        <w:numId w:val="0"/>
      </w:numPr>
    </w:pPr>
  </w:style>
  <w:style w:type="paragraph" w:customStyle="1" w:styleId="HeadingBoldItalic">
    <w:name w:val="Heading Bold Italic"/>
    <w:basedOn w:val="Heading4"/>
    <w:qFormat/>
    <w:rsid w:val="00857647"/>
    <w:pPr>
      <w:keepNext/>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12691B"/>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12691B"/>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91B"/>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857647"/>
    <w:pPr>
      <w:keepNext/>
      <w:numPr>
        <w:ilvl w:val="1"/>
        <w:numId w:val="26"/>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91B"/>
    <w:pPr>
      <w:keepNext/>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12691B"/>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12691B"/>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857647"/>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91B"/>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12691B"/>
    <w:pPr>
      <w:numPr>
        <w:ilvl w:val="0"/>
        <w:numId w:val="0"/>
      </w:numPr>
    </w:pPr>
  </w:style>
  <w:style w:type="paragraph" w:customStyle="1" w:styleId="HeadingBoldItalic">
    <w:name w:val="Heading Bold Italic"/>
    <w:basedOn w:val="Heading4"/>
    <w:qFormat/>
    <w:rsid w:val="00857647"/>
    <w:pPr>
      <w:keepNext/>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12691B"/>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12691B"/>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91B"/>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mailto:AERInquiry@aer.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258CB2EC</Template>
  <TotalTime>0</TotalTime>
  <Pages>98</Pages>
  <Words>31709</Words>
  <Characters>180742</Characters>
  <Application>Microsoft Office Word</Application>
  <DocSecurity>4</DocSecurity>
  <Lines>1506</Lines>
  <Paragraphs>424</Paragraphs>
  <ScaleCrop>false</ScaleCrop>
  <LinksUpToDate>false</LinksUpToDate>
  <CharactersWithSpaces>212027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2015-04-27T04:07:00Z</dcterms:created>
  <dcterms:modified xsi:type="dcterms:W3CDTF">2015-04-27T04:07:00Z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