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eastAsiaTheme="majorEastAsia" w:cstheme="majorBidi"/>
          <w:noProof/>
          <w:sz w:val="36"/>
          <w:szCs w:val="36"/>
          <w:lang w:eastAsia="en-AU"/>
        </w:rPr>
        <w:id w:val="1021519724"/>
        <w:docPartObj>
          <w:docPartGallery w:val="Cover Pages"/>
          <w:docPartUnique/>
        </w:docPartObj>
      </w:sdtPr>
      <w:sdtEndPr/>
      <w:sdtContent>
        <w:p w:rsidR="000A6C7B" w:rsidRPr="00290C63" w:rsidRDefault="000A6C7B" w:rsidP="00290C63">
          <w:r w:rsidRPr="00290C63">
            <w:rPr>
              <w:noProof/>
              <w:lang w:eastAsia="en-AU"/>
            </w:rPr>
            <w:drawing>
              <wp:anchor distT="0" distB="0" distL="114300" distR="114300" simplePos="0" relativeHeight="251659264" behindDoc="1" locked="0" layoutInCell="1" allowOverlap="1" wp14:anchorId="7F91A255" wp14:editId="110D95E3">
                <wp:simplePos x="0" y="0"/>
                <wp:positionH relativeFrom="column">
                  <wp:posOffset>-1104900</wp:posOffset>
                </wp:positionH>
                <wp:positionV relativeFrom="paragraph">
                  <wp:posOffset>-927735</wp:posOffset>
                </wp:positionV>
                <wp:extent cx="7591425" cy="10728960"/>
                <wp:effectExtent l="0" t="0" r="9525" b="0"/>
                <wp:wrapNone/>
                <wp:docPr id="2" name="Picture 2" descr="Australian Energy Regulator Repor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R report front cover_D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91425" cy="10728960"/>
                        </a:xfrm>
                        <a:prstGeom prst="rect">
                          <a:avLst/>
                        </a:prstGeom>
                        <a:noFill/>
                      </pic:spPr>
                    </pic:pic>
                  </a:graphicData>
                </a:graphic>
                <wp14:sizeRelH relativeFrom="page">
                  <wp14:pctWidth>0</wp14:pctWidth>
                </wp14:sizeRelH>
                <wp14:sizeRelV relativeFrom="page">
                  <wp14:pctHeight>0</wp14:pctHeight>
                </wp14:sizeRelV>
              </wp:anchor>
            </w:drawing>
          </w:r>
        </w:p>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F171E0" w:rsidRDefault="00F171E0" w:rsidP="00F171E0"/>
        <w:p w:rsidR="00327A1E" w:rsidRDefault="00AF1F9E" w:rsidP="008F07A3">
          <w:pPr>
            <w:pStyle w:val="ReportSubtitle"/>
          </w:pPr>
          <w:r>
            <w:t>FINAL</w:t>
          </w:r>
          <w:r w:rsidR="00DA4752">
            <w:t xml:space="preserve"> DECISION</w:t>
          </w:r>
        </w:p>
        <w:p w:rsidR="00AF1F9E" w:rsidRDefault="00AF1F9E" w:rsidP="008F07A3">
          <w:pPr>
            <w:pStyle w:val="ReportSubtitle"/>
          </w:pPr>
          <w:r>
            <w:t>Directlink transmission</w:t>
          </w:r>
          <w:r w:rsidR="00DA4752">
            <w:t xml:space="preserve"> determination </w:t>
          </w:r>
        </w:p>
        <w:p w:rsidR="000A6C7B" w:rsidRDefault="00DA4752" w:rsidP="008F07A3">
          <w:pPr>
            <w:pStyle w:val="ReportSubtitle"/>
          </w:pPr>
          <w:r>
            <w:t>2015</w:t>
          </w:r>
          <w:r>
            <w:rPr>
              <w:rFonts w:cs="Arial"/>
            </w:rPr>
            <w:t>−</w:t>
          </w:r>
          <w:r>
            <w:t>16 to 2019</w:t>
          </w:r>
          <w:r>
            <w:rPr>
              <w:rFonts w:cs="Arial"/>
            </w:rPr>
            <w:t>−</w:t>
          </w:r>
          <w:r>
            <w:t>20</w:t>
          </w:r>
        </w:p>
        <w:p w:rsidR="008F07A3" w:rsidRPr="000A6C7B" w:rsidRDefault="008F07A3" w:rsidP="008F07A3">
          <w:pPr>
            <w:pStyle w:val="ReportSubtitle"/>
          </w:pPr>
        </w:p>
        <w:p w:rsidR="000A6C7B" w:rsidRPr="000A6C7B" w:rsidRDefault="00DA4752" w:rsidP="008F07A3">
          <w:pPr>
            <w:pStyle w:val="ReportSubtitle"/>
          </w:pPr>
          <w:r>
            <w:t xml:space="preserve">Attachment </w:t>
          </w:r>
          <w:r w:rsidR="0067138E">
            <w:t>5</w:t>
          </w:r>
          <w:r>
            <w:t xml:space="preserve"> </w:t>
          </w:r>
          <w:r>
            <w:rPr>
              <w:rFonts w:cs="Arial"/>
            </w:rPr>
            <w:t>−</w:t>
          </w:r>
          <w:r>
            <w:t xml:space="preserve"> </w:t>
          </w:r>
          <w:r w:rsidR="0067138E">
            <w:t>Regulatory depreciation</w:t>
          </w:r>
        </w:p>
        <w:p w:rsidR="000A6C7B" w:rsidRPr="00327A1E" w:rsidRDefault="00DA4752" w:rsidP="00327A1E">
          <w:pPr>
            <w:pStyle w:val="ReportDate"/>
          </w:pPr>
          <w:r>
            <w:t>April 2015</w:t>
          </w:r>
        </w:p>
      </w:sdtContent>
    </w:sdt>
    <w:p w:rsidR="00327A1E" w:rsidRPr="00290C63" w:rsidRDefault="00327A1E" w:rsidP="00290C63">
      <w:r>
        <w:br w:type="page"/>
      </w:r>
    </w:p>
    <w:p w:rsidR="000A6C7B" w:rsidRDefault="008F07A3" w:rsidP="00961A4A">
      <w:pPr>
        <w:pStyle w:val="Copyright"/>
      </w:pPr>
      <w:r>
        <w:lastRenderedPageBreak/>
        <w:t>© Commonwealth of Australia 2015</w:t>
      </w:r>
    </w:p>
    <w:p w:rsidR="000A6C7B" w:rsidRDefault="000A6C7B" w:rsidP="000A6C7B">
      <w:pPr>
        <w:pStyle w:val="Copyright"/>
      </w:pPr>
      <w:r>
        <w:t>This work is copyright. In addition to any use permitted under the Copyright Act 1968, all material contained within this work is provided under a Creative Commons Attributions 3.0 Australia licence, with the exception of:</w:t>
      </w:r>
    </w:p>
    <w:p w:rsidR="000A6C7B" w:rsidRPr="00983C25" w:rsidRDefault="000A6C7B" w:rsidP="00983C25">
      <w:pPr>
        <w:pStyle w:val="AERbulletlistfirststyle"/>
        <w:rPr>
          <w:sz w:val="20"/>
          <w:szCs w:val="20"/>
        </w:rPr>
      </w:pPr>
      <w:r>
        <w:t xml:space="preserve">the </w:t>
      </w:r>
      <w:r w:rsidRPr="00983C25">
        <w:rPr>
          <w:sz w:val="20"/>
          <w:szCs w:val="20"/>
        </w:rPr>
        <w:t>Commonwealth Coat of Arms</w:t>
      </w:r>
    </w:p>
    <w:p w:rsidR="000A6C7B" w:rsidRPr="00983C25" w:rsidRDefault="000A6C7B" w:rsidP="00983C25">
      <w:pPr>
        <w:pStyle w:val="AERbulletlistfirststyle"/>
        <w:rPr>
          <w:sz w:val="20"/>
          <w:szCs w:val="20"/>
        </w:rPr>
      </w:pPr>
      <w:r w:rsidRPr="00983C25">
        <w:rPr>
          <w:sz w:val="20"/>
          <w:szCs w:val="20"/>
        </w:rPr>
        <w:t>the ACCC and AER logos</w:t>
      </w:r>
    </w:p>
    <w:p w:rsidR="000A6C7B" w:rsidRPr="00983C25" w:rsidRDefault="000A6C7B" w:rsidP="00983C25">
      <w:pPr>
        <w:pStyle w:val="AERbulletlistfirststyle"/>
        <w:rPr>
          <w:sz w:val="20"/>
        </w:rPr>
      </w:pPr>
      <w:r w:rsidRPr="00983C25">
        <w:rPr>
          <w:sz w:val="20"/>
        </w:rPr>
        <w:t>any illustration, diagram, photograph or graphic over which the Australian Competition and Consumer Commission does not hold copyright, but which may be part of or contained within this publication. The details of the relevant licence conditions are available on the Creative Commons website, as is the full legal code for the CC BY 3.0 AU licence.</w:t>
      </w:r>
    </w:p>
    <w:p w:rsidR="000A6C7B" w:rsidRDefault="000A6C7B" w:rsidP="000A6C7B">
      <w:pPr>
        <w:pStyle w:val="Copyright"/>
      </w:pPr>
      <w:r>
        <w:t>Requests and inquiries concerning reproduction and rights should be addressed to the Director, Corporate Communications,</w:t>
      </w:r>
      <w:r w:rsidR="00983C25">
        <w:br/>
      </w:r>
      <w:r>
        <w:t xml:space="preserve">Australian Competition and Consumer Commission, </w:t>
      </w:r>
      <w:r w:rsidR="00983C25">
        <w:br/>
      </w:r>
      <w:r>
        <w:t>GPO Box 4141, Canberra ACT 2601</w:t>
      </w:r>
      <w:r w:rsidR="00983C25">
        <w:br/>
      </w:r>
      <w:r>
        <w:t>or publishing.unit@accc.gov.au.</w:t>
      </w:r>
    </w:p>
    <w:p w:rsidR="00951978" w:rsidRDefault="000A6C7B" w:rsidP="00961A4A">
      <w:pPr>
        <w:pStyle w:val="Copyright"/>
      </w:pPr>
      <w:r>
        <w:t>Inquiries about this publication should be addressed to:</w:t>
      </w:r>
    </w:p>
    <w:p w:rsidR="000A6C7B" w:rsidRDefault="000A6C7B" w:rsidP="000A6C7B">
      <w:pPr>
        <w:pStyle w:val="Copyright"/>
      </w:pPr>
      <w:r>
        <w:t xml:space="preserve">Australian Energy </w:t>
      </w:r>
      <w:r w:rsidRPr="00F171E0">
        <w:t>Regulator</w:t>
      </w:r>
      <w:r w:rsidR="00951978">
        <w:br/>
      </w:r>
      <w:r>
        <w:t>GPO Box 520</w:t>
      </w:r>
      <w:r w:rsidR="00951978">
        <w:br/>
      </w:r>
      <w:r>
        <w:t>Melbourne  Vic  3001</w:t>
      </w:r>
    </w:p>
    <w:p w:rsidR="000A6C7B" w:rsidRDefault="000A6C7B" w:rsidP="00961A4A">
      <w:pPr>
        <w:pStyle w:val="Copyright"/>
      </w:pPr>
      <w:r>
        <w:t>Tel: (03) 9290 1444</w:t>
      </w:r>
      <w:r w:rsidR="00951978">
        <w:br/>
      </w:r>
      <w:r>
        <w:t>Fax: (03) 9290 1457</w:t>
      </w:r>
    </w:p>
    <w:p w:rsidR="00AF1F9E" w:rsidRDefault="000A6C7B" w:rsidP="008F07A3">
      <w:pPr>
        <w:pStyle w:val="Copyright"/>
        <w:rPr>
          <w:rStyle w:val="Hyperlink"/>
        </w:rPr>
      </w:pPr>
      <w:r>
        <w:t xml:space="preserve">Email: </w:t>
      </w:r>
      <w:hyperlink r:id="rId10" w:history="1">
        <w:r w:rsidRPr="00D64888">
          <w:rPr>
            <w:rStyle w:val="Hyperlink"/>
          </w:rPr>
          <w:t>AERInquiry@aer.gov.au</w:t>
        </w:r>
      </w:hyperlink>
    </w:p>
    <w:p w:rsidR="005D7BA2" w:rsidRDefault="00AF1F9E" w:rsidP="008F07A3">
      <w:pPr>
        <w:pStyle w:val="Copyright"/>
      </w:pPr>
      <w:r w:rsidRPr="00AF1F9E">
        <w:t>AER reference: 53446</w:t>
      </w:r>
      <w:r w:rsidR="00951978" w:rsidRPr="00AF1F9E">
        <w:br/>
      </w:r>
    </w:p>
    <w:p w:rsidR="00CE1FA9" w:rsidRDefault="00CE1FA9">
      <w:pPr>
        <w:spacing w:line="240" w:lineRule="auto"/>
      </w:pPr>
      <w:r>
        <w:br w:type="page"/>
      </w:r>
    </w:p>
    <w:p w:rsidR="008F07A3" w:rsidRDefault="00DA61F3" w:rsidP="008F07A3">
      <w:pPr>
        <w:pStyle w:val="UnnumberedHeading"/>
        <w:numPr>
          <w:ilvl w:val="0"/>
          <w:numId w:val="24"/>
        </w:numPr>
      </w:pPr>
      <w:bookmarkStart w:id="1" w:name="_Toc404354899"/>
      <w:bookmarkStart w:id="2" w:name="_Toc404353070"/>
      <w:bookmarkStart w:id="3" w:name="_Toc404684201"/>
      <w:bookmarkStart w:id="4" w:name="_Toc404700923"/>
      <w:bookmarkStart w:id="5" w:name="_Toc413320134"/>
      <w:r>
        <w:lastRenderedPageBreak/>
        <w:t>N</w:t>
      </w:r>
      <w:r w:rsidR="008F07A3">
        <w:t>ote</w:t>
      </w:r>
      <w:bookmarkEnd w:id="1"/>
      <w:bookmarkEnd w:id="2"/>
      <w:bookmarkEnd w:id="3"/>
      <w:bookmarkEnd w:id="4"/>
      <w:bookmarkEnd w:id="5"/>
    </w:p>
    <w:p w:rsidR="008F07A3" w:rsidRDefault="008F07A3" w:rsidP="008F07A3"/>
    <w:p w:rsidR="00AF1F9E" w:rsidRPr="009134B1" w:rsidRDefault="00AF1F9E" w:rsidP="00AF1F9E">
      <w:pPr>
        <w:numPr>
          <w:ilvl w:val="0"/>
          <w:numId w:val="25"/>
        </w:numPr>
        <w:spacing w:before="0" w:after="240" w:line="288" w:lineRule="auto"/>
        <w:jc w:val="both"/>
      </w:pPr>
      <w:r w:rsidRPr="009134B1">
        <w:t xml:space="preserve">This attachment forms part of the AER's </w:t>
      </w:r>
      <w:r>
        <w:t>final</w:t>
      </w:r>
      <w:r w:rsidRPr="009134B1">
        <w:t xml:space="preserve"> decision on </w:t>
      </w:r>
      <w:r>
        <w:t>Directlink'</w:t>
      </w:r>
      <w:r w:rsidRPr="009134B1">
        <w:t>s revenue proposal 2015–</w:t>
      </w:r>
      <w:r>
        <w:t>20</w:t>
      </w:r>
      <w:r w:rsidRPr="009134B1">
        <w:t xml:space="preserve">. It should be read with other parts of the </w:t>
      </w:r>
      <w:r>
        <w:t>final</w:t>
      </w:r>
      <w:r w:rsidRPr="009134B1">
        <w:t xml:space="preserve"> decision.</w:t>
      </w:r>
    </w:p>
    <w:p w:rsidR="00AF1F9E" w:rsidRPr="009134B1" w:rsidRDefault="00AF1F9E" w:rsidP="00AF1F9E">
      <w:pPr>
        <w:numPr>
          <w:ilvl w:val="0"/>
          <w:numId w:val="25"/>
        </w:numPr>
        <w:spacing w:before="0" w:after="240" w:line="288" w:lineRule="auto"/>
        <w:jc w:val="both"/>
      </w:pPr>
      <w:r w:rsidRPr="009134B1">
        <w:t xml:space="preserve">The </w:t>
      </w:r>
      <w:r>
        <w:t>final</w:t>
      </w:r>
      <w:r w:rsidRPr="009134B1">
        <w:t xml:space="preserve"> decision includes the following documents:</w:t>
      </w:r>
    </w:p>
    <w:p w:rsidR="00AF1F9E" w:rsidRPr="009134B1" w:rsidRDefault="00AF1F9E" w:rsidP="00AF1F9E">
      <w:pPr>
        <w:numPr>
          <w:ilvl w:val="0"/>
          <w:numId w:val="25"/>
        </w:numPr>
        <w:spacing w:before="0" w:after="240" w:line="288" w:lineRule="auto"/>
        <w:jc w:val="both"/>
      </w:pPr>
      <w:r w:rsidRPr="009134B1">
        <w:t>Overview</w:t>
      </w:r>
    </w:p>
    <w:p w:rsidR="00AF1F9E" w:rsidRPr="009134B1" w:rsidRDefault="00AF1F9E" w:rsidP="00AF1F9E">
      <w:pPr>
        <w:numPr>
          <w:ilvl w:val="0"/>
          <w:numId w:val="25"/>
        </w:numPr>
        <w:spacing w:before="0" w:after="240" w:line="288" w:lineRule="auto"/>
        <w:jc w:val="both"/>
      </w:pPr>
      <w:r w:rsidRPr="009134B1">
        <w:t>Attachment 1 – maximum allowed revenue</w:t>
      </w:r>
    </w:p>
    <w:p w:rsidR="00AF1F9E" w:rsidRPr="009134B1" w:rsidRDefault="00AF1F9E" w:rsidP="00AF1F9E">
      <w:pPr>
        <w:numPr>
          <w:ilvl w:val="0"/>
          <w:numId w:val="25"/>
        </w:numPr>
        <w:spacing w:before="0" w:after="240" w:line="288" w:lineRule="auto"/>
        <w:jc w:val="both"/>
      </w:pPr>
      <w:r w:rsidRPr="009134B1">
        <w:t>Attachment 2 – regulatory asset base</w:t>
      </w:r>
    </w:p>
    <w:p w:rsidR="00AF1F9E" w:rsidRPr="009134B1" w:rsidRDefault="00AF1F9E" w:rsidP="00AF1F9E">
      <w:pPr>
        <w:numPr>
          <w:ilvl w:val="0"/>
          <w:numId w:val="25"/>
        </w:numPr>
        <w:spacing w:before="0" w:after="240" w:line="288" w:lineRule="auto"/>
        <w:jc w:val="both"/>
      </w:pPr>
      <w:r w:rsidRPr="009134B1">
        <w:t>Attachment 3 – rate of return</w:t>
      </w:r>
    </w:p>
    <w:p w:rsidR="00AF1F9E" w:rsidRPr="009134B1" w:rsidRDefault="00AF1F9E" w:rsidP="00AF1F9E">
      <w:pPr>
        <w:numPr>
          <w:ilvl w:val="0"/>
          <w:numId w:val="25"/>
        </w:numPr>
        <w:spacing w:before="0" w:after="240" w:line="288" w:lineRule="auto"/>
        <w:jc w:val="both"/>
      </w:pPr>
      <w:r w:rsidRPr="009134B1">
        <w:t>Attachment 4 – value of imputation credits</w:t>
      </w:r>
    </w:p>
    <w:p w:rsidR="00AF1F9E" w:rsidRPr="009134B1" w:rsidRDefault="00AF1F9E" w:rsidP="00AF1F9E">
      <w:pPr>
        <w:numPr>
          <w:ilvl w:val="0"/>
          <w:numId w:val="25"/>
        </w:numPr>
        <w:spacing w:before="0" w:after="240" w:line="288" w:lineRule="auto"/>
        <w:jc w:val="both"/>
      </w:pPr>
      <w:r w:rsidRPr="009134B1">
        <w:t>Attachment 5 – regulatory depreciation</w:t>
      </w:r>
    </w:p>
    <w:p w:rsidR="00AF1F9E" w:rsidRPr="009134B1" w:rsidRDefault="00AF1F9E" w:rsidP="00AF1F9E">
      <w:pPr>
        <w:numPr>
          <w:ilvl w:val="0"/>
          <w:numId w:val="25"/>
        </w:numPr>
        <w:spacing w:before="0" w:after="240" w:line="288" w:lineRule="auto"/>
        <w:jc w:val="both"/>
      </w:pPr>
      <w:r w:rsidRPr="009134B1">
        <w:t xml:space="preserve">Attachment 6 – capital expenditure </w:t>
      </w:r>
    </w:p>
    <w:p w:rsidR="00AF1F9E" w:rsidRPr="009134B1" w:rsidRDefault="00AF1F9E" w:rsidP="00AF1F9E">
      <w:pPr>
        <w:numPr>
          <w:ilvl w:val="0"/>
          <w:numId w:val="25"/>
        </w:numPr>
        <w:spacing w:before="0" w:after="240" w:line="288" w:lineRule="auto"/>
        <w:jc w:val="both"/>
      </w:pPr>
      <w:r w:rsidRPr="009134B1">
        <w:t>Attachment 7 – operating expenditure</w:t>
      </w:r>
    </w:p>
    <w:p w:rsidR="00AF1F9E" w:rsidRPr="009134B1" w:rsidRDefault="00AF1F9E" w:rsidP="00AF1F9E">
      <w:pPr>
        <w:numPr>
          <w:ilvl w:val="0"/>
          <w:numId w:val="25"/>
        </w:numPr>
        <w:spacing w:before="0" w:after="240" w:line="288" w:lineRule="auto"/>
        <w:jc w:val="both"/>
      </w:pPr>
      <w:r w:rsidRPr="009134B1">
        <w:t>Attachment 8 – corporate income tax</w:t>
      </w:r>
    </w:p>
    <w:p w:rsidR="00AF1F9E" w:rsidRPr="009134B1" w:rsidRDefault="00AF1F9E" w:rsidP="00AF1F9E">
      <w:pPr>
        <w:numPr>
          <w:ilvl w:val="0"/>
          <w:numId w:val="25"/>
        </w:numPr>
        <w:spacing w:before="0" w:after="240" w:line="288" w:lineRule="auto"/>
        <w:jc w:val="both"/>
      </w:pPr>
      <w:r w:rsidRPr="009134B1">
        <w:t>Attachment 9 – efficiency benefit sharing scheme</w:t>
      </w:r>
    </w:p>
    <w:p w:rsidR="00AF1F9E" w:rsidRPr="009134B1" w:rsidRDefault="00AF1F9E" w:rsidP="00AF1F9E">
      <w:pPr>
        <w:numPr>
          <w:ilvl w:val="0"/>
          <w:numId w:val="25"/>
        </w:numPr>
        <w:spacing w:before="0" w:after="240" w:line="288" w:lineRule="auto"/>
        <w:jc w:val="both"/>
      </w:pPr>
      <w:r w:rsidRPr="009134B1">
        <w:t>Attachment 10 – capital expenditure sharing scheme</w:t>
      </w:r>
    </w:p>
    <w:p w:rsidR="00AF1F9E" w:rsidRPr="009134B1" w:rsidRDefault="00AF1F9E" w:rsidP="00AF1F9E">
      <w:pPr>
        <w:numPr>
          <w:ilvl w:val="0"/>
          <w:numId w:val="25"/>
        </w:numPr>
        <w:spacing w:before="0" w:after="240" w:line="288" w:lineRule="auto"/>
        <w:jc w:val="both"/>
      </w:pPr>
      <w:r w:rsidRPr="009134B1">
        <w:t>Attachment 11 – service target performance incentive scheme</w:t>
      </w:r>
    </w:p>
    <w:p w:rsidR="00AF1F9E" w:rsidRPr="009134B1" w:rsidRDefault="00AF1F9E" w:rsidP="00AF1F9E">
      <w:pPr>
        <w:numPr>
          <w:ilvl w:val="0"/>
          <w:numId w:val="25"/>
        </w:numPr>
        <w:spacing w:before="0" w:after="240" w:line="288" w:lineRule="auto"/>
        <w:jc w:val="both"/>
      </w:pPr>
      <w:r w:rsidRPr="009134B1">
        <w:t>Attachment 12 – pricing methodology</w:t>
      </w:r>
      <w:r>
        <w:t xml:space="preserve"> and negotiated services</w:t>
      </w:r>
    </w:p>
    <w:p w:rsidR="00AF1F9E" w:rsidRPr="009134B1" w:rsidRDefault="00AF1F9E" w:rsidP="00AF1F9E">
      <w:pPr>
        <w:numPr>
          <w:ilvl w:val="0"/>
          <w:numId w:val="25"/>
        </w:numPr>
        <w:spacing w:before="0" w:after="240" w:line="288" w:lineRule="auto"/>
        <w:jc w:val="both"/>
      </w:pPr>
      <w:r w:rsidRPr="009134B1">
        <w:t>Attachment 13 – pass through events</w:t>
      </w:r>
    </w:p>
    <w:p w:rsidR="00AF1F9E" w:rsidRPr="008F07A3" w:rsidRDefault="00AF1F9E" w:rsidP="008F07A3">
      <w:pPr>
        <w:sectPr w:rsidR="00AF1F9E" w:rsidRPr="008F07A3" w:rsidSect="008A50C6">
          <w:footerReference w:type="even" r:id="rId11"/>
          <w:footerReference w:type="default" r:id="rId12"/>
          <w:footerReference w:type="first" r:id="rId13"/>
          <w:pgSz w:w="11906" w:h="16838" w:code="9"/>
          <w:pgMar w:top="1440" w:right="1700" w:bottom="1582" w:left="1729" w:header="720" w:footer="0" w:gutter="0"/>
          <w:pgNumType w:start="0" w:chapStyle="1"/>
          <w:cols w:space="720"/>
          <w:docGrid w:linePitch="326"/>
        </w:sectPr>
      </w:pPr>
    </w:p>
    <w:p w:rsidR="00DE563D" w:rsidRPr="00A72B34" w:rsidRDefault="00DE563D" w:rsidP="00DE563D">
      <w:pPr>
        <w:pStyle w:val="UnnumberedHeading"/>
        <w:numPr>
          <w:ilvl w:val="0"/>
          <w:numId w:val="24"/>
        </w:numPr>
      </w:pPr>
      <w:bookmarkStart w:id="6" w:name="_Toc403144133"/>
      <w:bookmarkStart w:id="7" w:name="_Toc413320135"/>
      <w:r>
        <w:lastRenderedPageBreak/>
        <w:t>Contents</w:t>
      </w:r>
      <w:bookmarkEnd w:id="6"/>
      <w:bookmarkEnd w:id="7"/>
    </w:p>
    <w:p w:rsidR="005D7BA2" w:rsidRDefault="005D7BA2">
      <w:pPr>
        <w:spacing w:line="240" w:lineRule="auto"/>
      </w:pPr>
    </w:p>
    <w:sdt>
      <w:sdtPr>
        <w:rPr>
          <w:b w:val="0"/>
          <w:noProof w:val="0"/>
          <w:color w:val="auto"/>
          <w:sz w:val="22"/>
          <w:lang w:val="en-AU" w:eastAsia="en-US"/>
        </w:rPr>
        <w:id w:val="1269200322"/>
        <w:docPartObj>
          <w:docPartGallery w:val="Table of Contents"/>
          <w:docPartUnique/>
        </w:docPartObj>
      </w:sdtPr>
      <w:sdtEndPr>
        <w:rPr>
          <w:b/>
          <w:noProof/>
          <w:color w:val="70635A" w:themeColor="text2"/>
          <w:sz w:val="24"/>
          <w:lang w:val="en-US" w:eastAsia="ja-JP"/>
        </w:rPr>
      </w:sdtEndPr>
      <w:sdtContent>
        <w:p w:rsidR="008651B1" w:rsidRDefault="00DD5364">
          <w:pPr>
            <w:pStyle w:val="TOC1"/>
            <w:rPr>
              <w:rFonts w:asciiTheme="minorHAnsi" w:eastAsiaTheme="minorEastAsia" w:hAnsiTheme="minorHAnsi"/>
              <w:b w:val="0"/>
              <w:color w:val="auto"/>
              <w:sz w:val="22"/>
              <w:lang w:val="en-AU" w:eastAsia="en-AU"/>
            </w:rPr>
          </w:pPr>
          <w:r>
            <w:rPr>
              <w:color w:val="auto"/>
              <w:sz w:val="22"/>
            </w:rPr>
            <w:fldChar w:fldCharType="begin"/>
          </w:r>
          <w:r>
            <w:rPr>
              <w:color w:val="auto"/>
              <w:sz w:val="22"/>
            </w:rPr>
            <w:instrText xml:space="preserve"> TOC \o "1-3" \h \z \u \t "Heading 7,1,Heading 8,2,Heading 9,3" </w:instrText>
          </w:r>
          <w:r>
            <w:rPr>
              <w:color w:val="auto"/>
              <w:sz w:val="22"/>
            </w:rPr>
            <w:fldChar w:fldCharType="separate"/>
          </w:r>
          <w:hyperlink w:anchor="_Toc413320134" w:history="1">
            <w:r w:rsidR="008651B1" w:rsidRPr="00057FB3">
              <w:rPr>
                <w:rStyle w:val="Hyperlink"/>
              </w:rPr>
              <w:t>Note</w:t>
            </w:r>
            <w:r w:rsidR="008651B1">
              <w:rPr>
                <w:webHidden/>
              </w:rPr>
              <w:tab/>
            </w:r>
            <w:r w:rsidR="008651B1">
              <w:rPr>
                <w:webHidden/>
              </w:rPr>
              <w:fldChar w:fldCharType="begin"/>
            </w:r>
            <w:r w:rsidR="008651B1">
              <w:rPr>
                <w:webHidden/>
              </w:rPr>
              <w:instrText xml:space="preserve"> PAGEREF _Toc413320134 \h </w:instrText>
            </w:r>
            <w:r w:rsidR="008651B1">
              <w:rPr>
                <w:webHidden/>
              </w:rPr>
            </w:r>
            <w:r w:rsidR="008651B1">
              <w:rPr>
                <w:webHidden/>
              </w:rPr>
              <w:fldChar w:fldCharType="separate"/>
            </w:r>
            <w:r w:rsidR="005666E2">
              <w:rPr>
                <w:webHidden/>
              </w:rPr>
              <w:t>5-2</w:t>
            </w:r>
            <w:r w:rsidR="008651B1">
              <w:rPr>
                <w:webHidden/>
              </w:rPr>
              <w:fldChar w:fldCharType="end"/>
            </w:r>
          </w:hyperlink>
        </w:p>
        <w:p w:rsidR="008651B1" w:rsidRDefault="00B4423F">
          <w:pPr>
            <w:pStyle w:val="TOC1"/>
            <w:rPr>
              <w:rFonts w:asciiTheme="minorHAnsi" w:eastAsiaTheme="minorEastAsia" w:hAnsiTheme="minorHAnsi"/>
              <w:b w:val="0"/>
              <w:color w:val="auto"/>
              <w:sz w:val="22"/>
              <w:lang w:val="en-AU" w:eastAsia="en-AU"/>
            </w:rPr>
          </w:pPr>
          <w:hyperlink w:anchor="_Toc413320135" w:history="1">
            <w:r w:rsidR="008651B1" w:rsidRPr="00057FB3">
              <w:rPr>
                <w:rStyle w:val="Hyperlink"/>
              </w:rPr>
              <w:t>Contents</w:t>
            </w:r>
            <w:r w:rsidR="008651B1">
              <w:rPr>
                <w:webHidden/>
              </w:rPr>
              <w:tab/>
            </w:r>
            <w:r w:rsidR="008651B1">
              <w:rPr>
                <w:webHidden/>
              </w:rPr>
              <w:fldChar w:fldCharType="begin"/>
            </w:r>
            <w:r w:rsidR="008651B1">
              <w:rPr>
                <w:webHidden/>
              </w:rPr>
              <w:instrText xml:space="preserve"> PAGEREF _Toc413320135 \h </w:instrText>
            </w:r>
            <w:r w:rsidR="008651B1">
              <w:rPr>
                <w:webHidden/>
              </w:rPr>
            </w:r>
            <w:r w:rsidR="008651B1">
              <w:rPr>
                <w:webHidden/>
              </w:rPr>
              <w:fldChar w:fldCharType="separate"/>
            </w:r>
            <w:r w:rsidR="005666E2">
              <w:rPr>
                <w:webHidden/>
              </w:rPr>
              <w:t>5-3</w:t>
            </w:r>
            <w:r w:rsidR="008651B1">
              <w:rPr>
                <w:webHidden/>
              </w:rPr>
              <w:fldChar w:fldCharType="end"/>
            </w:r>
          </w:hyperlink>
        </w:p>
        <w:p w:rsidR="008651B1" w:rsidRDefault="00B4423F">
          <w:pPr>
            <w:pStyle w:val="TOC1"/>
            <w:rPr>
              <w:rFonts w:asciiTheme="minorHAnsi" w:eastAsiaTheme="minorEastAsia" w:hAnsiTheme="minorHAnsi"/>
              <w:b w:val="0"/>
              <w:color w:val="auto"/>
              <w:sz w:val="22"/>
              <w:lang w:val="en-AU" w:eastAsia="en-AU"/>
            </w:rPr>
          </w:pPr>
          <w:hyperlink w:anchor="_Toc413320136" w:history="1">
            <w:r w:rsidR="008651B1" w:rsidRPr="00057FB3">
              <w:rPr>
                <w:rStyle w:val="Hyperlink"/>
              </w:rPr>
              <w:t>Shortened forms</w:t>
            </w:r>
            <w:r w:rsidR="008651B1">
              <w:rPr>
                <w:webHidden/>
              </w:rPr>
              <w:tab/>
            </w:r>
            <w:r w:rsidR="008651B1">
              <w:rPr>
                <w:webHidden/>
              </w:rPr>
              <w:fldChar w:fldCharType="begin"/>
            </w:r>
            <w:r w:rsidR="008651B1">
              <w:rPr>
                <w:webHidden/>
              </w:rPr>
              <w:instrText xml:space="preserve"> PAGEREF _Toc413320136 \h </w:instrText>
            </w:r>
            <w:r w:rsidR="008651B1">
              <w:rPr>
                <w:webHidden/>
              </w:rPr>
            </w:r>
            <w:r w:rsidR="008651B1">
              <w:rPr>
                <w:webHidden/>
              </w:rPr>
              <w:fldChar w:fldCharType="separate"/>
            </w:r>
            <w:r w:rsidR="005666E2">
              <w:rPr>
                <w:webHidden/>
              </w:rPr>
              <w:t>5-4</w:t>
            </w:r>
            <w:r w:rsidR="008651B1">
              <w:rPr>
                <w:webHidden/>
              </w:rPr>
              <w:fldChar w:fldCharType="end"/>
            </w:r>
          </w:hyperlink>
        </w:p>
        <w:p w:rsidR="008651B1" w:rsidRDefault="00B4423F">
          <w:pPr>
            <w:pStyle w:val="TOC1"/>
            <w:rPr>
              <w:rFonts w:asciiTheme="minorHAnsi" w:eastAsiaTheme="minorEastAsia" w:hAnsiTheme="minorHAnsi"/>
              <w:b w:val="0"/>
              <w:color w:val="auto"/>
              <w:sz w:val="22"/>
              <w:lang w:val="en-AU" w:eastAsia="en-AU"/>
            </w:rPr>
          </w:pPr>
          <w:hyperlink w:anchor="_Toc413320137" w:history="1">
            <w:r w:rsidR="008651B1" w:rsidRPr="00057FB3">
              <w:rPr>
                <w:rStyle w:val="Hyperlink"/>
              </w:rPr>
              <w:t>5</w:t>
            </w:r>
            <w:r w:rsidR="008651B1">
              <w:rPr>
                <w:rFonts w:asciiTheme="minorHAnsi" w:eastAsiaTheme="minorEastAsia" w:hAnsiTheme="minorHAnsi"/>
                <w:b w:val="0"/>
                <w:color w:val="auto"/>
                <w:sz w:val="22"/>
                <w:lang w:val="en-AU" w:eastAsia="en-AU"/>
              </w:rPr>
              <w:tab/>
            </w:r>
            <w:r w:rsidR="008651B1" w:rsidRPr="00057FB3">
              <w:rPr>
                <w:rStyle w:val="Hyperlink"/>
              </w:rPr>
              <w:t>Regulatory depreciation</w:t>
            </w:r>
            <w:r w:rsidR="008651B1">
              <w:rPr>
                <w:webHidden/>
              </w:rPr>
              <w:tab/>
            </w:r>
            <w:r w:rsidR="008651B1">
              <w:rPr>
                <w:webHidden/>
              </w:rPr>
              <w:fldChar w:fldCharType="begin"/>
            </w:r>
            <w:r w:rsidR="008651B1">
              <w:rPr>
                <w:webHidden/>
              </w:rPr>
              <w:instrText xml:space="preserve"> PAGEREF _Toc413320137 \h </w:instrText>
            </w:r>
            <w:r w:rsidR="008651B1">
              <w:rPr>
                <w:webHidden/>
              </w:rPr>
            </w:r>
            <w:r w:rsidR="008651B1">
              <w:rPr>
                <w:webHidden/>
              </w:rPr>
              <w:fldChar w:fldCharType="separate"/>
            </w:r>
            <w:r w:rsidR="005666E2">
              <w:rPr>
                <w:webHidden/>
              </w:rPr>
              <w:t>5-6</w:t>
            </w:r>
            <w:r w:rsidR="008651B1">
              <w:rPr>
                <w:webHidden/>
              </w:rPr>
              <w:fldChar w:fldCharType="end"/>
            </w:r>
          </w:hyperlink>
        </w:p>
        <w:p w:rsidR="008651B1" w:rsidRDefault="00B4423F">
          <w:pPr>
            <w:pStyle w:val="TOC2"/>
            <w:rPr>
              <w:rFonts w:asciiTheme="minorHAnsi" w:eastAsiaTheme="minorEastAsia" w:hAnsiTheme="minorHAnsi"/>
              <w:b w:val="0"/>
              <w:color w:val="auto"/>
              <w:sz w:val="22"/>
              <w:lang w:eastAsia="en-AU"/>
            </w:rPr>
          </w:pPr>
          <w:hyperlink w:anchor="_Toc413320138" w:history="1">
            <w:r w:rsidR="008651B1" w:rsidRPr="00057FB3">
              <w:rPr>
                <w:rStyle w:val="Hyperlink"/>
              </w:rPr>
              <w:t>5.1</w:t>
            </w:r>
            <w:r w:rsidR="008651B1">
              <w:rPr>
                <w:rFonts w:asciiTheme="minorHAnsi" w:eastAsiaTheme="minorEastAsia" w:hAnsiTheme="minorHAnsi"/>
                <w:b w:val="0"/>
                <w:color w:val="auto"/>
                <w:sz w:val="22"/>
                <w:lang w:eastAsia="en-AU"/>
              </w:rPr>
              <w:tab/>
            </w:r>
            <w:r w:rsidR="008651B1" w:rsidRPr="00057FB3">
              <w:rPr>
                <w:rStyle w:val="Hyperlink"/>
              </w:rPr>
              <w:t>Final decision</w:t>
            </w:r>
            <w:r w:rsidR="008651B1">
              <w:rPr>
                <w:webHidden/>
              </w:rPr>
              <w:tab/>
            </w:r>
            <w:r w:rsidR="008651B1">
              <w:rPr>
                <w:webHidden/>
              </w:rPr>
              <w:fldChar w:fldCharType="begin"/>
            </w:r>
            <w:r w:rsidR="008651B1">
              <w:rPr>
                <w:webHidden/>
              </w:rPr>
              <w:instrText xml:space="preserve"> PAGEREF _Toc413320138 \h </w:instrText>
            </w:r>
            <w:r w:rsidR="008651B1">
              <w:rPr>
                <w:webHidden/>
              </w:rPr>
            </w:r>
            <w:r w:rsidR="008651B1">
              <w:rPr>
                <w:webHidden/>
              </w:rPr>
              <w:fldChar w:fldCharType="separate"/>
            </w:r>
            <w:r w:rsidR="005666E2">
              <w:rPr>
                <w:webHidden/>
              </w:rPr>
              <w:t>5-6</w:t>
            </w:r>
            <w:r w:rsidR="008651B1">
              <w:rPr>
                <w:webHidden/>
              </w:rPr>
              <w:fldChar w:fldCharType="end"/>
            </w:r>
          </w:hyperlink>
        </w:p>
        <w:p w:rsidR="008651B1" w:rsidRDefault="00B4423F">
          <w:pPr>
            <w:pStyle w:val="TOC2"/>
            <w:rPr>
              <w:rFonts w:asciiTheme="minorHAnsi" w:eastAsiaTheme="minorEastAsia" w:hAnsiTheme="minorHAnsi"/>
              <w:b w:val="0"/>
              <w:color w:val="auto"/>
              <w:sz w:val="22"/>
              <w:lang w:eastAsia="en-AU"/>
            </w:rPr>
          </w:pPr>
          <w:hyperlink w:anchor="_Toc413320139" w:history="1">
            <w:r w:rsidR="008651B1" w:rsidRPr="00057FB3">
              <w:rPr>
                <w:rStyle w:val="Hyperlink"/>
              </w:rPr>
              <w:t>5.2</w:t>
            </w:r>
            <w:r w:rsidR="008651B1">
              <w:rPr>
                <w:rFonts w:asciiTheme="minorHAnsi" w:eastAsiaTheme="minorEastAsia" w:hAnsiTheme="minorHAnsi"/>
                <w:b w:val="0"/>
                <w:color w:val="auto"/>
                <w:sz w:val="22"/>
                <w:lang w:eastAsia="en-AU"/>
              </w:rPr>
              <w:tab/>
            </w:r>
            <w:r w:rsidR="008651B1" w:rsidRPr="00057FB3">
              <w:rPr>
                <w:rStyle w:val="Hyperlink"/>
              </w:rPr>
              <w:t>Directlink’s revised proposal</w:t>
            </w:r>
            <w:r w:rsidR="008651B1">
              <w:rPr>
                <w:webHidden/>
              </w:rPr>
              <w:tab/>
            </w:r>
            <w:r w:rsidR="008651B1">
              <w:rPr>
                <w:webHidden/>
              </w:rPr>
              <w:fldChar w:fldCharType="begin"/>
            </w:r>
            <w:r w:rsidR="008651B1">
              <w:rPr>
                <w:webHidden/>
              </w:rPr>
              <w:instrText xml:space="preserve"> PAGEREF _Toc413320139 \h </w:instrText>
            </w:r>
            <w:r w:rsidR="008651B1">
              <w:rPr>
                <w:webHidden/>
              </w:rPr>
            </w:r>
            <w:r w:rsidR="008651B1">
              <w:rPr>
                <w:webHidden/>
              </w:rPr>
              <w:fldChar w:fldCharType="separate"/>
            </w:r>
            <w:r w:rsidR="005666E2">
              <w:rPr>
                <w:webHidden/>
              </w:rPr>
              <w:t>5-6</w:t>
            </w:r>
            <w:r w:rsidR="008651B1">
              <w:rPr>
                <w:webHidden/>
              </w:rPr>
              <w:fldChar w:fldCharType="end"/>
            </w:r>
          </w:hyperlink>
        </w:p>
        <w:p w:rsidR="008651B1" w:rsidRDefault="00B4423F">
          <w:pPr>
            <w:pStyle w:val="TOC2"/>
            <w:rPr>
              <w:rFonts w:asciiTheme="minorHAnsi" w:eastAsiaTheme="minorEastAsia" w:hAnsiTheme="minorHAnsi"/>
              <w:b w:val="0"/>
              <w:color w:val="auto"/>
              <w:sz w:val="22"/>
              <w:lang w:eastAsia="en-AU"/>
            </w:rPr>
          </w:pPr>
          <w:hyperlink w:anchor="_Toc413320140" w:history="1">
            <w:r w:rsidR="008651B1" w:rsidRPr="00057FB3">
              <w:rPr>
                <w:rStyle w:val="Hyperlink"/>
              </w:rPr>
              <w:t>5.3</w:t>
            </w:r>
            <w:r w:rsidR="008651B1">
              <w:rPr>
                <w:rFonts w:asciiTheme="minorHAnsi" w:eastAsiaTheme="minorEastAsia" w:hAnsiTheme="minorHAnsi"/>
                <w:b w:val="0"/>
                <w:color w:val="auto"/>
                <w:sz w:val="22"/>
                <w:lang w:eastAsia="en-AU"/>
              </w:rPr>
              <w:tab/>
            </w:r>
            <w:r w:rsidR="008651B1" w:rsidRPr="00057FB3">
              <w:rPr>
                <w:rStyle w:val="Hyperlink"/>
              </w:rPr>
              <w:t>AER’s assessment approach</w:t>
            </w:r>
            <w:r w:rsidR="008651B1">
              <w:rPr>
                <w:webHidden/>
              </w:rPr>
              <w:tab/>
            </w:r>
            <w:r w:rsidR="008651B1">
              <w:rPr>
                <w:webHidden/>
              </w:rPr>
              <w:fldChar w:fldCharType="begin"/>
            </w:r>
            <w:r w:rsidR="008651B1">
              <w:rPr>
                <w:webHidden/>
              </w:rPr>
              <w:instrText xml:space="preserve"> PAGEREF _Toc413320140 \h </w:instrText>
            </w:r>
            <w:r w:rsidR="008651B1">
              <w:rPr>
                <w:webHidden/>
              </w:rPr>
            </w:r>
            <w:r w:rsidR="008651B1">
              <w:rPr>
                <w:webHidden/>
              </w:rPr>
              <w:fldChar w:fldCharType="separate"/>
            </w:r>
            <w:r w:rsidR="005666E2">
              <w:rPr>
                <w:webHidden/>
              </w:rPr>
              <w:t>5-7</w:t>
            </w:r>
            <w:r w:rsidR="008651B1">
              <w:rPr>
                <w:webHidden/>
              </w:rPr>
              <w:fldChar w:fldCharType="end"/>
            </w:r>
          </w:hyperlink>
        </w:p>
        <w:p w:rsidR="008651B1" w:rsidRDefault="00B4423F">
          <w:pPr>
            <w:pStyle w:val="TOC2"/>
            <w:rPr>
              <w:rFonts w:asciiTheme="minorHAnsi" w:eastAsiaTheme="minorEastAsia" w:hAnsiTheme="minorHAnsi"/>
              <w:b w:val="0"/>
              <w:color w:val="auto"/>
              <w:sz w:val="22"/>
              <w:lang w:eastAsia="en-AU"/>
            </w:rPr>
          </w:pPr>
          <w:hyperlink w:anchor="_Toc413320141" w:history="1">
            <w:r w:rsidR="008651B1" w:rsidRPr="00057FB3">
              <w:rPr>
                <w:rStyle w:val="Hyperlink"/>
              </w:rPr>
              <w:t>5.4</w:t>
            </w:r>
            <w:r w:rsidR="008651B1">
              <w:rPr>
                <w:rFonts w:asciiTheme="minorHAnsi" w:eastAsiaTheme="minorEastAsia" w:hAnsiTheme="minorHAnsi"/>
                <w:b w:val="0"/>
                <w:color w:val="auto"/>
                <w:sz w:val="22"/>
                <w:lang w:eastAsia="en-AU"/>
              </w:rPr>
              <w:tab/>
            </w:r>
            <w:r w:rsidR="008651B1" w:rsidRPr="00057FB3">
              <w:rPr>
                <w:rStyle w:val="Hyperlink"/>
              </w:rPr>
              <w:t>Reasons for final decision</w:t>
            </w:r>
            <w:r w:rsidR="008651B1">
              <w:rPr>
                <w:webHidden/>
              </w:rPr>
              <w:tab/>
            </w:r>
            <w:r w:rsidR="008651B1">
              <w:rPr>
                <w:webHidden/>
              </w:rPr>
              <w:fldChar w:fldCharType="begin"/>
            </w:r>
            <w:r w:rsidR="008651B1">
              <w:rPr>
                <w:webHidden/>
              </w:rPr>
              <w:instrText xml:space="preserve"> PAGEREF _Toc413320141 \h </w:instrText>
            </w:r>
            <w:r w:rsidR="008651B1">
              <w:rPr>
                <w:webHidden/>
              </w:rPr>
            </w:r>
            <w:r w:rsidR="008651B1">
              <w:rPr>
                <w:webHidden/>
              </w:rPr>
              <w:fldChar w:fldCharType="separate"/>
            </w:r>
            <w:r w:rsidR="005666E2">
              <w:rPr>
                <w:webHidden/>
              </w:rPr>
              <w:t>5-7</w:t>
            </w:r>
            <w:r w:rsidR="008651B1">
              <w:rPr>
                <w:webHidden/>
              </w:rPr>
              <w:fldChar w:fldCharType="end"/>
            </w:r>
          </w:hyperlink>
        </w:p>
        <w:p w:rsidR="008651B1" w:rsidRDefault="00B4423F">
          <w:pPr>
            <w:pStyle w:val="TOC3"/>
            <w:rPr>
              <w:rFonts w:asciiTheme="minorHAnsi" w:eastAsiaTheme="minorEastAsia" w:hAnsiTheme="minorHAnsi"/>
              <w:lang w:eastAsia="en-AU"/>
            </w:rPr>
          </w:pPr>
          <w:hyperlink w:anchor="_Toc413320142" w:history="1">
            <w:r w:rsidR="008651B1" w:rsidRPr="00057FB3">
              <w:rPr>
                <w:rStyle w:val="Hyperlink"/>
              </w:rPr>
              <w:t>5.4.1</w:t>
            </w:r>
            <w:r w:rsidR="008651B1">
              <w:rPr>
                <w:rFonts w:asciiTheme="minorHAnsi" w:eastAsiaTheme="minorEastAsia" w:hAnsiTheme="minorHAnsi"/>
                <w:lang w:eastAsia="en-AU"/>
              </w:rPr>
              <w:tab/>
            </w:r>
            <w:r w:rsidR="008651B1" w:rsidRPr="00057FB3">
              <w:rPr>
                <w:rStyle w:val="Hyperlink"/>
              </w:rPr>
              <w:t>Standard and remaining asset lives</w:t>
            </w:r>
            <w:r w:rsidR="008651B1">
              <w:rPr>
                <w:webHidden/>
              </w:rPr>
              <w:tab/>
            </w:r>
            <w:r w:rsidR="008651B1">
              <w:rPr>
                <w:webHidden/>
              </w:rPr>
              <w:fldChar w:fldCharType="begin"/>
            </w:r>
            <w:r w:rsidR="008651B1">
              <w:rPr>
                <w:webHidden/>
              </w:rPr>
              <w:instrText xml:space="preserve"> PAGEREF _Toc413320142 \h </w:instrText>
            </w:r>
            <w:r w:rsidR="008651B1">
              <w:rPr>
                <w:webHidden/>
              </w:rPr>
            </w:r>
            <w:r w:rsidR="008651B1">
              <w:rPr>
                <w:webHidden/>
              </w:rPr>
              <w:fldChar w:fldCharType="separate"/>
            </w:r>
            <w:r w:rsidR="005666E2">
              <w:rPr>
                <w:webHidden/>
              </w:rPr>
              <w:t>5-8</w:t>
            </w:r>
            <w:r w:rsidR="008651B1">
              <w:rPr>
                <w:webHidden/>
              </w:rPr>
              <w:fldChar w:fldCharType="end"/>
            </w:r>
          </w:hyperlink>
        </w:p>
        <w:p w:rsidR="00DE563D" w:rsidRDefault="00DD5364" w:rsidP="00DD5364">
          <w:pPr>
            <w:pStyle w:val="TOC1"/>
          </w:pPr>
          <w:r>
            <w:rPr>
              <w:color w:val="auto"/>
              <w:sz w:val="22"/>
            </w:rPr>
            <w:fldChar w:fldCharType="end"/>
          </w:r>
        </w:p>
      </w:sdtContent>
    </w:sdt>
    <w:p w:rsidR="00DE563D" w:rsidRDefault="00DE563D">
      <w:pPr>
        <w:spacing w:line="240" w:lineRule="auto"/>
      </w:pPr>
    </w:p>
    <w:p w:rsidR="00DE563D" w:rsidRDefault="00DE563D" w:rsidP="00DE563D">
      <w:pPr>
        <w:pStyle w:val="UnnumberedHeading"/>
        <w:numPr>
          <w:ilvl w:val="0"/>
          <w:numId w:val="24"/>
        </w:numPr>
      </w:pPr>
      <w:bookmarkStart w:id="8" w:name="_Toc404700925"/>
      <w:bookmarkStart w:id="9" w:name="_Toc413320136"/>
      <w:r>
        <w:lastRenderedPageBreak/>
        <w:t>Shortened forms</w:t>
      </w:r>
      <w:bookmarkEnd w:id="8"/>
      <w:bookmarkEnd w:id="9"/>
    </w:p>
    <w:p w:rsidR="00DE563D" w:rsidRPr="00271F7C" w:rsidRDefault="00DE563D" w:rsidP="00DE563D">
      <w:pPr>
        <w:numPr>
          <w:ilvl w:val="0"/>
          <w:numId w:val="25"/>
        </w:numPr>
      </w:pPr>
    </w:p>
    <w:tbl>
      <w:tblPr>
        <w:tblStyle w:val="AERtable-numbers"/>
        <w:tblW w:w="0" w:type="auto"/>
        <w:tblLook w:val="04A0" w:firstRow="1" w:lastRow="0" w:firstColumn="1" w:lastColumn="0" w:noHBand="0" w:noVBand="1"/>
      </w:tblPr>
      <w:tblGrid>
        <w:gridCol w:w="4340"/>
        <w:gridCol w:w="4353"/>
      </w:tblGrid>
      <w:tr w:rsidR="00DD5364" w:rsidRPr="00307E24" w:rsidTr="0014485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Shortened form</w:t>
            </w:r>
          </w:p>
        </w:tc>
        <w:tc>
          <w:tcPr>
            <w:tcW w:w="4621" w:type="dxa"/>
          </w:tcPr>
          <w:p w:rsidR="00DD5364" w:rsidRPr="00307E24" w:rsidRDefault="00DD5364" w:rsidP="00DD5364">
            <w:pPr>
              <w:numPr>
                <w:ilvl w:val="0"/>
                <w:numId w:val="25"/>
              </w:numPr>
              <w:spacing w:after="240" w:line="288" w:lineRule="auto"/>
              <w:jc w:val="both"/>
              <w:cnfStyle w:val="100000000000" w:firstRow="1" w:lastRow="0" w:firstColumn="0" w:lastColumn="0" w:oddVBand="0" w:evenVBand="0" w:oddHBand="0" w:evenHBand="0" w:firstRowFirstColumn="0" w:firstRowLastColumn="0" w:lastRowFirstColumn="0" w:lastRowLastColumn="0"/>
            </w:pPr>
            <w:r w:rsidRPr="00307E24">
              <w:t>Extended form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AARR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aggregate annual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AEMC</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Market Commission</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AEMO</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Australian Energy Market Operator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AER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Australian Energy Regulator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ASRR</w:t>
            </w:r>
          </w:p>
        </w:tc>
        <w:tc>
          <w:tcPr>
            <w:tcW w:w="4621" w:type="dxa"/>
          </w:tcPr>
          <w:p w:rsidR="00DD5364" w:rsidRPr="00307E24" w:rsidRDefault="000A36FD"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t>annual</w:t>
            </w:r>
            <w:r w:rsidR="00DD5364" w:rsidRPr="00307E24">
              <w:t xml:space="preserve"> service revenue requirement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augex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augmentation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capex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CCP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Challenge Panel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CESS</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capital expenditure sharing scheme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CPI</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consumer price index</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DRP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debt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EBSS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efficiency benefit sharing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ERP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equity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MAR</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maximum allowed revenue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MRP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market risk premium</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NEL</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law</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market</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NEO</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national electricity objective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NER</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national electricity rules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NSP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network service provider</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lastRenderedPageBreak/>
              <w:t>NTSC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negotiated transmission service criteria</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opex</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operating expenditure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PPI</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partial performance indicators</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PTRM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post-tax revenue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RAB</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asset base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RBA</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Reserve Bank of Australia</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repex</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replacement expenditure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RFM</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roll forward model</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RIN</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regulatory information notice</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RPP</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revenue</w:t>
            </w:r>
            <w:r w:rsidR="000A36FD">
              <w:t xml:space="preserve"> and</w:t>
            </w:r>
            <w:r w:rsidRPr="00307E24">
              <w:t xml:space="preserve"> pricing principles</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SLCAPM</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Sharpe-Lintner capital asset pricing model</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STPIS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service target performance incentive scheme</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TNSP</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transmission network service provider</w:t>
            </w:r>
          </w:p>
        </w:tc>
      </w:tr>
      <w:tr w:rsidR="00DD5364" w:rsidRPr="00307E24" w:rsidTr="0014485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TUoS</w:t>
            </w:r>
          </w:p>
        </w:tc>
        <w:tc>
          <w:tcPr>
            <w:tcW w:w="4621" w:type="dxa"/>
          </w:tcPr>
          <w:p w:rsidR="00DD5364" w:rsidRPr="00307E24" w:rsidRDefault="00DD5364" w:rsidP="00DD5364">
            <w:pPr>
              <w:numPr>
                <w:ilvl w:val="0"/>
                <w:numId w:val="25"/>
              </w:numPr>
              <w:spacing w:after="240" w:line="288" w:lineRule="auto"/>
              <w:jc w:val="both"/>
              <w:cnfStyle w:val="000000010000" w:firstRow="0" w:lastRow="0" w:firstColumn="0" w:lastColumn="0" w:oddVBand="0" w:evenVBand="0" w:oddHBand="0" w:evenHBand="1" w:firstRowFirstColumn="0" w:firstRowLastColumn="0" w:lastRowFirstColumn="0" w:lastRowLastColumn="0"/>
            </w:pPr>
            <w:r w:rsidRPr="00307E24">
              <w:t>transmission use of system</w:t>
            </w:r>
          </w:p>
        </w:tc>
      </w:tr>
      <w:tr w:rsidR="00DD5364" w:rsidRPr="00307E24" w:rsidTr="00144850">
        <w:tc>
          <w:tcPr>
            <w:cnfStyle w:val="001000000000" w:firstRow="0" w:lastRow="0" w:firstColumn="1" w:lastColumn="0" w:oddVBand="0" w:evenVBand="0" w:oddHBand="0" w:evenHBand="0" w:firstRowFirstColumn="0" w:firstRowLastColumn="0" w:lastRowFirstColumn="0" w:lastRowLastColumn="0"/>
            <w:tcW w:w="4621" w:type="dxa"/>
          </w:tcPr>
          <w:p w:rsidR="00DD5364" w:rsidRPr="00307E24" w:rsidRDefault="00DD5364" w:rsidP="00DD5364">
            <w:pPr>
              <w:numPr>
                <w:ilvl w:val="0"/>
                <w:numId w:val="25"/>
              </w:numPr>
              <w:spacing w:after="240" w:line="288" w:lineRule="auto"/>
              <w:jc w:val="both"/>
            </w:pPr>
            <w:r w:rsidRPr="00307E24">
              <w:t>WACC</w:t>
            </w:r>
          </w:p>
        </w:tc>
        <w:tc>
          <w:tcPr>
            <w:tcW w:w="4621" w:type="dxa"/>
          </w:tcPr>
          <w:p w:rsidR="00DD5364" w:rsidRPr="00307E24" w:rsidRDefault="00DD5364" w:rsidP="00DD5364">
            <w:pPr>
              <w:numPr>
                <w:ilvl w:val="0"/>
                <w:numId w:val="25"/>
              </w:numPr>
              <w:spacing w:after="240" w:line="288" w:lineRule="auto"/>
              <w:jc w:val="both"/>
              <w:cnfStyle w:val="000000000000" w:firstRow="0" w:lastRow="0" w:firstColumn="0" w:lastColumn="0" w:oddVBand="0" w:evenVBand="0" w:oddHBand="0" w:evenHBand="0" w:firstRowFirstColumn="0" w:firstRowLastColumn="0" w:lastRowFirstColumn="0" w:lastRowLastColumn="0"/>
            </w:pPr>
            <w:r w:rsidRPr="00307E24">
              <w:t>weighted average cost of capital</w:t>
            </w:r>
          </w:p>
        </w:tc>
      </w:tr>
    </w:tbl>
    <w:p w:rsidR="00DE563D" w:rsidRPr="00436A39" w:rsidRDefault="00DE563D" w:rsidP="00DE563D">
      <w:pPr>
        <w:numPr>
          <w:ilvl w:val="0"/>
          <w:numId w:val="25"/>
        </w:numPr>
      </w:pPr>
    </w:p>
    <w:p w:rsidR="00DE563D" w:rsidRDefault="00DE563D" w:rsidP="00DE563D"/>
    <w:p w:rsidR="00DE563D" w:rsidRPr="00AF1F9E" w:rsidRDefault="0067138E" w:rsidP="0067138E">
      <w:pPr>
        <w:pStyle w:val="Heading1"/>
      </w:pPr>
      <w:bookmarkStart w:id="10" w:name="_Toc413320137"/>
      <w:r>
        <w:lastRenderedPageBreak/>
        <w:t>Regulatory depreciation</w:t>
      </w:r>
      <w:bookmarkEnd w:id="10"/>
    </w:p>
    <w:p w:rsidR="009505FA" w:rsidRPr="00B30299" w:rsidRDefault="009505FA" w:rsidP="009505FA">
      <w:r>
        <w:t xml:space="preserve">The AER is required to decide on the indexation of the </w:t>
      </w:r>
      <w:r w:rsidRPr="00592E76">
        <w:t>regulatory asset base (RAB) and depreciation building block</w:t>
      </w:r>
      <w:r>
        <w:t>s</w:t>
      </w:r>
      <w:r w:rsidRPr="00592E76">
        <w:t xml:space="preserve"> for </w:t>
      </w:r>
      <w:r>
        <w:t>Directlink'</w:t>
      </w:r>
      <w:r w:rsidRPr="005C515A">
        <w:t xml:space="preserve">s </w:t>
      </w:r>
      <w:r>
        <w:t>2015–20</w:t>
      </w:r>
      <w:r w:rsidRPr="005C515A">
        <w:t xml:space="preserve"> </w:t>
      </w:r>
      <w:r>
        <w:t>regulatory control period</w:t>
      </w:r>
      <w:r w:rsidRPr="00592E76">
        <w:t>.</w:t>
      </w:r>
      <w:r w:rsidRPr="00592E76">
        <w:rPr>
          <w:rStyle w:val="FootnoteReference"/>
        </w:rPr>
        <w:footnoteReference w:id="1"/>
      </w:r>
      <w:r w:rsidRPr="00592E76">
        <w:t xml:space="preserve"> </w:t>
      </w:r>
      <w:r w:rsidRPr="00B30299">
        <w:t xml:space="preserve">We use regulatory depreciation to model the nominal asset values over the regulatory control period, and set the depreciation allowance in the annual building block revenue requirement. The regulatory depreciation allowance (or return of capital) is the net total of the straight-line depreciation (negative) and the indexation of the RAB (positive). </w:t>
      </w:r>
    </w:p>
    <w:p w:rsidR="00DE563D" w:rsidRPr="00AF1F9E" w:rsidRDefault="009505FA" w:rsidP="008C7A65">
      <w:pPr>
        <w:numPr>
          <w:ilvl w:val="0"/>
          <w:numId w:val="25"/>
        </w:numPr>
      </w:pPr>
      <w:r w:rsidRPr="00446E00">
        <w:t xml:space="preserve">This </w:t>
      </w:r>
      <w:r w:rsidRPr="00592E76">
        <w:t xml:space="preserve">attachment sets out our </w:t>
      </w:r>
      <w:r>
        <w:t xml:space="preserve">final </w:t>
      </w:r>
      <w:r w:rsidRPr="00592E76">
        <w:t xml:space="preserve">decision on </w:t>
      </w:r>
      <w:r>
        <w:t>Directlink</w:t>
      </w:r>
      <w:r w:rsidRPr="00592E76">
        <w:t>'</w:t>
      </w:r>
      <w:r>
        <w:t>s</w:t>
      </w:r>
      <w:r w:rsidRPr="00592E76">
        <w:t xml:space="preserve"> regulatory depreciation allowance. It also presents our </w:t>
      </w:r>
      <w:r>
        <w:t>final</w:t>
      </w:r>
      <w:r w:rsidRPr="00592E76">
        <w:t xml:space="preserve"> decision on </w:t>
      </w:r>
      <w:r>
        <w:t>the revised</w:t>
      </w:r>
      <w:r w:rsidRPr="00592E76">
        <w:t xml:space="preserve"> proposed depreciation schedule</w:t>
      </w:r>
      <w:r>
        <w:t>s</w:t>
      </w:r>
      <w:r w:rsidRPr="00592E76">
        <w:t xml:space="preserve">, including the </w:t>
      </w:r>
      <w:r w:rsidR="008651B1">
        <w:t xml:space="preserve">revised </w:t>
      </w:r>
      <w:r>
        <w:t xml:space="preserve">proposed </w:t>
      </w:r>
      <w:r w:rsidRPr="00592E76">
        <w:t xml:space="preserve">standard and remaining asset lives to be used for </w:t>
      </w:r>
      <w:r>
        <w:t xml:space="preserve">forecasting </w:t>
      </w:r>
      <w:r w:rsidRPr="00592E76">
        <w:t>depreciation</w:t>
      </w:r>
      <w:r>
        <w:t xml:space="preserve"> allowances.</w:t>
      </w:r>
    </w:p>
    <w:p w:rsidR="00DE563D" w:rsidRPr="00AF1F9E" w:rsidRDefault="00AF1F9E" w:rsidP="00AF1F9E">
      <w:pPr>
        <w:pStyle w:val="Heading2"/>
      </w:pPr>
      <w:bookmarkStart w:id="11" w:name="_Toc403144136"/>
      <w:bookmarkStart w:id="12" w:name="_Toc413320138"/>
      <w:r>
        <w:t>Final</w:t>
      </w:r>
      <w:r w:rsidR="00DE563D" w:rsidRPr="00AF1F9E">
        <w:t xml:space="preserve"> decision</w:t>
      </w:r>
      <w:bookmarkEnd w:id="11"/>
      <w:bookmarkEnd w:id="12"/>
    </w:p>
    <w:p w:rsidR="009505FA" w:rsidRDefault="008651B1" w:rsidP="009505FA">
      <w:pPr>
        <w:numPr>
          <w:ilvl w:val="0"/>
          <w:numId w:val="25"/>
        </w:numPr>
      </w:pPr>
      <w:r>
        <w:t>We determine</w:t>
      </w:r>
      <w:r w:rsidR="009505FA">
        <w:t xml:space="preserve"> Directlink's regulatory depreciation allowance is $</w:t>
      </w:r>
      <w:r w:rsidR="00081906">
        <w:t>10.7</w:t>
      </w:r>
      <w:r w:rsidR="009505FA">
        <w:t xml:space="preserve"> million ($</w:t>
      </w:r>
      <w:r w:rsidR="005666E2">
        <w:t> </w:t>
      </w:r>
      <w:r w:rsidR="009505FA">
        <w:t>nominal)</w:t>
      </w:r>
      <w:r>
        <w:t xml:space="preserve"> for the 2015–20 regulatory control period</w:t>
      </w:r>
      <w:r w:rsidR="009505FA">
        <w:t>. This is a reduction of $</w:t>
      </w:r>
      <w:r w:rsidR="00081906">
        <w:t>0.</w:t>
      </w:r>
      <w:r w:rsidR="005666E2">
        <w:t>5</w:t>
      </w:r>
      <w:r w:rsidR="009505FA">
        <w:t xml:space="preserve"> million (or </w:t>
      </w:r>
      <w:r w:rsidR="00081906">
        <w:t>5.5</w:t>
      </w:r>
      <w:r w:rsidR="009505FA">
        <w:t xml:space="preserve"> per cent) from Directlink's revised proposal. </w:t>
      </w:r>
    </w:p>
    <w:p w:rsidR="008C7A65" w:rsidRDefault="009505FA" w:rsidP="009C6E7F">
      <w:pPr>
        <w:rPr>
          <w:rStyle w:val="AERsuperscript"/>
        </w:rPr>
      </w:pPr>
      <w:r w:rsidRPr="009505FA">
        <w:t xml:space="preserve">We accept </w:t>
      </w:r>
      <w:r>
        <w:t xml:space="preserve">Directlink's </w:t>
      </w:r>
      <w:r w:rsidRPr="009505FA">
        <w:t xml:space="preserve">proposed depreciation method set out in its revised proposal. </w:t>
      </w:r>
      <w:r w:rsidR="008C7A65" w:rsidRPr="00B30299">
        <w:t xml:space="preserve">However, our final decision on </w:t>
      </w:r>
      <w:r w:rsidR="008C7A65">
        <w:t>Directlink's</w:t>
      </w:r>
      <w:r w:rsidR="008C7A65" w:rsidRPr="00B30299">
        <w:t xml:space="preserve"> regulatory depreciation allowance for the 201</w:t>
      </w:r>
      <w:r w:rsidR="008C7A65">
        <w:t>5</w:t>
      </w:r>
      <w:r w:rsidR="008C7A65" w:rsidRPr="00B30299">
        <w:t>–</w:t>
      </w:r>
      <w:r w:rsidR="008C7A65">
        <w:t>20 regulatory control</w:t>
      </w:r>
      <w:r w:rsidR="008C7A65" w:rsidRPr="00B30299">
        <w:t xml:space="preserve"> period differs from </w:t>
      </w:r>
      <w:r w:rsidR="008C7A65">
        <w:t xml:space="preserve">its </w:t>
      </w:r>
      <w:r w:rsidR="008C7A65" w:rsidRPr="00B30299">
        <w:t>revised proposal</w:t>
      </w:r>
      <w:r w:rsidR="008C7A65">
        <w:t>. This is because</w:t>
      </w:r>
      <w:r w:rsidRPr="00617AED">
        <w:t xml:space="preserve"> our determinations on other components of </w:t>
      </w:r>
      <w:r>
        <w:t>Directlink</w:t>
      </w:r>
      <w:r w:rsidRPr="00617AED">
        <w:t>'</w:t>
      </w:r>
      <w:r>
        <w:t>s</w:t>
      </w:r>
      <w:r w:rsidRPr="00617AED">
        <w:t xml:space="preserve"> </w:t>
      </w:r>
      <w:r w:rsidR="008C7A65">
        <w:t xml:space="preserve">revised </w:t>
      </w:r>
      <w:r w:rsidRPr="00617AED">
        <w:t>proposal affect the</w:t>
      </w:r>
      <w:r>
        <w:t xml:space="preserve"> forecast</w:t>
      </w:r>
      <w:r w:rsidRPr="00617AED">
        <w:t xml:space="preserve"> regulatory depreciation allowance—for example, </w:t>
      </w:r>
      <w:r w:rsidR="00AF2B46" w:rsidRPr="00617AED">
        <w:t>the opening RAB value (attachment</w:t>
      </w:r>
      <w:r w:rsidR="005666E2">
        <w:t> </w:t>
      </w:r>
      <w:r w:rsidR="00AF2B46" w:rsidRPr="00AF2B46">
        <w:t>2)</w:t>
      </w:r>
      <w:r w:rsidR="00AF2B46">
        <w:t xml:space="preserve"> and</w:t>
      </w:r>
      <w:r>
        <w:t xml:space="preserve"> </w:t>
      </w:r>
      <w:r w:rsidRPr="00617AED">
        <w:t xml:space="preserve">forecast capital expenditure (capex) (attachment </w:t>
      </w:r>
      <w:r>
        <w:t>6</w:t>
      </w:r>
      <w:r w:rsidRPr="00617AED">
        <w:t>).</w:t>
      </w:r>
      <w:r w:rsidRPr="0099256B">
        <w:rPr>
          <w:rStyle w:val="AERsuperscript"/>
        </w:rPr>
        <w:footnoteReference w:id="2"/>
      </w:r>
      <w:r w:rsidRPr="00783192">
        <w:rPr>
          <w:rStyle w:val="AERsuperscript"/>
        </w:rPr>
        <w:t xml:space="preserve"> </w:t>
      </w:r>
    </w:p>
    <w:p w:rsidR="009505FA" w:rsidRPr="00B63AFD" w:rsidRDefault="009505FA" w:rsidP="009C6E7F">
      <w:r>
        <w:rPr>
          <w:rStyle w:val="AERsuperscript"/>
        </w:rPr>
        <w:fldChar w:fldCharType="begin"/>
      </w:r>
      <w:r>
        <w:rPr>
          <w:rStyle w:val="AERsuperscript"/>
        </w:rPr>
        <w:instrText xml:space="preserve"> REF _Ref402785238 \h </w:instrText>
      </w:r>
      <w:r>
        <w:rPr>
          <w:rStyle w:val="AERsuperscript"/>
        </w:rPr>
      </w:r>
      <w:r>
        <w:rPr>
          <w:rStyle w:val="AERsuperscript"/>
        </w:rPr>
        <w:fldChar w:fldCharType="separate"/>
      </w:r>
      <w:r w:rsidRPr="00EE4058">
        <w:t xml:space="preserve">Table </w:t>
      </w:r>
      <w:r>
        <w:t>5</w:t>
      </w:r>
      <w:r>
        <w:noBreakHyphen/>
      </w:r>
      <w:r w:rsidRPr="009505FA">
        <w:t>1</w:t>
      </w:r>
      <w:r>
        <w:rPr>
          <w:rStyle w:val="AERsuperscript"/>
        </w:rPr>
        <w:fldChar w:fldCharType="end"/>
      </w:r>
      <w:r>
        <w:rPr>
          <w:rStyle w:val="AERsuperscript"/>
        </w:rPr>
        <w:t xml:space="preserve"> </w:t>
      </w:r>
      <w:r w:rsidRPr="00B63AFD">
        <w:t>set</w:t>
      </w:r>
      <w:r>
        <w:t>s</w:t>
      </w:r>
      <w:r w:rsidRPr="00B63AFD">
        <w:t xml:space="preserve"> out our </w:t>
      </w:r>
      <w:r w:rsidR="008C7A65">
        <w:t>final</w:t>
      </w:r>
      <w:r w:rsidR="008C7A65" w:rsidRPr="00B63AFD">
        <w:t xml:space="preserve"> </w:t>
      </w:r>
      <w:r w:rsidRPr="00B63AFD">
        <w:t xml:space="preserve">decision on </w:t>
      </w:r>
      <w:r>
        <w:t xml:space="preserve">the </w:t>
      </w:r>
      <w:r w:rsidRPr="00B63AFD">
        <w:t>annual regulatory depreciation allowance</w:t>
      </w:r>
      <w:r w:rsidRPr="00806736">
        <w:t xml:space="preserve"> </w:t>
      </w:r>
      <w:r>
        <w:t>for Directlink's 2015–20 regulatory control period.</w:t>
      </w:r>
    </w:p>
    <w:p w:rsidR="009505FA" w:rsidRPr="00EE4058" w:rsidRDefault="009505FA" w:rsidP="009505FA">
      <w:pPr>
        <w:pStyle w:val="Caption"/>
      </w:pPr>
      <w:bookmarkStart w:id="13" w:name="_Ref402785238"/>
      <w:r w:rsidRPr="00EE4058">
        <w:t xml:space="preserve">Table </w:t>
      </w:r>
      <w:r>
        <w:t>5</w:t>
      </w:r>
      <w:r>
        <w:noBreakHyphen/>
      </w:r>
      <w:r w:rsidRPr="009505FA">
        <w:fldChar w:fldCharType="begin"/>
      </w:r>
      <w:r>
        <w:instrText xml:space="preserve"> SEQ Table \* ARABIC \s 1 </w:instrText>
      </w:r>
      <w:r w:rsidRPr="009505FA">
        <w:fldChar w:fldCharType="separate"/>
      </w:r>
      <w:r w:rsidRPr="009505FA">
        <w:t>1</w:t>
      </w:r>
      <w:r w:rsidRPr="009505FA">
        <w:fldChar w:fldCharType="end"/>
      </w:r>
      <w:bookmarkEnd w:id="13"/>
      <w:r w:rsidRPr="00EE4058">
        <w:tab/>
        <w:t xml:space="preserve">AER's </w:t>
      </w:r>
      <w:r w:rsidR="008C7A65">
        <w:t>final</w:t>
      </w:r>
      <w:r w:rsidRPr="00EE4058">
        <w:t xml:space="preserve"> decision on </w:t>
      </w:r>
      <w:r>
        <w:t>Directlink</w:t>
      </w:r>
      <w:r w:rsidRPr="00EE4058">
        <w:t>'s depreciation allowance</w:t>
      </w:r>
      <w:r>
        <w:t xml:space="preserve"> for the</w:t>
      </w:r>
      <w:r w:rsidRPr="00EE4058">
        <w:t xml:space="preserve"> 201</w:t>
      </w:r>
      <w:r>
        <w:t>5</w:t>
      </w:r>
      <w:r w:rsidRPr="00EE4058">
        <w:t>–</w:t>
      </w:r>
      <w:r>
        <w:t>20</w:t>
      </w:r>
      <w:r w:rsidRPr="00EE4058">
        <w:t xml:space="preserve"> regulatory control period ($ million, nominal)</w:t>
      </w:r>
    </w:p>
    <w:tbl>
      <w:tblPr>
        <w:tblStyle w:val="AERtable-numbers"/>
        <w:tblW w:w="8661" w:type="dxa"/>
        <w:tblLayout w:type="fixed"/>
        <w:tblLook w:val="01E0" w:firstRow="1" w:lastRow="1" w:firstColumn="1" w:lastColumn="1" w:noHBand="0" w:noVBand="0"/>
      </w:tblPr>
      <w:tblGrid>
        <w:gridCol w:w="3227"/>
        <w:gridCol w:w="905"/>
        <w:gridCol w:w="906"/>
        <w:gridCol w:w="906"/>
        <w:gridCol w:w="905"/>
        <w:gridCol w:w="906"/>
        <w:gridCol w:w="906"/>
      </w:tblGrid>
      <w:tr w:rsidR="00E91865" w:rsidRPr="00E91865" w:rsidTr="008C7A65">
        <w:trPr>
          <w:cnfStyle w:val="100000000000" w:firstRow="1" w:lastRow="0" w:firstColumn="0" w:lastColumn="0" w:oddVBand="0" w:evenVBand="0" w:oddHBand="0"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tc>
        <w:tc>
          <w:tcPr>
            <w:tcW w:w="905"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2015–16</w:t>
            </w:r>
          </w:p>
        </w:tc>
        <w:tc>
          <w:tcPr>
            <w:tcW w:w="906"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2016–17</w:t>
            </w:r>
          </w:p>
        </w:tc>
        <w:tc>
          <w:tcPr>
            <w:tcW w:w="906"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2017–18</w:t>
            </w:r>
          </w:p>
        </w:tc>
        <w:tc>
          <w:tcPr>
            <w:tcW w:w="905"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2018–19</w:t>
            </w:r>
          </w:p>
        </w:tc>
        <w:tc>
          <w:tcPr>
            <w:tcW w:w="906"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2019–20</w:t>
            </w:r>
          </w:p>
        </w:tc>
        <w:tc>
          <w:tcPr>
            <w:tcW w:w="906"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Total</w:t>
            </w:r>
          </w:p>
        </w:tc>
      </w:tr>
      <w:tr w:rsidR="009505FA" w:rsidRPr="00E91865" w:rsidTr="008C7A65">
        <w:trPr>
          <w:trHeight w:val="408"/>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r w:rsidRPr="00E91865">
              <w:t>Straight-line depreciation</w:t>
            </w:r>
          </w:p>
        </w:tc>
        <w:tc>
          <w:tcPr>
            <w:tcW w:w="905"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pPr>
            <w:r>
              <w:t>5.0</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pPr>
            <w:r>
              <w:t>5.4</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pPr>
            <w:r>
              <w:t>5.6</w:t>
            </w:r>
          </w:p>
        </w:tc>
        <w:tc>
          <w:tcPr>
            <w:tcW w:w="905" w:type="dxa"/>
          </w:tcPr>
          <w:p w:rsidR="009505FA" w:rsidRPr="00E91865" w:rsidRDefault="00C73C11" w:rsidP="00081906">
            <w:pPr>
              <w:cnfStyle w:val="000000000000" w:firstRow="0" w:lastRow="0" w:firstColumn="0" w:lastColumn="0" w:oddVBand="0" w:evenVBand="0" w:oddHBand="0" w:evenHBand="0" w:firstRowFirstColumn="0" w:firstRowLastColumn="0" w:lastRowFirstColumn="0" w:lastRowLastColumn="0"/>
            </w:pPr>
            <w:r>
              <w:t>5.</w:t>
            </w:r>
            <w:r w:rsidR="00081906">
              <w:t>8</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pPr>
            <w:r>
              <w:t>6.1</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pPr>
            <w:r>
              <w:t>2</w:t>
            </w:r>
            <w:r w:rsidR="00081906">
              <w:t>7.7</w:t>
            </w:r>
          </w:p>
        </w:tc>
      </w:tr>
      <w:tr w:rsidR="00E91865" w:rsidRPr="00E91865" w:rsidTr="008C7A65">
        <w:trPr>
          <w:cnfStyle w:val="000000010000" w:firstRow="0" w:lastRow="0" w:firstColumn="0" w:lastColumn="0" w:oddVBand="0" w:evenVBand="0" w:oddHBand="0" w:evenHBand="1"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r w:rsidRPr="00E91865">
              <w:rPr>
                <w:rStyle w:val="AERtextitalic"/>
              </w:rPr>
              <w:t>Less</w:t>
            </w:r>
            <w:r w:rsidRPr="00E91865">
              <w:t>: inflation indexation on opening RAB</w:t>
            </w:r>
          </w:p>
        </w:tc>
        <w:tc>
          <w:tcPr>
            <w:tcW w:w="905" w:type="dxa"/>
          </w:tcPr>
          <w:p w:rsidR="009505FA" w:rsidRPr="00E91865" w:rsidRDefault="00C73C11" w:rsidP="00C73C11">
            <w:pPr>
              <w:cnfStyle w:val="000000010000" w:firstRow="0" w:lastRow="0" w:firstColumn="0" w:lastColumn="0" w:oddVBand="0" w:evenVBand="0" w:oddHBand="0" w:evenHBand="1" w:firstRowFirstColumn="0" w:firstRowLastColumn="0" w:lastRowFirstColumn="0" w:lastRowLastColumn="0"/>
            </w:pPr>
            <w:r>
              <w:t>3.3</w:t>
            </w:r>
          </w:p>
        </w:tc>
        <w:tc>
          <w:tcPr>
            <w:tcW w:w="906" w:type="dxa"/>
          </w:tcPr>
          <w:p w:rsidR="009505FA" w:rsidRPr="00E91865" w:rsidRDefault="00C73C11" w:rsidP="00C73C11">
            <w:pPr>
              <w:cnfStyle w:val="000000010000" w:firstRow="0" w:lastRow="0" w:firstColumn="0" w:lastColumn="0" w:oddVBand="0" w:evenVBand="0" w:oddHBand="0" w:evenHBand="1" w:firstRowFirstColumn="0" w:firstRowLastColumn="0" w:lastRowFirstColumn="0" w:lastRowLastColumn="0"/>
            </w:pPr>
            <w:r>
              <w:t>3.</w:t>
            </w:r>
            <w:r w:rsidR="00081906">
              <w:t>4</w:t>
            </w:r>
          </w:p>
        </w:tc>
        <w:tc>
          <w:tcPr>
            <w:tcW w:w="906" w:type="dxa"/>
          </w:tcPr>
          <w:p w:rsidR="009505FA" w:rsidRPr="00E91865" w:rsidRDefault="00C73C11" w:rsidP="00C73C11">
            <w:pPr>
              <w:cnfStyle w:val="000000010000" w:firstRow="0" w:lastRow="0" w:firstColumn="0" w:lastColumn="0" w:oddVBand="0" w:evenVBand="0" w:oddHBand="0" w:evenHBand="1" w:firstRowFirstColumn="0" w:firstRowLastColumn="0" w:lastRowFirstColumn="0" w:lastRowLastColumn="0"/>
            </w:pPr>
            <w:r>
              <w:t>3.</w:t>
            </w:r>
            <w:r w:rsidR="00081906">
              <w:t>4</w:t>
            </w:r>
          </w:p>
        </w:tc>
        <w:tc>
          <w:tcPr>
            <w:tcW w:w="905" w:type="dxa"/>
          </w:tcPr>
          <w:p w:rsidR="009505FA" w:rsidRPr="00E91865" w:rsidRDefault="00C73C11" w:rsidP="00C73C11">
            <w:pPr>
              <w:cnfStyle w:val="000000010000" w:firstRow="0" w:lastRow="0" w:firstColumn="0" w:lastColumn="0" w:oddVBand="0" w:evenVBand="0" w:oddHBand="0" w:evenHBand="1" w:firstRowFirstColumn="0" w:firstRowLastColumn="0" w:lastRowFirstColumn="0" w:lastRowLastColumn="0"/>
            </w:pPr>
            <w:r>
              <w:t>3.</w:t>
            </w:r>
            <w:r w:rsidR="00081906">
              <w:t>4</w:t>
            </w:r>
          </w:p>
        </w:tc>
        <w:tc>
          <w:tcPr>
            <w:tcW w:w="906" w:type="dxa"/>
          </w:tcPr>
          <w:p w:rsidR="009505FA" w:rsidRPr="00E91865" w:rsidRDefault="00C73C11" w:rsidP="00C73C11">
            <w:pPr>
              <w:cnfStyle w:val="000000010000" w:firstRow="0" w:lastRow="0" w:firstColumn="0" w:lastColumn="0" w:oddVBand="0" w:evenVBand="0" w:oddHBand="0" w:evenHBand="1" w:firstRowFirstColumn="0" w:firstRowLastColumn="0" w:lastRowFirstColumn="0" w:lastRowLastColumn="0"/>
            </w:pPr>
            <w:r>
              <w:t>3.5</w:t>
            </w:r>
          </w:p>
        </w:tc>
        <w:tc>
          <w:tcPr>
            <w:tcW w:w="906" w:type="dxa"/>
          </w:tcPr>
          <w:p w:rsidR="009505FA" w:rsidRPr="00E91865" w:rsidRDefault="00C73C11" w:rsidP="00C73C11">
            <w:pPr>
              <w:cnfStyle w:val="000000010000" w:firstRow="0" w:lastRow="0" w:firstColumn="0" w:lastColumn="0" w:oddVBand="0" w:evenVBand="0" w:oddHBand="0" w:evenHBand="1" w:firstRowFirstColumn="0" w:firstRowLastColumn="0" w:lastRowFirstColumn="0" w:lastRowLastColumn="0"/>
            </w:pPr>
            <w:r>
              <w:t>17.</w:t>
            </w:r>
            <w:r w:rsidR="00081906">
              <w:t>1</w:t>
            </w:r>
          </w:p>
        </w:tc>
      </w:tr>
      <w:tr w:rsidR="009505FA" w:rsidRPr="00E91865" w:rsidTr="008C7A65">
        <w:trPr>
          <w:trHeight w:val="418"/>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pPr>
              <w:rPr>
                <w:rStyle w:val="Strong"/>
              </w:rPr>
            </w:pPr>
            <w:r w:rsidRPr="00E91865">
              <w:rPr>
                <w:rStyle w:val="Strong"/>
              </w:rPr>
              <w:t>Regulatory depreciation</w:t>
            </w:r>
          </w:p>
        </w:tc>
        <w:tc>
          <w:tcPr>
            <w:tcW w:w="905"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1.7</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1.9</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w:t>
            </w:r>
            <w:r w:rsidR="00081906">
              <w:rPr>
                <w:rStyle w:val="Strong"/>
              </w:rPr>
              <w:t>1</w:t>
            </w:r>
          </w:p>
        </w:tc>
        <w:tc>
          <w:tcPr>
            <w:tcW w:w="905"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2.4</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2.6</w:t>
            </w:r>
          </w:p>
        </w:tc>
        <w:tc>
          <w:tcPr>
            <w:tcW w:w="906" w:type="dxa"/>
          </w:tcPr>
          <w:p w:rsidR="009505FA" w:rsidRPr="00E91865" w:rsidRDefault="00C73C11" w:rsidP="00C73C11">
            <w:pPr>
              <w:cnfStyle w:val="000000000000" w:firstRow="0" w:lastRow="0" w:firstColumn="0" w:lastColumn="0" w:oddVBand="0" w:evenVBand="0" w:oddHBand="0" w:evenHBand="0" w:firstRowFirstColumn="0" w:firstRowLastColumn="0" w:lastRowFirstColumn="0" w:lastRowLastColumn="0"/>
              <w:rPr>
                <w:rStyle w:val="Strong"/>
              </w:rPr>
            </w:pPr>
            <w:r>
              <w:rPr>
                <w:rStyle w:val="Strong"/>
              </w:rPr>
              <w:t>10.</w:t>
            </w:r>
            <w:r w:rsidR="00081906">
              <w:rPr>
                <w:rStyle w:val="Strong"/>
              </w:rPr>
              <w:t>7</w:t>
            </w:r>
          </w:p>
        </w:tc>
      </w:tr>
    </w:tbl>
    <w:p w:rsidR="007B49E1" w:rsidRDefault="009505FA" w:rsidP="00E91865">
      <w:pPr>
        <w:pStyle w:val="AERtablesource"/>
      </w:pPr>
      <w:r w:rsidRPr="00E91865">
        <w:t>Source:</w:t>
      </w:r>
      <w:r w:rsidRPr="00E91865">
        <w:tab/>
        <w:t>AER analysis.</w:t>
      </w:r>
    </w:p>
    <w:p w:rsidR="00C56AA4" w:rsidRPr="00C56AA4" w:rsidRDefault="00C56AA4" w:rsidP="00C56AA4"/>
    <w:p w:rsidR="00DE563D" w:rsidRPr="00AF1F9E" w:rsidRDefault="00AF1F9E" w:rsidP="00AF1F9E">
      <w:pPr>
        <w:pStyle w:val="Heading2"/>
      </w:pPr>
      <w:bookmarkStart w:id="14" w:name="_Toc403144137"/>
      <w:bookmarkStart w:id="15" w:name="_Toc413320139"/>
      <w:r>
        <w:lastRenderedPageBreak/>
        <w:t>Directlink’s revised</w:t>
      </w:r>
      <w:r w:rsidR="00DE563D" w:rsidRPr="00AF1F9E">
        <w:t xml:space="preserve"> proposal</w:t>
      </w:r>
      <w:bookmarkEnd w:id="14"/>
      <w:bookmarkEnd w:id="15"/>
    </w:p>
    <w:p w:rsidR="00FB3B85" w:rsidRPr="00DD41E4" w:rsidRDefault="00FB3B85" w:rsidP="00FB3B85">
      <w:pPr>
        <w:numPr>
          <w:ilvl w:val="0"/>
          <w:numId w:val="25"/>
        </w:numPr>
      </w:pPr>
      <w:bookmarkStart w:id="16" w:name="_Toc403144138"/>
      <w:r>
        <w:t>Directlink's revised</w:t>
      </w:r>
      <w:r w:rsidRPr="00DD41E4">
        <w:t xml:space="preserve"> propos</w:t>
      </w:r>
      <w:r w:rsidR="00E92C4C">
        <w:t>al submitted a</w:t>
      </w:r>
      <w:r w:rsidRPr="00DD41E4">
        <w:t xml:space="preserve"> forecast regulatory depreciation allowance over the </w:t>
      </w:r>
      <w:r w:rsidRPr="00160CF0">
        <w:rPr>
          <w:rStyle w:val="AERbody"/>
        </w:rPr>
        <w:t>201</w:t>
      </w:r>
      <w:r>
        <w:rPr>
          <w:rStyle w:val="AERbody"/>
        </w:rPr>
        <w:t>5</w:t>
      </w:r>
      <w:r w:rsidRPr="00160CF0">
        <w:rPr>
          <w:rStyle w:val="AERbody"/>
        </w:rPr>
        <w:t>–</w:t>
      </w:r>
      <w:r>
        <w:rPr>
          <w:rStyle w:val="AERbody"/>
        </w:rPr>
        <w:t>20 regulatory control</w:t>
      </w:r>
      <w:r w:rsidRPr="00DD41E4">
        <w:t xml:space="preserve"> period </w:t>
      </w:r>
      <w:r w:rsidR="00E92C4C">
        <w:t>of</w:t>
      </w:r>
      <w:r w:rsidRPr="00DD41E4">
        <w:t xml:space="preserve"> $</w:t>
      </w:r>
      <w:r>
        <w:t>11.3</w:t>
      </w:r>
      <w:r w:rsidRPr="00DD41E4">
        <w:t> million ($ nominal)</w:t>
      </w:r>
      <w:r>
        <w:t xml:space="preserve">. </w:t>
      </w:r>
      <w:r w:rsidR="008B4B30">
        <w:t>Directlink's methodology for determining its</w:t>
      </w:r>
      <w:r w:rsidR="008B4B30" w:rsidRPr="00DC58F1">
        <w:t xml:space="preserve"> </w:t>
      </w:r>
      <w:r w:rsidR="008B4B30">
        <w:t>regulatory depreciation allowance</w:t>
      </w:r>
      <w:r w:rsidR="008B4B30" w:rsidRPr="00DC58F1">
        <w:t xml:space="preserve"> </w:t>
      </w:r>
      <w:r w:rsidR="008B4B30">
        <w:t>is unchanged from its initial proposal</w:t>
      </w:r>
      <w:r w:rsidR="0097152C">
        <w:t>.  We accepted the approach in our draft decision.</w:t>
      </w:r>
      <w:r w:rsidR="008B4B30">
        <w:t xml:space="preserve"> </w:t>
      </w:r>
      <w:r w:rsidRPr="00DD41E4">
        <w:t>To calcula</w:t>
      </w:r>
      <w:r>
        <w:t>te the depreciation allowance, Directlink's revised proposal used</w:t>
      </w:r>
      <w:r w:rsidRPr="00DD41E4">
        <w:t>:</w:t>
      </w:r>
      <w:r w:rsidRPr="003200DF">
        <w:rPr>
          <w:rStyle w:val="FootnoteReference"/>
        </w:rPr>
        <w:footnoteReference w:id="3"/>
      </w:r>
    </w:p>
    <w:p w:rsidR="00FB3B85" w:rsidRPr="001827B0" w:rsidRDefault="00FB3B85" w:rsidP="00FB3B85">
      <w:pPr>
        <w:pStyle w:val="AERbulletlistfirststyle"/>
      </w:pPr>
      <w:r>
        <w:t>T</w:t>
      </w:r>
      <w:r w:rsidRPr="00DD41E4">
        <w:t xml:space="preserve">he </w:t>
      </w:r>
      <w:r w:rsidRPr="001827B0">
        <w:t>straight-line depreciation method employed in the AER's post-tax revenue model (PTRM)</w:t>
      </w:r>
      <w:r>
        <w:t>.</w:t>
      </w:r>
    </w:p>
    <w:p w:rsidR="00FB3B85" w:rsidRPr="001827B0" w:rsidRDefault="00FB3B85" w:rsidP="00FB3B85">
      <w:pPr>
        <w:pStyle w:val="AERbulletlistfirststyle"/>
      </w:pPr>
      <w:r>
        <w:t>T</w:t>
      </w:r>
      <w:r w:rsidRPr="001827B0">
        <w:t xml:space="preserve">he </w:t>
      </w:r>
      <w:r>
        <w:t xml:space="preserve">revised </w:t>
      </w:r>
      <w:r w:rsidRPr="001827B0">
        <w:t>closing RAB value as at 30 Ju</w:t>
      </w:r>
      <w:r>
        <w:t>ne 2015 derived from the AER's roll forward model (R</w:t>
      </w:r>
      <w:r w:rsidRPr="001827B0">
        <w:t>FM</w:t>
      </w:r>
      <w:r>
        <w:t>).</w:t>
      </w:r>
    </w:p>
    <w:p w:rsidR="00FB3B85" w:rsidRPr="001827B0" w:rsidRDefault="00FB3B85" w:rsidP="00FB3B85">
      <w:pPr>
        <w:pStyle w:val="AERbulletlistfirststyle"/>
      </w:pPr>
      <w:r>
        <w:t>The standard and remaining asset lives accepted in the draft decision</w:t>
      </w:r>
      <w:r w:rsidRPr="001827B0">
        <w:t xml:space="preserve"> </w:t>
      </w:r>
      <w:r w:rsidRPr="001F0B76">
        <w:t xml:space="preserve">for depreciating new </w:t>
      </w:r>
      <w:r>
        <w:t xml:space="preserve">and existing </w:t>
      </w:r>
      <w:r w:rsidRPr="001F0B76">
        <w:t xml:space="preserve">assets </w:t>
      </w:r>
      <w:r>
        <w:t>respectively.</w:t>
      </w:r>
    </w:p>
    <w:p w:rsidR="00FB3B85" w:rsidRDefault="00FB3B85" w:rsidP="00FB3B85">
      <w:pPr>
        <w:pStyle w:val="AERbulletlistfirststyle"/>
      </w:pPr>
      <w:r>
        <w:t>T</w:t>
      </w:r>
      <w:r w:rsidRPr="001827B0">
        <w:t>he</w:t>
      </w:r>
      <w:r>
        <w:t xml:space="preserve"> revised</w:t>
      </w:r>
      <w:r w:rsidRPr="001827B0">
        <w:t xml:space="preserve"> proposed forecast capex for the 201</w:t>
      </w:r>
      <w:r>
        <w:t>5</w:t>
      </w:r>
      <w:r w:rsidRPr="001827B0">
        <w:t>–</w:t>
      </w:r>
      <w:r>
        <w:t>20</w:t>
      </w:r>
      <w:r w:rsidRPr="001827B0">
        <w:t xml:space="preserve"> </w:t>
      </w:r>
      <w:r>
        <w:t xml:space="preserve">regulatory control </w:t>
      </w:r>
      <w:r w:rsidRPr="001827B0">
        <w:t>period</w:t>
      </w:r>
      <w:r>
        <w:t>.</w:t>
      </w:r>
    </w:p>
    <w:p w:rsidR="00FB3B85" w:rsidRDefault="00D14643" w:rsidP="00FB3B85">
      <w:r>
        <w:t>Directlink</w:t>
      </w:r>
      <w:r w:rsidR="00FB3B85">
        <w:t>'s revised proposal adopted our draft decision inflation forecast used to index the RAB over the 2015–20 regulatory control period.</w:t>
      </w:r>
      <w:r w:rsidR="00FB3B85">
        <w:rPr>
          <w:rStyle w:val="FootnoteReference"/>
        </w:rPr>
        <w:footnoteReference w:id="4"/>
      </w:r>
    </w:p>
    <w:p w:rsidR="009505FA" w:rsidRDefault="009505FA" w:rsidP="009505FA">
      <w:r>
        <w:fldChar w:fldCharType="begin"/>
      </w:r>
      <w:r>
        <w:instrText xml:space="preserve"> REF _Ref402785256 \h </w:instrText>
      </w:r>
      <w:r>
        <w:fldChar w:fldCharType="separate"/>
      </w:r>
      <w:r w:rsidRPr="00CF3AC1">
        <w:t xml:space="preserve">Table </w:t>
      </w:r>
      <w:r>
        <w:t>5</w:t>
      </w:r>
      <w:r>
        <w:noBreakHyphen/>
      </w:r>
      <w:r w:rsidRPr="009505FA">
        <w:t>2</w:t>
      </w:r>
      <w:r>
        <w:fldChar w:fldCharType="end"/>
      </w:r>
      <w:r>
        <w:t xml:space="preserve"> sets out </w:t>
      </w:r>
      <w:proofErr w:type="spellStart"/>
      <w:r>
        <w:t>Directlink's</w:t>
      </w:r>
      <w:proofErr w:type="spellEnd"/>
      <w:r>
        <w:t xml:space="preserve"> </w:t>
      </w:r>
      <w:r w:rsidR="00FB3B85">
        <w:t xml:space="preserve">revised </w:t>
      </w:r>
      <w:r>
        <w:t xml:space="preserve">proposed depreciation allowance for the </w:t>
      </w:r>
      <w:r w:rsidR="00FB3B85">
        <w:br/>
      </w:r>
      <w:r>
        <w:t>2015–20 regulatory control period.</w:t>
      </w:r>
    </w:p>
    <w:p w:rsidR="009505FA" w:rsidRPr="00CF3AC1" w:rsidRDefault="009505FA" w:rsidP="009505FA">
      <w:pPr>
        <w:pStyle w:val="Caption"/>
      </w:pPr>
      <w:bookmarkStart w:id="17" w:name="_Ref402785256"/>
      <w:r w:rsidRPr="00CF3AC1">
        <w:t xml:space="preserve">Table </w:t>
      </w:r>
      <w:r>
        <w:t>5</w:t>
      </w:r>
      <w:r>
        <w:noBreakHyphen/>
      </w:r>
      <w:r w:rsidRPr="009505FA">
        <w:fldChar w:fldCharType="begin"/>
      </w:r>
      <w:r>
        <w:instrText xml:space="preserve"> SEQ Table \* ARABIC \s 1 </w:instrText>
      </w:r>
      <w:r w:rsidRPr="009505FA">
        <w:fldChar w:fldCharType="separate"/>
      </w:r>
      <w:r w:rsidRPr="009505FA">
        <w:t>2</w:t>
      </w:r>
      <w:r w:rsidRPr="009505FA">
        <w:fldChar w:fldCharType="end"/>
      </w:r>
      <w:bookmarkEnd w:id="17"/>
      <w:r w:rsidRPr="00CF3AC1">
        <w:tab/>
      </w:r>
      <w:r>
        <w:t>Directlink</w:t>
      </w:r>
      <w:r w:rsidRPr="00CF3AC1">
        <w:t xml:space="preserve">'s </w:t>
      </w:r>
      <w:r w:rsidR="00E91865">
        <w:t xml:space="preserve">revised </w:t>
      </w:r>
      <w:r w:rsidRPr="00CF3AC1">
        <w:t>proposed depreciation allowance</w:t>
      </w:r>
      <w:r>
        <w:t xml:space="preserve"> for the 2</w:t>
      </w:r>
      <w:r w:rsidRPr="00CF3AC1">
        <w:t>01</w:t>
      </w:r>
      <w:r>
        <w:t>5–20</w:t>
      </w:r>
      <w:r w:rsidRPr="00CF3AC1">
        <w:t xml:space="preserve"> regulatory control period ($ million, nominal)</w:t>
      </w:r>
    </w:p>
    <w:tbl>
      <w:tblPr>
        <w:tblStyle w:val="AERtable-numbers"/>
        <w:tblW w:w="8653" w:type="dxa"/>
        <w:tblLook w:val="04A0" w:firstRow="1" w:lastRow="0" w:firstColumn="1" w:lastColumn="0" w:noHBand="0" w:noVBand="1"/>
      </w:tblPr>
      <w:tblGrid>
        <w:gridCol w:w="3227"/>
        <w:gridCol w:w="904"/>
        <w:gridCol w:w="904"/>
        <w:gridCol w:w="905"/>
        <w:gridCol w:w="904"/>
        <w:gridCol w:w="904"/>
        <w:gridCol w:w="905"/>
      </w:tblGrid>
      <w:tr w:rsidR="00A44B0E" w:rsidRPr="00E91865" w:rsidTr="009C6E7F">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tc>
        <w:tc>
          <w:tcPr>
            <w:tcW w:w="904"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2015–16</w:t>
            </w:r>
          </w:p>
        </w:tc>
        <w:tc>
          <w:tcPr>
            <w:tcW w:w="904"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2016–17</w:t>
            </w:r>
          </w:p>
        </w:tc>
        <w:tc>
          <w:tcPr>
            <w:tcW w:w="905"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2017–18</w:t>
            </w:r>
          </w:p>
        </w:tc>
        <w:tc>
          <w:tcPr>
            <w:tcW w:w="904"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2018–19</w:t>
            </w:r>
          </w:p>
        </w:tc>
        <w:tc>
          <w:tcPr>
            <w:tcW w:w="904"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2019–20</w:t>
            </w:r>
          </w:p>
        </w:tc>
        <w:tc>
          <w:tcPr>
            <w:tcW w:w="905" w:type="dxa"/>
          </w:tcPr>
          <w:p w:rsidR="009505FA" w:rsidRPr="00E91865" w:rsidRDefault="009505FA" w:rsidP="00E91865">
            <w:pPr>
              <w:cnfStyle w:val="100000000000" w:firstRow="1" w:lastRow="0" w:firstColumn="0" w:lastColumn="0" w:oddVBand="0" w:evenVBand="0" w:oddHBand="0" w:evenHBand="0" w:firstRowFirstColumn="0" w:firstRowLastColumn="0" w:lastRowFirstColumn="0" w:lastRowLastColumn="0"/>
            </w:pPr>
            <w:r w:rsidRPr="00E91865">
              <w:t>Total</w:t>
            </w:r>
          </w:p>
        </w:tc>
      </w:tr>
      <w:tr w:rsidR="009505FA" w:rsidRPr="00E91865" w:rsidTr="009C6E7F">
        <w:trPr>
          <w:trHeight w:val="378"/>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r w:rsidRPr="00E91865">
              <w:t>Straight-line depreciation</w:t>
            </w:r>
          </w:p>
        </w:tc>
        <w:tc>
          <w:tcPr>
            <w:tcW w:w="904" w:type="dxa"/>
          </w:tcPr>
          <w:p w:rsidR="009505FA" w:rsidRPr="00E91865" w:rsidRDefault="008B4B30" w:rsidP="00E91865">
            <w:pPr>
              <w:cnfStyle w:val="000000000000" w:firstRow="0" w:lastRow="0" w:firstColumn="0" w:lastColumn="0" w:oddVBand="0" w:evenVBand="0" w:oddHBand="0" w:evenHBand="0" w:firstRowFirstColumn="0" w:firstRowLastColumn="0" w:lastRowFirstColumn="0" w:lastRowLastColumn="0"/>
            </w:pPr>
            <w:r>
              <w:t>5.1</w:t>
            </w:r>
          </w:p>
        </w:tc>
        <w:tc>
          <w:tcPr>
            <w:tcW w:w="904" w:type="dxa"/>
          </w:tcPr>
          <w:p w:rsidR="009505FA" w:rsidRPr="00E91865" w:rsidRDefault="008B4B30" w:rsidP="00E91865">
            <w:pPr>
              <w:cnfStyle w:val="000000000000" w:firstRow="0" w:lastRow="0" w:firstColumn="0" w:lastColumn="0" w:oddVBand="0" w:evenVBand="0" w:oddHBand="0" w:evenHBand="0" w:firstRowFirstColumn="0" w:firstRowLastColumn="0" w:lastRowFirstColumn="0" w:lastRowLastColumn="0"/>
            </w:pPr>
            <w:r>
              <w:t>5.6</w:t>
            </w:r>
          </w:p>
        </w:tc>
        <w:tc>
          <w:tcPr>
            <w:tcW w:w="905" w:type="dxa"/>
          </w:tcPr>
          <w:p w:rsidR="009505FA" w:rsidRPr="00E91865" w:rsidRDefault="008B4B30" w:rsidP="00E91865">
            <w:pPr>
              <w:cnfStyle w:val="000000000000" w:firstRow="0" w:lastRow="0" w:firstColumn="0" w:lastColumn="0" w:oddVBand="0" w:evenVBand="0" w:oddHBand="0" w:evenHBand="0" w:firstRowFirstColumn="0" w:firstRowLastColumn="0" w:lastRowFirstColumn="0" w:lastRowLastColumn="0"/>
            </w:pPr>
            <w:r>
              <w:t>5.9</w:t>
            </w:r>
          </w:p>
        </w:tc>
        <w:tc>
          <w:tcPr>
            <w:tcW w:w="904" w:type="dxa"/>
          </w:tcPr>
          <w:p w:rsidR="009505FA" w:rsidRPr="00E91865" w:rsidRDefault="008B4B30" w:rsidP="00E91865">
            <w:pPr>
              <w:cnfStyle w:val="000000000000" w:firstRow="0" w:lastRow="0" w:firstColumn="0" w:lastColumn="0" w:oddVBand="0" w:evenVBand="0" w:oddHBand="0" w:evenHBand="0" w:firstRowFirstColumn="0" w:firstRowLastColumn="0" w:lastRowFirstColumn="0" w:lastRowLastColumn="0"/>
            </w:pPr>
            <w:r>
              <w:t>6.2</w:t>
            </w:r>
          </w:p>
        </w:tc>
        <w:tc>
          <w:tcPr>
            <w:tcW w:w="904" w:type="dxa"/>
          </w:tcPr>
          <w:p w:rsidR="009505FA" w:rsidRPr="00E91865" w:rsidRDefault="008B4B30" w:rsidP="00E91865">
            <w:pPr>
              <w:cnfStyle w:val="000000000000" w:firstRow="0" w:lastRow="0" w:firstColumn="0" w:lastColumn="0" w:oddVBand="0" w:evenVBand="0" w:oddHBand="0" w:evenHBand="0" w:firstRowFirstColumn="0" w:firstRowLastColumn="0" w:lastRowFirstColumn="0" w:lastRowLastColumn="0"/>
            </w:pPr>
            <w:r>
              <w:t>6.6</w:t>
            </w:r>
          </w:p>
        </w:tc>
        <w:tc>
          <w:tcPr>
            <w:tcW w:w="905" w:type="dxa"/>
          </w:tcPr>
          <w:p w:rsidR="009505FA" w:rsidRPr="00E91865" w:rsidRDefault="008B4B30" w:rsidP="00E91865">
            <w:pPr>
              <w:cnfStyle w:val="000000000000" w:firstRow="0" w:lastRow="0" w:firstColumn="0" w:lastColumn="0" w:oddVBand="0" w:evenVBand="0" w:oddHBand="0" w:evenHBand="0" w:firstRowFirstColumn="0" w:firstRowLastColumn="0" w:lastRowFirstColumn="0" w:lastRowLastColumn="0"/>
            </w:pPr>
            <w:r>
              <w:t>29.4</w:t>
            </w:r>
          </w:p>
        </w:tc>
      </w:tr>
      <w:tr w:rsidR="00A44B0E" w:rsidRPr="00E91865" w:rsidTr="009C6E7F">
        <w:trPr>
          <w:cnfStyle w:val="000000010000" w:firstRow="0" w:lastRow="0" w:firstColumn="0" w:lastColumn="0" w:oddVBand="0" w:evenVBand="0" w:oddHBand="0" w:evenHBand="1"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r w:rsidRPr="00E91865">
              <w:rPr>
                <w:rStyle w:val="AERtextitalic"/>
              </w:rPr>
              <w:t>Less:</w:t>
            </w:r>
            <w:r w:rsidRPr="00E91865">
              <w:t xml:space="preserve"> inflation indexation on opening RAB</w:t>
            </w:r>
          </w:p>
        </w:tc>
        <w:tc>
          <w:tcPr>
            <w:tcW w:w="904" w:type="dxa"/>
          </w:tcPr>
          <w:p w:rsidR="009505FA" w:rsidRPr="00E91865" w:rsidRDefault="009505FA" w:rsidP="00E91865">
            <w:pPr>
              <w:cnfStyle w:val="000000010000" w:firstRow="0" w:lastRow="0" w:firstColumn="0" w:lastColumn="0" w:oddVBand="0" w:evenVBand="0" w:oddHBand="0" w:evenHBand="1" w:firstRowFirstColumn="0" w:firstRowLastColumn="0" w:lastRowFirstColumn="0" w:lastRowLastColumn="0"/>
            </w:pPr>
            <w:r w:rsidRPr="00E91865">
              <w:t>3.</w:t>
            </w:r>
            <w:r w:rsidR="008B4B30">
              <w:t>3</w:t>
            </w:r>
          </w:p>
        </w:tc>
        <w:tc>
          <w:tcPr>
            <w:tcW w:w="904" w:type="dxa"/>
          </w:tcPr>
          <w:p w:rsidR="009505FA" w:rsidRPr="00E91865" w:rsidRDefault="009505FA" w:rsidP="00E91865">
            <w:pPr>
              <w:cnfStyle w:val="000000010000" w:firstRow="0" w:lastRow="0" w:firstColumn="0" w:lastColumn="0" w:oddVBand="0" w:evenVBand="0" w:oddHBand="0" w:evenHBand="1" w:firstRowFirstColumn="0" w:firstRowLastColumn="0" w:lastRowFirstColumn="0" w:lastRowLastColumn="0"/>
            </w:pPr>
            <w:r w:rsidRPr="00E91865">
              <w:t>3.</w:t>
            </w:r>
            <w:r w:rsidR="008B4B30">
              <w:t>6</w:t>
            </w:r>
          </w:p>
        </w:tc>
        <w:tc>
          <w:tcPr>
            <w:tcW w:w="905" w:type="dxa"/>
          </w:tcPr>
          <w:p w:rsidR="009505FA" w:rsidRPr="00E91865" w:rsidRDefault="009505FA" w:rsidP="00E91865">
            <w:pPr>
              <w:cnfStyle w:val="000000010000" w:firstRow="0" w:lastRow="0" w:firstColumn="0" w:lastColumn="0" w:oddVBand="0" w:evenVBand="0" w:oddHBand="0" w:evenHBand="1" w:firstRowFirstColumn="0" w:firstRowLastColumn="0" w:lastRowFirstColumn="0" w:lastRowLastColumn="0"/>
            </w:pPr>
            <w:r w:rsidRPr="00E91865">
              <w:t>3.</w:t>
            </w:r>
            <w:r w:rsidR="008B4B30">
              <w:t>6</w:t>
            </w:r>
          </w:p>
        </w:tc>
        <w:tc>
          <w:tcPr>
            <w:tcW w:w="904" w:type="dxa"/>
          </w:tcPr>
          <w:p w:rsidR="009505FA" w:rsidRPr="00E91865" w:rsidRDefault="009505FA" w:rsidP="00E91865">
            <w:pPr>
              <w:cnfStyle w:val="000000010000" w:firstRow="0" w:lastRow="0" w:firstColumn="0" w:lastColumn="0" w:oddVBand="0" w:evenVBand="0" w:oddHBand="0" w:evenHBand="1" w:firstRowFirstColumn="0" w:firstRowLastColumn="0" w:lastRowFirstColumn="0" w:lastRowLastColumn="0"/>
            </w:pPr>
            <w:r w:rsidRPr="00E91865">
              <w:t>3.</w:t>
            </w:r>
            <w:r w:rsidR="008B4B30">
              <w:t>7</w:t>
            </w:r>
          </w:p>
        </w:tc>
        <w:tc>
          <w:tcPr>
            <w:tcW w:w="904" w:type="dxa"/>
          </w:tcPr>
          <w:p w:rsidR="009505FA" w:rsidRPr="00E91865" w:rsidRDefault="009505FA" w:rsidP="00E91865">
            <w:pPr>
              <w:cnfStyle w:val="000000010000" w:firstRow="0" w:lastRow="0" w:firstColumn="0" w:lastColumn="0" w:oddVBand="0" w:evenVBand="0" w:oddHBand="0" w:evenHBand="1" w:firstRowFirstColumn="0" w:firstRowLastColumn="0" w:lastRowFirstColumn="0" w:lastRowLastColumn="0"/>
            </w:pPr>
            <w:r w:rsidRPr="00E91865">
              <w:t>3.</w:t>
            </w:r>
            <w:r w:rsidR="008B4B30">
              <w:t>7</w:t>
            </w:r>
          </w:p>
        </w:tc>
        <w:tc>
          <w:tcPr>
            <w:tcW w:w="905" w:type="dxa"/>
          </w:tcPr>
          <w:p w:rsidR="009505FA" w:rsidRPr="00E91865" w:rsidRDefault="008B4B30" w:rsidP="00E91865">
            <w:pPr>
              <w:cnfStyle w:val="000000010000" w:firstRow="0" w:lastRow="0" w:firstColumn="0" w:lastColumn="0" w:oddVBand="0" w:evenVBand="0" w:oddHBand="0" w:evenHBand="1" w:firstRowFirstColumn="0" w:firstRowLastColumn="0" w:lastRowFirstColumn="0" w:lastRowLastColumn="0"/>
            </w:pPr>
            <w:r>
              <w:t>18.0</w:t>
            </w:r>
          </w:p>
        </w:tc>
      </w:tr>
      <w:tr w:rsidR="009505FA" w:rsidRPr="00E91865" w:rsidTr="009C6E7F">
        <w:trPr>
          <w:trHeight w:val="231"/>
        </w:trPr>
        <w:tc>
          <w:tcPr>
            <w:cnfStyle w:val="001000000000" w:firstRow="0" w:lastRow="0" w:firstColumn="1" w:lastColumn="0" w:oddVBand="0" w:evenVBand="0" w:oddHBand="0" w:evenHBand="0" w:firstRowFirstColumn="0" w:firstRowLastColumn="0" w:lastRowFirstColumn="0" w:lastRowLastColumn="0"/>
            <w:tcW w:w="3227" w:type="dxa"/>
          </w:tcPr>
          <w:p w:rsidR="009505FA" w:rsidRPr="00E91865" w:rsidRDefault="009505FA" w:rsidP="00E91865">
            <w:pPr>
              <w:rPr>
                <w:rStyle w:val="Strong"/>
              </w:rPr>
            </w:pPr>
            <w:r w:rsidRPr="00E91865">
              <w:rPr>
                <w:rStyle w:val="Strong"/>
              </w:rPr>
              <w:t>Regulatory depreciation</w:t>
            </w:r>
          </w:p>
        </w:tc>
        <w:tc>
          <w:tcPr>
            <w:tcW w:w="904" w:type="dxa"/>
          </w:tcPr>
          <w:p w:rsidR="009505FA" w:rsidRPr="00E91865" w:rsidRDefault="009505FA" w:rsidP="00E91865">
            <w:pPr>
              <w:cnfStyle w:val="000000000000" w:firstRow="0" w:lastRow="0" w:firstColumn="0" w:lastColumn="0" w:oddVBand="0" w:evenVBand="0" w:oddHBand="0" w:evenHBand="0" w:firstRowFirstColumn="0" w:firstRowLastColumn="0" w:lastRowFirstColumn="0" w:lastRowLastColumn="0"/>
              <w:rPr>
                <w:rStyle w:val="Strong"/>
              </w:rPr>
            </w:pPr>
            <w:r w:rsidRPr="00E91865">
              <w:rPr>
                <w:rStyle w:val="Strong"/>
              </w:rPr>
              <w:t>1.7</w:t>
            </w:r>
          </w:p>
        </w:tc>
        <w:tc>
          <w:tcPr>
            <w:tcW w:w="904" w:type="dxa"/>
          </w:tcPr>
          <w:p w:rsidR="009505FA" w:rsidRPr="00E91865" w:rsidRDefault="009505FA" w:rsidP="00E91865">
            <w:pPr>
              <w:cnfStyle w:val="000000000000" w:firstRow="0" w:lastRow="0" w:firstColumn="0" w:lastColumn="0" w:oddVBand="0" w:evenVBand="0" w:oddHBand="0" w:evenHBand="0" w:firstRowFirstColumn="0" w:firstRowLastColumn="0" w:lastRowFirstColumn="0" w:lastRowLastColumn="0"/>
              <w:rPr>
                <w:rStyle w:val="Strong"/>
              </w:rPr>
            </w:pPr>
            <w:r w:rsidRPr="00E91865">
              <w:rPr>
                <w:rStyle w:val="Strong"/>
              </w:rPr>
              <w:t>2.0</w:t>
            </w:r>
          </w:p>
        </w:tc>
        <w:tc>
          <w:tcPr>
            <w:tcW w:w="905" w:type="dxa"/>
          </w:tcPr>
          <w:p w:rsidR="009505FA" w:rsidRPr="00E91865" w:rsidRDefault="009505FA" w:rsidP="00E91865">
            <w:pPr>
              <w:cnfStyle w:val="000000000000" w:firstRow="0" w:lastRow="0" w:firstColumn="0" w:lastColumn="0" w:oddVBand="0" w:evenVBand="0" w:oddHBand="0" w:evenHBand="0" w:firstRowFirstColumn="0" w:firstRowLastColumn="0" w:lastRowFirstColumn="0" w:lastRowLastColumn="0"/>
              <w:rPr>
                <w:rStyle w:val="Strong"/>
              </w:rPr>
            </w:pPr>
            <w:r w:rsidRPr="00E91865">
              <w:rPr>
                <w:rStyle w:val="Strong"/>
              </w:rPr>
              <w:t>2.</w:t>
            </w:r>
            <w:r w:rsidR="008B4B30">
              <w:rPr>
                <w:rStyle w:val="Strong"/>
              </w:rPr>
              <w:t>3</w:t>
            </w:r>
          </w:p>
        </w:tc>
        <w:tc>
          <w:tcPr>
            <w:tcW w:w="904" w:type="dxa"/>
          </w:tcPr>
          <w:p w:rsidR="009505FA" w:rsidRPr="00E91865" w:rsidRDefault="009505FA" w:rsidP="00E91865">
            <w:pPr>
              <w:cnfStyle w:val="000000000000" w:firstRow="0" w:lastRow="0" w:firstColumn="0" w:lastColumn="0" w:oddVBand="0" w:evenVBand="0" w:oddHBand="0" w:evenHBand="0" w:firstRowFirstColumn="0" w:firstRowLastColumn="0" w:lastRowFirstColumn="0" w:lastRowLastColumn="0"/>
              <w:rPr>
                <w:rStyle w:val="Strong"/>
              </w:rPr>
            </w:pPr>
            <w:r w:rsidRPr="00E91865">
              <w:rPr>
                <w:rStyle w:val="Strong"/>
              </w:rPr>
              <w:t>2.5</w:t>
            </w:r>
          </w:p>
        </w:tc>
        <w:tc>
          <w:tcPr>
            <w:tcW w:w="904" w:type="dxa"/>
          </w:tcPr>
          <w:p w:rsidR="009505FA" w:rsidRPr="00E91865" w:rsidRDefault="009505FA" w:rsidP="00E91865">
            <w:pPr>
              <w:cnfStyle w:val="000000000000" w:firstRow="0" w:lastRow="0" w:firstColumn="0" w:lastColumn="0" w:oddVBand="0" w:evenVBand="0" w:oddHBand="0" w:evenHBand="0" w:firstRowFirstColumn="0" w:firstRowLastColumn="0" w:lastRowFirstColumn="0" w:lastRowLastColumn="0"/>
              <w:rPr>
                <w:rStyle w:val="Strong"/>
              </w:rPr>
            </w:pPr>
            <w:r w:rsidRPr="00E91865">
              <w:rPr>
                <w:rStyle w:val="Strong"/>
              </w:rPr>
              <w:t>2.8</w:t>
            </w:r>
          </w:p>
        </w:tc>
        <w:tc>
          <w:tcPr>
            <w:tcW w:w="905" w:type="dxa"/>
          </w:tcPr>
          <w:p w:rsidR="009505FA" w:rsidRPr="00E91865" w:rsidRDefault="009505FA" w:rsidP="00E91865">
            <w:pPr>
              <w:cnfStyle w:val="000000000000" w:firstRow="0" w:lastRow="0" w:firstColumn="0" w:lastColumn="0" w:oddVBand="0" w:evenVBand="0" w:oddHBand="0" w:evenHBand="0" w:firstRowFirstColumn="0" w:firstRowLastColumn="0" w:lastRowFirstColumn="0" w:lastRowLastColumn="0"/>
              <w:rPr>
                <w:rStyle w:val="Strong"/>
              </w:rPr>
            </w:pPr>
            <w:r w:rsidRPr="00E91865">
              <w:rPr>
                <w:rStyle w:val="Strong"/>
              </w:rPr>
              <w:t>11.</w:t>
            </w:r>
            <w:r w:rsidR="008B4B30">
              <w:rPr>
                <w:rStyle w:val="Strong"/>
              </w:rPr>
              <w:t>3</w:t>
            </w:r>
          </w:p>
        </w:tc>
      </w:tr>
    </w:tbl>
    <w:p w:rsidR="007B49E1" w:rsidRPr="00E91865" w:rsidRDefault="009505FA" w:rsidP="00E91865">
      <w:pPr>
        <w:pStyle w:val="AERtablesource"/>
      </w:pPr>
      <w:r w:rsidRPr="00E91865">
        <w:t>Source:</w:t>
      </w:r>
      <w:r w:rsidRPr="00E91865">
        <w:tab/>
        <w:t xml:space="preserve">Directlink, </w:t>
      </w:r>
      <w:r w:rsidRPr="008B4B30">
        <w:rPr>
          <w:rStyle w:val="AERtextitalic"/>
        </w:rPr>
        <w:t>R</w:t>
      </w:r>
      <w:r w:rsidR="00E91865" w:rsidRPr="008B4B30">
        <w:rPr>
          <w:rStyle w:val="AERtextitalic"/>
        </w:rPr>
        <w:t>evised r</w:t>
      </w:r>
      <w:r w:rsidRPr="008B4B30">
        <w:rPr>
          <w:rStyle w:val="AERtextitalic"/>
        </w:rPr>
        <w:t>evenue proposal</w:t>
      </w:r>
      <w:r w:rsidRPr="00E91865">
        <w:t xml:space="preserve">, </w:t>
      </w:r>
      <w:r w:rsidR="00E91865" w:rsidRPr="00E91865">
        <w:t xml:space="preserve">January 2015, </w:t>
      </w:r>
      <w:r w:rsidRPr="00E91865">
        <w:t xml:space="preserve">p. </w:t>
      </w:r>
      <w:r w:rsidR="008B4B30">
        <w:t>46</w:t>
      </w:r>
      <w:r w:rsidRPr="00E91865">
        <w:t>.</w:t>
      </w:r>
    </w:p>
    <w:p w:rsidR="00DE563D" w:rsidRPr="00AF1F9E" w:rsidRDefault="00DE563D" w:rsidP="00AF1F9E">
      <w:pPr>
        <w:pStyle w:val="Heading2"/>
      </w:pPr>
      <w:bookmarkStart w:id="18" w:name="_Toc413320140"/>
      <w:r w:rsidRPr="00AF1F9E">
        <w:t>AER’s assessment approach</w:t>
      </w:r>
      <w:bookmarkEnd w:id="16"/>
      <w:bookmarkEnd w:id="18"/>
    </w:p>
    <w:p w:rsidR="00DE563D" w:rsidRPr="00AF1F9E" w:rsidRDefault="00E91865" w:rsidP="00AF1F9E">
      <w:r w:rsidRPr="00BD5D87">
        <w:t xml:space="preserve">We did not change our assessment approach for the </w:t>
      </w:r>
      <w:r w:rsidR="00A44B0E">
        <w:t>regulatory depreciation allowance</w:t>
      </w:r>
      <w:r w:rsidRPr="00BD5D87">
        <w:t xml:space="preserve"> fr</w:t>
      </w:r>
      <w:r>
        <w:t>om our draft decision. Section 5</w:t>
      </w:r>
      <w:r w:rsidRPr="00BD5D87">
        <w:t>.3 of our draft decision details that approach.</w:t>
      </w:r>
    </w:p>
    <w:p w:rsidR="00DE563D" w:rsidRDefault="00DE563D" w:rsidP="00AF1F9E">
      <w:pPr>
        <w:pStyle w:val="Heading2"/>
      </w:pPr>
      <w:bookmarkStart w:id="19" w:name="_Toc403144140"/>
      <w:bookmarkStart w:id="20" w:name="_Toc413320141"/>
      <w:r w:rsidRPr="00AF1F9E">
        <w:t xml:space="preserve">Reasons for </w:t>
      </w:r>
      <w:r w:rsidR="00AF1F9E">
        <w:t>final</w:t>
      </w:r>
      <w:r w:rsidRPr="00AF1F9E">
        <w:t xml:space="preserve"> decision</w:t>
      </w:r>
      <w:bookmarkEnd w:id="19"/>
      <w:bookmarkEnd w:id="20"/>
      <w:r w:rsidRPr="00AF1F9E">
        <w:t xml:space="preserve"> </w:t>
      </w:r>
    </w:p>
    <w:p w:rsidR="009505FA" w:rsidRPr="009505FA" w:rsidRDefault="009505FA" w:rsidP="00A44B0E">
      <w:pPr>
        <w:numPr>
          <w:ilvl w:val="0"/>
          <w:numId w:val="25"/>
        </w:numPr>
      </w:pPr>
      <w:r w:rsidRPr="00772791">
        <w:t xml:space="preserve">We accept </w:t>
      </w:r>
      <w:r>
        <w:t xml:space="preserve">Directlink's </w:t>
      </w:r>
      <w:r w:rsidR="00A44B0E" w:rsidRPr="003C679C">
        <w:t xml:space="preserve">proposed depreciation </w:t>
      </w:r>
      <w:r w:rsidR="00A44B0E">
        <w:t>method</w:t>
      </w:r>
      <w:r w:rsidR="00A44B0E" w:rsidRPr="003C679C">
        <w:t xml:space="preserve"> set out in its revised proposal</w:t>
      </w:r>
      <w:r w:rsidR="00A44B0E">
        <w:t xml:space="preserve">. </w:t>
      </w:r>
      <w:r w:rsidRPr="00772791">
        <w:t xml:space="preserve">However, we </w:t>
      </w:r>
      <w:r>
        <w:t>reduced</w:t>
      </w:r>
      <w:r w:rsidRPr="00772791">
        <w:t xml:space="preserve"> </w:t>
      </w:r>
      <w:r>
        <w:t xml:space="preserve">Directlink's </w:t>
      </w:r>
      <w:r w:rsidRPr="00772791">
        <w:t>propos</w:t>
      </w:r>
      <w:r>
        <w:t>ed forecast</w:t>
      </w:r>
      <w:r w:rsidRPr="00772791">
        <w:t xml:space="preserve"> regulatory depreciation allowance </w:t>
      </w:r>
      <w:r w:rsidRPr="00772791">
        <w:lastRenderedPageBreak/>
        <w:t>by $</w:t>
      </w:r>
      <w:r w:rsidR="00081906">
        <w:t>0.</w:t>
      </w:r>
      <w:r w:rsidR="005666E2">
        <w:t>5</w:t>
      </w:r>
      <w:r w:rsidRPr="00772791">
        <w:t xml:space="preserve"> million </w:t>
      </w:r>
      <w:r>
        <w:t>(</w:t>
      </w:r>
      <w:r w:rsidRPr="00772791">
        <w:t xml:space="preserve">or </w:t>
      </w:r>
      <w:r w:rsidR="00081906">
        <w:t xml:space="preserve">5.5 </w:t>
      </w:r>
      <w:r>
        <w:t>per cent) to $</w:t>
      </w:r>
      <w:r w:rsidR="00081906">
        <w:t xml:space="preserve">10.7 </w:t>
      </w:r>
      <w:r>
        <w:t>million. Our amendment is driven by o</w:t>
      </w:r>
      <w:r w:rsidRPr="00772791">
        <w:t>ur determination</w:t>
      </w:r>
      <w:r w:rsidR="00420063">
        <w:t>s</w:t>
      </w:r>
      <w:r w:rsidRPr="00772791">
        <w:t xml:space="preserve"> on other components of </w:t>
      </w:r>
      <w:r>
        <w:t>Directlink's</w:t>
      </w:r>
      <w:r w:rsidRPr="00772791">
        <w:t xml:space="preserve"> rev</w:t>
      </w:r>
      <w:r w:rsidR="00420063">
        <w:t>ised</w:t>
      </w:r>
      <w:r w:rsidRPr="00772791">
        <w:t xml:space="preserve"> proposal</w:t>
      </w:r>
      <w:r w:rsidR="00A44B0E">
        <w:t xml:space="preserve">, such as the </w:t>
      </w:r>
      <w:r w:rsidR="00420063" w:rsidRPr="00617AED">
        <w:t xml:space="preserve">opening RAB value (attachment </w:t>
      </w:r>
      <w:r w:rsidR="00420063" w:rsidRPr="00AF2B46">
        <w:t>2</w:t>
      </w:r>
      <w:r w:rsidR="005666E2">
        <w:t xml:space="preserve">) </w:t>
      </w:r>
      <w:r w:rsidR="00420063">
        <w:t xml:space="preserve">and </w:t>
      </w:r>
      <w:r w:rsidRPr="00772791">
        <w:t xml:space="preserve">forecast capex (attachment </w:t>
      </w:r>
      <w:r>
        <w:t>6</w:t>
      </w:r>
      <w:r w:rsidRPr="00772791">
        <w:t>)</w:t>
      </w:r>
      <w:r w:rsidR="00FF4DF4">
        <w:t xml:space="preserve">, which </w:t>
      </w:r>
      <w:r w:rsidR="00420063">
        <w:t>affect</w:t>
      </w:r>
      <w:r w:rsidRPr="00772791">
        <w:t xml:space="preserve"> the forecast regulatory depreciation allowance.</w:t>
      </w:r>
    </w:p>
    <w:p w:rsidR="00A44B0E" w:rsidRDefault="009505FA" w:rsidP="00E14D45">
      <w:pPr>
        <w:pStyle w:val="Heading3"/>
      </w:pPr>
      <w:bookmarkStart w:id="21" w:name="_Toc413320142"/>
      <w:r>
        <w:t>Standard and rem</w:t>
      </w:r>
      <w:r w:rsidR="00FF4DF4">
        <w:t>aining</w:t>
      </w:r>
      <w:r w:rsidR="005C7192">
        <w:t xml:space="preserve"> </w:t>
      </w:r>
      <w:r>
        <w:t>asset lives</w:t>
      </w:r>
      <w:bookmarkEnd w:id="21"/>
    </w:p>
    <w:p w:rsidR="00A44B0E" w:rsidRDefault="00A44B0E" w:rsidP="009C6E7F">
      <w:r>
        <w:t xml:space="preserve">Consistent with our draft decision, we accept Directlink's proposed standard </w:t>
      </w:r>
      <w:r w:rsidR="00DC3503">
        <w:t>and remaining</w:t>
      </w:r>
      <w:r>
        <w:t xml:space="preserve"> asset lives</w:t>
      </w:r>
      <w:r w:rsidR="00DC3503">
        <w:t xml:space="preserve"> for its 'Substation</w:t>
      </w:r>
      <w:r w:rsidR="00CA6D7B">
        <w:t>s</w:t>
      </w:r>
      <w:r w:rsidR="00DC3503">
        <w:t>' and 'Transmission line' asset classes</w:t>
      </w:r>
      <w:r>
        <w:t>.</w:t>
      </w:r>
    </w:p>
    <w:p w:rsidR="00494F10" w:rsidRDefault="00A44B0E" w:rsidP="00A44B0E">
      <w:pPr>
        <w:numPr>
          <w:ilvl w:val="0"/>
          <w:numId w:val="25"/>
        </w:numPr>
      </w:pPr>
      <w:r>
        <w:t xml:space="preserve">In </w:t>
      </w:r>
      <w:r w:rsidR="00DC3503">
        <w:t>the</w:t>
      </w:r>
      <w:r>
        <w:t xml:space="preserve"> draft decision, w</w:t>
      </w:r>
      <w:r w:rsidRPr="006D7077">
        <w:t>e accept</w:t>
      </w:r>
      <w:r>
        <w:t>ed</w:t>
      </w:r>
      <w:r w:rsidRPr="006D7077">
        <w:t xml:space="preserve"> </w:t>
      </w:r>
      <w:r>
        <w:t>Directlink's</w:t>
      </w:r>
      <w:r w:rsidR="00182203" w:rsidRPr="00182203">
        <w:t xml:space="preserve"> </w:t>
      </w:r>
      <w:r w:rsidR="00182203" w:rsidRPr="004314F0">
        <w:t xml:space="preserve">proposal to align the </w:t>
      </w:r>
      <w:r w:rsidR="00182203">
        <w:t>remaining</w:t>
      </w:r>
      <w:r w:rsidR="00182203" w:rsidRPr="004314F0">
        <w:t xml:space="preserve"> asset life of the ‘Transmission line’ asset class with that of the ‘S</w:t>
      </w:r>
      <w:r w:rsidR="00182203">
        <w:t>ubstation</w:t>
      </w:r>
      <w:r w:rsidR="00CA6D7B">
        <w:t>s</w:t>
      </w:r>
      <w:r w:rsidR="00182203" w:rsidRPr="004314F0">
        <w:t xml:space="preserve">’ asset class. </w:t>
      </w:r>
      <w:r w:rsidR="00182203">
        <w:t>This is because t</w:t>
      </w:r>
      <w:r w:rsidR="00182203" w:rsidRPr="004314F0">
        <w:t xml:space="preserve">he transmission line will have no useful life when the substation ceases to operate. </w:t>
      </w:r>
      <w:r w:rsidR="00182203">
        <w:t xml:space="preserve">We also accepted Directlink's proposal to change its standard asset lives for depreciating new capex over the 2015–20 regulatory control period. We considered the proposed forecast capex are for </w:t>
      </w:r>
      <w:r w:rsidR="00623D11">
        <w:t>'</w:t>
      </w:r>
      <w:r w:rsidR="00182203">
        <w:t>stay in business</w:t>
      </w:r>
      <w:r w:rsidR="00623D11">
        <w:t>'</w:t>
      </w:r>
      <w:r w:rsidR="00182203">
        <w:t xml:space="preserve"> and ancillary equipment purposes and should have the same remaining life as the substation assets. </w:t>
      </w:r>
      <w:r w:rsidR="00182203" w:rsidRPr="004314F0">
        <w:t xml:space="preserve">Therefore, </w:t>
      </w:r>
      <w:r w:rsidR="00182203">
        <w:t>we</w:t>
      </w:r>
      <w:r w:rsidR="00182203" w:rsidRPr="004314F0">
        <w:t xml:space="preserve"> </w:t>
      </w:r>
      <w:r w:rsidR="00182203">
        <w:t xml:space="preserve">were satisfied </w:t>
      </w:r>
      <w:r w:rsidR="00182203" w:rsidRPr="004314F0">
        <w:t xml:space="preserve">that it </w:t>
      </w:r>
      <w:r w:rsidR="00182203">
        <w:t>was</w:t>
      </w:r>
      <w:r w:rsidR="00182203" w:rsidRPr="004314F0">
        <w:t xml:space="preserve"> reasonable to change the standard asset life of the ‘Transmission line’ asset class </w:t>
      </w:r>
      <w:r w:rsidR="00182203">
        <w:t xml:space="preserve">and 'Substations' asset class </w:t>
      </w:r>
      <w:r w:rsidR="00182203" w:rsidRPr="004314F0">
        <w:t xml:space="preserve">to </w:t>
      </w:r>
      <w:r w:rsidR="00182203">
        <w:t>26</w:t>
      </w:r>
      <w:r w:rsidR="00182203" w:rsidRPr="004314F0">
        <w:t xml:space="preserve"> years to better reflect the expected economic life of </w:t>
      </w:r>
      <w:r w:rsidR="00182203">
        <w:t>Directlink</w:t>
      </w:r>
      <w:r w:rsidR="00182203" w:rsidRPr="004314F0">
        <w:t xml:space="preserve">'s </w:t>
      </w:r>
      <w:r w:rsidR="00182203">
        <w:t>forecast capex</w:t>
      </w:r>
      <w:r w:rsidR="00494F10">
        <w:t>.</w:t>
      </w:r>
      <w:r w:rsidR="00182203">
        <w:rPr>
          <w:rStyle w:val="FootnoteReference"/>
        </w:rPr>
        <w:footnoteReference w:id="5"/>
      </w:r>
      <w:r w:rsidR="00494F10">
        <w:t xml:space="preserve"> </w:t>
      </w:r>
    </w:p>
    <w:p w:rsidR="00E000A5" w:rsidRDefault="00E000A5" w:rsidP="00E000A5">
      <w:pPr>
        <w:numPr>
          <w:ilvl w:val="0"/>
          <w:numId w:val="25"/>
        </w:numPr>
      </w:pPr>
      <w:r>
        <w:t>For this final decision, we are satisfied these proposed standard and remaining asset lives reflect the nature of the assets</w:t>
      </w:r>
      <w:r w:rsidRPr="00196D33">
        <w:t xml:space="preserve"> </w:t>
      </w:r>
      <w:r>
        <w:t xml:space="preserve">over the </w:t>
      </w:r>
      <w:r w:rsidRPr="00196D33">
        <w:t>economic lives of the asset</w:t>
      </w:r>
      <w:r>
        <w:t xml:space="preserve"> classes.</w:t>
      </w:r>
      <w:r>
        <w:rPr>
          <w:rStyle w:val="FootnoteReference"/>
        </w:rPr>
        <w:footnoteReference w:id="6"/>
      </w:r>
    </w:p>
    <w:p w:rsidR="00A44B0E" w:rsidRDefault="005C7192" w:rsidP="00A44B0E">
      <w:pPr>
        <w:numPr>
          <w:ilvl w:val="0"/>
          <w:numId w:val="25"/>
        </w:numPr>
      </w:pPr>
      <w:r>
        <w:fldChar w:fldCharType="begin"/>
      </w:r>
      <w:r>
        <w:instrText xml:space="preserve"> REF _Ref402785347 \h </w:instrText>
      </w:r>
      <w:r>
        <w:fldChar w:fldCharType="separate"/>
      </w:r>
      <w:r>
        <w:t>Table 5</w:t>
      </w:r>
      <w:r>
        <w:noBreakHyphen/>
      </w:r>
      <w:r w:rsidRPr="005C7192">
        <w:t>3</w:t>
      </w:r>
      <w:r>
        <w:fldChar w:fldCharType="end"/>
      </w:r>
      <w:r>
        <w:t xml:space="preserve"> </w:t>
      </w:r>
      <w:r w:rsidR="00A44B0E">
        <w:t>sets out our</w:t>
      </w:r>
      <w:r w:rsidR="00A44B0E" w:rsidRPr="008F1E6A">
        <w:t xml:space="preserve"> </w:t>
      </w:r>
      <w:r>
        <w:t>final</w:t>
      </w:r>
      <w:r w:rsidR="00A44B0E" w:rsidRPr="008F1E6A">
        <w:t xml:space="preserve"> decision on </w:t>
      </w:r>
      <w:r w:rsidR="00A44B0E">
        <w:t>Directlink</w:t>
      </w:r>
      <w:r w:rsidR="00A44B0E" w:rsidRPr="008F1E6A">
        <w:t xml:space="preserve">'s </w:t>
      </w:r>
      <w:r w:rsidR="00A44B0E">
        <w:t>standard</w:t>
      </w:r>
      <w:r w:rsidR="00A44B0E" w:rsidRPr="006D7077">
        <w:t xml:space="preserve"> </w:t>
      </w:r>
      <w:r w:rsidR="00DC3503">
        <w:t xml:space="preserve">and remaining </w:t>
      </w:r>
      <w:r w:rsidR="00A44B0E" w:rsidRPr="006D7077">
        <w:t xml:space="preserve">asset lives </w:t>
      </w:r>
      <w:r w:rsidR="00A44B0E">
        <w:t xml:space="preserve">for the 2015–20 regulatory control </w:t>
      </w:r>
      <w:proofErr w:type="gramStart"/>
      <w:r w:rsidR="00A44B0E">
        <w:t>period</w:t>
      </w:r>
      <w:proofErr w:type="gramEnd"/>
      <w:r w:rsidR="00A44B0E" w:rsidRPr="008F1E6A">
        <w:t>.</w:t>
      </w:r>
    </w:p>
    <w:p w:rsidR="005C7192" w:rsidRDefault="005C7192" w:rsidP="005C7192">
      <w:pPr>
        <w:pStyle w:val="Caption"/>
        <w:numPr>
          <w:ilvl w:val="0"/>
          <w:numId w:val="25"/>
        </w:numPr>
      </w:pPr>
      <w:bookmarkStart w:id="22" w:name="_Ref402785347"/>
      <w:r>
        <w:t>Table 5</w:t>
      </w:r>
      <w:r>
        <w:noBreakHyphen/>
      </w:r>
      <w:r w:rsidRPr="005C7192">
        <w:fldChar w:fldCharType="begin"/>
      </w:r>
      <w:r>
        <w:instrText xml:space="preserve"> SEQ Table \* ARABIC \s 1 </w:instrText>
      </w:r>
      <w:r w:rsidRPr="005C7192">
        <w:fldChar w:fldCharType="separate"/>
      </w:r>
      <w:r w:rsidRPr="005C7192">
        <w:t>3</w:t>
      </w:r>
      <w:r w:rsidRPr="005C7192">
        <w:fldChar w:fldCharType="end"/>
      </w:r>
      <w:bookmarkEnd w:id="22"/>
      <w:r>
        <w:tab/>
      </w:r>
      <w:r w:rsidRPr="000E619A">
        <w:t xml:space="preserve">AER's </w:t>
      </w:r>
      <w:r>
        <w:t xml:space="preserve">final </w:t>
      </w:r>
      <w:r w:rsidRPr="000E619A">
        <w:t>decision on Directlink's standard and remaining asset lives as at 1</w:t>
      </w:r>
      <w:r>
        <w:t> </w:t>
      </w:r>
      <w:r w:rsidRPr="000E619A">
        <w:t>July 2015 (years)</w:t>
      </w:r>
    </w:p>
    <w:tbl>
      <w:tblPr>
        <w:tblStyle w:val="AERtable-numbers"/>
        <w:tblW w:w="8750" w:type="dxa"/>
        <w:tblLook w:val="01E0" w:firstRow="1" w:lastRow="1" w:firstColumn="1" w:lastColumn="1" w:noHBand="0" w:noVBand="0"/>
      </w:tblPr>
      <w:tblGrid>
        <w:gridCol w:w="3936"/>
        <w:gridCol w:w="1701"/>
        <w:gridCol w:w="3113"/>
      </w:tblGrid>
      <w:tr w:rsidR="00420063" w:rsidRPr="00634485" w:rsidTr="00D11C99">
        <w:trPr>
          <w:cnfStyle w:val="100000000000" w:firstRow="1" w:lastRow="0" w:firstColumn="0" w:lastColumn="0" w:oddVBand="0" w:evenVBand="0" w:oddHBand="0" w:evenHBand="0" w:firstRowFirstColumn="0" w:firstRowLastColumn="0" w:lastRowFirstColumn="0" w:lastRowLastColumn="0"/>
          <w:trHeight w:hRule="exact" w:val="638"/>
          <w:tblHeader/>
        </w:trPr>
        <w:tc>
          <w:tcPr>
            <w:cnfStyle w:val="001000000000" w:firstRow="0" w:lastRow="0" w:firstColumn="1" w:lastColumn="0" w:oddVBand="0" w:evenVBand="0" w:oddHBand="0" w:evenHBand="0" w:firstRowFirstColumn="0" w:firstRowLastColumn="0" w:lastRowFirstColumn="0" w:lastRowLastColumn="0"/>
            <w:tcW w:w="3936" w:type="dxa"/>
          </w:tcPr>
          <w:p w:rsidR="00420063" w:rsidRPr="000E130B" w:rsidRDefault="00420063" w:rsidP="00420063">
            <w:pPr>
              <w:pStyle w:val="ListParagraph"/>
              <w:numPr>
                <w:ilvl w:val="0"/>
                <w:numId w:val="25"/>
              </w:numPr>
            </w:pPr>
            <w:r w:rsidRPr="000E130B">
              <w:t>Asset class</w:t>
            </w:r>
          </w:p>
        </w:tc>
        <w:tc>
          <w:tcPr>
            <w:tcW w:w="1701" w:type="dxa"/>
          </w:tcPr>
          <w:p w:rsidR="00420063" w:rsidRPr="00420063" w:rsidRDefault="00420063" w:rsidP="00420063">
            <w:pPr>
              <w:cnfStyle w:val="100000000000" w:firstRow="1" w:lastRow="0" w:firstColumn="0" w:lastColumn="0" w:oddVBand="0" w:evenVBand="0" w:oddHBand="0" w:evenHBand="0" w:firstRowFirstColumn="0" w:firstRowLastColumn="0" w:lastRowFirstColumn="0" w:lastRowLastColumn="0"/>
            </w:pPr>
            <w:r w:rsidRPr="00634485">
              <w:t xml:space="preserve">Standard asset life </w:t>
            </w:r>
          </w:p>
        </w:tc>
        <w:tc>
          <w:tcPr>
            <w:tcW w:w="3113" w:type="dxa"/>
          </w:tcPr>
          <w:p w:rsidR="00420063" w:rsidRPr="00420063" w:rsidRDefault="00420063" w:rsidP="00420063">
            <w:pPr>
              <w:cnfStyle w:val="100000000000" w:firstRow="1" w:lastRow="0" w:firstColumn="0" w:lastColumn="0" w:oddVBand="0" w:evenVBand="0" w:oddHBand="0" w:evenHBand="0" w:firstRowFirstColumn="0" w:firstRowLastColumn="0" w:lastRowFirstColumn="0" w:lastRowLastColumn="0"/>
            </w:pPr>
            <w:r w:rsidRPr="00634485">
              <w:t>Remaining asset life as at 1 July 201</w:t>
            </w:r>
            <w:r>
              <w:t>5</w:t>
            </w:r>
            <w:r w:rsidRPr="00634485">
              <w:t xml:space="preserve"> </w:t>
            </w:r>
          </w:p>
        </w:tc>
      </w:tr>
      <w:tr w:rsidR="00420063" w:rsidRPr="00634485" w:rsidTr="00D11C99">
        <w:trPr>
          <w:trHeight w:hRule="exact" w:val="423"/>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20063" w:rsidRPr="00420063" w:rsidRDefault="00DC3503" w:rsidP="00420063">
            <w:r>
              <w:t>Substations</w:t>
            </w:r>
          </w:p>
        </w:tc>
        <w:tc>
          <w:tcPr>
            <w:tcW w:w="1701" w:type="dxa"/>
          </w:tcPr>
          <w:p w:rsidR="00420063" w:rsidRPr="00420063" w:rsidRDefault="00420063" w:rsidP="00420063">
            <w:pPr>
              <w:cnfStyle w:val="000000000000" w:firstRow="0" w:lastRow="0" w:firstColumn="0" w:lastColumn="0" w:oddVBand="0" w:evenVBand="0" w:oddHBand="0" w:evenHBand="0" w:firstRowFirstColumn="0" w:firstRowLastColumn="0" w:lastRowFirstColumn="0" w:lastRowLastColumn="0"/>
            </w:pPr>
            <w:r>
              <w:t>26.2</w:t>
            </w:r>
          </w:p>
        </w:tc>
        <w:tc>
          <w:tcPr>
            <w:tcW w:w="3113" w:type="dxa"/>
          </w:tcPr>
          <w:p w:rsidR="00420063" w:rsidRPr="00420063" w:rsidRDefault="00420063" w:rsidP="00420063">
            <w:pPr>
              <w:cnfStyle w:val="000000000000" w:firstRow="0" w:lastRow="0" w:firstColumn="0" w:lastColumn="0" w:oddVBand="0" w:evenVBand="0" w:oddHBand="0" w:evenHBand="0" w:firstRowFirstColumn="0" w:firstRowLastColumn="0" w:lastRowFirstColumn="0" w:lastRowLastColumn="0"/>
            </w:pPr>
            <w:r>
              <w:t>26.2</w:t>
            </w:r>
          </w:p>
        </w:tc>
      </w:tr>
      <w:tr w:rsidR="00420063" w:rsidRPr="00634485" w:rsidTr="00D11C99">
        <w:trPr>
          <w:cnfStyle w:val="000000010000" w:firstRow="0" w:lastRow="0" w:firstColumn="0" w:lastColumn="0" w:oddVBand="0" w:evenVBand="0" w:oddHBand="0" w:evenHBand="1"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20063" w:rsidRPr="00420063" w:rsidRDefault="00DC3503" w:rsidP="00420063">
            <w:r>
              <w:t>Transmission line</w:t>
            </w:r>
          </w:p>
        </w:tc>
        <w:tc>
          <w:tcPr>
            <w:tcW w:w="1701" w:type="dxa"/>
            <w:vAlign w:val="top"/>
          </w:tcPr>
          <w:p w:rsidR="00420063" w:rsidRPr="00420063" w:rsidRDefault="00420063" w:rsidP="00420063">
            <w:pPr>
              <w:cnfStyle w:val="000000010000" w:firstRow="0" w:lastRow="0" w:firstColumn="0" w:lastColumn="0" w:oddVBand="0" w:evenVBand="0" w:oddHBand="0" w:evenHBand="1" w:firstRowFirstColumn="0" w:firstRowLastColumn="0" w:lastRowFirstColumn="0" w:lastRowLastColumn="0"/>
            </w:pPr>
            <w:r>
              <w:t>26.2</w:t>
            </w:r>
          </w:p>
        </w:tc>
        <w:tc>
          <w:tcPr>
            <w:tcW w:w="3113" w:type="dxa"/>
          </w:tcPr>
          <w:p w:rsidR="00420063" w:rsidRPr="00420063" w:rsidRDefault="00DC3503" w:rsidP="00DC3503">
            <w:pPr>
              <w:cnfStyle w:val="000000010000" w:firstRow="0" w:lastRow="0" w:firstColumn="0" w:lastColumn="0" w:oddVBand="0" w:evenVBand="0" w:oddHBand="0" w:evenHBand="1" w:firstRowFirstColumn="0" w:firstRowLastColumn="0" w:lastRowFirstColumn="0" w:lastRowLastColumn="0"/>
            </w:pPr>
            <w:r>
              <w:t>26.2</w:t>
            </w:r>
          </w:p>
        </w:tc>
      </w:tr>
      <w:tr w:rsidR="00420063" w:rsidRPr="00634485" w:rsidTr="00D11C99">
        <w:trPr>
          <w:trHeight w:hRule="exact" w:val="420"/>
        </w:trPr>
        <w:tc>
          <w:tcPr>
            <w:cnfStyle w:val="001000000000" w:firstRow="0" w:lastRow="0" w:firstColumn="1" w:lastColumn="0" w:oddVBand="0" w:evenVBand="0" w:oddHBand="0" w:evenHBand="0" w:firstRowFirstColumn="0" w:firstRowLastColumn="0" w:lastRowFirstColumn="0" w:lastRowLastColumn="0"/>
            <w:tcW w:w="3936" w:type="dxa"/>
            <w:vAlign w:val="bottom"/>
          </w:tcPr>
          <w:p w:rsidR="00420063" w:rsidRPr="00420063" w:rsidRDefault="00DC3503" w:rsidP="00420063">
            <w:r>
              <w:t>Easements</w:t>
            </w:r>
          </w:p>
        </w:tc>
        <w:tc>
          <w:tcPr>
            <w:tcW w:w="1701" w:type="dxa"/>
            <w:vAlign w:val="top"/>
          </w:tcPr>
          <w:p w:rsidR="00420063" w:rsidRPr="00420063" w:rsidRDefault="00420063" w:rsidP="00420063">
            <w:pPr>
              <w:cnfStyle w:val="000000000000" w:firstRow="0" w:lastRow="0" w:firstColumn="0" w:lastColumn="0" w:oddVBand="0" w:evenVBand="0" w:oddHBand="0" w:evenHBand="0" w:firstRowFirstColumn="0" w:firstRowLastColumn="0" w:lastRowFirstColumn="0" w:lastRowLastColumn="0"/>
            </w:pPr>
            <w:r w:rsidRPr="00634485">
              <w:t>n/a</w:t>
            </w:r>
          </w:p>
        </w:tc>
        <w:tc>
          <w:tcPr>
            <w:tcW w:w="3113" w:type="dxa"/>
          </w:tcPr>
          <w:p w:rsidR="00420063" w:rsidRPr="00420063" w:rsidRDefault="00420063" w:rsidP="00420063">
            <w:pPr>
              <w:cnfStyle w:val="000000000000" w:firstRow="0" w:lastRow="0" w:firstColumn="0" w:lastColumn="0" w:oddVBand="0" w:evenVBand="0" w:oddHBand="0" w:evenHBand="0" w:firstRowFirstColumn="0" w:firstRowLastColumn="0" w:lastRowFirstColumn="0" w:lastRowLastColumn="0"/>
            </w:pPr>
            <w:r>
              <w:t>n/a</w:t>
            </w:r>
          </w:p>
        </w:tc>
      </w:tr>
    </w:tbl>
    <w:p w:rsidR="00A44B0E" w:rsidRPr="00A44B0E" w:rsidRDefault="00A44B0E" w:rsidP="00A44B0E">
      <w:pPr>
        <w:pStyle w:val="AERtablesource"/>
      </w:pPr>
      <w:r w:rsidRPr="00A44B0E">
        <w:t>Source:</w:t>
      </w:r>
      <w:r w:rsidRPr="00A44B0E">
        <w:tab/>
        <w:t xml:space="preserve">AER analysis. </w:t>
      </w:r>
    </w:p>
    <w:p w:rsidR="00DE563D" w:rsidRPr="00A44B0E" w:rsidRDefault="00A44B0E" w:rsidP="00A44B0E">
      <w:pPr>
        <w:pStyle w:val="AERtablesource"/>
      </w:pPr>
      <w:r w:rsidRPr="00A44B0E">
        <w:t xml:space="preserve">n/a: </w:t>
      </w:r>
      <w:r w:rsidRPr="00A44B0E">
        <w:tab/>
        <w:t>Not applicable.</w:t>
      </w:r>
    </w:p>
    <w:p w:rsidR="00AF1F9E" w:rsidRPr="00290C63" w:rsidRDefault="00AF1F9E" w:rsidP="00D55447"/>
    <w:sectPr w:rsidR="00AF1F9E" w:rsidRPr="00290C63" w:rsidSect="007B49E1">
      <w:pgSz w:w="11906" w:h="16838" w:code="9"/>
      <w:pgMar w:top="1440" w:right="1700" w:bottom="1582" w:left="1729" w:header="720" w:footer="0" w:gutter="0"/>
      <w:pgNumType w:chapStyle="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A4A" w:rsidRPr="00290C63" w:rsidRDefault="00961A4A" w:rsidP="00290C63">
      <w:r>
        <w:separator/>
      </w:r>
    </w:p>
    <w:p w:rsidR="00961A4A" w:rsidRDefault="00961A4A"/>
  </w:endnote>
  <w:endnote w:type="continuationSeparator" w:id="0">
    <w:p w:rsidR="00961A4A" w:rsidRPr="00290C63" w:rsidRDefault="00961A4A" w:rsidP="00290C63">
      <w:r>
        <w:continuationSeparator/>
      </w:r>
    </w:p>
    <w:p w:rsidR="00961A4A" w:rsidRDefault="00961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rPr>
        <w:rStyle w:val="PageNumber"/>
      </w:rPr>
    </w:pPr>
    <w:r w:rsidRPr="00290C63">
      <w:rPr>
        <w:rStyle w:val="PageNumber"/>
      </w:rPr>
      <w:fldChar w:fldCharType="begin"/>
    </w:r>
    <w:r w:rsidRPr="00290C63">
      <w:rPr>
        <w:rStyle w:val="PageNumber"/>
      </w:rPr>
      <w:instrText xml:space="preserve"> PAGE   \* MERGEFORMAT </w:instrText>
    </w:r>
    <w:r w:rsidRPr="00290C63">
      <w:rPr>
        <w:rStyle w:val="PageNumber"/>
      </w:rPr>
      <w:fldChar w:fldCharType="separate"/>
    </w:r>
    <w:r w:rsidRPr="00290C63">
      <w:rPr>
        <w:rStyle w:val="PageNumber"/>
      </w:rPr>
      <w:t>2</w:t>
    </w:r>
    <w:r w:rsidRPr="00290C63">
      <w:rPr>
        <w:rStyle w:val="PageNumber"/>
      </w:rPr>
      <w:fldChar w:fldCharType="end"/>
    </w:r>
    <w:r w:rsidRPr="00290C63">
      <w:rPr>
        <w:rStyle w:val="PageNumber"/>
      </w:rPr>
      <w:tab/>
      <w:t>Xxx report—month/year</w:t>
    </w: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655474"/>
      <w:docPartObj>
        <w:docPartGallery w:val="Page Numbers (Bottom of Page)"/>
        <w:docPartUnique/>
      </w:docPartObj>
    </w:sdtPr>
    <w:sdtEndPr>
      <w:rPr>
        <w:noProof/>
      </w:rPr>
    </w:sdtEndPr>
    <w:sdtContent>
      <w:p w:rsidR="00DE563D" w:rsidRDefault="00DE563D">
        <w:pPr>
          <w:pStyle w:val="Footer"/>
        </w:pPr>
        <w:r>
          <w:fldChar w:fldCharType="begin"/>
        </w:r>
        <w:r>
          <w:instrText xml:space="preserve"> PAGE   \* MERGEFORMAT </w:instrText>
        </w:r>
        <w:r>
          <w:fldChar w:fldCharType="separate"/>
        </w:r>
        <w:r w:rsidR="00B4423F">
          <w:rPr>
            <w:noProof/>
          </w:rPr>
          <w:t>5-3</w:t>
        </w:r>
        <w:r>
          <w:rPr>
            <w:noProof/>
          </w:rPr>
          <w:fldChar w:fldCharType="end"/>
        </w:r>
        <w:r>
          <w:rPr>
            <w:noProof/>
          </w:rPr>
          <w:t xml:space="preserve">Attachment </w:t>
        </w:r>
        <w:r w:rsidR="0067138E">
          <w:t>5</w:t>
        </w:r>
        <w:r>
          <w:rPr>
            <w:noProof/>
          </w:rPr>
          <w:t xml:space="preserve"> </w:t>
        </w:r>
        <w:r>
          <w:rPr>
            <w:rFonts w:cs="Gautami"/>
            <w:noProof/>
          </w:rPr>
          <w:t>–</w:t>
        </w:r>
        <w:r w:rsidR="00EC5AAE">
          <w:t xml:space="preserve"> </w:t>
        </w:r>
        <w:r w:rsidR="0067138E">
          <w:t>Regulatory depreciation</w:t>
        </w:r>
        <w:r>
          <w:rPr>
            <w:rFonts w:cs="Gautami"/>
            <w:noProof/>
          </w:rPr>
          <w:t xml:space="preserve"> | </w:t>
        </w:r>
        <w:r w:rsidR="00AF1F9E">
          <w:t xml:space="preserve">Final decision: Directlink transmission </w:t>
        </w:r>
        <w:r>
          <w:rPr>
            <w:rFonts w:cs="Gautami"/>
            <w:noProof/>
          </w:rPr>
          <w:t>determination 2015–20</w:t>
        </w:r>
      </w:p>
    </w:sdtContent>
  </w:sdt>
  <w:p w:rsidR="00DE563D" w:rsidRDefault="00DE5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04A" w:rsidRPr="00290C63" w:rsidRDefault="0066104A" w:rsidP="00290C63">
    <w:pPr>
      <w:pStyle w:val="Footer"/>
    </w:pPr>
    <w:r>
      <w:t>Name of Report</w:t>
    </w:r>
    <w:r>
      <w:tab/>
    </w:r>
    <w:r>
      <w:tab/>
    </w:r>
    <w:r w:rsidRPr="00290C63">
      <w:fldChar w:fldCharType="begin"/>
    </w:r>
    <w:r w:rsidRPr="00290C63">
      <w:instrText xml:space="preserve"> PAGE   \* MERGEFORMAT </w:instrText>
    </w:r>
    <w:r w:rsidRPr="00290C63">
      <w:fldChar w:fldCharType="separate"/>
    </w:r>
    <w:r w:rsidRPr="00290C63">
      <w:t>1</w:t>
    </w:r>
    <w:r w:rsidRPr="00290C63">
      <w:fldChar w:fldCharType="end"/>
    </w:r>
  </w:p>
  <w:p w:rsidR="0066104A" w:rsidRDefault="0066104A">
    <w:pPr>
      <w:pStyle w:val="Footer"/>
    </w:pPr>
  </w:p>
  <w:p w:rsidR="0066104A" w:rsidRDefault="0066104A"/>
  <w:p w:rsidR="0066104A" w:rsidRDefault="0066104A"/>
  <w:p w:rsidR="0066104A" w:rsidRDefault="0066104A"/>
  <w:p w:rsidR="0066104A" w:rsidRDefault="0066104A"/>
  <w:p w:rsidR="0066104A" w:rsidRDefault="0066104A"/>
  <w:p w:rsidR="0066104A" w:rsidRDefault="0066104A"/>
  <w:p w:rsidR="0066104A" w:rsidRDefault="006610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A4A" w:rsidRPr="00290C63" w:rsidRDefault="00961A4A" w:rsidP="00290C63">
      <w:r>
        <w:separator/>
      </w:r>
    </w:p>
    <w:p w:rsidR="00961A4A" w:rsidRDefault="00961A4A"/>
  </w:footnote>
  <w:footnote w:type="continuationSeparator" w:id="0">
    <w:p w:rsidR="00961A4A" w:rsidRPr="00290C63" w:rsidRDefault="00961A4A" w:rsidP="00290C63">
      <w:r>
        <w:continuationSeparator/>
      </w:r>
    </w:p>
    <w:p w:rsidR="00961A4A" w:rsidRDefault="00961A4A"/>
  </w:footnote>
  <w:footnote w:id="1">
    <w:p w:rsidR="009505FA" w:rsidRPr="00875E28" w:rsidRDefault="009505FA" w:rsidP="009505FA">
      <w:pPr>
        <w:pStyle w:val="FootnoteText"/>
      </w:pPr>
      <w:r>
        <w:rPr>
          <w:rStyle w:val="FootnoteReference"/>
        </w:rPr>
        <w:footnoteRef/>
      </w:r>
      <w:r>
        <w:t xml:space="preserve"> </w:t>
      </w:r>
      <w:r>
        <w:tab/>
      </w:r>
      <w:r w:rsidR="00E91865">
        <w:t>NER, c</w:t>
      </w:r>
      <w:r>
        <w:t>l.</w:t>
      </w:r>
      <w:r w:rsidRPr="00875E28">
        <w:t xml:space="preserve"> 6A.5.4(a)</w:t>
      </w:r>
      <w:r>
        <w:t xml:space="preserve">(1) and </w:t>
      </w:r>
      <w:r w:rsidRPr="00875E28">
        <w:t>(3).</w:t>
      </w:r>
    </w:p>
  </w:footnote>
  <w:footnote w:id="2">
    <w:p w:rsidR="009505FA" w:rsidRDefault="009505FA" w:rsidP="009505FA">
      <w:pPr>
        <w:pStyle w:val="FootnoteText"/>
      </w:pPr>
      <w:r>
        <w:rPr>
          <w:rStyle w:val="FootnoteReference"/>
        </w:rPr>
        <w:footnoteRef/>
      </w:r>
      <w:r>
        <w:t xml:space="preserve"> </w:t>
      </w:r>
      <w:r>
        <w:tab/>
        <w:t>NER, cl. 6A.6.3(a)(1).</w:t>
      </w:r>
    </w:p>
  </w:footnote>
  <w:footnote w:id="3">
    <w:p w:rsidR="00FB3B85" w:rsidRDefault="00FB3B85" w:rsidP="00FB3B85">
      <w:pPr>
        <w:pStyle w:val="FootnoteText"/>
      </w:pPr>
      <w:r>
        <w:rPr>
          <w:rStyle w:val="FootnoteReference"/>
        </w:rPr>
        <w:footnoteRef/>
      </w:r>
      <w:r>
        <w:t xml:space="preserve"> </w:t>
      </w:r>
      <w:r>
        <w:tab/>
        <w:t xml:space="preserve">Directlink, </w:t>
      </w:r>
      <w:r w:rsidR="009C6E7F" w:rsidRPr="008B4B30">
        <w:rPr>
          <w:rStyle w:val="AERtextitalic"/>
        </w:rPr>
        <w:t>Revised revenue proposal</w:t>
      </w:r>
      <w:r w:rsidR="009C6E7F" w:rsidRPr="00E91865">
        <w:t xml:space="preserve">, January 2015, p. </w:t>
      </w:r>
      <w:r w:rsidR="009C6E7F">
        <w:t>46</w:t>
      </w:r>
    </w:p>
  </w:footnote>
  <w:footnote w:id="4">
    <w:p w:rsidR="00FB3B85" w:rsidRDefault="00FB3B85">
      <w:pPr>
        <w:pStyle w:val="FootnoteText"/>
      </w:pPr>
      <w:r>
        <w:rPr>
          <w:rStyle w:val="FootnoteReference"/>
        </w:rPr>
        <w:footnoteRef/>
      </w:r>
      <w:r>
        <w:t xml:space="preserve"> </w:t>
      </w:r>
      <w:r>
        <w:tab/>
      </w:r>
      <w:r w:rsidR="009C6E7F">
        <w:t xml:space="preserve">Directlink, </w:t>
      </w:r>
      <w:r w:rsidR="009C6E7F" w:rsidRPr="008B4B30">
        <w:rPr>
          <w:rStyle w:val="AERtextitalic"/>
        </w:rPr>
        <w:t>Revised revenue proposal</w:t>
      </w:r>
      <w:r w:rsidR="009C6E7F" w:rsidRPr="00E91865">
        <w:t>, January 2015, p.</w:t>
      </w:r>
      <w:r w:rsidR="009C6E7F">
        <w:t>13</w:t>
      </w:r>
    </w:p>
  </w:footnote>
  <w:footnote w:id="5">
    <w:p w:rsidR="00182203" w:rsidRDefault="00182203">
      <w:pPr>
        <w:pStyle w:val="FootnoteText"/>
      </w:pPr>
      <w:r>
        <w:rPr>
          <w:rStyle w:val="FootnoteReference"/>
        </w:rPr>
        <w:footnoteRef/>
      </w:r>
      <w:r>
        <w:t xml:space="preserve"> </w:t>
      </w:r>
      <w:r>
        <w:tab/>
        <w:t xml:space="preserve">AER, </w:t>
      </w:r>
      <w:r w:rsidRPr="009C6E7F">
        <w:rPr>
          <w:rStyle w:val="AERtextitalic"/>
        </w:rPr>
        <w:t>Draft decision, Directlink transmission determination 2015-16 to 2019-20, Attachment 5: Regulatory depreciation</w:t>
      </w:r>
      <w:r>
        <w:t>, November 2014, p. 14.</w:t>
      </w:r>
    </w:p>
  </w:footnote>
  <w:footnote w:id="6">
    <w:p w:rsidR="00E000A5" w:rsidRDefault="00E000A5" w:rsidP="00E000A5">
      <w:pPr>
        <w:pStyle w:val="FootnoteText"/>
      </w:pPr>
      <w:r>
        <w:rPr>
          <w:rStyle w:val="FootnoteReference"/>
        </w:rPr>
        <w:footnoteRef/>
      </w:r>
      <w:r>
        <w:t xml:space="preserve"> </w:t>
      </w:r>
      <w:r>
        <w:tab/>
        <w:t>NER, cl. 6A.6.3(b)(1).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D84C18C"/>
    <w:lvl w:ilvl="0">
      <w:start w:val="1"/>
      <w:numFmt w:val="decimal"/>
      <w:pStyle w:val="ListNumber3"/>
      <w:lvlText w:val="%1."/>
      <w:lvlJc w:val="left"/>
      <w:pPr>
        <w:tabs>
          <w:tab w:val="num" w:pos="1021"/>
        </w:tabs>
        <w:ind w:left="1021" w:hanging="341"/>
      </w:pPr>
      <w:rPr>
        <w:rFonts w:hint="default"/>
      </w:rPr>
    </w:lvl>
  </w:abstractNum>
  <w:abstractNum w:abstractNumId="3">
    <w:nsid w:val="FFFFFF7F"/>
    <w:multiLevelType w:val="singleLevel"/>
    <w:tmpl w:val="C9043968"/>
    <w:lvl w:ilvl="0">
      <w:start w:val="1"/>
      <w:numFmt w:val="decimal"/>
      <w:pStyle w:val="ListNumber2"/>
      <w:lvlText w:val="%1."/>
      <w:lvlJc w:val="left"/>
      <w:pPr>
        <w:ind w:left="70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6AE9A80"/>
    <w:lvl w:ilvl="0">
      <w:start w:val="1"/>
      <w:numFmt w:val="upperLetter"/>
      <w:pStyle w:val="ListBullet3"/>
      <w:lvlText w:val="(%1)"/>
      <w:lvlJc w:val="left"/>
      <w:pPr>
        <w:ind w:left="720" w:hanging="360"/>
      </w:pPr>
      <w:rPr>
        <w:rFonts w:hint="default"/>
      </w:rPr>
    </w:lvl>
  </w:abstractNum>
  <w:abstractNum w:abstractNumId="7">
    <w:nsid w:val="FFFFFF83"/>
    <w:multiLevelType w:val="singleLevel"/>
    <w:tmpl w:val="72802F94"/>
    <w:lvl w:ilvl="0">
      <w:start w:val="1"/>
      <w:numFmt w:val="lowerLetter"/>
      <w:pStyle w:val="ListBullet2"/>
      <w:lvlText w:val="(%1)"/>
      <w:lvlJc w:val="left"/>
      <w:pPr>
        <w:ind w:left="700" w:hanging="360"/>
      </w:pPr>
      <w:rPr>
        <w:rFonts w:hint="default"/>
      </w:rPr>
    </w:lvl>
  </w:abstractNum>
  <w:abstractNum w:abstractNumId="8">
    <w:nsid w:val="FFFFFF88"/>
    <w:multiLevelType w:val="singleLevel"/>
    <w:tmpl w:val="F0E083E8"/>
    <w:lvl w:ilvl="0">
      <w:start w:val="1"/>
      <w:numFmt w:val="decimal"/>
      <w:pStyle w:val="ListNumber"/>
      <w:lvlText w:val="%1."/>
      <w:lvlJc w:val="left"/>
      <w:pPr>
        <w:tabs>
          <w:tab w:val="num" w:pos="360"/>
        </w:tabs>
        <w:ind w:left="360" w:hanging="360"/>
      </w:pPr>
    </w:lvl>
  </w:abstractNum>
  <w:abstractNum w:abstractNumId="9">
    <w:nsid w:val="0C4312B0"/>
    <w:multiLevelType w:val="hybridMultilevel"/>
    <w:tmpl w:val="C1266B52"/>
    <w:lvl w:ilvl="0" w:tplc="990A9FAA">
      <w:start w:val="1"/>
      <w:numFmt w:val="lowerLetter"/>
      <w:pStyle w:val="Listalphabet"/>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0">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33E73B6"/>
    <w:multiLevelType w:val="hybridMultilevel"/>
    <w:tmpl w:val="80220B84"/>
    <w:lvl w:ilvl="0" w:tplc="F5987420">
      <w:start w:val="1"/>
      <w:numFmt w:val="decimal"/>
      <w:pStyle w:val="Numberedparagraph"/>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2">
    <w:nsid w:val="1CF519CE"/>
    <w:multiLevelType w:val="multilevel"/>
    <w:tmpl w:val="FDC07CAE"/>
    <w:lvl w:ilvl="0">
      <w:start w:val="1"/>
      <w:numFmt w:val="decimal"/>
      <w:pStyle w:val="Numbered1111111"/>
      <w:lvlText w:val="%1."/>
      <w:lvlJc w:val="left"/>
      <w:pPr>
        <w:ind w:left="360" w:hanging="360"/>
      </w:pPr>
    </w:lvl>
    <w:lvl w:ilvl="1">
      <w:start w:val="1"/>
      <w:numFmt w:val="decimal"/>
      <w:pStyle w:val="Numberedparagraph11"/>
      <w:lvlText w:val="%1.%2."/>
      <w:lvlJc w:val="left"/>
      <w:pPr>
        <w:ind w:left="792" w:hanging="432"/>
      </w:pPr>
    </w:lvl>
    <w:lvl w:ilvl="2">
      <w:start w:val="1"/>
      <w:numFmt w:val="decimal"/>
      <w:pStyle w:val="Numbered111111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pStyle w:val="Numbered1111111"/>
      <w:lvlText w:val="%1.%2.%3.%4.%5.%6.%7."/>
      <w:lvlJc w:val="left"/>
      <w:pPr>
        <w:ind w:left="3240" w:hanging="1080"/>
      </w:pPr>
    </w:lvl>
    <w:lvl w:ilvl="7">
      <w:start w:val="1"/>
      <w:numFmt w:val="decimal"/>
      <w:lvlText w:val="%1.%2.%3.%4.%5.%6.%7.%8."/>
      <w:lvlJc w:val="left"/>
      <w:pPr>
        <w:ind w:left="3744" w:hanging="1224"/>
      </w:pPr>
    </w:lvl>
    <w:lvl w:ilvl="8">
      <w:start w:val="1"/>
      <w:numFmt w:val="decimal"/>
      <w:pStyle w:val="Numbered111111111"/>
      <w:lvlText w:val="%1.%2.%3.%4.%5.%6.%7.%8.%9."/>
      <w:lvlJc w:val="left"/>
      <w:pPr>
        <w:ind w:left="4320" w:hanging="1440"/>
      </w:pPr>
    </w:lvl>
  </w:abstractNum>
  <w:abstractNum w:abstractNumId="13">
    <w:nsid w:val="1F6066C2"/>
    <w:multiLevelType w:val="hybridMultilevel"/>
    <w:tmpl w:val="2F5E7F54"/>
    <w:lvl w:ilvl="0" w:tplc="C5FCFD8A">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41317C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6AA0DA7"/>
    <w:multiLevelType w:val="multilevel"/>
    <w:tmpl w:val="F49485A8"/>
    <w:lvl w:ilvl="0">
      <w:start w:val="1"/>
      <w:numFmt w:val="upperLetter"/>
      <w:pStyle w:val="Heading7"/>
      <w:lvlText w:val="%1"/>
      <w:lvlJc w:val="left"/>
      <w:pPr>
        <w:ind w:left="340" w:hanging="340"/>
      </w:pPr>
      <w:rPr>
        <w:rFonts w:hint="default"/>
      </w:rPr>
    </w:lvl>
    <w:lvl w:ilvl="1">
      <w:start w:val="1"/>
      <w:numFmt w:val="decimal"/>
      <w:lvlRestart w:val="0"/>
      <w:pStyle w:val="Heading8"/>
      <w:lvlText w:val="%1.%2"/>
      <w:lvlJc w:val="left"/>
      <w:pPr>
        <w:tabs>
          <w:tab w:val="num" w:pos="1021"/>
        </w:tabs>
        <w:ind w:left="1021" w:hanging="1021"/>
      </w:pPr>
      <w:rPr>
        <w:rFonts w:hint="default"/>
      </w:rPr>
    </w:lvl>
    <w:lvl w:ilvl="2">
      <w:start w:val="1"/>
      <w:numFmt w:val="decimal"/>
      <w:pStyle w:val="Heading9"/>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28865DF8"/>
    <w:multiLevelType w:val="hybridMultilevel"/>
    <w:tmpl w:val="EC0E5568"/>
    <w:lvl w:ilvl="0" w:tplc="D90E7D7A">
      <w:start w:val="1"/>
      <w:numFmt w:val="lowerLetter"/>
      <w:pStyle w:val="AERnumberedlistsecondstyle"/>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7">
    <w:nsid w:val="2A7A4051"/>
    <w:multiLevelType w:val="multilevel"/>
    <w:tmpl w:val="C04EFA60"/>
    <w:lvl w:ilvl="0">
      <w:start w:val="1"/>
      <w:numFmt w:val="upperLetter"/>
      <w:lvlText w:val="%1"/>
      <w:lvlJc w:val="left"/>
      <w:pPr>
        <w:ind w:left="340" w:hanging="340"/>
      </w:pPr>
      <w:rPr>
        <w:rFonts w:hint="default"/>
      </w:rPr>
    </w:lvl>
    <w:lvl w:ilvl="1">
      <w:start w:val="1"/>
      <w:numFmt w:val="decimal"/>
      <w:lvlRestart w:val="0"/>
      <w:lvlText w:val="%1.%2"/>
      <w:lvlJc w:val="left"/>
      <w:pPr>
        <w:tabs>
          <w:tab w:val="num" w:pos="1021"/>
        </w:tabs>
        <w:ind w:left="1021" w:hanging="1021"/>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2FB612CC"/>
    <w:multiLevelType w:val="multilevel"/>
    <w:tmpl w:val="950A1C52"/>
    <w:styleLink w:val="AERHeadings"/>
    <w:lvl w:ilvl="0">
      <w:start w:val="1"/>
      <w:numFmt w:val="none"/>
      <w:lvlText w:val="%1"/>
      <w:lvlJc w:val="left"/>
      <w:pPr>
        <w:tabs>
          <w:tab w:val="num" w:pos="0"/>
        </w:tabs>
        <w:ind w:left="0" w:firstLine="0"/>
      </w:pPr>
      <w:rPr>
        <w:rFonts w:hint="default"/>
      </w:rPr>
    </w:lvl>
    <w:lvl w:ilvl="1">
      <w:start w:val="1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9">
    <w:nsid w:val="34AC7051"/>
    <w:multiLevelType w:val="multilevel"/>
    <w:tmpl w:val="265C1DE2"/>
    <w:styleLink w:val="OldAER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3923347D"/>
    <w:multiLevelType w:val="hybridMultilevel"/>
    <w:tmpl w:val="8E96A9EE"/>
    <w:lvl w:ilvl="0" w:tplc="5E568C86">
      <w:start w:val="1"/>
      <w:numFmt w:val="decimal"/>
      <w:pStyle w:val="ListBullet"/>
      <w:lvlText w:val="(%1)"/>
      <w:lvlJc w:val="left"/>
      <w:pPr>
        <w:ind w:left="360" w:hanging="360"/>
      </w:pPr>
      <w:rPr>
        <w:rFonts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1412A8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42784418"/>
    <w:multiLevelType w:val="multilevel"/>
    <w:tmpl w:val="950A1C52"/>
    <w:numStyleLink w:val="AERHeadings"/>
  </w:abstractNum>
  <w:abstractNum w:abstractNumId="23">
    <w:nsid w:val="443F74CB"/>
    <w:multiLevelType w:val="hybridMultilevel"/>
    <w:tmpl w:val="5FB40038"/>
    <w:lvl w:ilvl="0" w:tplc="921A7DDA">
      <w:start w:val="1"/>
      <w:numFmt w:val="decimal"/>
      <w:lvlText w:val="%1."/>
      <w:lvlJc w:val="left"/>
      <w:pPr>
        <w:tabs>
          <w:tab w:val="num" w:pos="357"/>
        </w:tabs>
        <w:ind w:left="357" w:hanging="357"/>
      </w:pPr>
      <w:rPr>
        <w:rFonts w:ascii="Gautami" w:hAnsi="Gautami" w:hint="default"/>
        <w:b w:val="0"/>
        <w:i w:val="0"/>
        <w:sz w:val="22"/>
      </w:rPr>
    </w:lvl>
    <w:lvl w:ilvl="1" w:tplc="6A7A61AE">
      <w:start w:val="1"/>
      <w:numFmt w:val="bullet"/>
      <w:lvlText w:val=""/>
      <w:lvlJc w:val="left"/>
      <w:pPr>
        <w:tabs>
          <w:tab w:val="num" w:pos="4498"/>
        </w:tabs>
        <w:ind w:left="4498" w:hanging="358"/>
      </w:pPr>
      <w:rPr>
        <w:rFonts w:ascii="Wingdings" w:hAnsi="Wingdings" w:hint="default"/>
        <w:b w:val="0"/>
        <w:i w:val="0"/>
        <w:sz w:val="22"/>
      </w:rPr>
    </w:lvl>
    <w:lvl w:ilvl="2" w:tplc="0C090005" w:tentative="1">
      <w:start w:val="1"/>
      <w:numFmt w:val="lowerRoman"/>
      <w:lvlText w:val="%3."/>
      <w:lvlJc w:val="right"/>
      <w:pPr>
        <w:tabs>
          <w:tab w:val="num" w:pos="5220"/>
        </w:tabs>
        <w:ind w:left="5220" w:hanging="180"/>
      </w:pPr>
    </w:lvl>
    <w:lvl w:ilvl="3" w:tplc="0C090001" w:tentative="1">
      <w:start w:val="1"/>
      <w:numFmt w:val="decimal"/>
      <w:lvlText w:val="%4."/>
      <w:lvlJc w:val="left"/>
      <w:pPr>
        <w:tabs>
          <w:tab w:val="num" w:pos="5940"/>
        </w:tabs>
        <w:ind w:left="5940" w:hanging="360"/>
      </w:pPr>
    </w:lvl>
    <w:lvl w:ilvl="4" w:tplc="0C090003">
      <w:start w:val="1"/>
      <w:numFmt w:val="lowerLetter"/>
      <w:lvlText w:val="%5."/>
      <w:lvlJc w:val="left"/>
      <w:pPr>
        <w:tabs>
          <w:tab w:val="num" w:pos="6660"/>
        </w:tabs>
        <w:ind w:left="6660" w:hanging="360"/>
      </w:pPr>
    </w:lvl>
    <w:lvl w:ilvl="5" w:tplc="0C090005">
      <w:start w:val="1"/>
      <w:numFmt w:val="lowerRoman"/>
      <w:lvlText w:val="%6."/>
      <w:lvlJc w:val="right"/>
      <w:pPr>
        <w:tabs>
          <w:tab w:val="num" w:pos="7380"/>
        </w:tabs>
        <w:ind w:left="7380" w:hanging="180"/>
      </w:pPr>
    </w:lvl>
    <w:lvl w:ilvl="6" w:tplc="0C090001" w:tentative="1">
      <w:start w:val="1"/>
      <w:numFmt w:val="decimal"/>
      <w:lvlText w:val="%7."/>
      <w:lvlJc w:val="left"/>
      <w:pPr>
        <w:tabs>
          <w:tab w:val="num" w:pos="8100"/>
        </w:tabs>
        <w:ind w:left="8100" w:hanging="360"/>
      </w:pPr>
    </w:lvl>
    <w:lvl w:ilvl="7" w:tplc="0C090003" w:tentative="1">
      <w:start w:val="1"/>
      <w:numFmt w:val="lowerLetter"/>
      <w:lvlText w:val="%8."/>
      <w:lvlJc w:val="left"/>
      <w:pPr>
        <w:tabs>
          <w:tab w:val="num" w:pos="8820"/>
        </w:tabs>
        <w:ind w:left="8820" w:hanging="360"/>
      </w:pPr>
    </w:lvl>
    <w:lvl w:ilvl="8" w:tplc="0C090005" w:tentative="1">
      <w:start w:val="1"/>
      <w:numFmt w:val="lowerRoman"/>
      <w:lvlText w:val="%9."/>
      <w:lvlJc w:val="right"/>
      <w:pPr>
        <w:tabs>
          <w:tab w:val="num" w:pos="9540"/>
        </w:tabs>
        <w:ind w:left="9540" w:hanging="180"/>
      </w:pPr>
    </w:lvl>
  </w:abstractNum>
  <w:abstractNum w:abstractNumId="24">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3621"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C6A3DDE"/>
    <w:multiLevelType w:val="hybridMultilevel"/>
    <w:tmpl w:val="F51A789C"/>
    <w:lvl w:ilvl="0" w:tplc="92E84616">
      <w:start w:val="1"/>
      <w:numFmt w:val="bullet"/>
      <w:pStyle w:val="AERquotebullet1"/>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27">
    <w:nsid w:val="51487971"/>
    <w:multiLevelType w:val="multilevel"/>
    <w:tmpl w:val="39D4CB02"/>
    <w:styleLink w:val="AER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454"/>
        </w:tabs>
        <w:ind w:left="454" w:hanging="454"/>
      </w:pPr>
      <w:rPr>
        <w:rFonts w:hint="default"/>
      </w:rPr>
    </w:lvl>
    <w:lvl w:ilvl="5">
      <w:start w:val="1"/>
      <w:numFmt w:val="lowerLetter"/>
      <w:lvlText w:val="(%6)"/>
      <w:lvlJc w:val="left"/>
      <w:pPr>
        <w:tabs>
          <w:tab w:val="num" w:pos="811"/>
        </w:tabs>
        <w:ind w:left="811" w:hanging="357"/>
      </w:pPr>
      <w:rPr>
        <w:rFonts w:hint="default"/>
      </w:rPr>
    </w:lvl>
    <w:lvl w:ilvl="6">
      <w:start w:val="1"/>
      <w:numFmt w:val="lowerRoman"/>
      <w:lvlText w:val="(%7)"/>
      <w:lvlJc w:val="left"/>
      <w:pPr>
        <w:tabs>
          <w:tab w:val="num" w:pos="1446"/>
        </w:tabs>
        <w:ind w:left="1446" w:hanging="635"/>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29">
    <w:nsid w:val="5ECE4384"/>
    <w:multiLevelType w:val="multilevel"/>
    <w:tmpl w:val="62361204"/>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726588A"/>
    <w:multiLevelType w:val="hybridMultilevel"/>
    <w:tmpl w:val="6568C8B8"/>
    <w:lvl w:ilvl="0" w:tplc="0C09000F">
      <w:start w:val="1"/>
      <w:numFmt w:val="bullet"/>
      <w:pStyle w:val="AERbulletlistsecondstyle"/>
      <w:lvlText w:val="o"/>
      <w:lvlJc w:val="left"/>
      <w:pPr>
        <w:ind w:left="1081" w:hanging="360"/>
      </w:pPr>
      <w:rPr>
        <w:rFonts w:ascii="Courier New" w:hAnsi="Courier New" w:cs="Courier New" w:hint="default"/>
      </w:rPr>
    </w:lvl>
    <w:lvl w:ilvl="1" w:tplc="0C090019" w:tentative="1">
      <w:start w:val="1"/>
      <w:numFmt w:val="bullet"/>
      <w:lvlText w:val="o"/>
      <w:lvlJc w:val="left"/>
      <w:pPr>
        <w:ind w:left="1801" w:hanging="360"/>
      </w:pPr>
      <w:rPr>
        <w:rFonts w:ascii="Courier New" w:hAnsi="Courier New" w:cs="Courier New" w:hint="default"/>
      </w:rPr>
    </w:lvl>
    <w:lvl w:ilvl="2" w:tplc="C38EC922">
      <w:start w:val="1"/>
      <w:numFmt w:val="bullet"/>
      <w:pStyle w:val="AERbulletlistthirdstyle"/>
      <w:lvlText w:val=""/>
      <w:lvlJc w:val="left"/>
      <w:pPr>
        <w:ind w:left="2521" w:hanging="360"/>
      </w:pPr>
      <w:rPr>
        <w:rFonts w:ascii="Wingdings" w:hAnsi="Wingdings" w:hint="default"/>
      </w:rPr>
    </w:lvl>
    <w:lvl w:ilvl="3" w:tplc="0C09000F" w:tentative="1">
      <w:start w:val="1"/>
      <w:numFmt w:val="bullet"/>
      <w:lvlText w:val=""/>
      <w:lvlJc w:val="left"/>
      <w:pPr>
        <w:ind w:left="3241" w:hanging="360"/>
      </w:pPr>
      <w:rPr>
        <w:rFonts w:ascii="Symbol" w:hAnsi="Symbol" w:hint="default"/>
      </w:rPr>
    </w:lvl>
    <w:lvl w:ilvl="4" w:tplc="0C090019" w:tentative="1">
      <w:start w:val="1"/>
      <w:numFmt w:val="bullet"/>
      <w:lvlText w:val="o"/>
      <w:lvlJc w:val="left"/>
      <w:pPr>
        <w:ind w:left="3961" w:hanging="360"/>
      </w:pPr>
      <w:rPr>
        <w:rFonts w:ascii="Courier New" w:hAnsi="Courier New" w:cs="Courier New" w:hint="default"/>
      </w:rPr>
    </w:lvl>
    <w:lvl w:ilvl="5" w:tplc="0C09001B" w:tentative="1">
      <w:start w:val="1"/>
      <w:numFmt w:val="bullet"/>
      <w:lvlText w:val=""/>
      <w:lvlJc w:val="left"/>
      <w:pPr>
        <w:ind w:left="4681" w:hanging="360"/>
      </w:pPr>
      <w:rPr>
        <w:rFonts w:ascii="Wingdings" w:hAnsi="Wingdings" w:hint="default"/>
      </w:rPr>
    </w:lvl>
    <w:lvl w:ilvl="6" w:tplc="0C09000F" w:tentative="1">
      <w:start w:val="1"/>
      <w:numFmt w:val="bullet"/>
      <w:lvlText w:val=""/>
      <w:lvlJc w:val="left"/>
      <w:pPr>
        <w:ind w:left="5401" w:hanging="360"/>
      </w:pPr>
      <w:rPr>
        <w:rFonts w:ascii="Symbol" w:hAnsi="Symbol" w:hint="default"/>
      </w:rPr>
    </w:lvl>
    <w:lvl w:ilvl="7" w:tplc="0C090019" w:tentative="1">
      <w:start w:val="1"/>
      <w:numFmt w:val="bullet"/>
      <w:lvlText w:val="o"/>
      <w:lvlJc w:val="left"/>
      <w:pPr>
        <w:ind w:left="6121" w:hanging="360"/>
      </w:pPr>
      <w:rPr>
        <w:rFonts w:ascii="Courier New" w:hAnsi="Courier New" w:cs="Courier New" w:hint="default"/>
      </w:rPr>
    </w:lvl>
    <w:lvl w:ilvl="8" w:tplc="0C09001B" w:tentative="1">
      <w:start w:val="1"/>
      <w:numFmt w:val="bullet"/>
      <w:lvlText w:val=""/>
      <w:lvlJc w:val="left"/>
      <w:pPr>
        <w:ind w:left="6841" w:hanging="360"/>
      </w:pPr>
      <w:rPr>
        <w:rFonts w:ascii="Wingdings" w:hAnsi="Wingdings" w:hint="default"/>
      </w:rPr>
    </w:lvl>
  </w:abstractNum>
  <w:abstractNum w:abstractNumId="31">
    <w:nsid w:val="6DE36827"/>
    <w:multiLevelType w:val="multilevel"/>
    <w:tmpl w:val="950A1C52"/>
    <w:numStyleLink w:val="AERHeadings"/>
  </w:abstractNum>
  <w:abstractNum w:abstractNumId="32">
    <w:nsid w:val="71052EFE"/>
    <w:multiLevelType w:val="hybridMultilevel"/>
    <w:tmpl w:val="52FCFAA8"/>
    <w:lvl w:ilvl="0" w:tplc="C846CA5C">
      <w:start w:val="1"/>
      <w:numFmt w:val="lowerRoman"/>
      <w:pStyle w:val="AERnumberedlistthirdstyle"/>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1964B0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E2819EC"/>
    <w:multiLevelType w:val="multilevel"/>
    <w:tmpl w:val="1250F310"/>
    <w:lvl w:ilvl="0">
      <w:start w:val="1"/>
      <w:numFmt w:val="bullet"/>
      <w:pStyle w:val="AERbulletlistfirststyle"/>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num>
  <w:num w:numId="2">
    <w:abstractNumId w:val="34"/>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0"/>
  </w:num>
  <w:num w:numId="13">
    <w:abstractNumId w:val="20"/>
  </w:num>
  <w:num w:numId="14">
    <w:abstractNumId w:val="10"/>
  </w:num>
  <w:num w:numId="15">
    <w:abstractNumId w:val="12"/>
  </w:num>
  <w:num w:numId="16">
    <w:abstractNumId w:val="24"/>
  </w:num>
  <w:num w:numId="17">
    <w:abstractNumId w:val="9"/>
  </w:num>
  <w:num w:numId="18">
    <w:abstractNumId w:val="16"/>
  </w:num>
  <w:num w:numId="19">
    <w:abstractNumId w:val="25"/>
  </w:num>
  <w:num w:numId="20">
    <w:abstractNumId w:val="32"/>
  </w:num>
  <w:num w:numId="21">
    <w:abstractNumId w:val="13"/>
  </w:num>
  <w:num w:numId="22">
    <w:abstractNumId w:val="28"/>
  </w:num>
  <w:num w:numId="23">
    <w:abstractNumId w:val="26"/>
  </w:num>
  <w:num w:numId="24">
    <w:abstractNumId w:val="18"/>
  </w:num>
  <w:num w:numId="25">
    <w:abstractNumId w:val="27"/>
  </w:num>
  <w:num w:numId="26">
    <w:abstractNumId w:val="29"/>
  </w:num>
  <w:num w:numId="27">
    <w:abstractNumId w:val="19"/>
  </w:num>
  <w:num w:numId="28">
    <w:abstractNumId w:val="17"/>
  </w:num>
  <w:num w:numId="29">
    <w:abstractNumId w:val="15"/>
  </w:num>
  <w:num w:numId="30">
    <w:abstractNumId w:val="33"/>
  </w:num>
  <w:num w:numId="31">
    <w:abstractNumId w:val="14"/>
  </w:num>
  <w:num w:numId="32">
    <w:abstractNumId w:val="21"/>
  </w:num>
  <w:num w:numId="33">
    <w:abstractNumId w:val="18"/>
    <w:lvlOverride w:ilvl="0">
      <w:lvl w:ilvl="0">
        <w:start w:val="1"/>
        <w:numFmt w:val="none"/>
        <w:lvlText w:val="%1"/>
        <w:lvlJc w:val="left"/>
        <w:pPr>
          <w:tabs>
            <w:tab w:val="num" w:pos="0"/>
          </w:tabs>
          <w:ind w:left="0" w:firstLine="0"/>
        </w:pPr>
        <w:rPr>
          <w:rFonts w:hint="default"/>
        </w:rPr>
      </w:lvl>
    </w:lvlOverride>
    <w:lvlOverride w:ilvl="1">
      <w:lvl w:ilvl="1">
        <w:start w:val="7"/>
        <w:numFmt w:val="decimal"/>
        <w:lvlText w:val="%2"/>
        <w:lvlJc w:val="left"/>
        <w:pPr>
          <w:tabs>
            <w:tab w:val="num" w:pos="0"/>
          </w:tabs>
          <w:ind w:left="0" w:hanging="851"/>
        </w:pPr>
        <w:rPr>
          <w:rFonts w:ascii="Gautami" w:eastAsia="Times New Roman" w:hAnsi="Gautami" w:cs="Times New Roman"/>
        </w:rPr>
      </w:lvl>
    </w:lvlOverride>
    <w:lvlOverride w:ilvl="2">
      <w:lvl w:ilvl="2">
        <w:start w:val="1"/>
        <w:numFmt w:val="decimal"/>
        <w:lvlText w:val="%1%2.%3"/>
        <w:lvlJc w:val="left"/>
        <w:pPr>
          <w:tabs>
            <w:tab w:val="num" w:pos="0"/>
          </w:tabs>
          <w:ind w:left="0" w:hanging="851"/>
        </w:pPr>
        <w:rPr>
          <w:rFonts w:hint="default"/>
        </w:rPr>
      </w:lvl>
    </w:lvlOverride>
    <w:lvlOverride w:ilvl="3">
      <w:lvl w:ilvl="3">
        <w:start w:val="1"/>
        <w:numFmt w:val="decimal"/>
        <w:lvlText w:val="%2.%3.%4"/>
        <w:lvlJc w:val="left"/>
        <w:pPr>
          <w:tabs>
            <w:tab w:val="num" w:pos="0"/>
          </w:tabs>
          <w:ind w:left="0" w:hanging="851"/>
        </w:pPr>
        <w:rPr>
          <w:rFonts w:hint="default"/>
        </w:rPr>
      </w:lvl>
    </w:lvlOverride>
    <w:lvlOverride w:ilvl="4">
      <w:lvl w:ilvl="4">
        <w:start w:val="1"/>
        <w:numFmt w:val="upperLetter"/>
        <w:lvlRestart w:val="1"/>
        <w:lvlText w:val="%5"/>
        <w:lvlJc w:val="left"/>
        <w:pPr>
          <w:tabs>
            <w:tab w:val="num" w:pos="0"/>
          </w:tabs>
          <w:ind w:left="0" w:hanging="851"/>
        </w:pPr>
        <w:rPr>
          <w:rFonts w:hint="default"/>
        </w:rPr>
      </w:lvl>
    </w:lvlOverride>
    <w:lvlOverride w:ilvl="5">
      <w:lvl w:ilvl="5">
        <w:start w:val="1"/>
        <w:numFmt w:val="decimal"/>
        <w:lvlText w:val="%5.%6"/>
        <w:lvlJc w:val="left"/>
        <w:pPr>
          <w:tabs>
            <w:tab w:val="num" w:pos="0"/>
          </w:tabs>
          <w:ind w:left="0" w:hanging="851"/>
        </w:pPr>
        <w:rPr>
          <w:rFonts w:hint="default"/>
        </w:rPr>
      </w:lvl>
    </w:lvlOverride>
    <w:lvlOverride w:ilvl="6">
      <w:lvl w:ilvl="6">
        <w:start w:val="1"/>
        <w:numFmt w:val="decimal"/>
        <w:lvlText w:val="%5.%6.%7"/>
        <w:lvlJc w:val="left"/>
        <w:pPr>
          <w:tabs>
            <w:tab w:val="num" w:pos="0"/>
          </w:tabs>
          <w:ind w:left="0" w:hanging="851"/>
        </w:pPr>
        <w:rPr>
          <w:rFonts w:hint="default"/>
        </w:rPr>
      </w:lvl>
    </w:lvlOverride>
    <w:lvlOverride w:ilvl="7">
      <w:lvl w:ilvl="7">
        <w:start w:val="1"/>
        <w:numFmt w:val="none"/>
        <w:lvlRestart w:val="0"/>
        <w:lvlText w:val=""/>
        <w:lvlJc w:val="left"/>
        <w:pPr>
          <w:tabs>
            <w:tab w:val="num" w:pos="0"/>
          </w:tabs>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4">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6"/>
      <w:lvl w:ilvl="1">
        <w:start w:val="16"/>
        <w:numFmt w:val="decimal"/>
        <w:lvlText w:val="%2"/>
        <w:lvlJc w:val="left"/>
        <w:pPr>
          <w:tabs>
            <w:tab w:val="num" w:pos="0"/>
          </w:tabs>
          <w:ind w:left="0" w:hanging="851"/>
        </w:pPr>
        <w:rPr>
          <w:rFonts w:ascii="Gautami" w:eastAsia="Times New Roman" w:hAnsi="Gautami" w:cs="Times New Roman"/>
        </w:rPr>
      </w:lvl>
    </w:lvlOverride>
  </w:num>
  <w:num w:numId="35">
    <w:abstractNumId w:val="18"/>
    <w:lvlOverride w:ilvl="0">
      <w:startOverride w:val="1"/>
      <w:lvl w:ilvl="0">
        <w:start w:val="1"/>
        <w:numFmt w:val="none"/>
        <w:lvlText w:val="%1"/>
        <w:lvlJc w:val="left"/>
        <w:pPr>
          <w:tabs>
            <w:tab w:val="num" w:pos="0"/>
          </w:tabs>
          <w:ind w:left="0" w:firstLine="0"/>
        </w:pPr>
        <w:rPr>
          <w:rFonts w:hint="default"/>
        </w:rPr>
      </w:lvl>
    </w:lvlOverride>
    <w:lvlOverride w:ilvl="1">
      <w:startOverride w:val="18"/>
      <w:lvl w:ilvl="1">
        <w:start w:val="18"/>
        <w:numFmt w:val="decimal"/>
        <w:lvlText w:val="%2"/>
        <w:lvlJc w:val="left"/>
        <w:pPr>
          <w:tabs>
            <w:tab w:val="num" w:pos="0"/>
          </w:tabs>
          <w:ind w:left="0" w:hanging="851"/>
        </w:pPr>
        <w:rPr>
          <w:rFonts w:ascii="Gautami" w:eastAsia="Times New Roman" w:hAnsi="Gautami" w:cs="Times New Roman"/>
        </w:rPr>
      </w:lvl>
    </w:lvlOverride>
  </w:num>
  <w:num w:numId="36">
    <w:abstractNumId w:val="31"/>
  </w:num>
  <w:num w:numId="37">
    <w:abstractNumId w:val="22"/>
  </w:num>
  <w:num w:numId="38">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6"/>
  <w:removePersonalInformation/>
  <w:removeDateAndTime/>
  <w:proofState w:spelling="clean" w:grammar="clean"/>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ocumentProtection w:formatting="1" w:enforcement="1" w:spinCount="100000" w:hashValue="5oGhSWVFj2gC2LKjOGzbxnx2K8D0MoKwIFzte8tL22g=" w:saltValue="hxG8MPbbpw0SjfLefHFWjg==" w:algorithmName="SHA-256"/>
  <w:defaultTabStop w:val="34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AER - Final decision Directlink transmission determination - Attachment 5 - Regulatory depreciation - April 2015.DOCX"/>
  </w:docVars>
  <w:rsids>
    <w:rsidRoot w:val="00961A4A"/>
    <w:rsid w:val="00021202"/>
    <w:rsid w:val="0002517F"/>
    <w:rsid w:val="0003578C"/>
    <w:rsid w:val="00063247"/>
    <w:rsid w:val="00070F9F"/>
    <w:rsid w:val="0007137B"/>
    <w:rsid w:val="00081906"/>
    <w:rsid w:val="00085663"/>
    <w:rsid w:val="00085EBF"/>
    <w:rsid w:val="000A3020"/>
    <w:rsid w:val="000A36FD"/>
    <w:rsid w:val="000A6C7B"/>
    <w:rsid w:val="000D122C"/>
    <w:rsid w:val="000E1819"/>
    <w:rsid w:val="000E4821"/>
    <w:rsid w:val="000E6C72"/>
    <w:rsid w:val="00116EB2"/>
    <w:rsid w:val="00124609"/>
    <w:rsid w:val="00126A4C"/>
    <w:rsid w:val="0014573B"/>
    <w:rsid w:val="001573E4"/>
    <w:rsid w:val="00160756"/>
    <w:rsid w:val="0017232E"/>
    <w:rsid w:val="00174102"/>
    <w:rsid w:val="00180157"/>
    <w:rsid w:val="00182203"/>
    <w:rsid w:val="00185CB9"/>
    <w:rsid w:val="00186F77"/>
    <w:rsid w:val="001926A4"/>
    <w:rsid w:val="00192AD5"/>
    <w:rsid w:val="001B45A0"/>
    <w:rsid w:val="001D055E"/>
    <w:rsid w:val="001F492E"/>
    <w:rsid w:val="001F6DA3"/>
    <w:rsid w:val="002010BC"/>
    <w:rsid w:val="00202E03"/>
    <w:rsid w:val="0020492C"/>
    <w:rsid w:val="00217086"/>
    <w:rsid w:val="00224DB9"/>
    <w:rsid w:val="00233775"/>
    <w:rsid w:val="00251745"/>
    <w:rsid w:val="00263AC0"/>
    <w:rsid w:val="00264264"/>
    <w:rsid w:val="0026772D"/>
    <w:rsid w:val="00286874"/>
    <w:rsid w:val="00290C63"/>
    <w:rsid w:val="00296B65"/>
    <w:rsid w:val="002A7DEF"/>
    <w:rsid w:val="002E7B22"/>
    <w:rsid w:val="002F7986"/>
    <w:rsid w:val="00301B40"/>
    <w:rsid w:val="003029EE"/>
    <w:rsid w:val="00305CC8"/>
    <w:rsid w:val="00307F6D"/>
    <w:rsid w:val="003177A2"/>
    <w:rsid w:val="003271B5"/>
    <w:rsid w:val="00327A1E"/>
    <w:rsid w:val="00331264"/>
    <w:rsid w:val="00334C8D"/>
    <w:rsid w:val="00343A18"/>
    <w:rsid w:val="003518B3"/>
    <w:rsid w:val="003846F1"/>
    <w:rsid w:val="003B484F"/>
    <w:rsid w:val="003F174D"/>
    <w:rsid w:val="00420063"/>
    <w:rsid w:val="0045777E"/>
    <w:rsid w:val="00480B4B"/>
    <w:rsid w:val="00485DC4"/>
    <w:rsid w:val="00494F10"/>
    <w:rsid w:val="004A43D1"/>
    <w:rsid w:val="004B4412"/>
    <w:rsid w:val="004C348C"/>
    <w:rsid w:val="004D55BA"/>
    <w:rsid w:val="004E22EC"/>
    <w:rsid w:val="00530128"/>
    <w:rsid w:val="00532467"/>
    <w:rsid w:val="00564A4D"/>
    <w:rsid w:val="005666E2"/>
    <w:rsid w:val="00567BA5"/>
    <w:rsid w:val="00571B35"/>
    <w:rsid w:val="00571D57"/>
    <w:rsid w:val="00577A09"/>
    <w:rsid w:val="005829C2"/>
    <w:rsid w:val="00584D8F"/>
    <w:rsid w:val="005A404D"/>
    <w:rsid w:val="005B1E3C"/>
    <w:rsid w:val="005C26CC"/>
    <w:rsid w:val="005C7192"/>
    <w:rsid w:val="005D7BA2"/>
    <w:rsid w:val="005E36C2"/>
    <w:rsid w:val="00615C6B"/>
    <w:rsid w:val="00621DCE"/>
    <w:rsid w:val="00623D11"/>
    <w:rsid w:val="00632D6D"/>
    <w:rsid w:val="00642C3E"/>
    <w:rsid w:val="006567A1"/>
    <w:rsid w:val="0066104A"/>
    <w:rsid w:val="00663DAD"/>
    <w:rsid w:val="0067138E"/>
    <w:rsid w:val="00675E20"/>
    <w:rsid w:val="00676679"/>
    <w:rsid w:val="00677E39"/>
    <w:rsid w:val="00683C89"/>
    <w:rsid w:val="00696E3F"/>
    <w:rsid w:val="006B2395"/>
    <w:rsid w:val="006B4CF9"/>
    <w:rsid w:val="006B7AC8"/>
    <w:rsid w:val="006D550F"/>
    <w:rsid w:val="00701CAB"/>
    <w:rsid w:val="00707563"/>
    <w:rsid w:val="0072348C"/>
    <w:rsid w:val="00724A37"/>
    <w:rsid w:val="007303C3"/>
    <w:rsid w:val="007429BE"/>
    <w:rsid w:val="00743223"/>
    <w:rsid w:val="00746E01"/>
    <w:rsid w:val="00757BDF"/>
    <w:rsid w:val="0076322D"/>
    <w:rsid w:val="00763E5D"/>
    <w:rsid w:val="00767740"/>
    <w:rsid w:val="00777EE6"/>
    <w:rsid w:val="00782EEA"/>
    <w:rsid w:val="007B2C72"/>
    <w:rsid w:val="007B49E1"/>
    <w:rsid w:val="007C1C53"/>
    <w:rsid w:val="007C74BB"/>
    <w:rsid w:val="007E4904"/>
    <w:rsid w:val="007E4CB5"/>
    <w:rsid w:val="007F066B"/>
    <w:rsid w:val="008033C4"/>
    <w:rsid w:val="00806C88"/>
    <w:rsid w:val="0081034E"/>
    <w:rsid w:val="008344F6"/>
    <w:rsid w:val="0083510F"/>
    <w:rsid w:val="00851209"/>
    <w:rsid w:val="008651B1"/>
    <w:rsid w:val="008837AC"/>
    <w:rsid w:val="008A50C6"/>
    <w:rsid w:val="008A587D"/>
    <w:rsid w:val="008B35CD"/>
    <w:rsid w:val="008B4B30"/>
    <w:rsid w:val="008B5FCC"/>
    <w:rsid w:val="008C5486"/>
    <w:rsid w:val="008C7A65"/>
    <w:rsid w:val="008D1661"/>
    <w:rsid w:val="008E7031"/>
    <w:rsid w:val="008E77DE"/>
    <w:rsid w:val="008F07A3"/>
    <w:rsid w:val="00900E1B"/>
    <w:rsid w:val="009233EE"/>
    <w:rsid w:val="009460AA"/>
    <w:rsid w:val="009505FA"/>
    <w:rsid w:val="00951978"/>
    <w:rsid w:val="00961A4A"/>
    <w:rsid w:val="009661DE"/>
    <w:rsid w:val="0097152C"/>
    <w:rsid w:val="00983C25"/>
    <w:rsid w:val="009856B7"/>
    <w:rsid w:val="00985C86"/>
    <w:rsid w:val="009A5FC3"/>
    <w:rsid w:val="009B74B0"/>
    <w:rsid w:val="009C6E7F"/>
    <w:rsid w:val="009D6B46"/>
    <w:rsid w:val="009F4940"/>
    <w:rsid w:val="009F5BA1"/>
    <w:rsid w:val="00A02A88"/>
    <w:rsid w:val="00A0562E"/>
    <w:rsid w:val="00A0726D"/>
    <w:rsid w:val="00A32FBB"/>
    <w:rsid w:val="00A428EE"/>
    <w:rsid w:val="00A4478A"/>
    <w:rsid w:val="00A44852"/>
    <w:rsid w:val="00A44B0E"/>
    <w:rsid w:val="00A57D04"/>
    <w:rsid w:val="00A60A26"/>
    <w:rsid w:val="00A61598"/>
    <w:rsid w:val="00A84A99"/>
    <w:rsid w:val="00A84F46"/>
    <w:rsid w:val="00A871F4"/>
    <w:rsid w:val="00AC1B2C"/>
    <w:rsid w:val="00AC3264"/>
    <w:rsid w:val="00AE1BF1"/>
    <w:rsid w:val="00AF0DD2"/>
    <w:rsid w:val="00AF1F9E"/>
    <w:rsid w:val="00AF2B46"/>
    <w:rsid w:val="00B13048"/>
    <w:rsid w:val="00B1716D"/>
    <w:rsid w:val="00B17A1D"/>
    <w:rsid w:val="00B207A0"/>
    <w:rsid w:val="00B4423F"/>
    <w:rsid w:val="00B514DD"/>
    <w:rsid w:val="00B52AF0"/>
    <w:rsid w:val="00B561BD"/>
    <w:rsid w:val="00B56E03"/>
    <w:rsid w:val="00B8080B"/>
    <w:rsid w:val="00B87BA5"/>
    <w:rsid w:val="00B87C39"/>
    <w:rsid w:val="00BA4665"/>
    <w:rsid w:val="00BB2FB2"/>
    <w:rsid w:val="00BB3304"/>
    <w:rsid w:val="00BB7BFD"/>
    <w:rsid w:val="00BD3446"/>
    <w:rsid w:val="00BE1F1B"/>
    <w:rsid w:val="00BE47B5"/>
    <w:rsid w:val="00C25FA6"/>
    <w:rsid w:val="00C538A9"/>
    <w:rsid w:val="00C53B5A"/>
    <w:rsid w:val="00C54F5A"/>
    <w:rsid w:val="00C569B4"/>
    <w:rsid w:val="00C56AA4"/>
    <w:rsid w:val="00C67A92"/>
    <w:rsid w:val="00C73C11"/>
    <w:rsid w:val="00C86679"/>
    <w:rsid w:val="00CA489E"/>
    <w:rsid w:val="00CA6D7B"/>
    <w:rsid w:val="00CB0279"/>
    <w:rsid w:val="00CB666B"/>
    <w:rsid w:val="00CC7F1D"/>
    <w:rsid w:val="00CE1FA9"/>
    <w:rsid w:val="00D006AE"/>
    <w:rsid w:val="00D01CF0"/>
    <w:rsid w:val="00D0442A"/>
    <w:rsid w:val="00D0577F"/>
    <w:rsid w:val="00D14643"/>
    <w:rsid w:val="00D42CEC"/>
    <w:rsid w:val="00D55447"/>
    <w:rsid w:val="00D61388"/>
    <w:rsid w:val="00D61A54"/>
    <w:rsid w:val="00D64DEA"/>
    <w:rsid w:val="00D7168E"/>
    <w:rsid w:val="00D71E57"/>
    <w:rsid w:val="00D80893"/>
    <w:rsid w:val="00D84854"/>
    <w:rsid w:val="00D92CF1"/>
    <w:rsid w:val="00D92D38"/>
    <w:rsid w:val="00D950F5"/>
    <w:rsid w:val="00DA4752"/>
    <w:rsid w:val="00DA61F3"/>
    <w:rsid w:val="00DB0F93"/>
    <w:rsid w:val="00DB1A67"/>
    <w:rsid w:val="00DB5074"/>
    <w:rsid w:val="00DC3503"/>
    <w:rsid w:val="00DC7981"/>
    <w:rsid w:val="00DD5364"/>
    <w:rsid w:val="00DE1093"/>
    <w:rsid w:val="00DE4EFA"/>
    <w:rsid w:val="00DE5520"/>
    <w:rsid w:val="00DE563D"/>
    <w:rsid w:val="00E000A5"/>
    <w:rsid w:val="00E04818"/>
    <w:rsid w:val="00E06442"/>
    <w:rsid w:val="00E14D45"/>
    <w:rsid w:val="00E23993"/>
    <w:rsid w:val="00E25B8C"/>
    <w:rsid w:val="00E65C85"/>
    <w:rsid w:val="00E66199"/>
    <w:rsid w:val="00E755EC"/>
    <w:rsid w:val="00E7624D"/>
    <w:rsid w:val="00E91865"/>
    <w:rsid w:val="00E92C4C"/>
    <w:rsid w:val="00EA3D42"/>
    <w:rsid w:val="00EA6B1B"/>
    <w:rsid w:val="00EC5AAE"/>
    <w:rsid w:val="00ED7323"/>
    <w:rsid w:val="00EE28F3"/>
    <w:rsid w:val="00EF5110"/>
    <w:rsid w:val="00F10411"/>
    <w:rsid w:val="00F15882"/>
    <w:rsid w:val="00F171E0"/>
    <w:rsid w:val="00F20BD3"/>
    <w:rsid w:val="00F373A5"/>
    <w:rsid w:val="00F474F4"/>
    <w:rsid w:val="00F47559"/>
    <w:rsid w:val="00F64C7B"/>
    <w:rsid w:val="00F676DD"/>
    <w:rsid w:val="00F75A26"/>
    <w:rsid w:val="00F76706"/>
    <w:rsid w:val="00F83FAD"/>
    <w:rsid w:val="00F952A0"/>
    <w:rsid w:val="00FA22F2"/>
    <w:rsid w:val="00FA3C7F"/>
    <w:rsid w:val="00FB3B85"/>
    <w:rsid w:val="00FB74E2"/>
    <w:rsid w:val="00FC10C4"/>
    <w:rsid w:val="00FD5614"/>
    <w:rsid w:val="00FE0BE1"/>
    <w:rsid w:val="00FE1DE9"/>
    <w:rsid w:val="00FE36AF"/>
    <w:rsid w:val="00FE39C2"/>
    <w:rsid w:val="00FE3C32"/>
    <w:rsid w:val="00FE64AE"/>
    <w:rsid w:val="00FF4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Normal Indent" w:semiHidden="0" w:unhideWhenUsed="0"/>
    <w:lsdException w:name="footnote text" w:qFormat="1"/>
    <w:lsdException w:name="header" w:qFormat="1"/>
    <w:lsdException w:name="footer" w:qFormat="1"/>
    <w:lsdException w:name="caption" w:uiPriority="35" w:qFormat="1"/>
    <w:lsdException w:name="page number" w:uiPriority="0"/>
    <w:lsdException w:name="List" w:qFormat="1"/>
    <w:lsdException w:name="List Number" w:uiPriority="0" w:qFormat="1"/>
    <w:lsdException w:name="List Bullet 2" w:uiPriority="0" w:qFormat="1"/>
    <w:lsdException w:name="List Bullet 3" w:uiPriority="0" w:qFormat="1"/>
    <w:lsdException w:name="Title" w:semiHidden="0" w:uiPriority="10" w:unhideWhenUsed="0" w:qFormat="1"/>
    <w:lsdException w:name="Default Paragraph Font" w:uiPriority="1"/>
    <w:lsdException w:name="List Continue" w:qFormat="1"/>
    <w:lsdException w:name="Subtitle" w:semiHidden="0" w:uiPriority="11" w:unhideWhenUsed="0"/>
    <w:lsdException w:name="Hyperlink"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aliases w:val="AER body text"/>
    <w:qFormat/>
    <w:rsid w:val="000A3020"/>
    <w:pPr>
      <w:spacing w:line="276" w:lineRule="auto"/>
    </w:pPr>
    <w:rPr>
      <w:rFonts w:ascii="Arial" w:hAnsi="Arial"/>
    </w:rPr>
  </w:style>
  <w:style w:type="paragraph" w:styleId="Heading1">
    <w:name w:val="heading 1"/>
    <w:basedOn w:val="Normal"/>
    <w:next w:val="Normal"/>
    <w:link w:val="Heading1Char"/>
    <w:uiPriority w:val="9"/>
    <w:qFormat/>
    <w:rsid w:val="00DE1093"/>
    <w:pPr>
      <w:pageBreakBefore/>
      <w:numPr>
        <w:numId w:val="26"/>
      </w:numPr>
      <w:tabs>
        <w:tab w:val="left" w:pos="680"/>
      </w:tabs>
      <w:spacing w:before="240"/>
      <w:outlineLvl w:val="0"/>
    </w:pPr>
    <w:rPr>
      <w:rFonts w:eastAsiaTheme="majorEastAsia" w:cstheme="majorBidi"/>
      <w:b/>
      <w:bCs/>
      <w:color w:val="70635A"/>
      <w:sz w:val="36"/>
      <w:szCs w:val="28"/>
    </w:rPr>
  </w:style>
  <w:style w:type="paragraph" w:styleId="Heading2">
    <w:name w:val="heading 2"/>
    <w:next w:val="Normal"/>
    <w:link w:val="Heading2Char"/>
    <w:uiPriority w:val="9"/>
    <w:qFormat/>
    <w:rsid w:val="00126A4C"/>
    <w:pPr>
      <w:numPr>
        <w:ilvl w:val="1"/>
        <w:numId w:val="26"/>
      </w:numPr>
      <w:tabs>
        <w:tab w:val="left" w:pos="680"/>
      </w:tabs>
      <w:spacing w:line="240" w:lineRule="atLeast"/>
      <w:outlineLvl w:val="1"/>
    </w:pPr>
    <w:rPr>
      <w:rFonts w:ascii="Arial" w:eastAsiaTheme="majorEastAsia" w:hAnsi="Arial" w:cstheme="majorBidi"/>
      <w:b/>
      <w:bCs/>
      <w:color w:val="70635A" w:themeColor="text2"/>
      <w:sz w:val="32"/>
      <w:szCs w:val="26"/>
    </w:rPr>
  </w:style>
  <w:style w:type="paragraph" w:styleId="Heading3">
    <w:name w:val="heading 3"/>
    <w:basedOn w:val="Normal"/>
    <w:next w:val="Normal"/>
    <w:link w:val="Heading3Char"/>
    <w:uiPriority w:val="9"/>
    <w:qFormat/>
    <w:rsid w:val="00126A4C"/>
    <w:pPr>
      <w:numPr>
        <w:ilvl w:val="2"/>
        <w:numId w:val="26"/>
      </w:numPr>
      <w:tabs>
        <w:tab w:val="left" w:pos="1021"/>
      </w:tabs>
      <w:spacing w:before="240"/>
      <w:outlineLvl w:val="2"/>
    </w:pPr>
    <w:rPr>
      <w:rFonts w:eastAsiaTheme="majorEastAsia" w:cstheme="majorBidi"/>
      <w:b/>
      <w:bCs/>
      <w:color w:val="70635A" w:themeColor="text2"/>
      <w:sz w:val="28"/>
    </w:rPr>
  </w:style>
  <w:style w:type="paragraph" w:styleId="Heading4">
    <w:name w:val="heading 4"/>
    <w:basedOn w:val="Normal"/>
    <w:next w:val="Normal"/>
    <w:link w:val="Heading4Char"/>
    <w:uiPriority w:val="9"/>
    <w:qFormat/>
    <w:rsid w:val="00126A4C"/>
    <w:pPr>
      <w:numPr>
        <w:ilvl w:val="3"/>
        <w:numId w:val="26"/>
      </w:numPr>
      <w:tabs>
        <w:tab w:val="left" w:pos="1021"/>
      </w:tabs>
      <w:spacing w:before="240"/>
      <w:outlineLvl w:val="3"/>
    </w:pPr>
    <w:rPr>
      <w:rFonts w:eastAsiaTheme="majorEastAsia" w:cstheme="majorBidi"/>
      <w:b/>
      <w:bCs/>
      <w:iCs/>
      <w:color w:val="51626F"/>
      <w:sz w:val="24"/>
    </w:rPr>
  </w:style>
  <w:style w:type="paragraph" w:styleId="Heading5">
    <w:name w:val="heading 5"/>
    <w:next w:val="Normal"/>
    <w:link w:val="Heading5Char"/>
    <w:uiPriority w:val="9"/>
    <w:qFormat/>
    <w:rsid w:val="00126A4C"/>
    <w:pPr>
      <w:numPr>
        <w:ilvl w:val="4"/>
        <w:numId w:val="26"/>
      </w:numPr>
      <w:tabs>
        <w:tab w:val="left" w:pos="1021"/>
      </w:tabs>
      <w:spacing w:line="240" w:lineRule="atLeast"/>
      <w:outlineLvl w:val="4"/>
    </w:pPr>
    <w:rPr>
      <w:rFonts w:ascii="Arial" w:eastAsiaTheme="majorEastAsia" w:hAnsi="Arial" w:cstheme="majorBidi"/>
      <w:b/>
      <w:color w:val="170017" w:themeColor="accent1" w:themeShade="7F"/>
    </w:rPr>
  </w:style>
  <w:style w:type="paragraph" w:styleId="Heading6">
    <w:name w:val="heading 6"/>
    <w:basedOn w:val="Normal"/>
    <w:next w:val="Normal"/>
    <w:link w:val="Heading6Char"/>
    <w:uiPriority w:val="9"/>
    <w:qFormat/>
    <w:rsid w:val="00126A4C"/>
    <w:pPr>
      <w:numPr>
        <w:ilvl w:val="5"/>
        <w:numId w:val="26"/>
      </w:numPr>
      <w:tabs>
        <w:tab w:val="left" w:pos="1361"/>
      </w:tabs>
      <w:spacing w:before="240"/>
      <w:outlineLvl w:val="5"/>
    </w:pPr>
    <w:rPr>
      <w:rFonts w:eastAsiaTheme="majorEastAsia" w:cstheme="majorBidi"/>
      <w:b/>
      <w:i/>
      <w:iCs/>
      <w:color w:val="076A92" w:themeColor="text1"/>
    </w:rPr>
  </w:style>
  <w:style w:type="paragraph" w:styleId="Heading7">
    <w:name w:val="heading 7"/>
    <w:basedOn w:val="Heading1"/>
    <w:next w:val="Normal"/>
    <w:link w:val="Heading7Char"/>
    <w:uiPriority w:val="9"/>
    <w:qFormat/>
    <w:rsid w:val="00CB0279"/>
    <w:pPr>
      <w:numPr>
        <w:numId w:val="29"/>
      </w:numPr>
      <w:tabs>
        <w:tab w:val="clear" w:pos="680"/>
        <w:tab w:val="left" w:pos="1021"/>
      </w:tabs>
      <w:ind w:left="1021" w:hanging="1021"/>
      <w:outlineLvl w:val="6"/>
    </w:pPr>
  </w:style>
  <w:style w:type="paragraph" w:styleId="Heading8">
    <w:name w:val="heading 8"/>
    <w:basedOn w:val="Heading2"/>
    <w:next w:val="Normal"/>
    <w:link w:val="Heading8Char"/>
    <w:uiPriority w:val="9"/>
    <w:qFormat/>
    <w:rsid w:val="00CB0279"/>
    <w:pPr>
      <w:numPr>
        <w:numId w:val="29"/>
      </w:numPr>
      <w:tabs>
        <w:tab w:val="clear" w:pos="680"/>
        <w:tab w:val="left" w:pos="1021"/>
      </w:tabs>
      <w:outlineLvl w:val="7"/>
    </w:pPr>
  </w:style>
  <w:style w:type="paragraph" w:styleId="Heading9">
    <w:name w:val="heading 9"/>
    <w:basedOn w:val="Heading3"/>
    <w:next w:val="Normal"/>
    <w:link w:val="Heading9Char"/>
    <w:uiPriority w:val="9"/>
    <w:qFormat/>
    <w:rsid w:val="00CB0279"/>
    <w:pPr>
      <w:numPr>
        <w:numId w:val="29"/>
      </w:numPr>
      <w:ind w:left="1021" w:hanging="102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093"/>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uiPriority w:val="9"/>
    <w:rsid w:val="00126A4C"/>
    <w:rPr>
      <w:rFonts w:ascii="Arial" w:eastAsiaTheme="majorEastAsia" w:hAnsi="Arial" w:cstheme="majorBidi"/>
      <w:b/>
      <w:bCs/>
      <w:color w:val="70635A" w:themeColor="text2"/>
      <w:sz w:val="32"/>
      <w:szCs w:val="26"/>
    </w:rPr>
  </w:style>
  <w:style w:type="character" w:customStyle="1" w:styleId="Heading3Char">
    <w:name w:val="Heading 3 Char"/>
    <w:basedOn w:val="DefaultParagraphFont"/>
    <w:link w:val="Heading3"/>
    <w:uiPriority w:val="9"/>
    <w:rsid w:val="00126A4C"/>
    <w:rPr>
      <w:rFonts w:ascii="Arial" w:eastAsiaTheme="majorEastAsia" w:hAnsi="Arial" w:cstheme="majorBidi"/>
      <w:b/>
      <w:bCs/>
      <w:color w:val="70635A" w:themeColor="text2"/>
      <w:sz w:val="28"/>
    </w:rPr>
  </w:style>
  <w:style w:type="character" w:customStyle="1" w:styleId="Heading4Char">
    <w:name w:val="Heading 4 Char"/>
    <w:basedOn w:val="DefaultParagraphFont"/>
    <w:link w:val="Heading4"/>
    <w:uiPriority w:val="9"/>
    <w:rsid w:val="00126A4C"/>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9"/>
    <w:rsid w:val="00126A4C"/>
    <w:rPr>
      <w:rFonts w:ascii="Arial" w:eastAsiaTheme="majorEastAsia" w:hAnsi="Arial" w:cstheme="majorBidi"/>
      <w:b/>
      <w:color w:val="170017" w:themeColor="accent1" w:themeShade="7F"/>
    </w:rPr>
  </w:style>
  <w:style w:type="character" w:customStyle="1" w:styleId="Heading6Char">
    <w:name w:val="Heading 6 Char"/>
    <w:basedOn w:val="DefaultParagraphFont"/>
    <w:link w:val="Heading6"/>
    <w:uiPriority w:val="9"/>
    <w:rsid w:val="00126A4C"/>
    <w:rPr>
      <w:rFonts w:ascii="Arial" w:eastAsiaTheme="majorEastAsia" w:hAnsi="Arial" w:cstheme="majorBidi"/>
      <w:b/>
      <w:i/>
      <w:iCs/>
      <w:color w:val="076A92" w:themeColor="text1"/>
    </w:rPr>
  </w:style>
  <w:style w:type="paragraph" w:customStyle="1" w:styleId="Chaptertitle">
    <w:name w:val="Chapter title"/>
    <w:basedOn w:val="Normal"/>
    <w:link w:val="ChaptertitleChar"/>
    <w:rsid w:val="00DE1093"/>
    <w:pPr>
      <w:pageBreakBefore/>
      <w:spacing w:before="520" w:after="120"/>
      <w:outlineLvl w:val="0"/>
    </w:pPr>
    <w:rPr>
      <w:color w:val="076A92" w:themeColor="text1"/>
      <w:sz w:val="52"/>
      <w:szCs w:val="52"/>
    </w:rPr>
  </w:style>
  <w:style w:type="character" w:customStyle="1" w:styleId="ChaptertitleChar">
    <w:name w:val="Chapter title Char"/>
    <w:basedOn w:val="DefaultParagraphFont"/>
    <w:link w:val="Chaptertitle"/>
    <w:rsid w:val="00DE1093"/>
    <w:rPr>
      <w:rFonts w:ascii="Arial" w:hAnsi="Arial"/>
      <w:color w:val="076A92" w:themeColor="text1"/>
      <w:sz w:val="52"/>
      <w:szCs w:val="52"/>
    </w:rPr>
  </w:style>
  <w:style w:type="paragraph" w:customStyle="1" w:styleId="Tabletext">
    <w:name w:val="Table text"/>
    <w:basedOn w:val="Normal"/>
    <w:link w:val="TabletextChar"/>
    <w:uiPriority w:val="1"/>
    <w:qFormat/>
    <w:rsid w:val="00584D8F"/>
    <w:pPr>
      <w:spacing w:before="120" w:after="60"/>
    </w:pPr>
    <w:rPr>
      <w:sz w:val="20"/>
    </w:rPr>
  </w:style>
  <w:style w:type="paragraph" w:styleId="TOC8">
    <w:name w:val="toc 8"/>
    <w:basedOn w:val="Normal"/>
    <w:next w:val="Normal"/>
    <w:uiPriority w:val="39"/>
    <w:rsid w:val="005D7BA2"/>
    <w:pPr>
      <w:tabs>
        <w:tab w:val="right" w:leader="dot" w:pos="8363"/>
      </w:tabs>
      <w:spacing w:after="100"/>
      <w:ind w:left="2977"/>
    </w:pPr>
    <w:rPr>
      <w:noProof/>
    </w:rPr>
  </w:style>
  <w:style w:type="paragraph" w:styleId="TOC9">
    <w:name w:val="toc 9"/>
    <w:basedOn w:val="Normal"/>
    <w:next w:val="Normal"/>
    <w:uiPriority w:val="39"/>
    <w:rsid w:val="005D7BA2"/>
    <w:pPr>
      <w:tabs>
        <w:tab w:val="right" w:leader="dot" w:pos="8363"/>
      </w:tabs>
      <w:spacing w:after="100"/>
      <w:ind w:left="3402"/>
    </w:pPr>
    <w:rPr>
      <w:noProof/>
    </w:rPr>
  </w:style>
  <w:style w:type="paragraph" w:customStyle="1" w:styleId="HeadingBoldBlue">
    <w:name w:val="Heading Bold Blue"/>
    <w:basedOn w:val="Heading3"/>
    <w:link w:val="HeadingBoldBlueChar"/>
    <w:qFormat/>
    <w:rsid w:val="00985C86"/>
    <w:pPr>
      <w:numPr>
        <w:ilvl w:val="0"/>
        <w:numId w:val="0"/>
      </w:numPr>
    </w:pPr>
  </w:style>
  <w:style w:type="paragraph" w:customStyle="1" w:styleId="HeadingBoldItalic">
    <w:name w:val="Heading Bold Italic"/>
    <w:basedOn w:val="Heading4"/>
    <w:qFormat/>
    <w:rsid w:val="00985C86"/>
    <w:pPr>
      <w:numPr>
        <w:ilvl w:val="0"/>
        <w:numId w:val="0"/>
      </w:numPr>
    </w:pPr>
    <w:rPr>
      <w:i/>
    </w:rPr>
  </w:style>
  <w:style w:type="paragraph" w:customStyle="1" w:styleId="HeadingItalic">
    <w:name w:val="Heading Italic"/>
    <w:basedOn w:val="HeadingBoldItalic"/>
    <w:qFormat/>
    <w:rsid w:val="00985C86"/>
    <w:rPr>
      <w:b w:val="0"/>
    </w:rPr>
  </w:style>
  <w:style w:type="paragraph" w:customStyle="1" w:styleId="HeadingOrange">
    <w:name w:val="Heading Orange"/>
    <w:basedOn w:val="Heading5"/>
    <w:qFormat/>
    <w:rsid w:val="00985C86"/>
    <w:pPr>
      <w:numPr>
        <w:ilvl w:val="0"/>
        <w:numId w:val="0"/>
      </w:numPr>
    </w:pPr>
  </w:style>
  <w:style w:type="paragraph" w:styleId="Header">
    <w:name w:val="header"/>
    <w:basedOn w:val="Normal"/>
    <w:link w:val="HeaderChar"/>
    <w:uiPriority w:val="99"/>
    <w:unhideWhenUsed/>
    <w:qFormat/>
    <w:rsid w:val="008344F6"/>
    <w:pPr>
      <w:tabs>
        <w:tab w:val="center" w:pos="4513"/>
        <w:tab w:val="right" w:pos="9026"/>
      </w:tabs>
      <w:spacing w:after="120"/>
    </w:pPr>
    <w:rPr>
      <w:color w:val="2F002F" w:themeColor="accent1"/>
      <w:sz w:val="18"/>
    </w:rPr>
  </w:style>
  <w:style w:type="character" w:customStyle="1" w:styleId="HeaderChar">
    <w:name w:val="Header Char"/>
    <w:basedOn w:val="DefaultParagraphFont"/>
    <w:link w:val="Header"/>
    <w:uiPriority w:val="99"/>
    <w:rsid w:val="008344F6"/>
    <w:rPr>
      <w:rFonts w:ascii="Arial" w:hAnsi="Arial"/>
      <w:color w:val="2F002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C67A92"/>
    <w:pPr>
      <w:spacing w:before="240" w:after="120"/>
    </w:pPr>
    <w:rPr>
      <w:b/>
      <w:color w:val="076A92" w:themeColor="text1"/>
      <w:sz w:val="24"/>
      <w:szCs w:val="20"/>
    </w:rPr>
  </w:style>
  <w:style w:type="character" w:customStyle="1" w:styleId="TabletitleChar">
    <w:name w:val="Table title Char"/>
    <w:basedOn w:val="DefaultParagraphFont"/>
    <w:link w:val="Tabletitle"/>
    <w:rsid w:val="00C67A92"/>
    <w:rPr>
      <w:rFonts w:ascii="Arial" w:hAnsi="Arial"/>
      <w:b/>
      <w:color w:val="076A92" w:themeColor="text1"/>
      <w:sz w:val="24"/>
      <w:szCs w:val="20"/>
    </w:rPr>
  </w:style>
  <w:style w:type="paragraph" w:customStyle="1" w:styleId="Charttitle">
    <w:name w:val="Chart title"/>
    <w:basedOn w:val="Tabletitle"/>
    <w:rsid w:val="00C67A92"/>
  </w:style>
  <w:style w:type="paragraph" w:styleId="EndnoteText">
    <w:name w:val="endnote text"/>
    <w:basedOn w:val="Normal"/>
    <w:link w:val="EndnoteTextChar"/>
    <w:uiPriority w:val="99"/>
    <w:rsid w:val="00263AC0"/>
    <w:pPr>
      <w:spacing w:before="0"/>
    </w:pPr>
    <w:rPr>
      <w:sz w:val="20"/>
      <w:szCs w:val="20"/>
    </w:rPr>
  </w:style>
  <w:style w:type="paragraph" w:customStyle="1" w:styleId="AERrevisionbox">
    <w:name w:val="AER revision box"/>
    <w:basedOn w:val="Normal"/>
    <w:link w:val="AERrevisionboxChar"/>
    <w:qFormat/>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AERrevisionboxChar">
    <w:name w:val="AER revision box Char"/>
    <w:basedOn w:val="DefaultParagraphFont"/>
    <w:link w:val="AERrevisionbox"/>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CA489E"/>
    <w:pPr>
      <w:spacing w:after="120"/>
      <w:contextualSpacing/>
    </w:pPr>
    <w:rPr>
      <w:b/>
      <w:color w:val="C14E00" w:themeColor="accent2"/>
      <w:sz w:val="24"/>
      <w:szCs w:val="24"/>
    </w:rPr>
  </w:style>
  <w:style w:type="character" w:customStyle="1" w:styleId="PullquoteheadingChar">
    <w:name w:val="Pull quote heading Char"/>
    <w:basedOn w:val="DefaultParagraphFont"/>
    <w:link w:val="Pullquoteheading"/>
    <w:uiPriority w:val="1"/>
    <w:rsid w:val="00CA489E"/>
    <w:rPr>
      <w:rFonts w:ascii="Arial" w:hAnsi="Arial"/>
      <w:b/>
      <w:color w:val="C14E00" w:themeColor="accent2"/>
      <w:sz w:val="24"/>
      <w:szCs w:val="24"/>
    </w:rPr>
  </w:style>
  <w:style w:type="paragraph" w:customStyle="1" w:styleId="Pullquotetext">
    <w:name w:val="Pull quote text"/>
    <w:link w:val="PullquotetextChar"/>
    <w:uiPriority w:val="1"/>
    <w:rsid w:val="00CA489E"/>
    <w:pPr>
      <w:spacing w:before="120"/>
    </w:pPr>
    <w:rPr>
      <w:rFonts w:ascii="Arial" w:hAnsi="Arial"/>
      <w:color w:val="DC5034"/>
      <w:szCs w:val="24"/>
    </w:rPr>
  </w:style>
  <w:style w:type="character" w:customStyle="1" w:styleId="PullquotetextChar">
    <w:name w:val="Pull quote text Char"/>
    <w:basedOn w:val="PullquoteheadingChar"/>
    <w:link w:val="Pullquotetext"/>
    <w:uiPriority w:val="1"/>
    <w:rsid w:val="00CA489E"/>
    <w:rPr>
      <w:rFonts w:ascii="Arial" w:hAnsi="Arial"/>
      <w:b w:val="0"/>
      <w:color w:val="DC5034"/>
      <w:sz w:val="24"/>
      <w:szCs w:val="24"/>
    </w:rPr>
  </w:style>
  <w:style w:type="paragraph" w:customStyle="1" w:styleId="Note">
    <w:name w:val="Note"/>
    <w:basedOn w:val="Normal"/>
    <w:link w:val="NoteChar"/>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styleId="Index1">
    <w:name w:val="index 1"/>
    <w:basedOn w:val="Normal"/>
    <w:next w:val="Normal"/>
    <w:autoRedefine/>
    <w:uiPriority w:val="99"/>
    <w:unhideWhenUsed/>
    <w:rsid w:val="00F171E0"/>
    <w:pPr>
      <w:spacing w:before="0" w:line="240" w:lineRule="auto"/>
      <w:ind w:left="220" w:hanging="220"/>
    </w:pPr>
  </w:style>
  <w:style w:type="paragraph" w:styleId="Index2">
    <w:name w:val="index 2"/>
    <w:basedOn w:val="Normal"/>
    <w:next w:val="Normal"/>
    <w:autoRedefine/>
    <w:uiPriority w:val="99"/>
    <w:unhideWhenUsed/>
    <w:rsid w:val="00F171E0"/>
    <w:pPr>
      <w:spacing w:before="0" w:line="240" w:lineRule="auto"/>
      <w:ind w:left="440" w:hanging="220"/>
    </w:pPr>
  </w:style>
  <w:style w:type="paragraph" w:styleId="Quote">
    <w:name w:val="Quote"/>
    <w:basedOn w:val="Normal"/>
    <w:next w:val="Normal"/>
    <w:link w:val="QuoteChar"/>
    <w:uiPriority w:val="29"/>
    <w:rsid w:val="00C67A92"/>
    <w:pPr>
      <w:ind w:left="680"/>
    </w:pPr>
    <w:rPr>
      <w:i/>
      <w:iCs/>
      <w:color w:val="076A92" w:themeColor="text1"/>
    </w:rPr>
  </w:style>
  <w:style w:type="character" w:customStyle="1" w:styleId="QuoteChar">
    <w:name w:val="Quote Char"/>
    <w:basedOn w:val="DefaultParagraphFont"/>
    <w:link w:val="Quote"/>
    <w:uiPriority w:val="29"/>
    <w:rsid w:val="00C67A92"/>
    <w:rPr>
      <w:rFonts w:ascii="Arial" w:hAnsi="Arial"/>
      <w:i/>
      <w:iCs/>
      <w:color w:val="076A92" w:themeColor="text1"/>
    </w:rPr>
  </w:style>
  <w:style w:type="paragraph" w:customStyle="1" w:styleId="AERbulletlistfirststyle">
    <w:name w:val="AER bullet list (first style)"/>
    <w:basedOn w:val="ListBullet"/>
    <w:qFormat/>
    <w:rsid w:val="00FE64AE"/>
    <w:pPr>
      <w:numPr>
        <w:numId w:val="2"/>
      </w:numPr>
      <w:ind w:left="357" w:hanging="357"/>
    </w:pPr>
    <w:rPr>
      <w:rFonts w:cs="Times New Roman"/>
    </w:rPr>
  </w:style>
  <w:style w:type="paragraph" w:styleId="ListBullet">
    <w:name w:val="List Bullet"/>
    <w:aliases w:val="AER List number 2 first"/>
    <w:basedOn w:val="Normal"/>
    <w:uiPriority w:val="99"/>
    <w:unhideWhenUsed/>
    <w:rsid w:val="0045777E"/>
    <w:pPr>
      <w:numPr>
        <w:numId w:val="13"/>
      </w:numPr>
      <w:tabs>
        <w:tab w:val="left" w:pos="340"/>
      </w:tabs>
      <w:spacing w:before="120"/>
    </w:pPr>
  </w:style>
  <w:style w:type="paragraph" w:customStyle="1" w:styleId="AERbulletlistsecondstyle">
    <w:name w:val="AER bullet list (second style)"/>
    <w:basedOn w:val="ListBullet2"/>
    <w:qFormat/>
    <w:rsid w:val="008033C4"/>
    <w:pPr>
      <w:numPr>
        <w:numId w:val="12"/>
      </w:numPr>
      <w:ind w:left="998" w:hanging="357"/>
    </w:pPr>
  </w:style>
  <w:style w:type="paragraph" w:styleId="ListNumber">
    <w:name w:val="List Number"/>
    <w:aliases w:val="AER numbered list (first style)"/>
    <w:basedOn w:val="Normal"/>
    <w:qFormat/>
    <w:rsid w:val="00CA489E"/>
    <w:pPr>
      <w:numPr>
        <w:numId w:val="7"/>
      </w:numPr>
      <w:tabs>
        <w:tab w:val="clear" w:pos="360"/>
        <w:tab w:val="num" w:pos="340"/>
      </w:tabs>
      <w:spacing w:before="120"/>
      <w:ind w:left="340" w:hanging="340"/>
    </w:pPr>
  </w:style>
  <w:style w:type="paragraph" w:styleId="ListBullet2">
    <w:name w:val="List Bullet 2"/>
    <w:aliases w:val="AER numbered list 2 second"/>
    <w:basedOn w:val="Normal"/>
    <w:unhideWhenUsed/>
    <w:qFormat/>
    <w:rsid w:val="008E77DE"/>
    <w:pPr>
      <w:numPr>
        <w:numId w:val="3"/>
      </w:numPr>
      <w:spacing w:before="120"/>
    </w:pPr>
  </w:style>
  <w:style w:type="paragraph" w:styleId="TOCHeading">
    <w:name w:val="TOC Heading"/>
    <w:basedOn w:val="Normal"/>
    <w:next w:val="Normal"/>
    <w:uiPriority w:val="39"/>
    <w:qFormat/>
    <w:rsid w:val="00327A1E"/>
    <w:pPr>
      <w:spacing w:before="480" w:after="120"/>
    </w:pPr>
    <w:rPr>
      <w:rFonts w:eastAsiaTheme="majorEastAsia" w:cstheme="majorBidi"/>
      <w:b/>
      <w:bCs/>
      <w:color w:val="076A92" w:themeColor="text1"/>
      <w:sz w:val="36"/>
      <w:szCs w:val="28"/>
      <w:lang w:val="en-US" w:eastAsia="ja-JP"/>
    </w:rPr>
  </w:style>
  <w:style w:type="paragraph" w:customStyle="1" w:styleId="Listalphabet">
    <w:name w:val="List alphabet"/>
    <w:basedOn w:val="List"/>
    <w:qFormat/>
    <w:rsid w:val="00DB5074"/>
    <w:pPr>
      <w:numPr>
        <w:numId w:val="17"/>
      </w:numPr>
      <w:ind w:left="340" w:hanging="340"/>
    </w:pPr>
  </w:style>
  <w:style w:type="character" w:styleId="Hyperlink">
    <w:name w:val="Hyperlink"/>
    <w:basedOn w:val="DefaultParagraphFont"/>
    <w:uiPriority w:val="99"/>
    <w:qFormat/>
    <w:rsid w:val="00BE1F1B"/>
    <w:rPr>
      <w:rFonts w:ascii="Arial" w:hAnsi="Arial"/>
      <w:color w:val="0000FF"/>
      <w:sz w:val="22"/>
      <w:u w:val="single"/>
    </w:rPr>
  </w:style>
  <w:style w:type="paragraph" w:styleId="BalloonText">
    <w:name w:val="Balloon Text"/>
    <w:basedOn w:val="Normal"/>
    <w:link w:val="BalloonTextChar"/>
    <w:uiPriority w:val="99"/>
    <w:unhideWhenUsed/>
    <w:rsid w:val="00683C89"/>
    <w:pPr>
      <w:spacing w:before="0"/>
    </w:pPr>
    <w:rPr>
      <w:rFonts w:asciiTheme="minorHAnsi" w:hAnsiTheme="minorHAnsi" w:cs="Tahoma"/>
      <w:sz w:val="16"/>
      <w:szCs w:val="16"/>
    </w:rPr>
  </w:style>
  <w:style w:type="character" w:customStyle="1" w:styleId="BalloonTextChar">
    <w:name w:val="Balloon Text Char"/>
    <w:basedOn w:val="DefaultParagraphFont"/>
    <w:link w:val="BalloonText"/>
    <w:uiPriority w:val="99"/>
    <w:rsid w:val="00683C89"/>
    <w:rPr>
      <w:rFonts w:cs="Tahoma"/>
      <w:sz w:val="16"/>
      <w:szCs w:val="16"/>
    </w:rPr>
  </w:style>
  <w:style w:type="paragraph" w:styleId="Footer">
    <w:name w:val="footer"/>
    <w:basedOn w:val="Normal"/>
    <w:link w:val="FooterChar"/>
    <w:uiPriority w:val="99"/>
    <w:unhideWhenUsed/>
    <w:qFormat/>
    <w:rsid w:val="005D7BA2"/>
    <w:pPr>
      <w:tabs>
        <w:tab w:val="center" w:pos="4513"/>
        <w:tab w:val="right" w:pos="9026"/>
      </w:tabs>
      <w:spacing w:after="120"/>
    </w:pPr>
    <w:rPr>
      <w:color w:val="076A92" w:themeColor="text1"/>
      <w:sz w:val="18"/>
    </w:rPr>
  </w:style>
  <w:style w:type="character" w:customStyle="1" w:styleId="FooterChar">
    <w:name w:val="Footer Char"/>
    <w:basedOn w:val="DefaultParagraphFont"/>
    <w:link w:val="Footer"/>
    <w:uiPriority w:val="99"/>
    <w:rsid w:val="005D7BA2"/>
    <w:rPr>
      <w:rFonts w:ascii="Arial" w:hAnsi="Arial"/>
      <w:color w:val="076A92" w:themeColor="text1"/>
      <w:sz w:val="18"/>
    </w:rPr>
  </w:style>
  <w:style w:type="paragraph" w:styleId="ListParagraph">
    <w:name w:val="List Paragraph"/>
    <w:basedOn w:val="Normal"/>
    <w:uiPriority w:val="34"/>
    <w:qFormat/>
    <w:rsid w:val="00567BA5"/>
    <w:pPr>
      <w:numPr>
        <w:numId w:val="14"/>
      </w:numPr>
      <w:tabs>
        <w:tab w:val="left" w:pos="340"/>
      </w:tabs>
      <w:spacing w:before="120"/>
      <w:ind w:left="340" w:hanging="340"/>
    </w:pPr>
  </w:style>
  <w:style w:type="character" w:customStyle="1" w:styleId="Heading7Char">
    <w:name w:val="Heading 7 Char"/>
    <w:basedOn w:val="DefaultParagraphFont"/>
    <w:link w:val="Heading7"/>
    <w:uiPriority w:val="9"/>
    <w:rsid w:val="00CB0279"/>
    <w:rPr>
      <w:rFonts w:ascii="Arial" w:eastAsiaTheme="majorEastAsia" w:hAnsi="Arial" w:cstheme="majorBidi"/>
      <w:b/>
      <w:bCs/>
      <w:color w:val="70635A"/>
      <w:sz w:val="36"/>
      <w:szCs w:val="28"/>
    </w:rPr>
  </w:style>
  <w:style w:type="character" w:customStyle="1" w:styleId="Heading8Char">
    <w:name w:val="Heading 8 Char"/>
    <w:basedOn w:val="DefaultParagraphFont"/>
    <w:link w:val="Heading8"/>
    <w:uiPriority w:val="9"/>
    <w:rsid w:val="00CB0279"/>
    <w:rPr>
      <w:rFonts w:ascii="Arial" w:eastAsiaTheme="majorEastAsia" w:hAnsi="Arial" w:cstheme="majorBidi"/>
      <w:b/>
      <w:bCs/>
      <w:color w:val="70635A" w:themeColor="text2"/>
      <w:sz w:val="32"/>
      <w:szCs w:val="26"/>
    </w:rPr>
  </w:style>
  <w:style w:type="character" w:customStyle="1" w:styleId="Heading9Char">
    <w:name w:val="Heading 9 Char"/>
    <w:basedOn w:val="DefaultParagraphFont"/>
    <w:link w:val="Heading9"/>
    <w:uiPriority w:val="9"/>
    <w:rsid w:val="00CB0279"/>
    <w:rPr>
      <w:rFonts w:ascii="Arial" w:eastAsiaTheme="majorEastAsia" w:hAnsi="Arial" w:cstheme="majorBidi"/>
      <w:b/>
      <w:bCs/>
      <w:color w:val="70635A" w:themeColor="text2"/>
      <w:sz w:val="28"/>
    </w:rPr>
  </w:style>
  <w:style w:type="paragraph" w:customStyle="1" w:styleId="Numbered1111111">
    <w:name w:val="Numbered 1.1.1.1.1.1.1"/>
    <w:basedOn w:val="Heading7"/>
    <w:next w:val="Normal"/>
    <w:uiPriority w:val="2"/>
    <w:rsid w:val="00CA489E"/>
    <w:pPr>
      <w:numPr>
        <w:numId w:val="15"/>
      </w:numPr>
      <w:tabs>
        <w:tab w:val="left" w:pos="1701"/>
      </w:tabs>
      <w:ind w:left="1701" w:hanging="1701"/>
    </w:pPr>
  </w:style>
  <w:style w:type="paragraph" w:customStyle="1" w:styleId="Numbered11111111">
    <w:name w:val="Numbered 1.1.1.1.1.1.1.1"/>
    <w:basedOn w:val="Heading8"/>
    <w:next w:val="Normal"/>
    <w:uiPriority w:val="2"/>
    <w:rsid w:val="00CA489E"/>
    <w:pPr>
      <w:numPr>
        <w:ilvl w:val="0"/>
        <w:numId w:val="0"/>
      </w:numPr>
      <w:tabs>
        <w:tab w:val="left" w:pos="2041"/>
      </w:tabs>
      <w:ind w:left="2041" w:hanging="2041"/>
    </w:pPr>
  </w:style>
  <w:style w:type="table" w:styleId="TableGrid">
    <w:name w:val="Table Grid"/>
    <w:aliases w:val="ACCC Table"/>
    <w:basedOn w:val="TableNormal"/>
    <w:uiPriority w:val="59"/>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FFFFFF" w:themeColor="background2"/>
          <w:left w:val="single" w:sz="4" w:space="0" w:color="FFFFFF" w:themeColor="background2"/>
          <w:bottom w:val="single" w:sz="4" w:space="0" w:color="FFFFFF" w:themeColor="background2"/>
          <w:right w:val="single" w:sz="4" w:space="0" w:color="FFFFFF" w:themeColor="background2"/>
          <w:insideH w:val="single" w:sz="4" w:space="0" w:color="FFFFFF" w:themeColor="background2"/>
          <w:insideV w:val="single" w:sz="4" w:space="0" w:color="FFFFFF"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2010BC"/>
    <w:pPr>
      <w:spacing w:before="0"/>
    </w:pPr>
    <w:rPr>
      <w:color w:val="230023" w:themeColor="accent1" w:themeShade="BF"/>
    </w:rPr>
    <w:tblPr>
      <w:tblStyleRowBandSize w:val="1"/>
      <w:tblStyleColBandSize w:val="1"/>
      <w:tblBorders>
        <w:top w:val="single" w:sz="8" w:space="0" w:color="2F002F" w:themeColor="accent1"/>
        <w:bottom w:val="single" w:sz="8" w:space="0" w:color="2F002F" w:themeColor="accent1"/>
      </w:tblBorders>
    </w:tblPr>
    <w:tblStylePr w:type="fir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lastRow">
      <w:pPr>
        <w:spacing w:before="0" w:after="0" w:line="240" w:lineRule="auto"/>
      </w:pPr>
      <w:rPr>
        <w:b/>
        <w:bCs/>
      </w:rPr>
      <w:tblPr/>
      <w:tcPr>
        <w:tcBorders>
          <w:top w:val="single" w:sz="8" w:space="0" w:color="2F002F" w:themeColor="accent1"/>
          <w:left w:val="nil"/>
          <w:bottom w:val="single" w:sz="8" w:space="0" w:color="2F00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8CFF" w:themeFill="accent1" w:themeFillTint="3F"/>
      </w:tcPr>
    </w:tblStylePr>
    <w:tblStylePr w:type="band1Horz">
      <w:tblPr/>
      <w:tcPr>
        <w:tcBorders>
          <w:left w:val="nil"/>
          <w:right w:val="nil"/>
          <w:insideH w:val="nil"/>
          <w:insideV w:val="nil"/>
        </w:tcBorders>
        <w:shd w:val="clear" w:color="auto" w:fill="FF8CFF"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blBorders>
    </w:tblPr>
    <w:tcPr>
      <w:vAlign w:val="center"/>
    </w:tcPr>
    <w:tblStylePr w:type="fir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l2br w:val="nil"/>
          <w:tr2bl w:val="nil"/>
        </w:tcBorders>
      </w:tcPr>
    </w:tblStylePr>
    <w:tblStylePr w:type="lastRow">
      <w:pPr>
        <w:spacing w:before="0" w:after="0" w:line="240" w:lineRule="auto"/>
      </w:pPr>
      <w:rPr>
        <w:b w:val="0"/>
        <w:bCs/>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single" w:sz="4" w:space="0" w:color="000000" w:themeColor="accent5"/>
          <w:insideV w:val="single" w:sz="4" w:space="0" w:color="000000"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1747" w:themeColor="accent3" w:themeShade="BF"/>
    </w:rPr>
    <w:tblPr>
      <w:tblStyleRowBandSize w:val="1"/>
      <w:tblStyleColBandSize w:val="1"/>
      <w:tblBorders>
        <w:top w:val="single" w:sz="8" w:space="0" w:color="002060" w:themeColor="accent3"/>
        <w:bottom w:val="single" w:sz="8" w:space="0" w:color="002060" w:themeColor="accent3"/>
      </w:tblBorders>
    </w:tblPr>
    <w:tblStylePr w:type="fir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lastRow">
      <w:pPr>
        <w:spacing w:before="0" w:after="0" w:line="240" w:lineRule="auto"/>
      </w:pPr>
      <w:rPr>
        <w:b/>
        <w:bCs/>
      </w:rPr>
      <w:tblPr/>
      <w:tcPr>
        <w:tcBorders>
          <w:top w:val="single" w:sz="8" w:space="0" w:color="002060" w:themeColor="accent3"/>
          <w:left w:val="nil"/>
          <w:bottom w:val="single" w:sz="8" w:space="0" w:color="0020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BAFF" w:themeFill="accent3" w:themeFillTint="3F"/>
      </w:tcPr>
    </w:tblStylePr>
    <w:tblStylePr w:type="band1Horz">
      <w:tblPr/>
      <w:tcPr>
        <w:tcBorders>
          <w:left w:val="nil"/>
          <w:right w:val="nil"/>
          <w:insideH w:val="nil"/>
          <w:insideV w:val="nil"/>
        </w:tcBorders>
        <w:shd w:val="clear" w:color="auto" w:fill="98BA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insideH w:val="single" w:sz="8" w:space="0" w:color="70303C" w:themeColor="accent6"/>
        <w:insideV w:val="single" w:sz="8" w:space="0" w:color="7030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18" w:space="0" w:color="70303C" w:themeColor="accent6"/>
          <w:right w:val="single" w:sz="8" w:space="0" w:color="70303C" w:themeColor="accent6"/>
          <w:insideH w:val="nil"/>
          <w:insideV w:val="single" w:sz="8" w:space="0" w:color="7030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insideH w:val="nil"/>
          <w:insideV w:val="single" w:sz="8" w:space="0" w:color="7030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shd w:val="clear" w:color="auto" w:fill="E5C2C8" w:themeFill="accent6" w:themeFillTint="3F"/>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shd w:val="clear" w:color="auto" w:fill="E5C2C8" w:themeFill="accent6" w:themeFillTint="3F"/>
      </w:tcPr>
    </w:tblStylePr>
    <w:tblStylePr w:type="band2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insideV w:val="single" w:sz="8" w:space="0" w:color="70303C"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single" w:sz="8" w:space="0" w:color="0BA7E7" w:themeColor="text1" w:themeTint="BF"/>
      </w:tblBorders>
    </w:tblPr>
    <w:tblStylePr w:type="firstRow">
      <w:pPr>
        <w:spacing w:before="0" w:after="0" w:line="240" w:lineRule="auto"/>
      </w:pPr>
      <w:rPr>
        <w:b/>
        <w:bCs/>
        <w:color w:val="FFFFFF" w:themeColor="background1"/>
      </w:rPr>
      <w:tblPr/>
      <w:tcPr>
        <w:tcBorders>
          <w:top w:val="single" w:sz="8"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shd w:val="clear" w:color="auto" w:fill="076A92" w:themeFill="text1"/>
      </w:tcPr>
    </w:tblStylePr>
    <w:tblStylePr w:type="lastRow">
      <w:pPr>
        <w:spacing w:before="0" w:after="0" w:line="240" w:lineRule="auto"/>
      </w:pPr>
      <w:rPr>
        <w:b/>
        <w:bCs/>
      </w:rPr>
      <w:tblPr/>
      <w:tcPr>
        <w:tcBorders>
          <w:top w:val="double" w:sz="6" w:space="0" w:color="0BA7E7" w:themeColor="text1" w:themeTint="BF"/>
          <w:left w:val="single" w:sz="8" w:space="0" w:color="0BA7E7" w:themeColor="text1" w:themeTint="BF"/>
          <w:bottom w:val="single" w:sz="8" w:space="0" w:color="0BA7E7" w:themeColor="text1" w:themeTint="BF"/>
          <w:right w:val="single" w:sz="8" w:space="0" w:color="0BA7E7" w:themeColor="text1" w:themeTint="BF"/>
          <w:insideH w:val="nil"/>
          <w:insideV w:val="nil"/>
        </w:tcBorders>
      </w:tcPr>
    </w:tblStylePr>
    <w:tblStylePr w:type="firstCol">
      <w:rPr>
        <w:b/>
        <w:bCs/>
      </w:rPr>
    </w:tblStylePr>
    <w:tblStylePr w:type="lastCol">
      <w:rPr>
        <w:b/>
        <w:bCs/>
      </w:rPr>
    </w:tblStylePr>
    <w:tblStylePr w:type="band1Vert">
      <w:tblPr/>
      <w:tcPr>
        <w:shd w:val="clear" w:color="auto" w:fill="AAE3FB" w:themeFill="text1" w:themeFillTint="3F"/>
      </w:tcPr>
    </w:tblStylePr>
    <w:tblStylePr w:type="band1Horz">
      <w:tblPr/>
      <w:tcPr>
        <w:tcBorders>
          <w:insideH w:val="nil"/>
          <w:insideV w:val="nil"/>
        </w:tcBorders>
        <w:shd w:val="clear" w:color="auto" w:fill="AAE3F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single" w:sz="8" w:space="0" w:color="A300A3" w:themeColor="accent1" w:themeTint="BF"/>
      </w:tblBorders>
    </w:tblPr>
    <w:tblStylePr w:type="firstRow">
      <w:pPr>
        <w:spacing w:before="0" w:after="0" w:line="240" w:lineRule="auto"/>
      </w:pPr>
      <w:rPr>
        <w:b/>
        <w:bCs/>
        <w:color w:val="FFFFFF" w:themeColor="background1"/>
      </w:rPr>
      <w:tblPr/>
      <w:tcPr>
        <w:tcBorders>
          <w:top w:val="single" w:sz="8"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shd w:val="clear" w:color="auto" w:fill="2F002F" w:themeFill="accent1"/>
      </w:tcPr>
    </w:tblStylePr>
    <w:tblStylePr w:type="lastRow">
      <w:pPr>
        <w:spacing w:before="0" w:after="0" w:line="240" w:lineRule="auto"/>
      </w:pPr>
      <w:rPr>
        <w:b/>
        <w:bCs/>
      </w:rPr>
      <w:tblPr/>
      <w:tcPr>
        <w:tcBorders>
          <w:top w:val="double" w:sz="6" w:space="0" w:color="A300A3" w:themeColor="accent1" w:themeTint="BF"/>
          <w:left w:val="single" w:sz="8" w:space="0" w:color="A300A3" w:themeColor="accent1" w:themeTint="BF"/>
          <w:bottom w:val="single" w:sz="8" w:space="0" w:color="A300A3" w:themeColor="accent1" w:themeTint="BF"/>
          <w:right w:val="single" w:sz="8" w:space="0" w:color="A300A3"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8CFF" w:themeFill="accent1" w:themeFillTint="3F"/>
      </w:tcPr>
    </w:tblStylePr>
    <w:tblStylePr w:type="band1Horz">
      <w:tblPr/>
      <w:tcPr>
        <w:tcBorders>
          <w:insideH w:val="nil"/>
          <w:insideV w:val="nil"/>
        </w:tcBorders>
        <w:shd w:val="clear" w:color="auto" w:fill="FF8C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single" w:sz="8" w:space="0" w:color="FF7111" w:themeColor="accent2" w:themeTint="BF"/>
      </w:tblBorders>
    </w:tblPr>
    <w:tblStylePr w:type="firstRow">
      <w:pPr>
        <w:spacing w:before="0" w:after="0" w:line="240" w:lineRule="auto"/>
      </w:pPr>
      <w:rPr>
        <w:b/>
        <w:bCs/>
        <w:color w:val="FFFFFF" w:themeColor="background1"/>
      </w:rPr>
      <w:tblPr/>
      <w:tcPr>
        <w:tcBorders>
          <w:top w:val="single" w:sz="8"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shd w:val="clear" w:color="auto" w:fill="C14E00" w:themeFill="accent2"/>
      </w:tcPr>
    </w:tblStylePr>
    <w:tblStylePr w:type="lastRow">
      <w:pPr>
        <w:spacing w:before="0" w:after="0" w:line="240" w:lineRule="auto"/>
      </w:pPr>
      <w:rPr>
        <w:b/>
        <w:bCs/>
      </w:rPr>
      <w:tblPr/>
      <w:tcPr>
        <w:tcBorders>
          <w:top w:val="double" w:sz="6" w:space="0" w:color="FF7111" w:themeColor="accent2" w:themeTint="BF"/>
          <w:left w:val="single" w:sz="8" w:space="0" w:color="FF7111" w:themeColor="accent2" w:themeTint="BF"/>
          <w:bottom w:val="single" w:sz="8" w:space="0" w:color="FF7111" w:themeColor="accent2" w:themeTint="BF"/>
          <w:right w:val="single" w:sz="8" w:space="0" w:color="FF711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0B0" w:themeFill="accent2" w:themeFillTint="3F"/>
      </w:tcPr>
    </w:tblStylePr>
    <w:tblStylePr w:type="band1Horz">
      <w:tblPr/>
      <w:tcPr>
        <w:tcBorders>
          <w:insideH w:val="nil"/>
          <w:insideV w:val="nil"/>
        </w:tcBorders>
        <w:shd w:val="clear" w:color="auto" w:fill="FFD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single" w:sz="8" w:space="0" w:color="0042C7" w:themeColor="accent3" w:themeTint="BF"/>
      </w:tblBorders>
    </w:tblPr>
    <w:tblStylePr w:type="firstRow">
      <w:pPr>
        <w:spacing w:before="0" w:after="0" w:line="240" w:lineRule="auto"/>
      </w:pPr>
      <w:rPr>
        <w:b/>
        <w:bCs/>
        <w:color w:val="FFFFFF" w:themeColor="background1"/>
      </w:rPr>
      <w:tblPr/>
      <w:tcPr>
        <w:tcBorders>
          <w:top w:val="single" w:sz="8"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shd w:val="clear" w:color="auto" w:fill="002060" w:themeFill="accent3"/>
      </w:tcPr>
    </w:tblStylePr>
    <w:tblStylePr w:type="lastRow">
      <w:pPr>
        <w:spacing w:before="0" w:after="0" w:line="240" w:lineRule="auto"/>
      </w:pPr>
      <w:rPr>
        <w:b/>
        <w:bCs/>
      </w:rPr>
      <w:tblPr/>
      <w:tcPr>
        <w:tcBorders>
          <w:top w:val="double" w:sz="6" w:space="0" w:color="0042C7" w:themeColor="accent3" w:themeTint="BF"/>
          <w:left w:val="single" w:sz="8" w:space="0" w:color="0042C7" w:themeColor="accent3" w:themeTint="BF"/>
          <w:bottom w:val="single" w:sz="8" w:space="0" w:color="0042C7" w:themeColor="accent3" w:themeTint="BF"/>
          <w:right w:val="single" w:sz="8" w:space="0" w:color="0042C7" w:themeColor="accent3"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3" w:themeFillTint="3F"/>
      </w:tcPr>
    </w:tblStylePr>
    <w:tblStylePr w:type="band1Horz">
      <w:tblPr/>
      <w:tcPr>
        <w:tcBorders>
          <w:insideH w:val="nil"/>
          <w:insideV w:val="nil"/>
        </w:tcBorders>
        <w:shd w:val="clear" w:color="auto" w:fill="98B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single" w:sz="8" w:space="0" w:color="FF1010" w:themeColor="accent4" w:themeTint="BF"/>
      </w:tblBorders>
    </w:tblPr>
    <w:tblStylePr w:type="firstRow">
      <w:pPr>
        <w:spacing w:before="0" w:after="0" w:line="240" w:lineRule="auto"/>
      </w:pPr>
      <w:rPr>
        <w:b/>
        <w:bCs/>
        <w:color w:val="FFFFFF" w:themeColor="background1"/>
      </w:rPr>
      <w:tblPr/>
      <w:tcPr>
        <w:tcBorders>
          <w:top w:val="single" w:sz="8"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shd w:val="clear" w:color="auto" w:fill="C00000" w:themeFill="accent4"/>
      </w:tcPr>
    </w:tblStylePr>
    <w:tblStylePr w:type="lastRow">
      <w:pPr>
        <w:spacing w:before="0" w:after="0" w:line="240" w:lineRule="auto"/>
      </w:pPr>
      <w:rPr>
        <w:b/>
        <w:bCs/>
      </w:rPr>
      <w:tblPr/>
      <w:tcPr>
        <w:tcBorders>
          <w:top w:val="double" w:sz="6" w:space="0" w:color="FF1010" w:themeColor="accent4" w:themeTint="BF"/>
          <w:left w:val="single" w:sz="8" w:space="0" w:color="FF1010" w:themeColor="accent4" w:themeTint="BF"/>
          <w:bottom w:val="single" w:sz="8" w:space="0" w:color="FF1010" w:themeColor="accent4" w:themeTint="BF"/>
          <w:right w:val="single" w:sz="8" w:space="0" w:color="FF101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4" w:themeFillTint="3F"/>
      </w:tcPr>
    </w:tblStylePr>
    <w:tblStylePr w:type="band1Horz">
      <w:tblPr/>
      <w:tcPr>
        <w:tcBorders>
          <w:insideH w:val="nil"/>
          <w:insideV w:val="nil"/>
        </w:tcBorders>
        <w:shd w:val="clear" w:color="auto" w:fill="FFB0B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tblBorders>
    </w:tblPr>
    <w:tblStylePr w:type="firstRow">
      <w:pPr>
        <w:spacing w:before="0" w:after="0" w:line="240" w:lineRule="auto"/>
      </w:pPr>
      <w:rPr>
        <w:b/>
        <w:bCs/>
        <w:color w:val="FFFFFF" w:themeColor="background1"/>
      </w:rPr>
      <w:tblPr/>
      <w:tcPr>
        <w:shd w:val="clear" w:color="auto" w:fill="076A92" w:themeFill="text1"/>
      </w:tcPr>
    </w:tblStylePr>
    <w:tblStylePr w:type="lastRow">
      <w:pPr>
        <w:spacing w:before="0" w:after="0" w:line="240" w:lineRule="auto"/>
      </w:pPr>
      <w:rPr>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tcBorders>
      </w:tcPr>
    </w:tblStylePr>
    <w:tblStylePr w:type="firstCol">
      <w:rPr>
        <w:b/>
        <w:bCs/>
      </w:rPr>
    </w:tblStylePr>
    <w:tblStylePr w:type="lastCol">
      <w:rPr>
        <w:b/>
        <w:bCs/>
      </w:r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style>
  <w:style w:type="table" w:styleId="LightShading-Accent5">
    <w:name w:val="Light Shading Accent 5"/>
    <w:basedOn w:val="TableNormal"/>
    <w:uiPriority w:val="60"/>
    <w:rsid w:val="00A871F4"/>
    <w:pPr>
      <w:spacing w:before="0"/>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insideH w:val="single" w:sz="8" w:space="0" w:color="002060" w:themeColor="accent3"/>
        <w:insideV w:val="single" w:sz="8" w:space="0" w:color="0020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18" w:space="0" w:color="002060" w:themeColor="accent3"/>
          <w:right w:val="single" w:sz="8" w:space="0" w:color="002060" w:themeColor="accent3"/>
          <w:insideH w:val="nil"/>
          <w:insideV w:val="single" w:sz="8" w:space="0" w:color="0020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insideH w:val="nil"/>
          <w:insideV w:val="single" w:sz="8" w:space="0" w:color="0020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shd w:val="clear" w:color="auto" w:fill="98BAFF" w:themeFill="accent3" w:themeFillTint="3F"/>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shd w:val="clear" w:color="auto" w:fill="98BAFF" w:themeFill="accent3" w:themeFillTint="3F"/>
      </w:tcPr>
    </w:tblStylePr>
    <w:tblStylePr w:type="band2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insideV w:val="single" w:sz="8" w:space="0" w:color="002060"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CE1FA9"/>
    <w:pPr>
      <w:tabs>
        <w:tab w:val="left" w:pos="426"/>
        <w:tab w:val="right" w:leader="dot" w:pos="8364"/>
      </w:tabs>
      <w:spacing w:after="100"/>
    </w:pPr>
    <w:rPr>
      <w:b/>
      <w:noProof/>
      <w:color w:val="70635A" w:themeColor="text2"/>
      <w:sz w:val="24"/>
      <w:lang w:val="en-US" w:eastAsia="ja-JP"/>
    </w:rPr>
  </w:style>
  <w:style w:type="paragraph" w:styleId="TOC2">
    <w:name w:val="toc 2"/>
    <w:basedOn w:val="Normal"/>
    <w:next w:val="Normal"/>
    <w:uiPriority w:val="39"/>
    <w:qFormat/>
    <w:rsid w:val="005D7BA2"/>
    <w:pPr>
      <w:tabs>
        <w:tab w:val="left" w:pos="880"/>
        <w:tab w:val="right" w:leader="dot" w:pos="8363"/>
      </w:tabs>
      <w:spacing w:after="100"/>
      <w:ind w:left="425"/>
    </w:pPr>
    <w:rPr>
      <w:b/>
      <w:noProof/>
      <w:color w:val="70635A" w:themeColor="text2"/>
      <w:sz w:val="24"/>
    </w:rPr>
  </w:style>
  <w:style w:type="paragraph" w:styleId="TOC3">
    <w:name w:val="toc 3"/>
    <w:basedOn w:val="Normal"/>
    <w:next w:val="Normal"/>
    <w:uiPriority w:val="39"/>
    <w:qFormat/>
    <w:rsid w:val="005D7BA2"/>
    <w:pPr>
      <w:tabs>
        <w:tab w:val="left" w:pos="1760"/>
        <w:tab w:val="right" w:leader="dot" w:pos="8363"/>
      </w:tabs>
      <w:spacing w:after="100"/>
      <w:ind w:left="851"/>
    </w:pPr>
    <w:rPr>
      <w:noProof/>
    </w:rPr>
  </w:style>
  <w:style w:type="paragraph" w:styleId="Title">
    <w:name w:val="Title"/>
    <w:basedOn w:val="Normal"/>
    <w:next w:val="Normal"/>
    <w:link w:val="TitleChar"/>
    <w:uiPriority w:val="10"/>
    <w:qFormat/>
    <w:rsid w:val="00174102"/>
    <w:pPr>
      <w:spacing w:before="720" w:after="120"/>
      <w:contextualSpacing/>
      <w:outlineLvl w:val="0"/>
    </w:pPr>
    <w:rPr>
      <w:rFonts w:asciiTheme="majorHAnsi" w:eastAsiaTheme="majorEastAsia" w:hAnsiTheme="majorHAnsi" w:cstheme="majorBidi"/>
      <w:color w:val="C14E00" w:themeColor="accent2"/>
      <w:spacing w:val="5"/>
      <w:kern w:val="28"/>
      <w:sz w:val="72"/>
      <w:szCs w:val="52"/>
    </w:rPr>
  </w:style>
  <w:style w:type="character" w:customStyle="1" w:styleId="TitleChar">
    <w:name w:val="Title Char"/>
    <w:basedOn w:val="DefaultParagraphFont"/>
    <w:link w:val="Title"/>
    <w:uiPriority w:val="10"/>
    <w:rsid w:val="00174102"/>
    <w:rPr>
      <w:rFonts w:asciiTheme="majorHAnsi" w:eastAsiaTheme="majorEastAsia" w:hAnsiTheme="majorHAnsi" w:cstheme="majorBidi"/>
      <w:color w:val="C14E00" w:themeColor="accent2"/>
      <w:spacing w:val="5"/>
      <w:kern w:val="28"/>
      <w:sz w:val="72"/>
      <w:szCs w:val="52"/>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tblBorders>
    </w:tblPr>
    <w:tblStylePr w:type="firstRow">
      <w:pPr>
        <w:spacing w:before="0" w:after="0" w:line="240" w:lineRule="auto"/>
      </w:pPr>
      <w:rPr>
        <w:b/>
        <w:bCs/>
        <w:color w:val="FFFFFF" w:themeColor="background1"/>
      </w:rPr>
      <w:tblPr/>
      <w:tcPr>
        <w:shd w:val="clear" w:color="auto" w:fill="2F002F" w:themeFill="accent1"/>
      </w:tcPr>
    </w:tblStylePr>
    <w:tblStylePr w:type="lastRow">
      <w:pPr>
        <w:spacing w:before="0" w:after="0" w:line="240" w:lineRule="auto"/>
      </w:pPr>
      <w:rPr>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tcBorders>
      </w:tcPr>
    </w:tblStylePr>
    <w:tblStylePr w:type="firstCol">
      <w:rPr>
        <w:b/>
        <w:bCs/>
      </w:rPr>
    </w:tblStylePr>
    <w:tblStylePr w:type="lastCol">
      <w:rPr>
        <w:b/>
        <w:bCs/>
      </w:r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2060" w:themeColor="accent3"/>
        <w:left w:val="single" w:sz="8" w:space="0" w:color="002060" w:themeColor="accent3"/>
        <w:bottom w:val="single" w:sz="8" w:space="0" w:color="002060" w:themeColor="accent3"/>
        <w:right w:val="single" w:sz="8" w:space="0" w:color="002060" w:themeColor="accent3"/>
      </w:tblBorders>
    </w:tblPr>
    <w:tblStylePr w:type="firstRow">
      <w:pPr>
        <w:spacing w:before="0" w:after="0" w:line="240" w:lineRule="auto"/>
      </w:pPr>
      <w:rPr>
        <w:b/>
        <w:bCs/>
        <w:color w:val="FFFFFF" w:themeColor="background1"/>
      </w:rPr>
      <w:tblPr/>
      <w:tcPr>
        <w:shd w:val="clear" w:color="auto" w:fill="002060" w:themeFill="accent3"/>
      </w:tcPr>
    </w:tblStylePr>
    <w:tblStylePr w:type="lastRow">
      <w:pPr>
        <w:spacing w:before="0" w:after="0" w:line="240" w:lineRule="auto"/>
      </w:pPr>
      <w:rPr>
        <w:b/>
        <w:bCs/>
      </w:rPr>
      <w:tblPr/>
      <w:tcPr>
        <w:tcBorders>
          <w:top w:val="double" w:sz="6" w:space="0" w:color="002060" w:themeColor="accent3"/>
          <w:left w:val="single" w:sz="8" w:space="0" w:color="002060" w:themeColor="accent3"/>
          <w:bottom w:val="single" w:sz="8" w:space="0" w:color="002060" w:themeColor="accent3"/>
          <w:right w:val="single" w:sz="8" w:space="0" w:color="002060" w:themeColor="accent3"/>
        </w:tcBorders>
      </w:tcPr>
    </w:tblStylePr>
    <w:tblStylePr w:type="firstCol">
      <w:rPr>
        <w:b/>
        <w:bCs/>
      </w:rPr>
    </w:tblStylePr>
    <w:tblStylePr w:type="lastCol">
      <w:rPr>
        <w:b/>
        <w:bCs/>
      </w:rPr>
    </w:tblStylePr>
    <w:tblStylePr w:type="band1Vert">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tblStylePr w:type="band1Horz">
      <w:tblPr/>
      <w:tcPr>
        <w:tcBorders>
          <w:top w:val="single" w:sz="8" w:space="0" w:color="002060" w:themeColor="accent3"/>
          <w:left w:val="single" w:sz="8" w:space="0" w:color="002060" w:themeColor="accent3"/>
          <w:bottom w:val="single" w:sz="8" w:space="0" w:color="002060" w:themeColor="accent3"/>
          <w:right w:val="single" w:sz="8" w:space="0" w:color="002060"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auto"/>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character" w:styleId="Emphasis">
    <w:name w:val="Emphasis"/>
    <w:basedOn w:val="DefaultParagraphFont"/>
    <w:uiPriority w:val="20"/>
    <w:qFormat/>
    <w:rsid w:val="00701CAB"/>
    <w:rPr>
      <w:i/>
      <w:iCs/>
    </w:rPr>
  </w:style>
  <w:style w:type="paragraph" w:styleId="NormalIndent">
    <w:name w:val="Normal Indent"/>
    <w:basedOn w:val="Normal"/>
    <w:uiPriority w:val="1"/>
    <w:rsid w:val="00202E03"/>
    <w:pPr>
      <w:tabs>
        <w:tab w:val="left" w:pos="680"/>
      </w:tabs>
      <w:ind w:left="680"/>
    </w:p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DE1093"/>
    <w:pPr>
      <w:tabs>
        <w:tab w:val="left" w:pos="340"/>
      </w:tabs>
      <w:spacing w:before="0" w:line="240" w:lineRule="exact"/>
      <w:ind w:left="340" w:hanging="340"/>
    </w:pPr>
    <w:rPr>
      <w:sz w:val="16"/>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DE1093"/>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rsid w:val="00701CAB"/>
    <w:rPr>
      <w:vertAlign w:val="superscript"/>
    </w:rPr>
  </w:style>
  <w:style w:type="character" w:styleId="Strong">
    <w:name w:val="Strong"/>
    <w:aliases w:val="AER text bold"/>
    <w:basedOn w:val="DefaultParagraphFont"/>
    <w:qFormat/>
    <w:rsid w:val="00EF5110"/>
    <w:rPr>
      <w:b/>
      <w:bCs/>
    </w:rPr>
  </w:style>
  <w:style w:type="paragraph" w:styleId="Subtitle">
    <w:name w:val="Subtitle"/>
    <w:basedOn w:val="Normal"/>
    <w:next w:val="Normal"/>
    <w:link w:val="SubtitleChar"/>
    <w:uiPriority w:val="11"/>
    <w:rsid w:val="00CA489E"/>
    <w:pPr>
      <w:numPr>
        <w:ilvl w:val="1"/>
      </w:numPr>
    </w:pPr>
    <w:rPr>
      <w:rFonts w:asciiTheme="majorHAnsi" w:eastAsiaTheme="majorEastAsia" w:hAnsiTheme="majorHAnsi" w:cstheme="majorBidi"/>
      <w:i/>
      <w:iCs/>
      <w:color w:val="2F002F" w:themeColor="accent1"/>
      <w:spacing w:val="15"/>
      <w:sz w:val="24"/>
      <w:szCs w:val="24"/>
    </w:rPr>
  </w:style>
  <w:style w:type="character" w:customStyle="1" w:styleId="SubtitleChar">
    <w:name w:val="Subtitle Char"/>
    <w:basedOn w:val="DefaultParagraphFont"/>
    <w:link w:val="Subtitle"/>
    <w:uiPriority w:val="11"/>
    <w:rsid w:val="00CA489E"/>
    <w:rPr>
      <w:rFonts w:asciiTheme="majorHAnsi" w:eastAsiaTheme="majorEastAsia" w:hAnsiTheme="majorHAnsi" w:cstheme="majorBidi"/>
      <w:i/>
      <w:iCs/>
      <w:color w:val="2F002F" w:themeColor="accent1"/>
      <w:spacing w:val="15"/>
      <w:sz w:val="24"/>
      <w:szCs w:val="24"/>
    </w:rPr>
  </w:style>
  <w:style w:type="table" w:styleId="LightShading-Accent4">
    <w:name w:val="Light Shading Accent 4"/>
    <w:basedOn w:val="TableNormal"/>
    <w:uiPriority w:val="60"/>
    <w:rsid w:val="00746E01"/>
    <w:pPr>
      <w:spacing w:before="0"/>
    </w:pPr>
    <w:rPr>
      <w:color w:val="8F0000" w:themeColor="accent4" w:themeShade="BF"/>
    </w:rPr>
    <w:tblPr>
      <w:tblStyleRowBandSize w:val="1"/>
      <w:tblStyleColBandSize w:val="1"/>
      <w:tblBorders>
        <w:top w:val="single" w:sz="8" w:space="0" w:color="C00000" w:themeColor="accent4"/>
        <w:bottom w:val="single" w:sz="8" w:space="0" w:color="C00000" w:themeColor="accent4"/>
      </w:tblBorders>
    </w:tblPr>
    <w:tblStylePr w:type="fir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lastRow">
      <w:pPr>
        <w:spacing w:before="0" w:after="0" w:line="240" w:lineRule="auto"/>
      </w:pPr>
      <w:rPr>
        <w:b/>
        <w:bCs/>
      </w:rPr>
      <w:tblPr/>
      <w:tcPr>
        <w:tcBorders>
          <w:top w:val="single" w:sz="8" w:space="0" w:color="C00000" w:themeColor="accent4"/>
          <w:left w:val="nil"/>
          <w:bottom w:val="single" w:sz="8" w:space="0" w:color="C00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4" w:themeFillTint="3F"/>
      </w:tcPr>
    </w:tblStylePr>
    <w:tblStylePr w:type="band1Horz">
      <w:tblPr/>
      <w:tcPr>
        <w:tcBorders>
          <w:left w:val="nil"/>
          <w:right w:val="nil"/>
          <w:insideH w:val="nil"/>
          <w:insideV w:val="nil"/>
        </w:tcBorders>
        <w:shd w:val="clear" w:color="auto" w:fill="FFB0B0" w:themeFill="accent4" w:themeFillTint="3F"/>
      </w:tcPr>
    </w:tblStylePr>
  </w:style>
  <w:style w:type="table" w:styleId="LightShading-Accent6">
    <w:name w:val="Light Shading Accent 6"/>
    <w:basedOn w:val="TableNormal"/>
    <w:uiPriority w:val="60"/>
    <w:rsid w:val="00746E01"/>
    <w:pPr>
      <w:spacing w:before="0"/>
    </w:pPr>
    <w:rPr>
      <w:color w:val="53242C" w:themeColor="accent6" w:themeShade="BF"/>
    </w:rPr>
    <w:tblPr>
      <w:tblStyleRowBandSize w:val="1"/>
      <w:tblStyleColBandSize w:val="1"/>
      <w:tblBorders>
        <w:top w:val="single" w:sz="8" w:space="0" w:color="70303C" w:themeColor="accent6"/>
        <w:bottom w:val="single" w:sz="8" w:space="0" w:color="70303C" w:themeColor="accent6"/>
      </w:tblBorders>
    </w:tblPr>
    <w:tblStylePr w:type="fir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lastRow">
      <w:pPr>
        <w:spacing w:before="0" w:after="0" w:line="240" w:lineRule="auto"/>
      </w:pPr>
      <w:rPr>
        <w:b/>
        <w:bCs/>
      </w:rPr>
      <w:tblPr/>
      <w:tcPr>
        <w:tcBorders>
          <w:top w:val="single" w:sz="8" w:space="0" w:color="70303C" w:themeColor="accent6"/>
          <w:left w:val="nil"/>
          <w:bottom w:val="single" w:sz="8" w:space="0" w:color="7030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C2C8" w:themeFill="accent6" w:themeFillTint="3F"/>
      </w:tcPr>
    </w:tblStylePr>
    <w:tblStylePr w:type="band1Horz">
      <w:tblPr/>
      <w:tcPr>
        <w:tcBorders>
          <w:left w:val="nil"/>
          <w:right w:val="nil"/>
          <w:insideH w:val="nil"/>
          <w:insideV w:val="nil"/>
        </w:tcBorders>
        <w:shd w:val="clear" w:color="auto" w:fill="E5C2C8" w:themeFill="accent6" w:themeFillTint="3F"/>
      </w:tcPr>
    </w:tblStylePr>
  </w:style>
  <w:style w:type="paragraph" w:styleId="TOC4">
    <w:name w:val="toc 4"/>
    <w:basedOn w:val="Normal"/>
    <w:next w:val="Normal"/>
    <w:uiPriority w:val="39"/>
    <w:rsid w:val="005D7BA2"/>
    <w:pPr>
      <w:tabs>
        <w:tab w:val="right" w:leader="dot" w:pos="8363"/>
      </w:tabs>
      <w:spacing w:after="100"/>
      <w:ind w:left="1276"/>
    </w:pPr>
    <w:rPr>
      <w:noProof/>
    </w:rPr>
  </w:style>
  <w:style w:type="paragraph" w:styleId="TOC5">
    <w:name w:val="toc 5"/>
    <w:basedOn w:val="Normal"/>
    <w:next w:val="Normal"/>
    <w:uiPriority w:val="39"/>
    <w:rsid w:val="005D7BA2"/>
    <w:pPr>
      <w:tabs>
        <w:tab w:val="right" w:leader="dot" w:pos="8363"/>
      </w:tabs>
      <w:spacing w:after="100"/>
      <w:ind w:left="1701"/>
    </w:pPr>
    <w:rPr>
      <w:noProof/>
    </w:rPr>
  </w:style>
  <w:style w:type="paragraph" w:styleId="TOC6">
    <w:name w:val="toc 6"/>
    <w:basedOn w:val="Normal"/>
    <w:next w:val="Normal"/>
    <w:uiPriority w:val="39"/>
    <w:rsid w:val="005D7BA2"/>
    <w:pPr>
      <w:tabs>
        <w:tab w:val="right" w:leader="dot" w:pos="8363"/>
      </w:tabs>
      <w:spacing w:after="100"/>
      <w:ind w:left="2126"/>
    </w:pPr>
    <w:rPr>
      <w:noProof/>
    </w:rPr>
  </w:style>
  <w:style w:type="paragraph" w:styleId="TOC7">
    <w:name w:val="toc 7"/>
    <w:basedOn w:val="Normal"/>
    <w:next w:val="Normal"/>
    <w:uiPriority w:val="39"/>
    <w:rsid w:val="005D7BA2"/>
    <w:pPr>
      <w:tabs>
        <w:tab w:val="right" w:leader="dot" w:pos="8363"/>
      </w:tabs>
      <w:spacing w:after="100"/>
      <w:ind w:left="2552"/>
    </w:pPr>
    <w:rPr>
      <w:noProof/>
    </w:rPr>
  </w:style>
  <w:style w:type="paragraph" w:styleId="Salutation">
    <w:name w:val="Salutation"/>
    <w:basedOn w:val="Normal"/>
    <w:next w:val="Normal"/>
    <w:link w:val="SalutationChar"/>
    <w:uiPriority w:val="99"/>
    <w:unhideWhenUsed/>
    <w:rsid w:val="00CA489E"/>
  </w:style>
  <w:style w:type="table" w:customStyle="1" w:styleId="LightShading1">
    <w:name w:val="Light Shading1"/>
    <w:basedOn w:val="TableNormal"/>
    <w:next w:val="LightShading"/>
    <w:uiPriority w:val="60"/>
    <w:rsid w:val="00C53B5A"/>
    <w:pPr>
      <w:spacing w:before="120" w:after="120"/>
    </w:pPr>
    <w:rPr>
      <w:color w:val="054E6D" w:themeColor="text1" w:themeShade="BF"/>
      <w:sz w:val="20"/>
    </w:rPr>
    <w:tblPr>
      <w:tblBorders>
        <w:top w:val="single" w:sz="4" w:space="0" w:color="FFFFFF" w:themeColor="background2"/>
        <w:bottom w:val="single" w:sz="4" w:space="0" w:color="FFFFFF" w:themeColor="background2"/>
        <w:insideH w:val="single" w:sz="4" w:space="0" w:color="FFFFFF"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76A92" w:themeColor="text1"/>
          <w:left w:val="nil"/>
          <w:bottom w:val="single" w:sz="8" w:space="0" w:color="076A92"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tblBorders>
    </w:tblPr>
    <w:tblStylePr w:type="firstRow">
      <w:pPr>
        <w:spacing w:before="0" w:after="0" w:line="240" w:lineRule="auto"/>
      </w:pPr>
      <w:rPr>
        <w:b/>
        <w:bCs/>
        <w:color w:val="FFFFFF" w:themeColor="background1"/>
      </w:rPr>
      <w:tblPr/>
      <w:tcPr>
        <w:shd w:val="clear" w:color="auto" w:fill="C14E00" w:themeFill="accent2"/>
      </w:tcPr>
    </w:tblStylePr>
    <w:tblStylePr w:type="lastRow">
      <w:pPr>
        <w:spacing w:before="0" w:after="0" w:line="240" w:lineRule="auto"/>
      </w:pPr>
      <w:rPr>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tcBorders>
      </w:tcPr>
    </w:tblStylePr>
    <w:tblStylePr w:type="firstCol">
      <w:rPr>
        <w:b/>
        <w:bCs/>
      </w:rPr>
    </w:tblStylePr>
    <w:tblStylePr w:type="lastCol">
      <w:rPr>
        <w:b/>
        <w:bCs/>
      </w:r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tblBorders>
    </w:tblPr>
    <w:tblStylePr w:type="firstRow">
      <w:pPr>
        <w:spacing w:before="0" w:after="0" w:line="240" w:lineRule="auto"/>
      </w:pPr>
      <w:rPr>
        <w:b/>
        <w:bCs/>
        <w:color w:val="FFFFFF" w:themeColor="background1"/>
      </w:rPr>
      <w:tblPr/>
      <w:tcPr>
        <w:shd w:val="clear" w:color="auto" w:fill="C00000" w:themeFill="accent4"/>
      </w:tcPr>
    </w:tblStylePr>
    <w:tblStylePr w:type="lastRow">
      <w:pPr>
        <w:spacing w:before="0" w:after="0" w:line="240" w:lineRule="auto"/>
      </w:pPr>
      <w:rPr>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tcBorders>
      </w:tcPr>
    </w:tblStylePr>
    <w:tblStylePr w:type="firstCol">
      <w:rPr>
        <w:b/>
        <w:bCs/>
      </w:rPr>
    </w:tblStylePr>
    <w:tblStylePr w:type="lastCol">
      <w:rPr>
        <w:b/>
        <w:bCs/>
      </w:r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70303C" w:themeColor="accent6"/>
        <w:left w:val="single" w:sz="8" w:space="0" w:color="70303C" w:themeColor="accent6"/>
        <w:bottom w:val="single" w:sz="8" w:space="0" w:color="70303C" w:themeColor="accent6"/>
        <w:right w:val="single" w:sz="8" w:space="0" w:color="70303C" w:themeColor="accent6"/>
      </w:tblBorders>
    </w:tblPr>
    <w:tblStylePr w:type="firstRow">
      <w:pPr>
        <w:spacing w:before="0" w:after="0" w:line="240" w:lineRule="auto"/>
      </w:pPr>
      <w:rPr>
        <w:b/>
        <w:bCs/>
        <w:color w:val="FFFFFF" w:themeColor="background1"/>
      </w:rPr>
      <w:tblPr/>
      <w:tcPr>
        <w:shd w:val="clear" w:color="auto" w:fill="70303C" w:themeFill="accent6"/>
      </w:tcPr>
    </w:tblStylePr>
    <w:tblStylePr w:type="lastRow">
      <w:pPr>
        <w:spacing w:before="0" w:after="0" w:line="240" w:lineRule="auto"/>
      </w:pPr>
      <w:rPr>
        <w:b/>
        <w:bCs/>
      </w:rPr>
      <w:tblPr/>
      <w:tcPr>
        <w:tcBorders>
          <w:top w:val="double" w:sz="6" w:space="0" w:color="70303C" w:themeColor="accent6"/>
          <w:left w:val="single" w:sz="8" w:space="0" w:color="70303C" w:themeColor="accent6"/>
          <w:bottom w:val="single" w:sz="8" w:space="0" w:color="70303C" w:themeColor="accent6"/>
          <w:right w:val="single" w:sz="8" w:space="0" w:color="70303C" w:themeColor="accent6"/>
        </w:tcBorders>
      </w:tcPr>
    </w:tblStylePr>
    <w:tblStylePr w:type="firstCol">
      <w:rPr>
        <w:b/>
        <w:bCs/>
      </w:rPr>
    </w:tblStylePr>
    <w:tblStylePr w:type="lastCol">
      <w:rPr>
        <w:b/>
        <w:bCs/>
      </w:rPr>
    </w:tblStylePr>
    <w:tblStylePr w:type="band1Vert">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tblStylePr w:type="band1Horz">
      <w:tblPr/>
      <w:tcPr>
        <w:tcBorders>
          <w:top w:val="single" w:sz="8" w:space="0" w:color="70303C" w:themeColor="accent6"/>
          <w:left w:val="single" w:sz="8" w:space="0" w:color="70303C" w:themeColor="accent6"/>
          <w:bottom w:val="single" w:sz="8" w:space="0" w:color="70303C" w:themeColor="accent6"/>
          <w:right w:val="single" w:sz="8" w:space="0" w:color="70303C"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76A92" w:themeColor="text1"/>
        <w:left w:val="single" w:sz="8" w:space="0" w:color="076A92" w:themeColor="text1"/>
        <w:bottom w:val="single" w:sz="8" w:space="0" w:color="076A92" w:themeColor="text1"/>
        <w:right w:val="single" w:sz="8" w:space="0" w:color="076A92" w:themeColor="text1"/>
        <w:insideH w:val="single" w:sz="8" w:space="0" w:color="076A92" w:themeColor="text1"/>
        <w:insideV w:val="single" w:sz="8" w:space="0" w:color="076A9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18" w:space="0" w:color="076A92" w:themeColor="text1"/>
          <w:right w:val="single" w:sz="8" w:space="0" w:color="076A92" w:themeColor="text1"/>
          <w:insideH w:val="nil"/>
          <w:insideV w:val="single" w:sz="8" w:space="0" w:color="076A9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76A92" w:themeColor="text1"/>
          <w:left w:val="single" w:sz="8" w:space="0" w:color="076A92" w:themeColor="text1"/>
          <w:bottom w:val="single" w:sz="8" w:space="0" w:color="076A92" w:themeColor="text1"/>
          <w:right w:val="single" w:sz="8" w:space="0" w:color="076A92" w:themeColor="text1"/>
          <w:insideH w:val="nil"/>
          <w:insideV w:val="single" w:sz="8" w:space="0" w:color="076A9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76A92" w:themeColor="text1"/>
          <w:left w:val="single" w:sz="8" w:space="0" w:color="076A92" w:themeColor="text1"/>
          <w:bottom w:val="single" w:sz="8" w:space="0" w:color="076A92" w:themeColor="text1"/>
          <w:right w:val="single" w:sz="8" w:space="0" w:color="076A92" w:themeColor="text1"/>
        </w:tcBorders>
      </w:tcPr>
    </w:tblStylePr>
    <w:tblStylePr w:type="band1Vert">
      <w:tblPr/>
      <w:tcPr>
        <w:tcBorders>
          <w:top w:val="single" w:sz="8" w:space="0" w:color="076A92" w:themeColor="text1"/>
          <w:left w:val="single" w:sz="8" w:space="0" w:color="076A92" w:themeColor="text1"/>
          <w:bottom w:val="single" w:sz="8" w:space="0" w:color="076A92" w:themeColor="text1"/>
          <w:right w:val="single" w:sz="8" w:space="0" w:color="076A92" w:themeColor="text1"/>
        </w:tcBorders>
        <w:shd w:val="clear" w:color="auto" w:fill="AAE3FB" w:themeFill="text1" w:themeFillTint="3F"/>
      </w:tcPr>
    </w:tblStylePr>
    <w:tblStylePr w:type="band1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shd w:val="clear" w:color="auto" w:fill="AAE3FB" w:themeFill="text1" w:themeFillTint="3F"/>
      </w:tcPr>
    </w:tblStylePr>
    <w:tblStylePr w:type="band2Horz">
      <w:tblPr/>
      <w:tcPr>
        <w:tcBorders>
          <w:top w:val="single" w:sz="8" w:space="0" w:color="076A92" w:themeColor="text1"/>
          <w:left w:val="single" w:sz="8" w:space="0" w:color="076A92" w:themeColor="text1"/>
          <w:bottom w:val="single" w:sz="8" w:space="0" w:color="076A92" w:themeColor="text1"/>
          <w:right w:val="single" w:sz="8" w:space="0" w:color="076A92" w:themeColor="text1"/>
          <w:insideV w:val="single" w:sz="8" w:space="0" w:color="076A92"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2F002F" w:themeColor="accent1"/>
        <w:left w:val="single" w:sz="8" w:space="0" w:color="2F002F" w:themeColor="accent1"/>
        <w:bottom w:val="single" w:sz="8" w:space="0" w:color="2F002F" w:themeColor="accent1"/>
        <w:right w:val="single" w:sz="8" w:space="0" w:color="2F002F" w:themeColor="accent1"/>
        <w:insideH w:val="single" w:sz="8" w:space="0" w:color="2F002F" w:themeColor="accent1"/>
        <w:insideV w:val="single" w:sz="8" w:space="0" w:color="2F00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18" w:space="0" w:color="2F002F" w:themeColor="accent1"/>
          <w:right w:val="single" w:sz="8" w:space="0" w:color="2F002F" w:themeColor="accent1"/>
          <w:insideH w:val="nil"/>
          <w:insideV w:val="single" w:sz="8" w:space="0" w:color="2F00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F002F" w:themeColor="accent1"/>
          <w:left w:val="single" w:sz="8" w:space="0" w:color="2F002F" w:themeColor="accent1"/>
          <w:bottom w:val="single" w:sz="8" w:space="0" w:color="2F002F" w:themeColor="accent1"/>
          <w:right w:val="single" w:sz="8" w:space="0" w:color="2F002F" w:themeColor="accent1"/>
          <w:insideH w:val="nil"/>
          <w:insideV w:val="single" w:sz="8" w:space="0" w:color="2F00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tcPr>
    </w:tblStylePr>
    <w:tblStylePr w:type="band1Vert">
      <w:tblPr/>
      <w:tcPr>
        <w:tcBorders>
          <w:top w:val="single" w:sz="8" w:space="0" w:color="2F002F" w:themeColor="accent1"/>
          <w:left w:val="single" w:sz="8" w:space="0" w:color="2F002F" w:themeColor="accent1"/>
          <w:bottom w:val="single" w:sz="8" w:space="0" w:color="2F002F" w:themeColor="accent1"/>
          <w:right w:val="single" w:sz="8" w:space="0" w:color="2F002F" w:themeColor="accent1"/>
        </w:tcBorders>
        <w:shd w:val="clear" w:color="auto" w:fill="FF8CFF" w:themeFill="accent1" w:themeFillTint="3F"/>
      </w:tcPr>
    </w:tblStylePr>
    <w:tblStylePr w:type="band1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shd w:val="clear" w:color="auto" w:fill="FF8CFF" w:themeFill="accent1" w:themeFillTint="3F"/>
      </w:tcPr>
    </w:tblStylePr>
    <w:tblStylePr w:type="band2Horz">
      <w:tblPr/>
      <w:tcPr>
        <w:tcBorders>
          <w:top w:val="single" w:sz="8" w:space="0" w:color="2F002F" w:themeColor="accent1"/>
          <w:left w:val="single" w:sz="8" w:space="0" w:color="2F002F" w:themeColor="accent1"/>
          <w:bottom w:val="single" w:sz="8" w:space="0" w:color="2F002F" w:themeColor="accent1"/>
          <w:right w:val="single" w:sz="8" w:space="0" w:color="2F002F" w:themeColor="accent1"/>
          <w:insideV w:val="single" w:sz="8" w:space="0" w:color="2F002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C14E00" w:themeColor="accent2"/>
        <w:left w:val="single" w:sz="8" w:space="0" w:color="C14E00" w:themeColor="accent2"/>
        <w:bottom w:val="single" w:sz="8" w:space="0" w:color="C14E00" w:themeColor="accent2"/>
        <w:right w:val="single" w:sz="8" w:space="0" w:color="C14E00" w:themeColor="accent2"/>
        <w:insideH w:val="single" w:sz="8" w:space="0" w:color="C14E00" w:themeColor="accent2"/>
        <w:insideV w:val="single" w:sz="8" w:space="0" w:color="C14E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18" w:space="0" w:color="C14E00" w:themeColor="accent2"/>
          <w:right w:val="single" w:sz="8" w:space="0" w:color="C14E00" w:themeColor="accent2"/>
          <w:insideH w:val="nil"/>
          <w:insideV w:val="single" w:sz="8" w:space="0" w:color="C14E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4E00" w:themeColor="accent2"/>
          <w:left w:val="single" w:sz="8" w:space="0" w:color="C14E00" w:themeColor="accent2"/>
          <w:bottom w:val="single" w:sz="8" w:space="0" w:color="C14E00" w:themeColor="accent2"/>
          <w:right w:val="single" w:sz="8" w:space="0" w:color="C14E00" w:themeColor="accent2"/>
          <w:insideH w:val="nil"/>
          <w:insideV w:val="single" w:sz="8" w:space="0" w:color="C14E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tcPr>
    </w:tblStylePr>
    <w:tblStylePr w:type="band1Vert">
      <w:tblPr/>
      <w:tcPr>
        <w:tcBorders>
          <w:top w:val="single" w:sz="8" w:space="0" w:color="C14E00" w:themeColor="accent2"/>
          <w:left w:val="single" w:sz="8" w:space="0" w:color="C14E00" w:themeColor="accent2"/>
          <w:bottom w:val="single" w:sz="8" w:space="0" w:color="C14E00" w:themeColor="accent2"/>
          <w:right w:val="single" w:sz="8" w:space="0" w:color="C14E00" w:themeColor="accent2"/>
        </w:tcBorders>
        <w:shd w:val="clear" w:color="auto" w:fill="FFD0B0" w:themeFill="accent2" w:themeFillTint="3F"/>
      </w:tcPr>
    </w:tblStylePr>
    <w:tblStylePr w:type="band1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shd w:val="clear" w:color="auto" w:fill="FFD0B0" w:themeFill="accent2" w:themeFillTint="3F"/>
      </w:tcPr>
    </w:tblStylePr>
    <w:tblStylePr w:type="band2Horz">
      <w:tblPr/>
      <w:tcPr>
        <w:tcBorders>
          <w:top w:val="single" w:sz="8" w:space="0" w:color="C14E00" w:themeColor="accent2"/>
          <w:left w:val="single" w:sz="8" w:space="0" w:color="C14E00" w:themeColor="accent2"/>
          <w:bottom w:val="single" w:sz="8" w:space="0" w:color="C14E00" w:themeColor="accent2"/>
          <w:right w:val="single" w:sz="8" w:space="0" w:color="C14E00" w:themeColor="accent2"/>
          <w:insideV w:val="single" w:sz="8" w:space="0" w:color="C14E00"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C00000" w:themeColor="accent4"/>
        <w:left w:val="single" w:sz="8" w:space="0" w:color="C00000" w:themeColor="accent4"/>
        <w:bottom w:val="single" w:sz="8" w:space="0" w:color="C00000" w:themeColor="accent4"/>
        <w:right w:val="single" w:sz="8" w:space="0" w:color="C00000" w:themeColor="accent4"/>
        <w:insideH w:val="single" w:sz="8" w:space="0" w:color="C00000" w:themeColor="accent4"/>
        <w:insideV w:val="single" w:sz="8" w:space="0" w:color="C00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18" w:space="0" w:color="C00000" w:themeColor="accent4"/>
          <w:right w:val="single" w:sz="8" w:space="0" w:color="C00000" w:themeColor="accent4"/>
          <w:insideH w:val="nil"/>
          <w:insideV w:val="single" w:sz="8" w:space="0" w:color="C00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4"/>
          <w:left w:val="single" w:sz="8" w:space="0" w:color="C00000" w:themeColor="accent4"/>
          <w:bottom w:val="single" w:sz="8" w:space="0" w:color="C00000" w:themeColor="accent4"/>
          <w:right w:val="single" w:sz="8" w:space="0" w:color="C00000" w:themeColor="accent4"/>
          <w:insideH w:val="nil"/>
          <w:insideV w:val="single" w:sz="8" w:space="0" w:color="C00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tcPr>
    </w:tblStylePr>
    <w:tblStylePr w:type="band1Vert">
      <w:tblPr/>
      <w:tcPr>
        <w:tcBorders>
          <w:top w:val="single" w:sz="8" w:space="0" w:color="C00000" w:themeColor="accent4"/>
          <w:left w:val="single" w:sz="8" w:space="0" w:color="C00000" w:themeColor="accent4"/>
          <w:bottom w:val="single" w:sz="8" w:space="0" w:color="C00000" w:themeColor="accent4"/>
          <w:right w:val="single" w:sz="8" w:space="0" w:color="C00000" w:themeColor="accent4"/>
        </w:tcBorders>
        <w:shd w:val="clear" w:color="auto" w:fill="FFB0B0" w:themeFill="accent4" w:themeFillTint="3F"/>
      </w:tcPr>
    </w:tblStylePr>
    <w:tblStylePr w:type="band1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shd w:val="clear" w:color="auto" w:fill="FFB0B0" w:themeFill="accent4" w:themeFillTint="3F"/>
      </w:tcPr>
    </w:tblStylePr>
    <w:tblStylePr w:type="band2Horz">
      <w:tblPr/>
      <w:tcPr>
        <w:tcBorders>
          <w:top w:val="single" w:sz="8" w:space="0" w:color="C00000" w:themeColor="accent4"/>
          <w:left w:val="single" w:sz="8" w:space="0" w:color="C00000" w:themeColor="accent4"/>
          <w:bottom w:val="single" w:sz="8" w:space="0" w:color="C00000" w:themeColor="accent4"/>
          <w:right w:val="single" w:sz="8" w:space="0" w:color="C00000" w:themeColor="accent4"/>
          <w:insideV w:val="single" w:sz="8" w:space="0" w:color="C00000"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757BDF"/>
    <w:pPr>
      <w:numPr>
        <w:numId w:val="15"/>
      </w:numPr>
      <w:tabs>
        <w:tab w:val="left" w:pos="2041"/>
      </w:tabs>
      <w:ind w:left="2041" w:hanging="2041"/>
    </w:pPr>
  </w:style>
  <w:style w:type="paragraph" w:styleId="Caption">
    <w:name w:val="caption"/>
    <w:basedOn w:val="Normal"/>
    <w:next w:val="Normal"/>
    <w:uiPriority w:val="35"/>
    <w:unhideWhenUsed/>
    <w:qFormat/>
    <w:rsid w:val="0066104A"/>
    <w:pPr>
      <w:keepNext/>
      <w:spacing w:before="240" w:after="120"/>
    </w:pPr>
    <w:rPr>
      <w:b/>
      <w:bCs/>
      <w:color w:val="076A92" w:themeColor="text1"/>
      <w:sz w:val="24"/>
      <w:szCs w:val="18"/>
    </w:rPr>
  </w:style>
  <w:style w:type="paragraph" w:styleId="List">
    <w:name w:val="List"/>
    <w:basedOn w:val="Normal"/>
    <w:uiPriority w:val="99"/>
    <w:unhideWhenUsed/>
    <w:qFormat/>
    <w:rsid w:val="00B514DD"/>
    <w:pPr>
      <w:tabs>
        <w:tab w:val="left" w:pos="340"/>
      </w:tabs>
      <w:spacing w:before="120"/>
      <w:ind w:left="340" w:hanging="340"/>
    </w:pPr>
  </w:style>
  <w:style w:type="paragraph" w:styleId="List2">
    <w:name w:val="List 2"/>
    <w:basedOn w:val="Normal"/>
    <w:uiPriority w:val="99"/>
    <w:unhideWhenUsed/>
    <w:rsid w:val="00F171E0"/>
    <w:pPr>
      <w:tabs>
        <w:tab w:val="left" w:pos="680"/>
      </w:tabs>
      <w:spacing w:before="120"/>
      <w:ind w:left="680" w:hanging="340"/>
    </w:pPr>
  </w:style>
  <w:style w:type="paragraph" w:styleId="List3">
    <w:name w:val="List 3"/>
    <w:basedOn w:val="Normal"/>
    <w:uiPriority w:val="99"/>
    <w:unhideWhenUsed/>
    <w:rsid w:val="00F171E0"/>
    <w:pPr>
      <w:tabs>
        <w:tab w:val="left" w:pos="1021"/>
      </w:tabs>
      <w:spacing w:before="120"/>
      <w:ind w:left="1020" w:hanging="340"/>
    </w:pPr>
  </w:style>
  <w:style w:type="paragraph" w:styleId="List4">
    <w:name w:val="List 4"/>
    <w:basedOn w:val="Normal"/>
    <w:uiPriority w:val="99"/>
    <w:unhideWhenUsed/>
    <w:rsid w:val="00F171E0"/>
    <w:pPr>
      <w:tabs>
        <w:tab w:val="left" w:pos="1361"/>
      </w:tabs>
      <w:spacing w:before="120"/>
      <w:ind w:left="1361" w:hanging="340"/>
    </w:pPr>
  </w:style>
  <w:style w:type="paragraph" w:styleId="List5">
    <w:name w:val="List 5"/>
    <w:basedOn w:val="Normal"/>
    <w:uiPriority w:val="99"/>
    <w:unhideWhenUsed/>
    <w:rsid w:val="00F171E0"/>
    <w:pPr>
      <w:tabs>
        <w:tab w:val="left" w:pos="1701"/>
      </w:tabs>
      <w:spacing w:before="120"/>
      <w:ind w:left="1701" w:hanging="340"/>
    </w:pPr>
  </w:style>
  <w:style w:type="paragraph" w:styleId="ListBullet3">
    <w:name w:val="List Bullet 3"/>
    <w:aliases w:val="AER numbered list 2 third"/>
    <w:basedOn w:val="Normal"/>
    <w:unhideWhenUsed/>
    <w:qFormat/>
    <w:rsid w:val="008E77DE"/>
    <w:pPr>
      <w:numPr>
        <w:numId w:val="4"/>
      </w:numPr>
      <w:spacing w:before="120"/>
    </w:pPr>
  </w:style>
  <w:style w:type="paragraph" w:styleId="ListBullet4">
    <w:name w:val="List Bullet 4"/>
    <w:basedOn w:val="Normal"/>
    <w:uiPriority w:val="99"/>
    <w:unhideWhenUsed/>
    <w:rsid w:val="00DB5074"/>
    <w:pPr>
      <w:numPr>
        <w:numId w:val="5"/>
      </w:numPr>
      <w:tabs>
        <w:tab w:val="clear" w:pos="1209"/>
        <w:tab w:val="num" w:pos="1361"/>
      </w:tabs>
      <w:spacing w:before="120"/>
      <w:ind w:left="1378" w:hanging="357"/>
    </w:pPr>
  </w:style>
  <w:style w:type="paragraph" w:styleId="ListBullet5">
    <w:name w:val="List Bullet 5"/>
    <w:basedOn w:val="Normal"/>
    <w:uiPriority w:val="99"/>
    <w:unhideWhenUsed/>
    <w:rsid w:val="00DB5074"/>
    <w:pPr>
      <w:numPr>
        <w:numId w:val="6"/>
      </w:numPr>
      <w:tabs>
        <w:tab w:val="clear" w:pos="1492"/>
        <w:tab w:val="num" w:pos="1701"/>
      </w:tabs>
      <w:spacing w:before="120"/>
      <w:ind w:left="1701" w:hanging="340"/>
    </w:pPr>
  </w:style>
  <w:style w:type="paragraph" w:styleId="ListContinue">
    <w:name w:val="List Continue"/>
    <w:aliases w:val="AER body text (indent 1)"/>
    <w:basedOn w:val="Normal"/>
    <w:uiPriority w:val="99"/>
    <w:unhideWhenUsed/>
    <w:qFormat/>
    <w:rsid w:val="00DB5074"/>
    <w:pPr>
      <w:tabs>
        <w:tab w:val="left" w:pos="340"/>
      </w:tabs>
      <w:spacing w:before="120"/>
      <w:ind w:left="340"/>
    </w:pPr>
  </w:style>
  <w:style w:type="paragraph" w:styleId="ListContinue2">
    <w:name w:val="List Continue 2"/>
    <w:aliases w:val="AER body text (indent 2)"/>
    <w:basedOn w:val="Normal"/>
    <w:uiPriority w:val="99"/>
    <w:unhideWhenUsed/>
    <w:rsid w:val="00567BA5"/>
    <w:pPr>
      <w:tabs>
        <w:tab w:val="left" w:pos="680"/>
      </w:tabs>
      <w:spacing w:before="120"/>
      <w:ind w:left="680"/>
    </w:pPr>
  </w:style>
  <w:style w:type="paragraph" w:styleId="ListContinue3">
    <w:name w:val="List Continue 3"/>
    <w:aliases w:val="AER body text (indent 3)"/>
    <w:basedOn w:val="Normal"/>
    <w:uiPriority w:val="99"/>
    <w:unhideWhenUsed/>
    <w:rsid w:val="00DB5074"/>
    <w:pPr>
      <w:tabs>
        <w:tab w:val="left" w:pos="1021"/>
      </w:tabs>
      <w:spacing w:before="120"/>
      <w:ind w:left="1021"/>
    </w:pPr>
  </w:style>
  <w:style w:type="paragraph" w:styleId="ListContinue4">
    <w:name w:val="List Continue 4"/>
    <w:basedOn w:val="Normal"/>
    <w:uiPriority w:val="99"/>
    <w:unhideWhenUsed/>
    <w:rsid w:val="00DB5074"/>
    <w:pPr>
      <w:tabs>
        <w:tab w:val="left" w:pos="1361"/>
      </w:tabs>
      <w:spacing w:before="120"/>
      <w:ind w:left="1361"/>
    </w:pPr>
  </w:style>
  <w:style w:type="paragraph" w:styleId="ListNumber3">
    <w:name w:val="List Number 3"/>
    <w:basedOn w:val="Normal"/>
    <w:uiPriority w:val="99"/>
    <w:unhideWhenUsed/>
    <w:rsid w:val="00567BA5"/>
    <w:pPr>
      <w:numPr>
        <w:numId w:val="9"/>
      </w:numPr>
      <w:spacing w:before="120"/>
    </w:pPr>
  </w:style>
  <w:style w:type="paragraph" w:styleId="ListNumber4">
    <w:name w:val="List Number 4"/>
    <w:basedOn w:val="Normal"/>
    <w:uiPriority w:val="99"/>
    <w:unhideWhenUsed/>
    <w:rsid w:val="00567BA5"/>
    <w:pPr>
      <w:numPr>
        <w:numId w:val="10"/>
      </w:numPr>
      <w:tabs>
        <w:tab w:val="clear" w:pos="1209"/>
        <w:tab w:val="num" w:pos="1361"/>
      </w:tabs>
      <w:spacing w:before="120"/>
      <w:ind w:left="1361" w:hanging="340"/>
    </w:pPr>
  </w:style>
  <w:style w:type="paragraph" w:styleId="ListNumber5">
    <w:name w:val="List Number 5"/>
    <w:basedOn w:val="Normal"/>
    <w:uiPriority w:val="99"/>
    <w:unhideWhenUsed/>
    <w:rsid w:val="00567BA5"/>
    <w:pPr>
      <w:numPr>
        <w:numId w:val="11"/>
      </w:numPr>
      <w:tabs>
        <w:tab w:val="clear" w:pos="1492"/>
        <w:tab w:val="num" w:pos="1701"/>
      </w:tabs>
      <w:spacing w:before="120"/>
      <w:ind w:left="1701" w:hanging="340"/>
    </w:pPr>
  </w:style>
  <w:style w:type="paragraph" w:customStyle="1" w:styleId="TableHeading">
    <w:name w:val="Table Heading"/>
    <w:basedOn w:val="Normal"/>
    <w:link w:val="TableHeadingChar"/>
    <w:qFormat/>
    <w:rsid w:val="00185CB9"/>
    <w:pPr>
      <w:spacing w:before="240" w:after="120"/>
    </w:pPr>
    <w:rPr>
      <w:color w:val="FFFFFF" w:themeColor="background1"/>
      <w:sz w:val="24"/>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063247"/>
    <w:pPr>
      <w:jc w:val="center"/>
    </w:pPr>
  </w:style>
  <w:style w:type="paragraph" w:customStyle="1" w:styleId="TableHeading-right">
    <w:name w:val="Table Heading - right"/>
    <w:basedOn w:val="TableHeading"/>
    <w:link w:val="TableHeading-rightChar"/>
    <w:rsid w:val="00185CB9"/>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584D8F"/>
    <w:rPr>
      <w:rFonts w:ascii="Arial" w:hAnsi="Arial"/>
      <w:sz w:val="20"/>
    </w:rPr>
  </w:style>
  <w:style w:type="character" w:customStyle="1" w:styleId="TableHeadingChar">
    <w:name w:val="Table Heading Char"/>
    <w:basedOn w:val="TabletextChar"/>
    <w:link w:val="TableHeading"/>
    <w:rsid w:val="00185CB9"/>
    <w:rPr>
      <w:rFonts w:ascii="Arial" w:hAnsi="Arial"/>
      <w:color w:val="FFFFFF" w:themeColor="background1"/>
      <w:sz w:val="24"/>
    </w:rPr>
  </w:style>
  <w:style w:type="character" w:customStyle="1" w:styleId="TableHeading-rightChar">
    <w:name w:val="Table Heading - right Char"/>
    <w:basedOn w:val="TableHeadingChar"/>
    <w:link w:val="TableHeading-right"/>
    <w:rsid w:val="00185CB9"/>
    <w:rPr>
      <w:rFonts w:ascii="Arial" w:eastAsia="Times New Roman" w:hAnsi="Arial" w:cs="Times New Roman"/>
      <w:bCs/>
      <w:color w:val="FFFFFF" w:themeColor="background1"/>
      <w:sz w:val="24"/>
      <w:szCs w:val="20"/>
    </w:rPr>
  </w:style>
  <w:style w:type="character" w:customStyle="1" w:styleId="Tabletext-centredChar">
    <w:name w:val="Table text - centred Char"/>
    <w:basedOn w:val="Tabletext-rightChar"/>
    <w:link w:val="Tabletext-centred"/>
    <w:rsid w:val="00063247"/>
    <w:rPr>
      <w:rFonts w:ascii="Arial" w:eastAsia="Times New Roman" w:hAnsi="Arial" w:cs="Times New Roman"/>
      <w:sz w:val="20"/>
      <w:szCs w:val="20"/>
    </w:rPr>
  </w:style>
  <w:style w:type="paragraph" w:customStyle="1" w:styleId="TableHeading-centred">
    <w:name w:val="Table Heading - centred"/>
    <w:basedOn w:val="TableHeading"/>
    <w:rsid w:val="00185CB9"/>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FFFFFF"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uiPriority w:val="99"/>
    <w:rsid w:val="00263AC0"/>
    <w:rPr>
      <w:vertAlign w:val="superscript"/>
    </w:rPr>
  </w:style>
  <w:style w:type="paragraph" w:customStyle="1" w:styleId="Numberedparagraph11">
    <w:name w:val="Numbered paragraph 1.1"/>
    <w:basedOn w:val="Normal"/>
    <w:autoRedefine/>
    <w:qFormat/>
    <w:rsid w:val="00985C86"/>
    <w:pPr>
      <w:numPr>
        <w:ilvl w:val="1"/>
        <w:numId w:val="15"/>
      </w:numPr>
      <w:tabs>
        <w:tab w:val="left" w:pos="1021"/>
      </w:tabs>
      <w:spacing w:line="240" w:lineRule="atLeast"/>
      <w:ind w:left="680" w:hanging="680"/>
    </w:pPr>
    <w:rPr>
      <w:rFonts w:eastAsiaTheme="majorEastAsia" w:cs="Arial"/>
      <w:bCs/>
      <w:szCs w:val="26"/>
    </w:rPr>
  </w:style>
  <w:style w:type="paragraph" w:customStyle="1" w:styleId="AERquoteindent2">
    <w:name w:val="AER quote (indent 2)"/>
    <w:basedOn w:val="AERquoteindent1"/>
    <w:qFormat/>
    <w:rsid w:val="00DE1093"/>
    <w:pPr>
      <w:tabs>
        <w:tab w:val="clear" w:pos="680"/>
        <w:tab w:val="left" w:pos="1021"/>
      </w:tabs>
      <w:ind w:left="1021"/>
    </w:pPr>
  </w:style>
  <w:style w:type="paragraph" w:customStyle="1" w:styleId="Numberedparagraph">
    <w:name w:val="Numbered paragraph"/>
    <w:basedOn w:val="Normal"/>
    <w:rsid w:val="00C67A92"/>
    <w:pPr>
      <w:numPr>
        <w:numId w:val="1"/>
      </w:numPr>
      <w:tabs>
        <w:tab w:val="left" w:pos="680"/>
      </w:tabs>
      <w:ind w:left="680" w:hanging="680"/>
    </w:pPr>
    <w:rPr>
      <w:rFonts w:eastAsia="Times New Roman" w:cs="Times New Roman"/>
      <w:szCs w:val="20"/>
    </w:rPr>
  </w:style>
  <w:style w:type="paragraph" w:customStyle="1" w:styleId="Copyright">
    <w:name w:val="Copyright"/>
    <w:basedOn w:val="Normal"/>
    <w:next w:val="Normal"/>
    <w:link w:val="CopyrightChar"/>
    <w:rsid w:val="00951978"/>
    <w:pPr>
      <w:spacing w:line="288" w:lineRule="auto"/>
    </w:pPr>
    <w:rPr>
      <w:sz w:val="20"/>
      <w:szCs w:val="20"/>
    </w:rPr>
  </w:style>
  <w:style w:type="paragraph" w:customStyle="1" w:styleId="ReportTitle">
    <w:name w:val="Report Title"/>
    <w:basedOn w:val="Normal"/>
    <w:next w:val="Normal"/>
    <w:link w:val="ReportTitleChar"/>
    <w:qFormat/>
    <w:rsid w:val="00327A1E"/>
    <w:pPr>
      <w:tabs>
        <w:tab w:val="center" w:pos="4598"/>
        <w:tab w:val="right" w:pos="9026"/>
      </w:tabs>
      <w:spacing w:before="240"/>
      <w:contextualSpacing/>
      <w:jc w:val="center"/>
    </w:pPr>
    <w:rPr>
      <w:rFonts w:eastAsiaTheme="majorEastAsia" w:cstheme="majorBidi"/>
      <w:b/>
      <w:noProof/>
      <w:sz w:val="72"/>
      <w:szCs w:val="72"/>
      <w:lang w:eastAsia="en-AU"/>
    </w:rPr>
  </w:style>
  <w:style w:type="numbering" w:customStyle="1" w:styleId="AlphanumericList">
    <w:name w:val="Alphanumeric List"/>
    <w:uiPriority w:val="99"/>
    <w:rsid w:val="000A6C7B"/>
    <w:pPr>
      <w:numPr>
        <w:numId w:val="16"/>
      </w:numPr>
    </w:pPr>
  </w:style>
  <w:style w:type="table" w:customStyle="1" w:styleId="AERTable-Text">
    <w:name w:val="AER Table - Text"/>
    <w:basedOn w:val="TableNormal"/>
    <w:uiPriority w:val="99"/>
    <w:rsid w:val="000E4821"/>
    <w:pPr>
      <w:spacing w:before="120" w:after="120"/>
    </w:pPr>
    <w:rPr>
      <w:rFonts w:ascii="Arial" w:hAnsi="Arial"/>
      <w:sz w:val="20"/>
    </w:rPr>
    <w:tblPr>
      <w:tblStyleRowBandSize w:val="1"/>
      <w:tblBorders>
        <w:bottom w:val="single" w:sz="4" w:space="0" w:color="auto"/>
      </w:tblBorders>
    </w:tblPr>
    <w:tblStylePr w:type="firstRow">
      <w:pPr>
        <w:wordWrap/>
        <w:spacing w:beforeLines="0" w:before="240" w:beforeAutospacing="0" w:afterLines="0" w:after="120" w:afterAutospacing="0"/>
      </w:pPr>
      <w:rPr>
        <w:rFonts w:ascii="Arial" w:hAnsi="Arial"/>
        <w:b/>
        <w:color w:val="FFFFFF" w:themeColor="background1"/>
        <w:sz w:val="24"/>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
    <w:link w:val="ReportDateChar"/>
    <w:qFormat/>
    <w:rsid w:val="000A6C7B"/>
    <w:rPr>
      <w:b w:val="0"/>
      <w:sz w:val="36"/>
      <w:szCs w:val="36"/>
    </w:rPr>
  </w:style>
  <w:style w:type="paragraph" w:customStyle="1" w:styleId="ReportSubtitle">
    <w:name w:val="Report Subtitle"/>
    <w:basedOn w:val="ReportTitle"/>
    <w:link w:val="ReportSubtitleChar"/>
    <w:qFormat/>
    <w:rsid w:val="00327A1E"/>
    <w:rPr>
      <w:sz w:val="56"/>
      <w:szCs w:val="56"/>
    </w:rPr>
  </w:style>
  <w:style w:type="character" w:customStyle="1" w:styleId="ReportTitleChar">
    <w:name w:val="Report Title Char"/>
    <w:basedOn w:val="Heading1Char"/>
    <w:link w:val="ReportTitle"/>
    <w:rsid w:val="00327A1E"/>
    <w:rPr>
      <w:rFonts w:ascii="Arial" w:eastAsiaTheme="majorEastAsia" w:hAnsi="Arial" w:cstheme="majorBidi"/>
      <w:b w:val="0"/>
      <w:bCs w:val="0"/>
      <w:noProof/>
      <w:color w:val="70635A"/>
      <w:sz w:val="72"/>
      <w:szCs w:val="72"/>
      <w:lang w:eastAsia="en-AU"/>
    </w:rPr>
  </w:style>
  <w:style w:type="character" w:customStyle="1" w:styleId="ReportDateChar">
    <w:name w:val="Report Date Char"/>
    <w:basedOn w:val="ReportTitleChar"/>
    <w:link w:val="ReportDate"/>
    <w:rsid w:val="000A6C7B"/>
    <w:rPr>
      <w:rFonts w:ascii="Arial" w:eastAsiaTheme="majorEastAsia" w:hAnsi="Arial" w:cstheme="majorBidi"/>
      <w:b/>
      <w:bCs w:val="0"/>
      <w:noProof/>
      <w:color w:val="70635A"/>
      <w:sz w:val="36"/>
      <w:szCs w:val="36"/>
      <w:lang w:eastAsia="en-AU"/>
    </w:rPr>
  </w:style>
  <w:style w:type="character" w:customStyle="1" w:styleId="ReportSubtitleChar">
    <w:name w:val="Report Subtitle Char"/>
    <w:basedOn w:val="ReportTitleChar"/>
    <w:link w:val="ReportSubtitle"/>
    <w:rsid w:val="00327A1E"/>
    <w:rPr>
      <w:rFonts w:ascii="Arial" w:eastAsiaTheme="majorEastAsia" w:hAnsi="Arial" w:cstheme="majorBidi"/>
      <w:b w:val="0"/>
      <w:bCs w:val="0"/>
      <w:noProof/>
      <w:color w:val="70635A"/>
      <w:sz w:val="56"/>
      <w:szCs w:val="56"/>
      <w:lang w:eastAsia="en-AU"/>
    </w:rPr>
  </w:style>
  <w:style w:type="character" w:customStyle="1" w:styleId="CopyrightChar">
    <w:name w:val="Copyright Char"/>
    <w:basedOn w:val="DefaultParagraphFont"/>
    <w:link w:val="Copyright"/>
    <w:rsid w:val="00951978"/>
    <w:rPr>
      <w:rFonts w:ascii="Arial" w:hAnsi="Arial"/>
      <w:sz w:val="20"/>
      <w:szCs w:val="20"/>
    </w:rPr>
  </w:style>
  <w:style w:type="paragraph" w:styleId="BodyTextIndent">
    <w:name w:val="Body Text Indent"/>
    <w:basedOn w:val="Normal"/>
    <w:link w:val="BodyTextIndentChar"/>
    <w:uiPriority w:val="99"/>
    <w:semiHidden/>
    <w:unhideWhenUsed/>
    <w:rsid w:val="00F171E0"/>
    <w:pPr>
      <w:spacing w:after="120"/>
      <w:ind w:left="283"/>
    </w:pPr>
  </w:style>
  <w:style w:type="character" w:customStyle="1" w:styleId="BodyTextIndentChar">
    <w:name w:val="Body Text Indent Char"/>
    <w:basedOn w:val="DefaultParagraphFont"/>
    <w:link w:val="BodyTextIndent"/>
    <w:uiPriority w:val="99"/>
    <w:semiHidden/>
    <w:rsid w:val="00F171E0"/>
    <w:rPr>
      <w:rFonts w:ascii="Arial" w:hAnsi="Arial"/>
    </w:rPr>
  </w:style>
  <w:style w:type="paragraph" w:styleId="BodyTextFirstIndent2">
    <w:name w:val="Body Text First Indent 2"/>
    <w:basedOn w:val="BodyTextIndent"/>
    <w:link w:val="BodyTextFirstIndent2Char"/>
    <w:uiPriority w:val="99"/>
    <w:unhideWhenUsed/>
    <w:rsid w:val="00F171E0"/>
    <w:pPr>
      <w:spacing w:after="0"/>
      <w:ind w:left="360" w:firstLine="360"/>
    </w:pPr>
  </w:style>
  <w:style w:type="character" w:customStyle="1" w:styleId="BodyTextFirstIndent2Char">
    <w:name w:val="Body Text First Indent 2 Char"/>
    <w:basedOn w:val="BodyTextIndentChar"/>
    <w:link w:val="BodyTextFirstIndent2"/>
    <w:uiPriority w:val="99"/>
    <w:rsid w:val="00F171E0"/>
    <w:rPr>
      <w:rFonts w:ascii="Arial" w:hAnsi="Arial"/>
    </w:rPr>
  </w:style>
  <w:style w:type="paragraph" w:styleId="Closing">
    <w:name w:val="Closing"/>
    <w:basedOn w:val="Normal"/>
    <w:link w:val="ClosingChar"/>
    <w:uiPriority w:val="99"/>
    <w:unhideWhenUsed/>
    <w:rsid w:val="00F171E0"/>
    <w:pPr>
      <w:spacing w:before="0" w:line="240" w:lineRule="auto"/>
      <w:ind w:left="4252"/>
    </w:pPr>
  </w:style>
  <w:style w:type="character" w:customStyle="1" w:styleId="ClosingChar">
    <w:name w:val="Closing Char"/>
    <w:basedOn w:val="DefaultParagraphFont"/>
    <w:link w:val="Closing"/>
    <w:uiPriority w:val="99"/>
    <w:rsid w:val="00F171E0"/>
    <w:rPr>
      <w:rFonts w:ascii="Arial" w:hAnsi="Arial"/>
    </w:rPr>
  </w:style>
  <w:style w:type="paragraph" w:styleId="BodyTextFirstIndent">
    <w:name w:val="Body Text First Indent"/>
    <w:basedOn w:val="Normal"/>
    <w:link w:val="BodyTextFirstIndentChar"/>
    <w:uiPriority w:val="99"/>
    <w:unhideWhenUsed/>
    <w:rsid w:val="00F171E0"/>
    <w:pPr>
      <w:ind w:firstLine="360"/>
    </w:pPr>
  </w:style>
  <w:style w:type="character" w:customStyle="1" w:styleId="BodyTextFirstIndentChar">
    <w:name w:val="Body Text First Indent Char"/>
    <w:basedOn w:val="DefaultParagraphFont"/>
    <w:link w:val="BodyTextFirstIndent"/>
    <w:uiPriority w:val="99"/>
    <w:rsid w:val="00F171E0"/>
    <w:rPr>
      <w:rFonts w:ascii="Arial" w:hAnsi="Arial"/>
    </w:rPr>
  </w:style>
  <w:style w:type="paragraph" w:styleId="BodyText2">
    <w:name w:val="Body Text 2"/>
    <w:basedOn w:val="Normal"/>
    <w:link w:val="BodyText2Char"/>
    <w:uiPriority w:val="99"/>
    <w:unhideWhenUsed/>
    <w:rsid w:val="00F171E0"/>
    <w:pPr>
      <w:spacing w:after="120" w:line="480" w:lineRule="auto"/>
    </w:pPr>
  </w:style>
  <w:style w:type="character" w:customStyle="1" w:styleId="BodyText2Char">
    <w:name w:val="Body Text 2 Char"/>
    <w:basedOn w:val="DefaultParagraphFont"/>
    <w:link w:val="BodyText2"/>
    <w:uiPriority w:val="99"/>
    <w:rsid w:val="00F171E0"/>
    <w:rPr>
      <w:rFonts w:ascii="Arial" w:hAnsi="Arial"/>
    </w:rPr>
  </w:style>
  <w:style w:type="paragraph" w:customStyle="1" w:styleId="ListLegal">
    <w:name w:val="List Legal"/>
    <w:basedOn w:val="ListParagraph"/>
    <w:rsid w:val="00301B40"/>
    <w:pPr>
      <w:numPr>
        <w:numId w:val="19"/>
      </w:numPr>
      <w:tabs>
        <w:tab w:val="clear" w:pos="340"/>
        <w:tab w:val="left" w:pos="680"/>
      </w:tabs>
      <w:ind w:left="680" w:hanging="340"/>
    </w:pPr>
  </w:style>
  <w:style w:type="character" w:styleId="CommentReference">
    <w:name w:val="annotation reference"/>
    <w:basedOn w:val="DefaultParagraphFont"/>
    <w:uiPriority w:val="99"/>
    <w:unhideWhenUsed/>
    <w:rsid w:val="00F171E0"/>
    <w:rPr>
      <w:sz w:val="16"/>
      <w:szCs w:val="16"/>
    </w:rPr>
  </w:style>
  <w:style w:type="paragraph" w:customStyle="1" w:styleId="ListLegal2">
    <w:name w:val="List Legal 2"/>
    <w:basedOn w:val="ListLegal"/>
    <w:rsid w:val="00301B40"/>
    <w:pPr>
      <w:tabs>
        <w:tab w:val="clear" w:pos="680"/>
        <w:tab w:val="left" w:pos="1021"/>
      </w:tabs>
      <w:ind w:left="1020"/>
    </w:pPr>
  </w:style>
  <w:style w:type="paragraph" w:customStyle="1" w:styleId="AERnumberedlistthirdstyle">
    <w:name w:val="AER numbered list (third style)"/>
    <w:basedOn w:val="ListNumber3"/>
    <w:qFormat/>
    <w:rsid w:val="00571D57"/>
    <w:pPr>
      <w:numPr>
        <w:numId w:val="20"/>
      </w:numPr>
      <w:tabs>
        <w:tab w:val="left" w:pos="1361"/>
      </w:tabs>
      <w:ind w:left="1361" w:hanging="340"/>
    </w:pPr>
  </w:style>
  <w:style w:type="paragraph" w:customStyle="1" w:styleId="ListLegal4">
    <w:name w:val="List Legal 4"/>
    <w:basedOn w:val="AERnumberedlistthirdstyle"/>
    <w:rsid w:val="00571D57"/>
    <w:pPr>
      <w:tabs>
        <w:tab w:val="clear" w:pos="1361"/>
        <w:tab w:val="left" w:pos="1701"/>
      </w:tabs>
      <w:ind w:left="1701"/>
    </w:pPr>
  </w:style>
  <w:style w:type="paragraph" w:customStyle="1" w:styleId="ListLegal5">
    <w:name w:val="List Legal 5"/>
    <w:basedOn w:val="ListLegal4"/>
    <w:rsid w:val="00571D57"/>
    <w:pPr>
      <w:tabs>
        <w:tab w:val="clear" w:pos="1701"/>
        <w:tab w:val="left" w:pos="2041"/>
      </w:tabs>
      <w:ind w:left="2041"/>
    </w:pPr>
  </w:style>
  <w:style w:type="paragraph" w:styleId="Date">
    <w:name w:val="Date"/>
    <w:basedOn w:val="Normal"/>
    <w:next w:val="Normal"/>
    <w:link w:val="DateChar"/>
    <w:uiPriority w:val="99"/>
    <w:unhideWhenUsed/>
    <w:rsid w:val="00F171E0"/>
  </w:style>
  <w:style w:type="character" w:customStyle="1" w:styleId="DateChar">
    <w:name w:val="Date Char"/>
    <w:basedOn w:val="DefaultParagraphFont"/>
    <w:link w:val="Date"/>
    <w:uiPriority w:val="99"/>
    <w:rsid w:val="00F171E0"/>
    <w:rPr>
      <w:rFonts w:ascii="Arial" w:hAnsi="Arial"/>
    </w:rPr>
  </w:style>
  <w:style w:type="paragraph" w:styleId="DocumentMap">
    <w:name w:val="Document Map"/>
    <w:basedOn w:val="Normal"/>
    <w:link w:val="DocumentMapChar"/>
    <w:uiPriority w:val="99"/>
    <w:unhideWhenUsed/>
    <w:rsid w:val="00F171E0"/>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uiPriority w:val="99"/>
    <w:rsid w:val="00F171E0"/>
    <w:rPr>
      <w:rFonts w:ascii="Tahoma" w:hAnsi="Tahoma" w:cs="Tahoma"/>
      <w:sz w:val="16"/>
      <w:szCs w:val="16"/>
    </w:rPr>
  </w:style>
  <w:style w:type="paragraph" w:styleId="E-mailSignature">
    <w:name w:val="E-mail Signature"/>
    <w:basedOn w:val="Normal"/>
    <w:link w:val="E-mailSignatureChar"/>
    <w:uiPriority w:val="99"/>
    <w:unhideWhenUsed/>
    <w:rsid w:val="00F171E0"/>
    <w:pPr>
      <w:spacing w:before="0" w:line="240" w:lineRule="auto"/>
    </w:pPr>
  </w:style>
  <w:style w:type="character" w:customStyle="1" w:styleId="E-mailSignatureChar">
    <w:name w:val="E-mail Signature Char"/>
    <w:basedOn w:val="DefaultParagraphFont"/>
    <w:link w:val="E-mailSignature"/>
    <w:uiPriority w:val="99"/>
    <w:rsid w:val="00F171E0"/>
    <w:rPr>
      <w:rFonts w:ascii="Arial" w:hAnsi="Arial"/>
    </w:rPr>
  </w:style>
  <w:style w:type="paragraph" w:styleId="EnvelopeAddress">
    <w:name w:val="envelope address"/>
    <w:basedOn w:val="Normal"/>
    <w:uiPriority w:val="99"/>
    <w:unhideWhenUsed/>
    <w:rsid w:val="00F171E0"/>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171E0"/>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unhideWhenUsed/>
    <w:rsid w:val="00F171E0"/>
    <w:rPr>
      <w:color w:val="800080" w:themeColor="followedHyperlink"/>
      <w:u w:val="single"/>
    </w:rPr>
  </w:style>
  <w:style w:type="paragraph" w:styleId="Index3">
    <w:name w:val="index 3"/>
    <w:basedOn w:val="Normal"/>
    <w:next w:val="Normal"/>
    <w:autoRedefine/>
    <w:uiPriority w:val="99"/>
    <w:unhideWhenUsed/>
    <w:rsid w:val="00F171E0"/>
    <w:pPr>
      <w:spacing w:before="0" w:line="240" w:lineRule="auto"/>
      <w:ind w:left="660" w:hanging="220"/>
    </w:pPr>
  </w:style>
  <w:style w:type="paragraph" w:styleId="Index4">
    <w:name w:val="index 4"/>
    <w:basedOn w:val="Normal"/>
    <w:next w:val="Normal"/>
    <w:autoRedefine/>
    <w:uiPriority w:val="99"/>
    <w:unhideWhenUsed/>
    <w:rsid w:val="00F171E0"/>
    <w:pPr>
      <w:spacing w:before="0" w:line="240" w:lineRule="auto"/>
      <w:ind w:left="880" w:hanging="220"/>
    </w:pPr>
  </w:style>
  <w:style w:type="paragraph" w:styleId="Index5">
    <w:name w:val="index 5"/>
    <w:basedOn w:val="Normal"/>
    <w:next w:val="Normal"/>
    <w:autoRedefine/>
    <w:uiPriority w:val="99"/>
    <w:unhideWhenUsed/>
    <w:rsid w:val="00F171E0"/>
    <w:pPr>
      <w:spacing w:before="0" w:line="240" w:lineRule="auto"/>
      <w:ind w:left="1100" w:hanging="220"/>
    </w:pPr>
  </w:style>
  <w:style w:type="paragraph" w:styleId="IndexHeading">
    <w:name w:val="index heading"/>
    <w:basedOn w:val="Normal"/>
    <w:next w:val="Index1"/>
    <w:uiPriority w:val="99"/>
    <w:unhideWhenUsed/>
    <w:rsid w:val="00F171E0"/>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1E0"/>
    <w:rPr>
      <w:b/>
      <w:bCs/>
      <w:i/>
      <w:iCs/>
      <w:color w:val="2F002F" w:themeColor="accent1"/>
    </w:rPr>
  </w:style>
  <w:style w:type="paragraph" w:styleId="IntenseQuote">
    <w:name w:val="Intense Quote"/>
    <w:basedOn w:val="Normal"/>
    <w:next w:val="Normal"/>
    <w:link w:val="IntenseQuoteChar"/>
    <w:uiPriority w:val="30"/>
    <w:unhideWhenUsed/>
    <w:rsid w:val="00F171E0"/>
    <w:pPr>
      <w:pBdr>
        <w:bottom w:val="single" w:sz="4" w:space="4" w:color="2F002F" w:themeColor="accent1"/>
      </w:pBdr>
      <w:spacing w:after="280"/>
      <w:ind w:left="936" w:right="936"/>
    </w:pPr>
    <w:rPr>
      <w:b/>
      <w:bCs/>
      <w:i/>
      <w:iCs/>
      <w:color w:val="2F002F" w:themeColor="accent1"/>
    </w:rPr>
  </w:style>
  <w:style w:type="character" w:customStyle="1" w:styleId="IntenseQuoteChar">
    <w:name w:val="Intense Quote Char"/>
    <w:basedOn w:val="DefaultParagraphFont"/>
    <w:link w:val="IntenseQuote"/>
    <w:uiPriority w:val="30"/>
    <w:rsid w:val="00F171E0"/>
    <w:rPr>
      <w:rFonts w:ascii="Arial" w:hAnsi="Arial"/>
      <w:b/>
      <w:bCs/>
      <w:i/>
      <w:iCs/>
      <w:color w:val="2F002F" w:themeColor="accent1"/>
    </w:rPr>
  </w:style>
  <w:style w:type="character" w:styleId="IntenseReference">
    <w:name w:val="Intense Reference"/>
    <w:basedOn w:val="DefaultParagraphFont"/>
    <w:uiPriority w:val="32"/>
    <w:unhideWhenUsed/>
    <w:rsid w:val="00F171E0"/>
    <w:rPr>
      <w:b/>
      <w:bCs/>
      <w:smallCaps/>
      <w:color w:val="C14E00" w:themeColor="accent2"/>
      <w:spacing w:val="5"/>
      <w:u w:val="single"/>
    </w:rPr>
  </w:style>
  <w:style w:type="character" w:styleId="LineNumber">
    <w:name w:val="line number"/>
    <w:basedOn w:val="DefaultParagraphFont"/>
    <w:uiPriority w:val="99"/>
    <w:unhideWhenUsed/>
    <w:rsid w:val="00F171E0"/>
  </w:style>
  <w:style w:type="paragraph" w:customStyle="1" w:styleId="AERnumberedlistsecondstyle">
    <w:name w:val="AER numbered list (second style)"/>
    <w:basedOn w:val="Listalphabet"/>
    <w:qFormat/>
    <w:rsid w:val="00DB5074"/>
    <w:pPr>
      <w:numPr>
        <w:numId w:val="18"/>
      </w:numPr>
      <w:tabs>
        <w:tab w:val="clear" w:pos="340"/>
        <w:tab w:val="left" w:pos="680"/>
      </w:tabs>
      <w:ind w:left="680" w:hanging="340"/>
    </w:pPr>
  </w:style>
  <w:style w:type="paragraph" w:customStyle="1" w:styleId="Listalphabet3">
    <w:name w:val="List alphabet 3"/>
    <w:basedOn w:val="AERnumberedlistsecondstyle"/>
    <w:rsid w:val="00DB5074"/>
    <w:pPr>
      <w:tabs>
        <w:tab w:val="clear" w:pos="680"/>
        <w:tab w:val="left" w:pos="1021"/>
      </w:tabs>
      <w:ind w:left="1020"/>
    </w:pPr>
  </w:style>
  <w:style w:type="paragraph" w:customStyle="1" w:styleId="Listalphabet4">
    <w:name w:val="List alphabet 4"/>
    <w:basedOn w:val="Listalphabet3"/>
    <w:rsid w:val="00DB5074"/>
    <w:pPr>
      <w:tabs>
        <w:tab w:val="clear" w:pos="1021"/>
        <w:tab w:val="left" w:pos="1361"/>
      </w:tabs>
      <w:ind w:left="1361"/>
    </w:pPr>
  </w:style>
  <w:style w:type="paragraph" w:customStyle="1" w:styleId="Listalphabet5">
    <w:name w:val="List alphabet 5"/>
    <w:basedOn w:val="Listalphabet4"/>
    <w:rsid w:val="00DB5074"/>
    <w:pPr>
      <w:tabs>
        <w:tab w:val="clear" w:pos="1361"/>
        <w:tab w:val="left" w:pos="1701"/>
      </w:tabs>
      <w:ind w:left="1701"/>
    </w:pPr>
  </w:style>
  <w:style w:type="paragraph" w:styleId="ListContinue5">
    <w:name w:val="List Continue 5"/>
    <w:basedOn w:val="Normal"/>
    <w:uiPriority w:val="99"/>
    <w:unhideWhenUsed/>
    <w:rsid w:val="00DB5074"/>
    <w:pPr>
      <w:tabs>
        <w:tab w:val="left" w:pos="1701"/>
      </w:tabs>
      <w:spacing w:after="120"/>
      <w:ind w:left="1701"/>
      <w:contextualSpacing/>
    </w:pPr>
  </w:style>
  <w:style w:type="paragraph" w:styleId="ListNumber2">
    <w:name w:val="List Number 2"/>
    <w:basedOn w:val="Normal"/>
    <w:uiPriority w:val="99"/>
    <w:unhideWhenUsed/>
    <w:rsid w:val="00571D57"/>
    <w:pPr>
      <w:numPr>
        <w:numId w:val="8"/>
      </w:numPr>
      <w:tabs>
        <w:tab w:val="left" w:pos="680"/>
      </w:tabs>
      <w:spacing w:before="80" w:line="360" w:lineRule="auto"/>
      <w:ind w:left="680" w:hanging="340"/>
      <w:contextualSpacing/>
    </w:pPr>
  </w:style>
  <w:style w:type="character" w:customStyle="1" w:styleId="SalutationChar">
    <w:name w:val="Salutation Char"/>
    <w:basedOn w:val="DefaultParagraphFont"/>
    <w:link w:val="Salutation"/>
    <w:uiPriority w:val="99"/>
    <w:rsid w:val="00CA489E"/>
    <w:rPr>
      <w:rFonts w:ascii="Arial" w:hAnsi="Arial"/>
    </w:rPr>
  </w:style>
  <w:style w:type="paragraph" w:styleId="Signature">
    <w:name w:val="Signature"/>
    <w:basedOn w:val="Normal"/>
    <w:link w:val="SignatureChar"/>
    <w:uiPriority w:val="99"/>
    <w:unhideWhenUsed/>
    <w:rsid w:val="00CA489E"/>
    <w:pPr>
      <w:spacing w:before="0" w:line="240" w:lineRule="auto"/>
      <w:ind w:left="4252"/>
    </w:pPr>
  </w:style>
  <w:style w:type="character" w:customStyle="1" w:styleId="SignatureChar">
    <w:name w:val="Signature Char"/>
    <w:basedOn w:val="DefaultParagraphFont"/>
    <w:link w:val="Signature"/>
    <w:uiPriority w:val="99"/>
    <w:rsid w:val="00CA489E"/>
    <w:rPr>
      <w:rFonts w:ascii="Arial" w:hAnsi="Arial"/>
    </w:rPr>
  </w:style>
  <w:style w:type="character" w:styleId="SubtleEmphasis">
    <w:name w:val="Subtle Emphasis"/>
    <w:basedOn w:val="DefaultParagraphFont"/>
    <w:uiPriority w:val="19"/>
    <w:unhideWhenUsed/>
    <w:rsid w:val="00CA489E"/>
    <w:rPr>
      <w:b/>
      <w:i/>
      <w:iCs/>
      <w:color w:val="2F002F" w:themeColor="accent1"/>
    </w:rPr>
  </w:style>
  <w:style w:type="character" w:styleId="SubtleReference">
    <w:name w:val="Subtle Reference"/>
    <w:basedOn w:val="DefaultParagraphFont"/>
    <w:uiPriority w:val="31"/>
    <w:unhideWhenUsed/>
    <w:rsid w:val="00CA489E"/>
    <w:rPr>
      <w:smallCaps/>
      <w:color w:val="C14E00" w:themeColor="accent2"/>
      <w:u w:val="single"/>
    </w:rPr>
  </w:style>
  <w:style w:type="paragraph" w:customStyle="1" w:styleId="AERquoteindent1">
    <w:name w:val="AER quote (indent 1)"/>
    <w:basedOn w:val="Normal"/>
    <w:qFormat/>
    <w:rsid w:val="00DE1093"/>
    <w:pPr>
      <w:tabs>
        <w:tab w:val="left" w:pos="680"/>
      </w:tabs>
      <w:spacing w:after="160" w:line="240" w:lineRule="auto"/>
      <w:ind w:left="680" w:right="794"/>
    </w:pPr>
    <w:rPr>
      <w:rFonts w:eastAsia="Times New Roman" w:cs="Times New Roman"/>
      <w:sz w:val="20"/>
      <w:szCs w:val="20"/>
      <w:lang w:eastAsia="en-AU"/>
    </w:rPr>
  </w:style>
  <w:style w:type="character" w:styleId="PageNumber">
    <w:name w:val="page number"/>
    <w:basedOn w:val="DefaultParagraphFont"/>
    <w:rsid w:val="0020492C"/>
  </w:style>
  <w:style w:type="character" w:styleId="PlaceholderText">
    <w:name w:val="Placeholder Text"/>
    <w:basedOn w:val="DefaultParagraphFont"/>
    <w:uiPriority w:val="99"/>
    <w:semiHidden/>
    <w:rsid w:val="008D1661"/>
    <w:rPr>
      <w:color w:val="808080"/>
    </w:rPr>
  </w:style>
  <w:style w:type="paragraph" w:customStyle="1" w:styleId="StyleCopyrightBefore0pt">
    <w:name w:val="Style Copyright + Before:  0 pt"/>
    <w:basedOn w:val="Copyright"/>
    <w:rsid w:val="00185CB9"/>
    <w:pPr>
      <w:spacing w:before="120"/>
    </w:pPr>
    <w:rPr>
      <w:rFonts w:eastAsia="Times New Roman" w:cs="Times New Roman"/>
    </w:rPr>
  </w:style>
  <w:style w:type="character" w:customStyle="1" w:styleId="Bold">
    <w:name w:val="Bold"/>
    <w:basedOn w:val="DefaultParagraphFont"/>
    <w:rsid w:val="0020492C"/>
    <w:rPr>
      <w:b/>
      <w:bCs/>
    </w:rPr>
  </w:style>
  <w:style w:type="paragraph" w:customStyle="1" w:styleId="LegalNumbering">
    <w:name w:val="Legal Numbering"/>
    <w:basedOn w:val="Normal"/>
    <w:rsid w:val="005829C2"/>
    <w:pPr>
      <w:numPr>
        <w:numId w:val="22"/>
      </w:numPr>
      <w:tabs>
        <w:tab w:val="left" w:pos="680"/>
        <w:tab w:val="left" w:pos="1021"/>
        <w:tab w:val="left" w:pos="1361"/>
      </w:tabs>
      <w:spacing w:line="240" w:lineRule="auto"/>
    </w:pPr>
  </w:style>
  <w:style w:type="paragraph" w:customStyle="1" w:styleId="AERquoteindent3">
    <w:name w:val="AER quote (indent 3)"/>
    <w:basedOn w:val="AERquoteindent2"/>
    <w:qFormat/>
    <w:rsid w:val="00DE1093"/>
    <w:pPr>
      <w:ind w:left="1361"/>
    </w:pPr>
  </w:style>
  <w:style w:type="paragraph" w:customStyle="1" w:styleId="AERquotebullet1">
    <w:name w:val="AER quote bullet 1"/>
    <w:basedOn w:val="AERquoteindent1"/>
    <w:qFormat/>
    <w:rsid w:val="00DE1093"/>
    <w:pPr>
      <w:numPr>
        <w:numId w:val="23"/>
      </w:numPr>
      <w:ind w:left="1037" w:hanging="357"/>
    </w:pPr>
  </w:style>
  <w:style w:type="paragraph" w:customStyle="1" w:styleId="AERbulletlistthirdstyle">
    <w:name w:val="AER bullet list (third style)"/>
    <w:basedOn w:val="AERbulletlistsecondstyle"/>
    <w:qFormat/>
    <w:rsid w:val="00343A18"/>
    <w:pPr>
      <w:numPr>
        <w:ilvl w:val="2"/>
      </w:numPr>
      <w:tabs>
        <w:tab w:val="left" w:pos="1361"/>
      </w:tabs>
      <w:ind w:left="1361" w:hanging="340"/>
    </w:pPr>
  </w:style>
  <w:style w:type="character" w:customStyle="1" w:styleId="AERsubscript">
    <w:name w:val="AER subscript"/>
    <w:basedOn w:val="DefaultParagraphFont"/>
    <w:qFormat/>
    <w:rsid w:val="00343A18"/>
    <w:rPr>
      <w:sz w:val="16"/>
      <w:vertAlign w:val="subscript"/>
    </w:rPr>
  </w:style>
  <w:style w:type="character" w:customStyle="1" w:styleId="AERtextbolditalics">
    <w:name w:val="AER text bold italics"/>
    <w:basedOn w:val="DefaultParagraphFont"/>
    <w:qFormat/>
    <w:rsid w:val="00343A18"/>
    <w:rPr>
      <w:b/>
      <w:bCs/>
      <w:i/>
      <w:iCs/>
    </w:rPr>
  </w:style>
  <w:style w:type="character" w:customStyle="1" w:styleId="AERsuperscript">
    <w:name w:val="AER superscript"/>
    <w:qFormat/>
    <w:rsid w:val="00343A18"/>
    <w:rPr>
      <w:rFonts w:ascii="Arial" w:hAnsi="Arial"/>
      <w:sz w:val="16"/>
      <w:vertAlign w:val="superscript"/>
    </w:rPr>
  </w:style>
  <w:style w:type="character" w:customStyle="1" w:styleId="AERtextunderline">
    <w:name w:val="AER text underline"/>
    <w:basedOn w:val="DefaultParagraphFont"/>
    <w:qFormat/>
    <w:rsid w:val="00343A18"/>
    <w:rPr>
      <w:u w:val="single"/>
    </w:rPr>
  </w:style>
  <w:style w:type="paragraph" w:customStyle="1" w:styleId="AERtextconfidential">
    <w:name w:val="AER text confidential"/>
    <w:basedOn w:val="Normal"/>
    <w:qFormat/>
    <w:rsid w:val="008B5FCC"/>
    <w:rPr>
      <w:shd w:val="clear" w:color="auto" w:fill="CCFFFF"/>
    </w:rPr>
  </w:style>
  <w:style w:type="paragraph" w:customStyle="1" w:styleId="UnnumberedHeading">
    <w:name w:val="Unnumbered Heading"/>
    <w:basedOn w:val="Heading1"/>
    <w:link w:val="UnnumberedHeadingChar"/>
    <w:qFormat/>
    <w:rsid w:val="008B5FCC"/>
    <w:pPr>
      <w:numPr>
        <w:numId w:val="0"/>
      </w:numPr>
    </w:pPr>
  </w:style>
  <w:style w:type="numbering" w:customStyle="1" w:styleId="AERHeadings">
    <w:name w:val="AER Headings"/>
    <w:uiPriority w:val="99"/>
    <w:rsid w:val="00126A4C"/>
    <w:pPr>
      <w:numPr>
        <w:numId w:val="24"/>
      </w:numPr>
    </w:pPr>
  </w:style>
  <w:style w:type="character" w:customStyle="1" w:styleId="AERbody">
    <w:name w:val="AER body"/>
    <w:basedOn w:val="DefaultParagraphFont"/>
    <w:qFormat/>
    <w:rsid w:val="00126A4C"/>
    <w:rPr>
      <w:rFonts w:ascii="Arial" w:hAnsi="Arial"/>
      <w:color w:val="auto"/>
      <w:sz w:val="22"/>
    </w:rPr>
  </w:style>
  <w:style w:type="numbering" w:customStyle="1" w:styleId="AERnumberedlist">
    <w:name w:val="AER numbered list"/>
    <w:uiPriority w:val="99"/>
    <w:rsid w:val="00126A4C"/>
    <w:pPr>
      <w:numPr>
        <w:numId w:val="25"/>
      </w:numPr>
    </w:pPr>
  </w:style>
  <w:style w:type="character" w:customStyle="1" w:styleId="UnnumberedHeadingChar">
    <w:name w:val="Unnumbered Heading Char"/>
    <w:basedOn w:val="Heading1Char"/>
    <w:link w:val="UnnumberedHeading"/>
    <w:rsid w:val="00126A4C"/>
    <w:rPr>
      <w:rFonts w:ascii="Arial" w:eastAsiaTheme="majorEastAsia" w:hAnsi="Arial" w:cstheme="majorBidi"/>
      <w:b/>
      <w:bCs/>
      <w:color w:val="70635A"/>
      <w:sz w:val="36"/>
      <w:szCs w:val="28"/>
    </w:rPr>
  </w:style>
  <w:style w:type="paragraph" w:customStyle="1" w:styleId="AERbodytextnospace">
    <w:name w:val="AER body text no space"/>
    <w:basedOn w:val="Normal"/>
    <w:qFormat/>
    <w:rsid w:val="00683C89"/>
    <w:pPr>
      <w:tabs>
        <w:tab w:val="num" w:pos="0"/>
      </w:tabs>
      <w:spacing w:before="0" w:line="288" w:lineRule="auto"/>
      <w:jc w:val="both"/>
    </w:pPr>
    <w:rPr>
      <w:rFonts w:asciiTheme="minorHAnsi" w:eastAsia="Times New Roman" w:hAnsiTheme="minorHAnsi" w:cs="Times New Roman"/>
      <w:sz w:val="20"/>
      <w:szCs w:val="24"/>
    </w:rPr>
  </w:style>
  <w:style w:type="paragraph" w:customStyle="1" w:styleId="AERnumberedlist2first">
    <w:name w:val="AER numbered list 2 first"/>
    <w:basedOn w:val="Normal"/>
    <w:qFormat/>
    <w:rsid w:val="00683C89"/>
    <w:pPr>
      <w:tabs>
        <w:tab w:val="num" w:pos="454"/>
      </w:tabs>
      <w:spacing w:before="0" w:after="240" w:line="288" w:lineRule="auto"/>
      <w:ind w:left="454" w:hanging="454"/>
      <w:jc w:val="both"/>
    </w:pPr>
    <w:rPr>
      <w:rFonts w:asciiTheme="minorHAnsi" w:eastAsia="Times New Roman" w:hAnsiTheme="minorHAnsi" w:cs="Times New Roman"/>
      <w:sz w:val="20"/>
      <w:szCs w:val="24"/>
    </w:rPr>
  </w:style>
  <w:style w:type="character" w:customStyle="1" w:styleId="AERbodytextChar">
    <w:name w:val="AER body text Char"/>
    <w:basedOn w:val="DefaultParagraphFont"/>
    <w:rsid w:val="00126A4C"/>
    <w:rPr>
      <w:rFonts w:eastAsia="Times New Roman"/>
      <w:szCs w:val="24"/>
      <w:lang w:eastAsia="en-US"/>
    </w:rPr>
  </w:style>
  <w:style w:type="character" w:customStyle="1" w:styleId="HeadingBoldBlueChar">
    <w:name w:val="Heading Bold Blue Char"/>
    <w:basedOn w:val="AERbodytextChar"/>
    <w:link w:val="HeadingBoldBlue"/>
    <w:rsid w:val="00126A4C"/>
    <w:rPr>
      <w:rFonts w:ascii="Arial" w:eastAsiaTheme="majorEastAsia" w:hAnsi="Arial" w:cstheme="majorBidi"/>
      <w:b/>
      <w:bCs/>
      <w:color w:val="70635A" w:themeColor="text2"/>
      <w:sz w:val="28"/>
      <w:szCs w:val="24"/>
      <w:lang w:eastAsia="en-US"/>
    </w:rPr>
  </w:style>
  <w:style w:type="table" w:customStyle="1" w:styleId="AERtable-text0">
    <w:name w:val="AER table - text"/>
    <w:basedOn w:val="TableNormal"/>
    <w:uiPriority w:val="99"/>
    <w:rsid w:val="00683C89"/>
    <w:pPr>
      <w:spacing w:before="120" w:after="80"/>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 w:type="character" w:customStyle="1" w:styleId="AERtextsize8">
    <w:name w:val="AER text size 8"/>
    <w:basedOn w:val="AERbody"/>
    <w:uiPriority w:val="1"/>
    <w:qFormat/>
    <w:rsid w:val="00126A4C"/>
    <w:rPr>
      <w:rFonts w:ascii="Arial" w:hAnsi="Arial"/>
      <w:color w:val="auto"/>
      <w:sz w:val="16"/>
    </w:rPr>
  </w:style>
  <w:style w:type="paragraph" w:styleId="Index7">
    <w:name w:val="index 7"/>
    <w:basedOn w:val="Normal"/>
    <w:next w:val="Normal"/>
    <w:autoRedefine/>
    <w:uiPriority w:val="99"/>
    <w:unhideWhenUsed/>
    <w:rsid w:val="00126A4C"/>
    <w:pPr>
      <w:spacing w:before="0" w:line="240" w:lineRule="auto"/>
      <w:ind w:left="1540" w:hanging="220"/>
    </w:pPr>
  </w:style>
  <w:style w:type="paragraph" w:customStyle="1" w:styleId="AERtablesource">
    <w:name w:val="AER table source"/>
    <w:next w:val="Normal"/>
    <w:qFormat/>
    <w:rsid w:val="0066104A"/>
    <w:pPr>
      <w:tabs>
        <w:tab w:val="left" w:pos="794"/>
      </w:tabs>
      <w:spacing w:before="160" w:after="360" w:line="360" w:lineRule="auto"/>
      <w:ind w:left="794" w:hanging="794"/>
      <w:contextualSpacing/>
      <w:jc w:val="both"/>
    </w:pPr>
    <w:rPr>
      <w:rFonts w:ascii="Arial" w:eastAsia="Times New Roman" w:hAnsi="Arial" w:cs="Times New Roman"/>
      <w:sz w:val="16"/>
      <w:szCs w:val="24"/>
    </w:rPr>
  </w:style>
  <w:style w:type="character" w:customStyle="1" w:styleId="AERtexthighlight">
    <w:name w:val="AER text highlight"/>
    <w:qFormat/>
    <w:rsid w:val="00126A4C"/>
    <w:rPr>
      <w:bdr w:val="none" w:sz="0" w:space="0" w:color="auto"/>
      <w:shd w:val="clear" w:color="auto" w:fill="FFFF00"/>
    </w:rPr>
  </w:style>
  <w:style w:type="character" w:customStyle="1" w:styleId="AERtextitalic">
    <w:name w:val="AER text italic"/>
    <w:qFormat/>
    <w:rsid w:val="00126A4C"/>
    <w:rPr>
      <w:i/>
    </w:rPr>
  </w:style>
  <w:style w:type="paragraph" w:customStyle="1" w:styleId="AERquote">
    <w:name w:val="AER quote"/>
    <w:next w:val="Normal"/>
    <w:qFormat/>
    <w:rsid w:val="00DE1093"/>
    <w:pPr>
      <w:tabs>
        <w:tab w:val="num" w:pos="709"/>
      </w:tabs>
      <w:spacing w:after="160" w:line="288" w:lineRule="auto"/>
      <w:ind w:left="709" w:right="720"/>
      <w:jc w:val="both"/>
    </w:pPr>
    <w:rPr>
      <w:rFonts w:ascii="Arial" w:eastAsia="Times New Roman" w:hAnsi="Arial" w:cs="Times New Roman"/>
      <w:color w:val="000000"/>
      <w:sz w:val="20"/>
      <w:szCs w:val="24"/>
    </w:rPr>
  </w:style>
  <w:style w:type="paragraph" w:customStyle="1" w:styleId="AERtabletextleft">
    <w:name w:val="AER table text left"/>
    <w:qFormat/>
    <w:rsid w:val="00983C25"/>
    <w:pPr>
      <w:spacing w:before="80" w:after="120" w:line="288" w:lineRule="auto"/>
    </w:pPr>
    <w:rPr>
      <w:rFonts w:ascii="Arial" w:eastAsia="Times New Roman" w:hAnsi="Arial" w:cs="Times New Roman"/>
      <w:sz w:val="20"/>
      <w:szCs w:val="24"/>
    </w:rPr>
  </w:style>
  <w:style w:type="character" w:customStyle="1" w:styleId="AERtextboldunderline">
    <w:name w:val="AER text bold underline"/>
    <w:qFormat/>
    <w:rsid w:val="000E4821"/>
    <w:rPr>
      <w:b/>
      <w:u w:val="single"/>
    </w:rPr>
  </w:style>
  <w:style w:type="numbering" w:customStyle="1" w:styleId="OldAERheadings">
    <w:name w:val="Old AER headings"/>
    <w:uiPriority w:val="99"/>
    <w:locked/>
    <w:rsid w:val="000E4821"/>
    <w:pPr>
      <w:numPr>
        <w:numId w:val="27"/>
      </w:numPr>
    </w:pPr>
  </w:style>
  <w:style w:type="character" w:customStyle="1" w:styleId="AERtextorange">
    <w:name w:val="AER text orange"/>
    <w:uiPriority w:val="1"/>
    <w:qFormat/>
    <w:rsid w:val="000E4821"/>
    <w:rPr>
      <w:color w:val="E36C0A"/>
    </w:rPr>
  </w:style>
  <w:style w:type="paragraph" w:customStyle="1" w:styleId="AERtitle1">
    <w:name w:val="AER title 1"/>
    <w:qFormat/>
    <w:rsid w:val="00683C89"/>
    <w:pPr>
      <w:spacing w:before="0" w:after="240" w:line="288" w:lineRule="auto"/>
      <w:jc w:val="center"/>
    </w:pPr>
    <w:rPr>
      <w:rFonts w:asciiTheme="majorHAnsi" w:eastAsia="Times New Roman" w:hAnsiTheme="majorHAnsi" w:cs="Times New Roman"/>
      <w:b/>
      <w:sz w:val="40"/>
      <w:szCs w:val="24"/>
      <w:lang w:eastAsia="en-AU"/>
    </w:rPr>
  </w:style>
  <w:style w:type="paragraph" w:customStyle="1" w:styleId="AERtitle2">
    <w:name w:val="AER title 2"/>
    <w:qFormat/>
    <w:rsid w:val="00683C89"/>
    <w:pPr>
      <w:spacing w:before="0" w:after="240" w:line="288" w:lineRule="auto"/>
      <w:jc w:val="center"/>
    </w:pPr>
    <w:rPr>
      <w:rFonts w:asciiTheme="majorHAnsi" w:eastAsia="Times New Roman" w:hAnsiTheme="majorHAnsi" w:cs="Times New Roman"/>
      <w:sz w:val="32"/>
      <w:szCs w:val="24"/>
    </w:rPr>
  </w:style>
  <w:style w:type="character" w:customStyle="1" w:styleId="AERtextblue">
    <w:name w:val="AER text blue"/>
    <w:uiPriority w:val="1"/>
    <w:qFormat/>
    <w:rsid w:val="000E4821"/>
    <w:rPr>
      <w:color w:val="365F91"/>
    </w:rPr>
  </w:style>
  <w:style w:type="table" w:customStyle="1" w:styleId="AERtable-numbers">
    <w:name w:val="AER table - numbers"/>
    <w:basedOn w:val="TableNormal"/>
    <w:uiPriority w:val="99"/>
    <w:rsid w:val="00683C89"/>
    <w:pPr>
      <w:spacing w:before="120" w:after="80"/>
      <w:jc w:val="right"/>
    </w:pPr>
    <w:rPr>
      <w:rFonts w:eastAsia="Calibri" w:cs="Times New Roman"/>
      <w:sz w:val="16"/>
      <w:szCs w:val="20"/>
      <w:lang w:eastAsia="en-AU"/>
    </w:rPr>
    <w:tblPr>
      <w:tblStyleRowBandSize w:val="1"/>
      <w:tblBorders>
        <w:bottom w:val="single" w:sz="4" w:space="0" w:color="365F91"/>
      </w:tblBorders>
    </w:tblPr>
    <w:tcPr>
      <w:vAlign w:val="center"/>
    </w:tcPr>
    <w:tblStylePr w:type="firstRow">
      <w:rPr>
        <w:b/>
        <w:color w:val="FFFFFF"/>
      </w:rPr>
      <w:tblPr/>
      <w:tcPr>
        <w:shd w:val="clear" w:color="auto" w:fill="365F91"/>
      </w:tcPr>
    </w:tblStylePr>
    <w:tblStylePr w:type="firstCol">
      <w:pPr>
        <w:jc w:val="left"/>
      </w:pPr>
    </w:tblStylePr>
    <w:tblStylePr w:type="band2Horz">
      <w:tblPr/>
      <w:tcPr>
        <w:shd w:val="clear" w:color="auto" w:fill="DBE5F1"/>
      </w:tcPr>
    </w:tblStylePr>
  </w:style>
  <w:style w:type="table" w:styleId="TableGrid1">
    <w:name w:val="Table Grid 1"/>
    <w:basedOn w:val="TableNormal"/>
    <w:uiPriority w:val="99"/>
    <w:semiHidden/>
    <w:unhideWhenUsed/>
    <w:rsid w:val="00683C89"/>
    <w:pPr>
      <w:spacing w:before="0"/>
    </w:pPr>
    <w:rPr>
      <w:rFonts w:eastAsia="Calibri"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ERtabletextright">
    <w:name w:val="AER table text right"/>
    <w:basedOn w:val="AERtabletextleft"/>
    <w:qFormat/>
    <w:rsid w:val="000E4821"/>
    <w:pPr>
      <w:spacing w:before="120" w:after="80"/>
      <w:jc w:val="right"/>
    </w:pPr>
  </w:style>
  <w:style w:type="paragraph" w:styleId="CommentText">
    <w:name w:val="annotation text"/>
    <w:basedOn w:val="Normal"/>
    <w:link w:val="CommentTextChar"/>
    <w:uiPriority w:val="99"/>
    <w:semiHidden/>
    <w:unhideWhenUsed/>
    <w:rsid w:val="00683C89"/>
    <w:pPr>
      <w:spacing w:before="0" w:after="240" w:line="240" w:lineRule="auto"/>
      <w:jc w:val="both"/>
    </w:pPr>
    <w:rPr>
      <w:rFonts w:asciiTheme="minorHAnsi" w:eastAsia="Calibri" w:hAnsiTheme="minorHAnsi" w:cs="Times New Roman"/>
      <w:sz w:val="20"/>
      <w:szCs w:val="20"/>
    </w:rPr>
  </w:style>
  <w:style w:type="character" w:customStyle="1" w:styleId="CommentTextChar">
    <w:name w:val="Comment Text Char"/>
    <w:basedOn w:val="DefaultParagraphFont"/>
    <w:link w:val="CommentText"/>
    <w:uiPriority w:val="99"/>
    <w:semiHidden/>
    <w:rsid w:val="00683C89"/>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683C89"/>
    <w:rPr>
      <w:b/>
      <w:bCs/>
    </w:rPr>
  </w:style>
  <w:style w:type="character" w:customStyle="1" w:styleId="CommentSubjectChar">
    <w:name w:val="Comment Subject Char"/>
    <w:basedOn w:val="CommentTextChar"/>
    <w:link w:val="CommentSubject"/>
    <w:uiPriority w:val="99"/>
    <w:semiHidden/>
    <w:rsid w:val="00683C89"/>
    <w:rPr>
      <w:rFonts w:eastAsia="Calibri" w:cs="Times New Roman"/>
      <w:b/>
      <w:bCs/>
      <w:sz w:val="20"/>
      <w:szCs w:val="20"/>
    </w:rPr>
  </w:style>
  <w:style w:type="character" w:customStyle="1" w:styleId="AERtextsize10">
    <w:name w:val="AER text size 10"/>
    <w:uiPriority w:val="1"/>
    <w:qFormat/>
    <w:rsid w:val="000E4821"/>
    <w:rPr>
      <w:sz w:val="20"/>
    </w:rPr>
  </w:style>
  <w:style w:type="paragraph" w:customStyle="1" w:styleId="AERbodytextnospaceleftalign">
    <w:name w:val="AER body text no space left align"/>
    <w:basedOn w:val="AERbodytextnospace"/>
    <w:qFormat/>
    <w:rsid w:val="000E4821"/>
    <w:pPr>
      <w:jc w:val="left"/>
    </w:pPr>
  </w:style>
  <w:style w:type="paragraph" w:customStyle="1" w:styleId="AERbodytextleftalign">
    <w:name w:val="AER body text left align"/>
    <w:basedOn w:val="Normal"/>
    <w:qFormat/>
    <w:rsid w:val="00683C89"/>
    <w:pPr>
      <w:tabs>
        <w:tab w:val="num" w:pos="1492"/>
      </w:tabs>
      <w:spacing w:before="0" w:after="240" w:line="288" w:lineRule="auto"/>
      <w:ind w:left="1492" w:hanging="360"/>
    </w:pPr>
    <w:rPr>
      <w:rFonts w:asciiTheme="minorHAnsi" w:eastAsia="Times New Roman" w:hAnsiTheme="minorHAnsi" w:cs="Times New Roman"/>
      <w:sz w:val="20"/>
      <w:szCs w:val="24"/>
    </w:rPr>
  </w:style>
  <w:style w:type="paragraph" w:customStyle="1" w:styleId="AERbodytextcentre">
    <w:name w:val="AER body text centre"/>
    <w:basedOn w:val="Normal"/>
    <w:qFormat/>
    <w:rsid w:val="00683C89"/>
    <w:pPr>
      <w:tabs>
        <w:tab w:val="num" w:pos="1492"/>
      </w:tabs>
      <w:spacing w:before="0" w:after="240" w:line="288" w:lineRule="auto"/>
      <w:ind w:left="1492" w:hanging="360"/>
      <w:jc w:val="center"/>
    </w:pPr>
    <w:rPr>
      <w:rFonts w:asciiTheme="minorHAnsi" w:eastAsia="Times New Roman" w:hAnsiTheme="minorHAnsi" w:cs="Times New Roman"/>
      <w:sz w:val="20"/>
      <w:szCs w:val="24"/>
    </w:rPr>
  </w:style>
  <w:style w:type="paragraph" w:customStyle="1" w:styleId="AERbodytextnospacecentre">
    <w:name w:val="AER body text no space centre"/>
    <w:basedOn w:val="AERbodytextnospace"/>
    <w:qFormat/>
    <w:rsid w:val="000E4821"/>
    <w:pPr>
      <w:tabs>
        <w:tab w:val="clear" w:pos="0"/>
        <w:tab w:val="num" w:pos="1492"/>
      </w:tabs>
      <w:ind w:left="1492" w:hanging="360"/>
      <w:jc w:val="center"/>
    </w:pPr>
  </w:style>
  <w:style w:type="paragraph" w:styleId="Revision">
    <w:name w:val="Revision"/>
    <w:hidden/>
    <w:uiPriority w:val="99"/>
    <w:semiHidden/>
    <w:rsid w:val="000E4821"/>
    <w:pPr>
      <w:spacing w:before="0"/>
    </w:pPr>
    <w:rPr>
      <w:rFonts w:ascii="Gautami" w:eastAsia="Calibri" w:hAnsi="Gautami" w:cs="Times New Roman"/>
      <w:sz w:val="20"/>
      <w:szCs w:val="20"/>
    </w:rPr>
  </w:style>
  <w:style w:type="table" w:customStyle="1" w:styleId="AERtable-text1">
    <w:name w:val="AER table - text1"/>
    <w:basedOn w:val="TableNormal"/>
    <w:uiPriority w:val="99"/>
    <w:rsid w:val="00683C89"/>
    <w:pPr>
      <w:spacing w:before="120" w:after="80"/>
    </w:pPr>
    <w:rPr>
      <w:rFonts w:eastAsia="Calibri" w:cs="Times New Roman"/>
      <w:sz w:val="16"/>
      <w:szCs w:val="20"/>
      <w:lang w:eastAsia="en-AU"/>
    </w:rPr>
    <w:tblPr>
      <w:tblStyleRowBandSize w:val="1"/>
      <w:tblInd w:w="0" w:type="nil"/>
      <w:tblBorders>
        <w:bottom w:val="single" w:sz="4" w:space="0" w:color="365F91"/>
      </w:tblBorders>
    </w:tblPr>
    <w:tcPr>
      <w:vAlign w:val="center"/>
    </w:tcPr>
    <w:tblStylePr w:type="firstRow">
      <w:rPr>
        <w:b/>
        <w:color w:val="FFFFFF"/>
      </w:rPr>
      <w:tblPr/>
      <w:tcPr>
        <w:shd w:val="clear" w:color="auto" w:fill="365F91"/>
      </w:tcPr>
    </w:tblStylePr>
    <w:tblStylePr w:type="band2Horz">
      <w:tblPr/>
      <w:tcPr>
        <w:shd w:val="clear" w:color="auto" w:fill="DBE5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5704">
      <w:bodyDiv w:val="1"/>
      <w:marLeft w:val="0"/>
      <w:marRight w:val="0"/>
      <w:marTop w:val="0"/>
      <w:marBottom w:val="0"/>
      <w:divBdr>
        <w:top w:val="none" w:sz="0" w:space="0" w:color="auto"/>
        <w:left w:val="none" w:sz="0" w:space="0" w:color="auto"/>
        <w:bottom w:val="none" w:sz="0" w:space="0" w:color="auto"/>
        <w:right w:val="none" w:sz="0" w:space="0" w:color="auto"/>
      </w:divBdr>
    </w:div>
    <w:div w:id="635840213">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AER">
  <a:themeElements>
    <a:clrScheme name="AER Colour theme">
      <a:dk1>
        <a:srgbClr val="076A92"/>
      </a:dk1>
      <a:lt1>
        <a:sysClr val="window" lastClr="FFFFFF"/>
      </a:lt1>
      <a:dk2>
        <a:srgbClr val="70635A"/>
      </a:dk2>
      <a:lt2>
        <a:srgbClr val="FFFFFF"/>
      </a:lt2>
      <a:accent1>
        <a:srgbClr val="2F002F"/>
      </a:accent1>
      <a:accent2>
        <a:srgbClr val="C14E00"/>
      </a:accent2>
      <a:accent3>
        <a:srgbClr val="002060"/>
      </a:accent3>
      <a:accent4>
        <a:srgbClr val="C00000"/>
      </a:accent4>
      <a:accent5>
        <a:srgbClr val="000000"/>
      </a:accent5>
      <a:accent6>
        <a:srgbClr val="70303C"/>
      </a:accent6>
      <a:hlink>
        <a:srgbClr val="0000FF"/>
      </a:hlink>
      <a:folHlink>
        <a:srgbClr val="80008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C588FA58</Template>
  <TotalTime>0</TotalTime>
  <Pages>9</Pages>
  <Words>1533</Words>
  <Characters>8741</Characters>
  <Application>Microsoft Office Word</Application>
  <DocSecurity>4</DocSecurity>
  <Lines>72</Lines>
  <Paragraphs>20</Paragraphs>
  <ScaleCrop>false</ScaleCrop>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2015-04-27T04:09:00Z</dcterms:created>
  <dcterms:modified xsi:type="dcterms:W3CDTF">2015-04-27T04:09:00Z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