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BA" w:rsidRDefault="00DA202F" w:rsidP="00290C63">
      <w:pPr>
        <w:rPr>
          <w:rFonts w:eastAsiaTheme="majorEastAsia" w:cstheme="majorBidi"/>
          <w:noProof/>
          <w:sz w:val="36"/>
          <w:szCs w:val="36"/>
          <w:lang w:eastAsia="en-AU"/>
        </w:rPr>
      </w:pPr>
      <w:bookmarkStart w:id="0" w:name="_GoBack"/>
      <w:bookmarkEnd w:id="0"/>
      <w:r w:rsidRPr="00290C63">
        <w:rPr>
          <w:noProof/>
          <w:lang w:eastAsia="en-AU"/>
        </w:rPr>
        <w:drawing>
          <wp:anchor distT="0" distB="0" distL="114300" distR="114300" simplePos="0" relativeHeight="251659264" behindDoc="1" locked="0" layoutInCell="1" allowOverlap="1" wp14:anchorId="2D404402" wp14:editId="157DDA92">
            <wp:simplePos x="0" y="0"/>
            <wp:positionH relativeFrom="column">
              <wp:posOffset>-1107440</wp:posOffset>
            </wp:positionH>
            <wp:positionV relativeFrom="paragraph">
              <wp:posOffset>-895350</wp:posOffset>
            </wp:positionV>
            <wp:extent cx="7588250" cy="111252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0" cy="1112520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EC51AE">
            <w:t>7</w:t>
          </w:r>
          <w:r>
            <w:t xml:space="preserve"> </w:t>
          </w:r>
          <w:r>
            <w:rPr>
              <w:rFonts w:cs="Arial"/>
            </w:rPr>
            <w:t>−</w:t>
          </w:r>
          <w:r>
            <w:t xml:space="preserve"> </w:t>
          </w:r>
          <w:r w:rsidR="00EC51AE">
            <w:t>Operating</w:t>
          </w:r>
          <w:r w:rsidR="00777AE0">
            <w:t xml:space="preserve"> expenditure</w:t>
          </w:r>
          <w:r w:rsidR="009E1BF4">
            <w:t xml:space="preserve"> (PUBLIC)</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745434"/>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624E91">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4543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C79FD" w:rsidRDefault="003C79F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745434" w:history="1">
            <w:r w:rsidRPr="00CF08D2">
              <w:rPr>
                <w:rStyle w:val="Hyperlink"/>
              </w:rPr>
              <w:t>Note</w:t>
            </w:r>
            <w:r>
              <w:rPr>
                <w:webHidden/>
              </w:rPr>
              <w:tab/>
            </w:r>
            <w:r>
              <w:rPr>
                <w:webHidden/>
              </w:rPr>
              <w:fldChar w:fldCharType="begin"/>
            </w:r>
            <w:r>
              <w:rPr>
                <w:webHidden/>
              </w:rPr>
              <w:instrText xml:space="preserve"> PAGEREF _Toc417745434 \h </w:instrText>
            </w:r>
            <w:r>
              <w:rPr>
                <w:webHidden/>
              </w:rPr>
            </w:r>
            <w:r>
              <w:rPr>
                <w:webHidden/>
              </w:rPr>
              <w:fldChar w:fldCharType="separate"/>
            </w:r>
            <w:r w:rsidR="00DA202F">
              <w:rPr>
                <w:webHidden/>
              </w:rPr>
              <w:t>7-2</w:t>
            </w:r>
            <w:r>
              <w:rPr>
                <w:webHidden/>
              </w:rPr>
              <w:fldChar w:fldCharType="end"/>
            </w:r>
          </w:hyperlink>
        </w:p>
        <w:p w:rsidR="003C79FD" w:rsidRDefault="00053B26">
          <w:pPr>
            <w:pStyle w:val="TOC1"/>
            <w:rPr>
              <w:rFonts w:asciiTheme="minorHAnsi" w:eastAsiaTheme="minorEastAsia" w:hAnsiTheme="minorHAnsi"/>
              <w:b w:val="0"/>
              <w:color w:val="auto"/>
              <w:sz w:val="22"/>
              <w:lang w:val="en-AU" w:eastAsia="en-AU"/>
            </w:rPr>
          </w:pPr>
          <w:hyperlink w:anchor="_Toc417745435" w:history="1">
            <w:r w:rsidR="003C79FD" w:rsidRPr="00CF08D2">
              <w:rPr>
                <w:rStyle w:val="Hyperlink"/>
              </w:rPr>
              <w:t>Contents</w:t>
            </w:r>
            <w:r w:rsidR="003C79FD">
              <w:rPr>
                <w:webHidden/>
              </w:rPr>
              <w:tab/>
            </w:r>
            <w:r w:rsidR="003C79FD">
              <w:rPr>
                <w:webHidden/>
              </w:rPr>
              <w:fldChar w:fldCharType="begin"/>
            </w:r>
            <w:r w:rsidR="003C79FD">
              <w:rPr>
                <w:webHidden/>
              </w:rPr>
              <w:instrText xml:space="preserve"> PAGEREF _Toc417745435 \h </w:instrText>
            </w:r>
            <w:r w:rsidR="003C79FD">
              <w:rPr>
                <w:webHidden/>
              </w:rPr>
            </w:r>
            <w:r w:rsidR="003C79FD">
              <w:rPr>
                <w:webHidden/>
              </w:rPr>
              <w:fldChar w:fldCharType="separate"/>
            </w:r>
            <w:r w:rsidR="00DA202F">
              <w:rPr>
                <w:webHidden/>
              </w:rPr>
              <w:t>7-3</w:t>
            </w:r>
            <w:r w:rsidR="003C79FD">
              <w:rPr>
                <w:webHidden/>
              </w:rPr>
              <w:fldChar w:fldCharType="end"/>
            </w:r>
          </w:hyperlink>
        </w:p>
        <w:p w:rsidR="003C79FD" w:rsidRDefault="00053B26">
          <w:pPr>
            <w:pStyle w:val="TOC1"/>
            <w:rPr>
              <w:rFonts w:asciiTheme="minorHAnsi" w:eastAsiaTheme="minorEastAsia" w:hAnsiTheme="minorHAnsi"/>
              <w:b w:val="0"/>
              <w:color w:val="auto"/>
              <w:sz w:val="22"/>
              <w:lang w:val="en-AU" w:eastAsia="en-AU"/>
            </w:rPr>
          </w:pPr>
          <w:hyperlink w:anchor="_Toc417745436" w:history="1">
            <w:r w:rsidR="003C79FD" w:rsidRPr="00CF08D2">
              <w:rPr>
                <w:rStyle w:val="Hyperlink"/>
              </w:rPr>
              <w:t>Shortened forms</w:t>
            </w:r>
            <w:r w:rsidR="003C79FD">
              <w:rPr>
                <w:webHidden/>
              </w:rPr>
              <w:tab/>
            </w:r>
            <w:r w:rsidR="003C79FD">
              <w:rPr>
                <w:webHidden/>
              </w:rPr>
              <w:fldChar w:fldCharType="begin"/>
            </w:r>
            <w:r w:rsidR="003C79FD">
              <w:rPr>
                <w:webHidden/>
              </w:rPr>
              <w:instrText xml:space="preserve"> PAGEREF _Toc417745436 \h </w:instrText>
            </w:r>
            <w:r w:rsidR="003C79FD">
              <w:rPr>
                <w:webHidden/>
              </w:rPr>
            </w:r>
            <w:r w:rsidR="003C79FD">
              <w:rPr>
                <w:webHidden/>
              </w:rPr>
              <w:fldChar w:fldCharType="separate"/>
            </w:r>
            <w:r w:rsidR="00DA202F">
              <w:rPr>
                <w:webHidden/>
              </w:rPr>
              <w:t>7-4</w:t>
            </w:r>
            <w:r w:rsidR="003C79FD">
              <w:rPr>
                <w:webHidden/>
              </w:rPr>
              <w:fldChar w:fldCharType="end"/>
            </w:r>
          </w:hyperlink>
        </w:p>
        <w:p w:rsidR="003C79FD" w:rsidRDefault="00053B26">
          <w:pPr>
            <w:pStyle w:val="TOC1"/>
            <w:rPr>
              <w:rFonts w:asciiTheme="minorHAnsi" w:eastAsiaTheme="minorEastAsia" w:hAnsiTheme="minorHAnsi"/>
              <w:b w:val="0"/>
              <w:color w:val="auto"/>
              <w:sz w:val="22"/>
              <w:lang w:val="en-AU" w:eastAsia="en-AU"/>
            </w:rPr>
          </w:pPr>
          <w:hyperlink w:anchor="_Toc417745437" w:history="1">
            <w:r w:rsidR="003C79FD" w:rsidRPr="00CF08D2">
              <w:rPr>
                <w:rStyle w:val="Hyperlink"/>
              </w:rPr>
              <w:t>7</w:t>
            </w:r>
            <w:r w:rsidR="003C79FD">
              <w:rPr>
                <w:rFonts w:asciiTheme="minorHAnsi" w:eastAsiaTheme="minorEastAsia" w:hAnsiTheme="minorHAnsi"/>
                <w:b w:val="0"/>
                <w:color w:val="auto"/>
                <w:sz w:val="22"/>
                <w:lang w:val="en-AU" w:eastAsia="en-AU"/>
              </w:rPr>
              <w:tab/>
            </w:r>
            <w:r w:rsidR="003C79FD" w:rsidRPr="00CF08D2">
              <w:rPr>
                <w:rStyle w:val="Hyperlink"/>
              </w:rPr>
              <w:t>Operating expenditure</w:t>
            </w:r>
            <w:r w:rsidR="003C79FD">
              <w:rPr>
                <w:webHidden/>
              </w:rPr>
              <w:tab/>
            </w:r>
            <w:r w:rsidR="003C79FD">
              <w:rPr>
                <w:webHidden/>
              </w:rPr>
              <w:fldChar w:fldCharType="begin"/>
            </w:r>
            <w:r w:rsidR="003C79FD">
              <w:rPr>
                <w:webHidden/>
              </w:rPr>
              <w:instrText xml:space="preserve"> PAGEREF _Toc417745437 \h </w:instrText>
            </w:r>
            <w:r w:rsidR="003C79FD">
              <w:rPr>
                <w:webHidden/>
              </w:rPr>
            </w:r>
            <w:r w:rsidR="003C79FD">
              <w:rPr>
                <w:webHidden/>
              </w:rPr>
              <w:fldChar w:fldCharType="separate"/>
            </w:r>
            <w:r w:rsidR="00DA202F">
              <w:rPr>
                <w:webHidden/>
              </w:rPr>
              <w:t>7-6</w:t>
            </w:r>
            <w:r w:rsidR="003C79FD">
              <w:rPr>
                <w:webHidden/>
              </w:rPr>
              <w:fldChar w:fldCharType="end"/>
            </w:r>
          </w:hyperlink>
        </w:p>
        <w:p w:rsidR="003C79FD" w:rsidRDefault="00053B26">
          <w:pPr>
            <w:pStyle w:val="TOC2"/>
            <w:rPr>
              <w:rFonts w:asciiTheme="minorHAnsi" w:eastAsiaTheme="minorEastAsia" w:hAnsiTheme="minorHAnsi"/>
              <w:b w:val="0"/>
              <w:color w:val="auto"/>
              <w:sz w:val="22"/>
              <w:lang w:eastAsia="en-AU"/>
            </w:rPr>
          </w:pPr>
          <w:hyperlink w:anchor="_Toc417745438" w:history="1">
            <w:r w:rsidR="003C79FD" w:rsidRPr="00CF08D2">
              <w:rPr>
                <w:rStyle w:val="Hyperlink"/>
              </w:rPr>
              <w:t>7.1</w:t>
            </w:r>
            <w:r w:rsidR="003C79FD">
              <w:rPr>
                <w:rFonts w:asciiTheme="minorHAnsi" w:eastAsiaTheme="minorEastAsia" w:hAnsiTheme="minorHAnsi"/>
                <w:b w:val="0"/>
                <w:color w:val="auto"/>
                <w:sz w:val="22"/>
                <w:lang w:eastAsia="en-AU"/>
              </w:rPr>
              <w:tab/>
            </w:r>
            <w:r w:rsidR="003C79FD" w:rsidRPr="00CF08D2">
              <w:rPr>
                <w:rStyle w:val="Hyperlink"/>
              </w:rPr>
              <w:t>Final decision</w:t>
            </w:r>
            <w:r w:rsidR="003C79FD">
              <w:rPr>
                <w:webHidden/>
              </w:rPr>
              <w:tab/>
            </w:r>
            <w:r w:rsidR="003C79FD">
              <w:rPr>
                <w:webHidden/>
              </w:rPr>
              <w:fldChar w:fldCharType="begin"/>
            </w:r>
            <w:r w:rsidR="003C79FD">
              <w:rPr>
                <w:webHidden/>
              </w:rPr>
              <w:instrText xml:space="preserve"> PAGEREF _Toc417745438 \h </w:instrText>
            </w:r>
            <w:r w:rsidR="003C79FD">
              <w:rPr>
                <w:webHidden/>
              </w:rPr>
            </w:r>
            <w:r w:rsidR="003C79FD">
              <w:rPr>
                <w:webHidden/>
              </w:rPr>
              <w:fldChar w:fldCharType="separate"/>
            </w:r>
            <w:r w:rsidR="00DA202F">
              <w:rPr>
                <w:webHidden/>
              </w:rPr>
              <w:t>7-6</w:t>
            </w:r>
            <w:r w:rsidR="003C79FD">
              <w:rPr>
                <w:webHidden/>
              </w:rPr>
              <w:fldChar w:fldCharType="end"/>
            </w:r>
          </w:hyperlink>
        </w:p>
        <w:p w:rsidR="003C79FD" w:rsidRDefault="00053B26">
          <w:pPr>
            <w:pStyle w:val="TOC2"/>
            <w:rPr>
              <w:rFonts w:asciiTheme="minorHAnsi" w:eastAsiaTheme="minorEastAsia" w:hAnsiTheme="minorHAnsi"/>
              <w:b w:val="0"/>
              <w:color w:val="auto"/>
              <w:sz w:val="22"/>
              <w:lang w:eastAsia="en-AU"/>
            </w:rPr>
          </w:pPr>
          <w:hyperlink w:anchor="_Toc417745439" w:history="1">
            <w:r w:rsidR="003C79FD" w:rsidRPr="00CF08D2">
              <w:rPr>
                <w:rStyle w:val="Hyperlink"/>
              </w:rPr>
              <w:t>7.2</w:t>
            </w:r>
            <w:r w:rsidR="003C79FD">
              <w:rPr>
                <w:rFonts w:asciiTheme="minorHAnsi" w:eastAsiaTheme="minorEastAsia" w:hAnsiTheme="minorHAnsi"/>
                <w:b w:val="0"/>
                <w:color w:val="auto"/>
                <w:sz w:val="22"/>
                <w:lang w:eastAsia="en-AU"/>
              </w:rPr>
              <w:tab/>
            </w:r>
            <w:r w:rsidR="003C79FD" w:rsidRPr="00CF08D2">
              <w:rPr>
                <w:rStyle w:val="Hyperlink"/>
              </w:rPr>
              <w:t>Directlink’s revised proposal</w:t>
            </w:r>
            <w:r w:rsidR="003C79FD">
              <w:rPr>
                <w:webHidden/>
              </w:rPr>
              <w:tab/>
            </w:r>
            <w:r w:rsidR="003C79FD">
              <w:rPr>
                <w:webHidden/>
              </w:rPr>
              <w:fldChar w:fldCharType="begin"/>
            </w:r>
            <w:r w:rsidR="003C79FD">
              <w:rPr>
                <w:webHidden/>
              </w:rPr>
              <w:instrText xml:space="preserve"> PAGEREF _Toc417745439 \h </w:instrText>
            </w:r>
            <w:r w:rsidR="003C79FD">
              <w:rPr>
                <w:webHidden/>
              </w:rPr>
            </w:r>
            <w:r w:rsidR="003C79FD">
              <w:rPr>
                <w:webHidden/>
              </w:rPr>
              <w:fldChar w:fldCharType="separate"/>
            </w:r>
            <w:r w:rsidR="00DA202F">
              <w:rPr>
                <w:webHidden/>
              </w:rPr>
              <w:t>7-7</w:t>
            </w:r>
            <w:r w:rsidR="003C79FD">
              <w:rPr>
                <w:webHidden/>
              </w:rPr>
              <w:fldChar w:fldCharType="end"/>
            </w:r>
          </w:hyperlink>
        </w:p>
        <w:p w:rsidR="003C79FD" w:rsidRDefault="00053B26">
          <w:pPr>
            <w:pStyle w:val="TOC2"/>
            <w:rPr>
              <w:rFonts w:asciiTheme="minorHAnsi" w:eastAsiaTheme="minorEastAsia" w:hAnsiTheme="minorHAnsi"/>
              <w:b w:val="0"/>
              <w:color w:val="auto"/>
              <w:sz w:val="22"/>
              <w:lang w:eastAsia="en-AU"/>
            </w:rPr>
          </w:pPr>
          <w:hyperlink w:anchor="_Toc417745440" w:history="1">
            <w:r w:rsidR="003C79FD" w:rsidRPr="00CF08D2">
              <w:rPr>
                <w:rStyle w:val="Hyperlink"/>
              </w:rPr>
              <w:t>7.3</w:t>
            </w:r>
            <w:r w:rsidR="003C79FD">
              <w:rPr>
                <w:rFonts w:asciiTheme="minorHAnsi" w:eastAsiaTheme="minorEastAsia" w:hAnsiTheme="minorHAnsi"/>
                <w:b w:val="0"/>
                <w:color w:val="auto"/>
                <w:sz w:val="22"/>
                <w:lang w:eastAsia="en-AU"/>
              </w:rPr>
              <w:tab/>
            </w:r>
            <w:r w:rsidR="003C79FD" w:rsidRPr="00CF08D2">
              <w:rPr>
                <w:rStyle w:val="Hyperlink"/>
              </w:rPr>
              <w:t>AER’s assessment approach</w:t>
            </w:r>
            <w:r w:rsidR="003C79FD">
              <w:rPr>
                <w:webHidden/>
              </w:rPr>
              <w:tab/>
            </w:r>
            <w:r w:rsidR="003C79FD">
              <w:rPr>
                <w:webHidden/>
              </w:rPr>
              <w:fldChar w:fldCharType="begin"/>
            </w:r>
            <w:r w:rsidR="003C79FD">
              <w:rPr>
                <w:webHidden/>
              </w:rPr>
              <w:instrText xml:space="preserve"> PAGEREF _Toc417745440 \h </w:instrText>
            </w:r>
            <w:r w:rsidR="003C79FD">
              <w:rPr>
                <w:webHidden/>
              </w:rPr>
            </w:r>
            <w:r w:rsidR="003C79FD">
              <w:rPr>
                <w:webHidden/>
              </w:rPr>
              <w:fldChar w:fldCharType="separate"/>
            </w:r>
            <w:r w:rsidR="00DA202F">
              <w:rPr>
                <w:webHidden/>
              </w:rPr>
              <w:t>7-8</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1" w:history="1">
            <w:r w:rsidR="003C79FD" w:rsidRPr="00CF08D2">
              <w:rPr>
                <w:rStyle w:val="Hyperlink"/>
              </w:rPr>
              <w:t>7.3.1</w:t>
            </w:r>
            <w:r w:rsidR="003C79FD">
              <w:rPr>
                <w:rFonts w:asciiTheme="minorHAnsi" w:eastAsiaTheme="minorEastAsia" w:hAnsiTheme="minorHAnsi"/>
                <w:lang w:eastAsia="en-AU"/>
              </w:rPr>
              <w:tab/>
            </w:r>
            <w:r w:rsidR="003C79FD" w:rsidRPr="00CF08D2">
              <w:rPr>
                <w:rStyle w:val="Hyperlink"/>
              </w:rPr>
              <w:t>The Expenditure Forecast Assessment Guideline</w:t>
            </w:r>
            <w:r w:rsidR="003C79FD">
              <w:rPr>
                <w:webHidden/>
              </w:rPr>
              <w:tab/>
            </w:r>
            <w:r w:rsidR="003C79FD">
              <w:rPr>
                <w:webHidden/>
              </w:rPr>
              <w:fldChar w:fldCharType="begin"/>
            </w:r>
            <w:r w:rsidR="003C79FD">
              <w:rPr>
                <w:webHidden/>
              </w:rPr>
              <w:instrText xml:space="preserve"> PAGEREF _Toc417745441 \h </w:instrText>
            </w:r>
            <w:r w:rsidR="003C79FD">
              <w:rPr>
                <w:webHidden/>
              </w:rPr>
            </w:r>
            <w:r w:rsidR="003C79FD">
              <w:rPr>
                <w:webHidden/>
              </w:rPr>
              <w:fldChar w:fldCharType="separate"/>
            </w:r>
            <w:r w:rsidR="00DA202F">
              <w:rPr>
                <w:webHidden/>
              </w:rPr>
              <w:t>7-9</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2" w:history="1">
            <w:r w:rsidR="003C79FD" w:rsidRPr="00CF08D2">
              <w:rPr>
                <w:rStyle w:val="Hyperlink"/>
              </w:rPr>
              <w:t>7.3.2</w:t>
            </w:r>
            <w:r w:rsidR="003C79FD">
              <w:rPr>
                <w:rFonts w:asciiTheme="minorHAnsi" w:eastAsiaTheme="minorEastAsia" w:hAnsiTheme="minorHAnsi"/>
                <w:lang w:eastAsia="en-AU"/>
              </w:rPr>
              <w:tab/>
            </w:r>
            <w:r w:rsidR="003C79FD" w:rsidRPr="00CF08D2">
              <w:rPr>
                <w:rStyle w:val="Hyperlink"/>
              </w:rPr>
              <w:t>Building an alternative estimate of total forecast opex</w:t>
            </w:r>
            <w:r w:rsidR="003C79FD">
              <w:rPr>
                <w:webHidden/>
              </w:rPr>
              <w:tab/>
            </w:r>
            <w:r w:rsidR="003C79FD">
              <w:rPr>
                <w:webHidden/>
              </w:rPr>
              <w:fldChar w:fldCharType="begin"/>
            </w:r>
            <w:r w:rsidR="003C79FD">
              <w:rPr>
                <w:webHidden/>
              </w:rPr>
              <w:instrText xml:space="preserve"> PAGEREF _Toc417745442 \h </w:instrText>
            </w:r>
            <w:r w:rsidR="003C79FD">
              <w:rPr>
                <w:webHidden/>
              </w:rPr>
            </w:r>
            <w:r w:rsidR="003C79FD">
              <w:rPr>
                <w:webHidden/>
              </w:rPr>
              <w:fldChar w:fldCharType="separate"/>
            </w:r>
            <w:r w:rsidR="00DA202F">
              <w:rPr>
                <w:webHidden/>
              </w:rPr>
              <w:t>7-11</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3" w:history="1">
            <w:r w:rsidR="003C79FD" w:rsidRPr="00CF08D2">
              <w:rPr>
                <w:rStyle w:val="Hyperlink"/>
              </w:rPr>
              <w:t>7.3.3</w:t>
            </w:r>
            <w:r w:rsidR="003C79FD">
              <w:rPr>
                <w:rFonts w:asciiTheme="minorHAnsi" w:eastAsiaTheme="minorEastAsia" w:hAnsiTheme="minorHAnsi"/>
                <w:lang w:eastAsia="en-AU"/>
              </w:rPr>
              <w:tab/>
            </w:r>
            <w:r w:rsidR="003C79FD" w:rsidRPr="00CF08D2">
              <w:rPr>
                <w:rStyle w:val="Hyperlink"/>
              </w:rPr>
              <w:t>Comparing the service provider's proposal with our estimate</w:t>
            </w:r>
            <w:r w:rsidR="003C79FD">
              <w:rPr>
                <w:webHidden/>
              </w:rPr>
              <w:tab/>
            </w:r>
            <w:r w:rsidR="003C79FD">
              <w:rPr>
                <w:webHidden/>
              </w:rPr>
              <w:fldChar w:fldCharType="begin"/>
            </w:r>
            <w:r w:rsidR="003C79FD">
              <w:rPr>
                <w:webHidden/>
              </w:rPr>
              <w:instrText xml:space="preserve"> PAGEREF _Toc417745443 \h </w:instrText>
            </w:r>
            <w:r w:rsidR="003C79FD">
              <w:rPr>
                <w:webHidden/>
              </w:rPr>
            </w:r>
            <w:r w:rsidR="003C79FD">
              <w:rPr>
                <w:webHidden/>
              </w:rPr>
              <w:fldChar w:fldCharType="separate"/>
            </w:r>
            <w:r w:rsidR="00DA202F">
              <w:rPr>
                <w:webHidden/>
              </w:rPr>
              <w:t>7-11</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4" w:history="1">
            <w:r w:rsidR="003C79FD" w:rsidRPr="00CF08D2">
              <w:rPr>
                <w:rStyle w:val="Hyperlink"/>
              </w:rPr>
              <w:t>7.3.4</w:t>
            </w:r>
            <w:r w:rsidR="003C79FD">
              <w:rPr>
                <w:rFonts w:asciiTheme="minorHAnsi" w:eastAsiaTheme="minorEastAsia" w:hAnsiTheme="minorHAnsi"/>
                <w:lang w:eastAsia="en-AU"/>
              </w:rPr>
              <w:tab/>
            </w:r>
            <w:r w:rsidR="003C79FD" w:rsidRPr="00CF08D2">
              <w:rPr>
                <w:rStyle w:val="Hyperlink"/>
              </w:rPr>
              <w:t>A summary of the opex factors and how we take them into account</w:t>
            </w:r>
            <w:r w:rsidR="003C79FD">
              <w:rPr>
                <w:webHidden/>
              </w:rPr>
              <w:tab/>
            </w:r>
            <w:r w:rsidR="003C79FD">
              <w:rPr>
                <w:webHidden/>
              </w:rPr>
              <w:fldChar w:fldCharType="begin"/>
            </w:r>
            <w:r w:rsidR="003C79FD">
              <w:rPr>
                <w:webHidden/>
              </w:rPr>
              <w:instrText xml:space="preserve"> PAGEREF _Toc417745444 \h </w:instrText>
            </w:r>
            <w:r w:rsidR="003C79FD">
              <w:rPr>
                <w:webHidden/>
              </w:rPr>
            </w:r>
            <w:r w:rsidR="003C79FD">
              <w:rPr>
                <w:webHidden/>
              </w:rPr>
              <w:fldChar w:fldCharType="separate"/>
            </w:r>
            <w:r w:rsidR="00DA202F">
              <w:rPr>
                <w:webHidden/>
              </w:rPr>
              <w:t>7-12</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5" w:history="1">
            <w:r w:rsidR="003C79FD" w:rsidRPr="00CF08D2">
              <w:rPr>
                <w:rStyle w:val="Hyperlink"/>
              </w:rPr>
              <w:t>7.3.5</w:t>
            </w:r>
            <w:r w:rsidR="003C79FD">
              <w:rPr>
                <w:rFonts w:asciiTheme="minorHAnsi" w:eastAsiaTheme="minorEastAsia" w:hAnsiTheme="minorHAnsi"/>
                <w:lang w:eastAsia="en-AU"/>
              </w:rPr>
              <w:tab/>
            </w:r>
            <w:r w:rsidR="003C79FD" w:rsidRPr="00CF08D2">
              <w:rPr>
                <w:rStyle w:val="Hyperlink"/>
              </w:rPr>
              <w:t>Interrelationships</w:t>
            </w:r>
            <w:r w:rsidR="003C79FD">
              <w:rPr>
                <w:webHidden/>
              </w:rPr>
              <w:tab/>
            </w:r>
            <w:r w:rsidR="003C79FD">
              <w:rPr>
                <w:webHidden/>
              </w:rPr>
              <w:fldChar w:fldCharType="begin"/>
            </w:r>
            <w:r w:rsidR="003C79FD">
              <w:rPr>
                <w:webHidden/>
              </w:rPr>
              <w:instrText xml:space="preserve"> PAGEREF _Toc417745445 \h </w:instrText>
            </w:r>
            <w:r w:rsidR="003C79FD">
              <w:rPr>
                <w:webHidden/>
              </w:rPr>
            </w:r>
            <w:r w:rsidR="003C79FD">
              <w:rPr>
                <w:webHidden/>
              </w:rPr>
              <w:fldChar w:fldCharType="separate"/>
            </w:r>
            <w:r w:rsidR="00DA202F">
              <w:rPr>
                <w:webHidden/>
              </w:rPr>
              <w:t>7-14</w:t>
            </w:r>
            <w:r w:rsidR="003C79FD">
              <w:rPr>
                <w:webHidden/>
              </w:rPr>
              <w:fldChar w:fldCharType="end"/>
            </w:r>
          </w:hyperlink>
        </w:p>
        <w:p w:rsidR="003C79FD" w:rsidRDefault="00053B26">
          <w:pPr>
            <w:pStyle w:val="TOC2"/>
            <w:rPr>
              <w:rFonts w:asciiTheme="minorHAnsi" w:eastAsiaTheme="minorEastAsia" w:hAnsiTheme="minorHAnsi"/>
              <w:b w:val="0"/>
              <w:color w:val="auto"/>
              <w:sz w:val="22"/>
              <w:lang w:eastAsia="en-AU"/>
            </w:rPr>
          </w:pPr>
          <w:hyperlink w:anchor="_Toc417745446" w:history="1">
            <w:r w:rsidR="003C79FD" w:rsidRPr="00CF08D2">
              <w:rPr>
                <w:rStyle w:val="Hyperlink"/>
              </w:rPr>
              <w:t>7.4</w:t>
            </w:r>
            <w:r w:rsidR="003C79FD">
              <w:rPr>
                <w:rFonts w:asciiTheme="minorHAnsi" w:eastAsiaTheme="minorEastAsia" w:hAnsiTheme="minorHAnsi"/>
                <w:b w:val="0"/>
                <w:color w:val="auto"/>
                <w:sz w:val="22"/>
                <w:lang w:eastAsia="en-AU"/>
              </w:rPr>
              <w:tab/>
            </w:r>
            <w:r w:rsidR="003C79FD" w:rsidRPr="00CF08D2">
              <w:rPr>
                <w:rStyle w:val="Hyperlink"/>
              </w:rPr>
              <w:t>Reasons for final decision</w:t>
            </w:r>
            <w:r w:rsidR="003C79FD">
              <w:rPr>
                <w:webHidden/>
              </w:rPr>
              <w:tab/>
            </w:r>
            <w:r w:rsidR="003C79FD">
              <w:rPr>
                <w:webHidden/>
              </w:rPr>
              <w:fldChar w:fldCharType="begin"/>
            </w:r>
            <w:r w:rsidR="003C79FD">
              <w:rPr>
                <w:webHidden/>
              </w:rPr>
              <w:instrText xml:space="preserve"> PAGEREF _Toc417745446 \h </w:instrText>
            </w:r>
            <w:r w:rsidR="003C79FD">
              <w:rPr>
                <w:webHidden/>
              </w:rPr>
            </w:r>
            <w:r w:rsidR="003C79FD">
              <w:rPr>
                <w:webHidden/>
              </w:rPr>
              <w:fldChar w:fldCharType="separate"/>
            </w:r>
            <w:r w:rsidR="00DA202F">
              <w:rPr>
                <w:webHidden/>
              </w:rPr>
              <w:t>7-14</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7" w:history="1">
            <w:r w:rsidR="003C79FD" w:rsidRPr="00CF08D2">
              <w:rPr>
                <w:rStyle w:val="Hyperlink"/>
              </w:rPr>
              <w:t>7.4.1</w:t>
            </w:r>
            <w:r w:rsidR="003C79FD">
              <w:rPr>
                <w:rFonts w:asciiTheme="minorHAnsi" w:eastAsiaTheme="minorEastAsia" w:hAnsiTheme="minorHAnsi"/>
                <w:lang w:eastAsia="en-AU"/>
              </w:rPr>
              <w:tab/>
            </w:r>
            <w:r w:rsidR="003C79FD" w:rsidRPr="00CF08D2">
              <w:rPr>
                <w:rStyle w:val="Hyperlink"/>
              </w:rPr>
              <w:t>Forecasting method</w:t>
            </w:r>
            <w:r w:rsidR="003C79FD">
              <w:rPr>
                <w:webHidden/>
              </w:rPr>
              <w:tab/>
            </w:r>
            <w:r w:rsidR="003C79FD">
              <w:rPr>
                <w:webHidden/>
              </w:rPr>
              <w:fldChar w:fldCharType="begin"/>
            </w:r>
            <w:r w:rsidR="003C79FD">
              <w:rPr>
                <w:webHidden/>
              </w:rPr>
              <w:instrText xml:space="preserve"> PAGEREF _Toc417745447 \h </w:instrText>
            </w:r>
            <w:r w:rsidR="003C79FD">
              <w:rPr>
                <w:webHidden/>
              </w:rPr>
            </w:r>
            <w:r w:rsidR="003C79FD">
              <w:rPr>
                <w:webHidden/>
              </w:rPr>
              <w:fldChar w:fldCharType="separate"/>
            </w:r>
            <w:r w:rsidR="00DA202F">
              <w:rPr>
                <w:webHidden/>
              </w:rPr>
              <w:t>7-16</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8" w:history="1">
            <w:r w:rsidR="003C79FD" w:rsidRPr="00CF08D2">
              <w:rPr>
                <w:rStyle w:val="Hyperlink"/>
              </w:rPr>
              <w:t>7.4.2</w:t>
            </w:r>
            <w:r w:rsidR="003C79FD">
              <w:rPr>
                <w:rFonts w:asciiTheme="minorHAnsi" w:eastAsiaTheme="minorEastAsia" w:hAnsiTheme="minorHAnsi"/>
                <w:lang w:eastAsia="en-AU"/>
              </w:rPr>
              <w:tab/>
            </w:r>
            <w:r w:rsidR="003C79FD" w:rsidRPr="00CF08D2">
              <w:rPr>
                <w:rStyle w:val="Hyperlink"/>
              </w:rPr>
              <w:t>Operating and maintenance costs</w:t>
            </w:r>
            <w:r w:rsidR="003C79FD">
              <w:rPr>
                <w:webHidden/>
              </w:rPr>
              <w:tab/>
            </w:r>
            <w:r w:rsidR="003C79FD">
              <w:rPr>
                <w:webHidden/>
              </w:rPr>
              <w:fldChar w:fldCharType="begin"/>
            </w:r>
            <w:r w:rsidR="003C79FD">
              <w:rPr>
                <w:webHidden/>
              </w:rPr>
              <w:instrText xml:space="preserve"> PAGEREF _Toc417745448 \h </w:instrText>
            </w:r>
            <w:r w:rsidR="003C79FD">
              <w:rPr>
                <w:webHidden/>
              </w:rPr>
            </w:r>
            <w:r w:rsidR="003C79FD">
              <w:rPr>
                <w:webHidden/>
              </w:rPr>
              <w:fldChar w:fldCharType="separate"/>
            </w:r>
            <w:r w:rsidR="00DA202F">
              <w:rPr>
                <w:webHidden/>
              </w:rPr>
              <w:t>7-16</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49" w:history="1">
            <w:r w:rsidR="003C79FD" w:rsidRPr="00CF08D2">
              <w:rPr>
                <w:rStyle w:val="Hyperlink"/>
              </w:rPr>
              <w:t>7.4.3</w:t>
            </w:r>
            <w:r w:rsidR="003C79FD">
              <w:rPr>
                <w:rFonts w:asciiTheme="minorHAnsi" w:eastAsiaTheme="minorEastAsia" w:hAnsiTheme="minorHAnsi"/>
                <w:lang w:eastAsia="en-AU"/>
              </w:rPr>
              <w:tab/>
            </w:r>
            <w:r w:rsidR="003C79FD" w:rsidRPr="00CF08D2">
              <w:rPr>
                <w:rStyle w:val="Hyperlink"/>
              </w:rPr>
              <w:t>Insurance costs</w:t>
            </w:r>
            <w:r w:rsidR="003C79FD">
              <w:rPr>
                <w:webHidden/>
              </w:rPr>
              <w:tab/>
            </w:r>
            <w:r w:rsidR="003C79FD">
              <w:rPr>
                <w:webHidden/>
              </w:rPr>
              <w:fldChar w:fldCharType="begin"/>
            </w:r>
            <w:r w:rsidR="003C79FD">
              <w:rPr>
                <w:webHidden/>
              </w:rPr>
              <w:instrText xml:space="preserve"> PAGEREF _Toc417745449 \h </w:instrText>
            </w:r>
            <w:r w:rsidR="003C79FD">
              <w:rPr>
                <w:webHidden/>
              </w:rPr>
            </w:r>
            <w:r w:rsidR="003C79FD">
              <w:rPr>
                <w:webHidden/>
              </w:rPr>
              <w:fldChar w:fldCharType="separate"/>
            </w:r>
            <w:r w:rsidR="00DA202F">
              <w:rPr>
                <w:webHidden/>
              </w:rPr>
              <w:t>7-23</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50" w:history="1">
            <w:r w:rsidR="003C79FD" w:rsidRPr="00CF08D2">
              <w:rPr>
                <w:rStyle w:val="Hyperlink"/>
              </w:rPr>
              <w:t>7.4.4</w:t>
            </w:r>
            <w:r w:rsidR="003C79FD">
              <w:rPr>
                <w:rFonts w:asciiTheme="minorHAnsi" w:eastAsiaTheme="minorEastAsia" w:hAnsiTheme="minorHAnsi"/>
                <w:lang w:eastAsia="en-AU"/>
              </w:rPr>
              <w:tab/>
            </w:r>
            <w:r w:rsidR="003C79FD" w:rsidRPr="00CF08D2">
              <w:rPr>
                <w:rStyle w:val="Hyperlink"/>
              </w:rPr>
              <w:t>Commercial services fee (also referred to as management fees and expenses)</w:t>
            </w:r>
            <w:r w:rsidR="003C79FD">
              <w:rPr>
                <w:webHidden/>
              </w:rPr>
              <w:tab/>
            </w:r>
            <w:r w:rsidR="003C79FD">
              <w:rPr>
                <w:webHidden/>
              </w:rPr>
              <w:fldChar w:fldCharType="begin"/>
            </w:r>
            <w:r w:rsidR="003C79FD">
              <w:rPr>
                <w:webHidden/>
              </w:rPr>
              <w:instrText xml:space="preserve"> PAGEREF _Toc417745450 \h </w:instrText>
            </w:r>
            <w:r w:rsidR="003C79FD">
              <w:rPr>
                <w:webHidden/>
              </w:rPr>
            </w:r>
            <w:r w:rsidR="003C79FD">
              <w:rPr>
                <w:webHidden/>
              </w:rPr>
              <w:fldChar w:fldCharType="separate"/>
            </w:r>
            <w:r w:rsidR="00DA202F">
              <w:rPr>
                <w:webHidden/>
              </w:rPr>
              <w:t>7-36</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51" w:history="1">
            <w:r w:rsidR="003C79FD" w:rsidRPr="00CF08D2">
              <w:rPr>
                <w:rStyle w:val="Hyperlink"/>
              </w:rPr>
              <w:t>7.4.5</w:t>
            </w:r>
            <w:r w:rsidR="003C79FD">
              <w:rPr>
                <w:rFonts w:asciiTheme="minorHAnsi" w:eastAsiaTheme="minorEastAsia" w:hAnsiTheme="minorHAnsi"/>
                <w:lang w:eastAsia="en-AU"/>
              </w:rPr>
              <w:tab/>
            </w:r>
            <w:r w:rsidR="003C79FD" w:rsidRPr="00CF08D2">
              <w:rPr>
                <w:rStyle w:val="Hyperlink"/>
              </w:rPr>
              <w:t>Margin on expenditure</w:t>
            </w:r>
            <w:r w:rsidR="003C79FD">
              <w:rPr>
                <w:webHidden/>
              </w:rPr>
              <w:tab/>
            </w:r>
            <w:r w:rsidR="003C79FD">
              <w:rPr>
                <w:webHidden/>
              </w:rPr>
              <w:fldChar w:fldCharType="begin"/>
            </w:r>
            <w:r w:rsidR="003C79FD">
              <w:rPr>
                <w:webHidden/>
              </w:rPr>
              <w:instrText xml:space="preserve"> PAGEREF _Toc417745451 \h </w:instrText>
            </w:r>
            <w:r w:rsidR="003C79FD">
              <w:rPr>
                <w:webHidden/>
              </w:rPr>
            </w:r>
            <w:r w:rsidR="003C79FD">
              <w:rPr>
                <w:webHidden/>
              </w:rPr>
              <w:fldChar w:fldCharType="separate"/>
            </w:r>
            <w:r w:rsidR="00DA202F">
              <w:rPr>
                <w:webHidden/>
              </w:rPr>
              <w:t>7-39</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52" w:history="1">
            <w:r w:rsidR="003C79FD" w:rsidRPr="00CF08D2">
              <w:rPr>
                <w:rStyle w:val="Hyperlink"/>
              </w:rPr>
              <w:t>7.4.6</w:t>
            </w:r>
            <w:r w:rsidR="003C79FD">
              <w:rPr>
                <w:rFonts w:asciiTheme="minorHAnsi" w:eastAsiaTheme="minorEastAsia" w:hAnsiTheme="minorHAnsi"/>
                <w:lang w:eastAsia="en-AU"/>
              </w:rPr>
              <w:tab/>
            </w:r>
            <w:r w:rsidR="003C79FD" w:rsidRPr="00CF08D2">
              <w:rPr>
                <w:rStyle w:val="Hyperlink"/>
              </w:rPr>
              <w:t>Other expenditure</w:t>
            </w:r>
            <w:r w:rsidR="003C79FD">
              <w:rPr>
                <w:webHidden/>
              </w:rPr>
              <w:tab/>
            </w:r>
            <w:r w:rsidR="003C79FD">
              <w:rPr>
                <w:webHidden/>
              </w:rPr>
              <w:fldChar w:fldCharType="begin"/>
            </w:r>
            <w:r w:rsidR="003C79FD">
              <w:rPr>
                <w:webHidden/>
              </w:rPr>
              <w:instrText xml:space="preserve"> PAGEREF _Toc417745452 \h </w:instrText>
            </w:r>
            <w:r w:rsidR="003C79FD">
              <w:rPr>
                <w:webHidden/>
              </w:rPr>
            </w:r>
            <w:r w:rsidR="003C79FD">
              <w:rPr>
                <w:webHidden/>
              </w:rPr>
              <w:fldChar w:fldCharType="separate"/>
            </w:r>
            <w:r w:rsidR="00DA202F">
              <w:rPr>
                <w:webHidden/>
              </w:rPr>
              <w:t>7-39</w:t>
            </w:r>
            <w:r w:rsidR="003C79FD">
              <w:rPr>
                <w:webHidden/>
              </w:rPr>
              <w:fldChar w:fldCharType="end"/>
            </w:r>
          </w:hyperlink>
        </w:p>
        <w:p w:rsidR="003C79FD" w:rsidRDefault="00053B26">
          <w:pPr>
            <w:pStyle w:val="TOC3"/>
            <w:rPr>
              <w:rFonts w:asciiTheme="minorHAnsi" w:eastAsiaTheme="minorEastAsia" w:hAnsiTheme="minorHAnsi"/>
              <w:lang w:eastAsia="en-AU"/>
            </w:rPr>
          </w:pPr>
          <w:hyperlink w:anchor="_Toc417745453" w:history="1">
            <w:r w:rsidR="003C79FD" w:rsidRPr="00CF08D2">
              <w:rPr>
                <w:rStyle w:val="Hyperlink"/>
              </w:rPr>
              <w:t>7.4.7</w:t>
            </w:r>
            <w:r w:rsidR="003C79FD">
              <w:rPr>
                <w:rFonts w:asciiTheme="minorHAnsi" w:eastAsiaTheme="minorEastAsia" w:hAnsiTheme="minorHAnsi"/>
                <w:lang w:eastAsia="en-AU"/>
              </w:rPr>
              <w:tab/>
            </w:r>
            <w:r w:rsidR="003C79FD" w:rsidRPr="00CF08D2">
              <w:rPr>
                <w:rStyle w:val="Hyperlink"/>
              </w:rPr>
              <w:t>Rate of change</w:t>
            </w:r>
            <w:r w:rsidR="003C79FD">
              <w:rPr>
                <w:webHidden/>
              </w:rPr>
              <w:tab/>
            </w:r>
            <w:r w:rsidR="003C79FD">
              <w:rPr>
                <w:webHidden/>
              </w:rPr>
              <w:fldChar w:fldCharType="begin"/>
            </w:r>
            <w:r w:rsidR="003C79FD">
              <w:rPr>
                <w:webHidden/>
              </w:rPr>
              <w:instrText xml:space="preserve"> PAGEREF _Toc417745453 \h </w:instrText>
            </w:r>
            <w:r w:rsidR="003C79FD">
              <w:rPr>
                <w:webHidden/>
              </w:rPr>
            </w:r>
            <w:r w:rsidR="003C79FD">
              <w:rPr>
                <w:webHidden/>
              </w:rPr>
              <w:fldChar w:fldCharType="separate"/>
            </w:r>
            <w:r w:rsidR="00DA202F">
              <w:rPr>
                <w:webHidden/>
              </w:rPr>
              <w:t>7-40</w:t>
            </w:r>
            <w:r w:rsidR="003C79FD">
              <w:rPr>
                <w:webHidden/>
              </w:rPr>
              <w:fldChar w:fldCharType="end"/>
            </w:r>
          </w:hyperlink>
        </w:p>
        <w:p w:rsidR="00DE563D" w:rsidRDefault="003C79FD" w:rsidP="003C79FD">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45436"/>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4E77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4771A5"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4771A5">
              <w:t xml:space="preserve">and </w:t>
            </w:r>
            <w:r w:rsidRPr="00307E24">
              <w:t>pricing principles</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4E77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4E772D">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EC51AE" w:rsidP="00EC51AE">
      <w:pPr>
        <w:pStyle w:val="Heading1"/>
      </w:pPr>
      <w:bookmarkStart w:id="10" w:name="_Toc417745437"/>
      <w:r>
        <w:lastRenderedPageBreak/>
        <w:t>Operating</w:t>
      </w:r>
      <w:r w:rsidR="00777AE0">
        <w:t xml:space="preserve"> expenditure</w:t>
      </w:r>
      <w:bookmarkEnd w:id="10"/>
    </w:p>
    <w:p w:rsidR="00DE563D" w:rsidRDefault="009A0084" w:rsidP="00AF1F9E">
      <w:r w:rsidRPr="004E17F5">
        <w:t xml:space="preserve">Operating expenditure (opex) refers to the operating, maintenance and other non-capital expenses, incurred in the provision of network services. Forecast opex for </w:t>
      </w:r>
      <w:r>
        <w:t>prescribed transmission services</w:t>
      </w:r>
      <w:r w:rsidRPr="004E17F5">
        <w:t xml:space="preserve"> is one of the building blocks we use to determine a service provider's total revenue requirement.</w:t>
      </w:r>
    </w:p>
    <w:p w:rsidR="00587431" w:rsidRPr="00AF1F9E" w:rsidRDefault="00587431" w:rsidP="00AF1F9E">
      <w:r>
        <w:t>T</w:t>
      </w:r>
      <w:r w:rsidRPr="006D46CA">
        <w:t xml:space="preserve">he total opex </w:t>
      </w:r>
      <w:r>
        <w:t>presented</w:t>
      </w:r>
      <w:r w:rsidRPr="006D46CA">
        <w:t xml:space="preserve"> in th</w:t>
      </w:r>
      <w:r>
        <w:t>is</w:t>
      </w:r>
      <w:r w:rsidRPr="006D46CA">
        <w:t xml:space="preserve"> attachment </w:t>
      </w:r>
      <w:r>
        <w:t>is</w:t>
      </w:r>
      <w:r w:rsidRPr="006D46CA">
        <w:t xml:space="preserve"> exclusive of </w:t>
      </w:r>
      <w:r>
        <w:t>debt raising costs</w:t>
      </w:r>
      <w:r w:rsidRPr="006D46CA">
        <w:t>.</w:t>
      </w:r>
      <w:r>
        <w:t xml:space="preserve"> W</w:t>
      </w:r>
      <w:r w:rsidRPr="006D46CA">
        <w:t xml:space="preserve">e </w:t>
      </w:r>
      <w:r>
        <w:t xml:space="preserve">have included $0.3 million for the 2015-20 </w:t>
      </w:r>
      <w:r w:rsidR="000274DA">
        <w:t xml:space="preserve">regulatory control </w:t>
      </w:r>
      <w:r>
        <w:t xml:space="preserve">period for debt raising costs (see </w:t>
      </w:r>
      <w:r w:rsidR="000274DA">
        <w:t>A</w:t>
      </w:r>
      <w:r>
        <w:t>ttachment 3).</w:t>
      </w:r>
    </w:p>
    <w:p w:rsidR="00DE563D" w:rsidRPr="00AF1F9E" w:rsidRDefault="00AF1F9E" w:rsidP="00AF1F9E">
      <w:pPr>
        <w:pStyle w:val="Heading2"/>
      </w:pPr>
      <w:bookmarkStart w:id="11" w:name="_Toc403144136"/>
      <w:bookmarkStart w:id="12" w:name="_Toc417745438"/>
      <w:r>
        <w:t>Final</w:t>
      </w:r>
      <w:r w:rsidR="00DE563D" w:rsidRPr="00AF1F9E">
        <w:t xml:space="preserve"> decision</w:t>
      </w:r>
      <w:bookmarkEnd w:id="11"/>
      <w:bookmarkEnd w:id="12"/>
    </w:p>
    <w:p w:rsidR="00F665D1" w:rsidRDefault="00F665D1" w:rsidP="00F665D1">
      <w:pPr>
        <w:numPr>
          <w:ilvl w:val="0"/>
          <w:numId w:val="25"/>
        </w:numPr>
      </w:pPr>
      <w:r w:rsidRPr="004E17F5">
        <w:t xml:space="preserve">We are not satisfied that </w:t>
      </w:r>
      <w:r>
        <w:t>Directlink</w:t>
      </w:r>
      <w:r w:rsidRPr="004E17F5">
        <w:t xml:space="preserve">'s forecast </w:t>
      </w:r>
      <w:r w:rsidR="00641F84">
        <w:t>t</w:t>
      </w:r>
      <w:r w:rsidR="00F7043E">
        <w:t xml:space="preserve">otal </w:t>
      </w:r>
      <w:r w:rsidRPr="004E17F5">
        <w:t xml:space="preserve">opex </w:t>
      </w:r>
      <w:r w:rsidR="00F7043E">
        <w:t>of $</w:t>
      </w:r>
      <w:r w:rsidR="002C0256">
        <w:t>18.5</w:t>
      </w:r>
      <w:r w:rsidR="00F7043E">
        <w:t xml:space="preserve"> million</w:t>
      </w:r>
      <w:r w:rsidR="00587431">
        <w:rPr>
          <w:rStyle w:val="FootnoteReference"/>
        </w:rPr>
        <w:footnoteReference w:id="1"/>
      </w:r>
      <w:r w:rsidR="00F7043E">
        <w:t xml:space="preserve"> for the 2015-20 </w:t>
      </w:r>
      <w:r w:rsidR="00C91946">
        <w:t xml:space="preserve">regulatory control </w:t>
      </w:r>
      <w:r w:rsidR="00F7043E">
        <w:t xml:space="preserve">period </w:t>
      </w:r>
      <w:r w:rsidRPr="004E17F5">
        <w:t>reasonably reflects the opex criteria.</w:t>
      </w:r>
      <w:r>
        <w:rPr>
          <w:rStyle w:val="FootnoteReference"/>
        </w:rPr>
        <w:footnoteReference w:id="2"/>
      </w:r>
      <w:r w:rsidRPr="00602DD7">
        <w:t xml:space="preserve"> </w:t>
      </w:r>
      <w:r w:rsidRPr="004E17F5">
        <w:t xml:space="preserve"> We therefore have not ac</w:t>
      </w:r>
      <w:r>
        <w:t>cepted the forecast opex Directlink</w:t>
      </w:r>
      <w:r w:rsidRPr="004E17F5">
        <w:t xml:space="preserve"> has included in its building block proposal.</w:t>
      </w:r>
      <w:r>
        <w:rPr>
          <w:rStyle w:val="FootnoteReference"/>
        </w:rPr>
        <w:footnoteReference w:id="3"/>
      </w:r>
      <w:r>
        <w:t xml:space="preserve"> </w:t>
      </w:r>
      <w:r w:rsidRPr="004E17F5">
        <w:t xml:space="preserve">  Our </w:t>
      </w:r>
      <w:r>
        <w:t>substitute</w:t>
      </w:r>
      <w:r w:rsidRPr="004E17F5">
        <w:t xml:space="preserve"> estimate of </w:t>
      </w:r>
      <w:r w:rsidR="00F7043E">
        <w:t>$</w:t>
      </w:r>
      <w:r w:rsidR="002C0256">
        <w:t>17.</w:t>
      </w:r>
      <w:r w:rsidR="002B389E">
        <w:t>7</w:t>
      </w:r>
      <w:r w:rsidR="00F7043E">
        <w:t xml:space="preserve"> million</w:t>
      </w:r>
      <w:r w:rsidRPr="004E17F5">
        <w:t>, which we consider reasonably reflects the opex criteria, is outlined in</w:t>
      </w:r>
      <w:r>
        <w:t xml:space="preserve"> </w:t>
      </w:r>
      <w:r w:rsidR="00547FC6">
        <w:fldChar w:fldCharType="begin"/>
      </w:r>
      <w:r w:rsidR="00547FC6">
        <w:instrText xml:space="preserve"> REF _Ref409694068 \h </w:instrText>
      </w:r>
      <w:r w:rsidR="00547FC6">
        <w:fldChar w:fldCharType="separate"/>
      </w:r>
      <w:r w:rsidR="00020BF5">
        <w:t xml:space="preserve">Table </w:t>
      </w:r>
      <w:r w:rsidR="00020BF5">
        <w:rPr>
          <w:noProof/>
        </w:rPr>
        <w:t>7</w:t>
      </w:r>
      <w:r w:rsidR="00020BF5">
        <w:noBreakHyphen/>
      </w:r>
      <w:r w:rsidR="00020BF5">
        <w:rPr>
          <w:noProof/>
        </w:rPr>
        <w:t>1</w:t>
      </w:r>
      <w:r w:rsidR="00547FC6">
        <w:fldChar w:fldCharType="end"/>
      </w:r>
      <w:r>
        <w:t>.</w:t>
      </w:r>
      <w:r>
        <w:rPr>
          <w:rStyle w:val="FootnoteReference"/>
        </w:rPr>
        <w:footnoteReference w:id="4"/>
      </w:r>
    </w:p>
    <w:p w:rsidR="00F665D1" w:rsidRDefault="00F665D1" w:rsidP="00F665D1">
      <w:pPr>
        <w:pStyle w:val="Caption"/>
      </w:pPr>
      <w:bookmarkStart w:id="13" w:name="_Ref409694068"/>
      <w:r>
        <w:t xml:space="preserve">Table </w:t>
      </w:r>
      <w:fldSimple w:instr=" STYLEREF 1 \s ">
        <w:r w:rsidR="00020BF5">
          <w:rPr>
            <w:noProof/>
          </w:rPr>
          <w:t>7</w:t>
        </w:r>
      </w:fldSimple>
      <w:r w:rsidR="00337764">
        <w:noBreakHyphen/>
      </w:r>
      <w:fldSimple w:instr=" SEQ Table \* ARABIC \s 1 ">
        <w:r w:rsidR="00020BF5">
          <w:rPr>
            <w:noProof/>
          </w:rPr>
          <w:t>1</w:t>
        </w:r>
      </w:fldSimple>
      <w:bookmarkEnd w:id="13"/>
      <w:r>
        <w:tab/>
      </w:r>
      <w:bookmarkStart w:id="14" w:name="_Ref388280805"/>
      <w:r>
        <w:t>AER final decision on Directlink's total opex</w:t>
      </w:r>
      <w:r w:rsidR="00587431" w:rsidRPr="006D46CA">
        <w:rPr>
          <w:rStyle w:val="AERsuperscript"/>
        </w:rPr>
        <w:t>(a)</w:t>
      </w:r>
      <w:r>
        <w:t xml:space="preserve"> ($million 2014–15)</w:t>
      </w:r>
      <w:bookmarkEnd w:id="14"/>
    </w:p>
    <w:tbl>
      <w:tblPr>
        <w:tblStyle w:val="AERtable-numbers"/>
        <w:tblW w:w="0" w:type="auto"/>
        <w:tblLook w:val="04A0" w:firstRow="1" w:lastRow="0" w:firstColumn="1" w:lastColumn="0" w:noHBand="0" w:noVBand="1"/>
      </w:tblPr>
      <w:tblGrid>
        <w:gridCol w:w="1906"/>
        <w:gridCol w:w="1131"/>
        <w:gridCol w:w="1131"/>
        <w:gridCol w:w="1131"/>
        <w:gridCol w:w="1131"/>
        <w:gridCol w:w="1131"/>
        <w:gridCol w:w="1132"/>
      </w:tblGrid>
      <w:tr w:rsidR="00F665D1" w:rsidTr="00795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F665D1" w:rsidRDefault="00F665D1" w:rsidP="00F665D1">
            <w:pPr>
              <w:pStyle w:val="AERtabletextleft"/>
            </w:pPr>
          </w:p>
        </w:tc>
        <w:tc>
          <w:tcPr>
            <w:tcW w:w="1131" w:type="dxa"/>
          </w:tcPr>
          <w:p w:rsidR="00F665D1" w:rsidRPr="00F665D1" w:rsidRDefault="00F665D1" w:rsidP="00F665D1">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31" w:type="dxa"/>
          </w:tcPr>
          <w:p w:rsidR="00F665D1" w:rsidRPr="00F665D1" w:rsidRDefault="00F665D1" w:rsidP="00F665D1">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31" w:type="dxa"/>
          </w:tcPr>
          <w:p w:rsidR="00F665D1" w:rsidRPr="00F665D1" w:rsidRDefault="00F665D1" w:rsidP="00F665D1">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31" w:type="dxa"/>
          </w:tcPr>
          <w:p w:rsidR="00F665D1" w:rsidRPr="00F665D1" w:rsidRDefault="00F665D1" w:rsidP="00F665D1">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31" w:type="dxa"/>
          </w:tcPr>
          <w:p w:rsidR="00F665D1" w:rsidRPr="00F665D1" w:rsidRDefault="00F665D1" w:rsidP="00F665D1">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132" w:type="dxa"/>
          </w:tcPr>
          <w:p w:rsidR="00F665D1" w:rsidRPr="00F665D1" w:rsidRDefault="00F665D1" w:rsidP="00F665D1">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2B389E" w:rsidTr="00795F63">
        <w:tc>
          <w:tcPr>
            <w:cnfStyle w:val="001000000000" w:firstRow="0" w:lastRow="0" w:firstColumn="1" w:lastColumn="0" w:oddVBand="0" w:evenVBand="0" w:oddHBand="0" w:evenHBand="0" w:firstRowFirstColumn="0" w:firstRowLastColumn="0" w:lastRowFirstColumn="0" w:lastRowLastColumn="0"/>
            <w:tcW w:w="1906" w:type="dxa"/>
          </w:tcPr>
          <w:p w:rsidR="002B389E" w:rsidRPr="002B389E" w:rsidRDefault="002B389E" w:rsidP="002B389E">
            <w:pPr>
              <w:pStyle w:val="AERtabletextleft"/>
            </w:pPr>
            <w:r w:rsidRPr="002B389E">
              <w:t>Directlink's revised opex proposal</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4.3</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3.6</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3.6</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w:t>
            </w:r>
          </w:p>
        </w:tc>
        <w:tc>
          <w:tcPr>
            <w:tcW w:w="113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18.5</w:t>
            </w:r>
          </w:p>
        </w:tc>
      </w:tr>
      <w:tr w:rsidR="002B389E" w:rsidTr="00795F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2B389E" w:rsidRPr="002B389E" w:rsidRDefault="002B389E" w:rsidP="002B389E">
            <w:pPr>
              <w:pStyle w:val="AERtabletextleft"/>
            </w:pPr>
            <w:r w:rsidRPr="002B389E">
              <w:t>Directlink's revised opex and cable replacement program proposal</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5.9</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5.2</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5.3</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5.2</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5.2</w:t>
            </w:r>
          </w:p>
        </w:tc>
        <w:tc>
          <w:tcPr>
            <w:tcW w:w="113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26.7</w:t>
            </w:r>
          </w:p>
        </w:tc>
      </w:tr>
      <w:tr w:rsidR="002B389E" w:rsidTr="00795F63">
        <w:tc>
          <w:tcPr>
            <w:cnfStyle w:val="001000000000" w:firstRow="0" w:lastRow="0" w:firstColumn="1" w:lastColumn="0" w:oddVBand="0" w:evenVBand="0" w:oddHBand="0" w:evenHBand="0" w:firstRowFirstColumn="0" w:firstRowLastColumn="0" w:lastRowFirstColumn="0" w:lastRowLastColumn="0"/>
            <w:tcW w:w="1906" w:type="dxa"/>
          </w:tcPr>
          <w:p w:rsidR="002B389E" w:rsidRPr="002B389E" w:rsidRDefault="002B389E" w:rsidP="00587431">
            <w:pPr>
              <w:pStyle w:val="AERtabletextleft"/>
            </w:pPr>
            <w:r w:rsidRPr="002B389E">
              <w:t>AER final decision</w:t>
            </w:r>
            <w:r w:rsidRPr="002B389E">
              <w:rPr>
                <w:rStyle w:val="AERsuperscript"/>
              </w:rPr>
              <w:t>(</w:t>
            </w:r>
            <w:r w:rsidR="00587431">
              <w:rPr>
                <w:rStyle w:val="AERsuperscript"/>
              </w:rPr>
              <w:t>b</w:t>
            </w:r>
            <w:r w:rsidRPr="002B389E">
              <w:rPr>
                <w:rStyle w:val="AERsuperscript"/>
              </w:rPr>
              <w:t>)</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4.1</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w:t>
            </w:r>
          </w:p>
        </w:tc>
        <w:tc>
          <w:tcPr>
            <w:tcW w:w="113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17.7</w:t>
            </w:r>
          </w:p>
        </w:tc>
      </w:tr>
      <w:tr w:rsidR="002B389E" w:rsidTr="00795F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2B389E" w:rsidRPr="002B389E" w:rsidRDefault="002B389E" w:rsidP="002B389E">
            <w:pPr>
              <w:pStyle w:val="AERtabletextleft"/>
            </w:pPr>
            <w:r w:rsidRPr="002B389E">
              <w:t>Difference ($million)</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-1.8</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-1.8</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-1.8</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-1.8</w:t>
            </w:r>
          </w:p>
        </w:tc>
        <w:tc>
          <w:tcPr>
            <w:tcW w:w="1131"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-1.8</w:t>
            </w:r>
          </w:p>
        </w:tc>
        <w:tc>
          <w:tcPr>
            <w:tcW w:w="113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-9.0</w:t>
            </w:r>
          </w:p>
        </w:tc>
      </w:tr>
      <w:tr w:rsidR="002B389E" w:rsidTr="00795F63">
        <w:tc>
          <w:tcPr>
            <w:cnfStyle w:val="001000000000" w:firstRow="0" w:lastRow="0" w:firstColumn="1" w:lastColumn="0" w:oddVBand="0" w:evenVBand="0" w:oddHBand="0" w:evenHBand="0" w:firstRowFirstColumn="0" w:firstRowLastColumn="0" w:lastRowFirstColumn="0" w:lastRowLastColumn="0"/>
            <w:tcW w:w="1906" w:type="dxa"/>
            <w:vAlign w:val="top"/>
          </w:tcPr>
          <w:p w:rsidR="002B389E" w:rsidRPr="002B389E" w:rsidRDefault="002B389E" w:rsidP="002B389E">
            <w:pPr>
              <w:pStyle w:val="AERtabletextleft"/>
            </w:pPr>
            <w:r w:rsidRPr="002B389E">
              <w:t>Difference (%)</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-31.0%</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-34.8%</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-34.3%</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-34.7%</w:t>
            </w:r>
          </w:p>
        </w:tc>
        <w:tc>
          <w:tcPr>
            <w:tcW w:w="1131"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-34.0%</w:t>
            </w:r>
          </w:p>
        </w:tc>
        <w:tc>
          <w:tcPr>
            <w:tcW w:w="113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-33.7%</w:t>
            </w:r>
          </w:p>
        </w:tc>
      </w:tr>
    </w:tbl>
    <w:p w:rsidR="00F665D1" w:rsidRDefault="00F665D1" w:rsidP="00F665D1">
      <w:pPr>
        <w:pStyle w:val="AERtablesource"/>
      </w:pPr>
      <w:r w:rsidRPr="000B78C1">
        <w:t>Source:</w:t>
      </w:r>
      <w:r w:rsidRPr="000B78C1">
        <w:tab/>
      </w:r>
      <w:r>
        <w:t>Directlink</w:t>
      </w:r>
      <w:r w:rsidRPr="000B78C1">
        <w:t>, proposal; AER analysis</w:t>
      </w:r>
    </w:p>
    <w:p w:rsidR="00587431" w:rsidRDefault="001179B4" w:rsidP="001179B4">
      <w:pPr>
        <w:pStyle w:val="AERtablesource"/>
      </w:pPr>
      <w:r>
        <w:t>Note:</w:t>
      </w:r>
      <w:r>
        <w:tab/>
      </w:r>
      <w:r w:rsidR="00587431">
        <w:t>(a) This is exclusive of debt raising costs.</w:t>
      </w:r>
    </w:p>
    <w:p w:rsidR="001179B4" w:rsidRPr="001179B4" w:rsidRDefault="00587431" w:rsidP="001179B4">
      <w:pPr>
        <w:pStyle w:val="AERtablesource"/>
      </w:pPr>
      <w:r>
        <w:tab/>
      </w:r>
      <w:r w:rsidR="001179B4">
        <w:t>(</w:t>
      </w:r>
      <w:r>
        <w:t>b</w:t>
      </w:r>
      <w:r w:rsidR="001179B4">
        <w:t>) This includes expenditure which was classified as capex in Directlink's revised proposal.</w:t>
      </w:r>
    </w:p>
    <w:p w:rsidR="00DE563D" w:rsidRPr="00AF1F9E" w:rsidRDefault="00AF1F9E" w:rsidP="00AF1F9E">
      <w:pPr>
        <w:pStyle w:val="Heading2"/>
      </w:pPr>
      <w:bookmarkStart w:id="15" w:name="_Toc403144137"/>
      <w:bookmarkStart w:id="16" w:name="_Toc417745439"/>
      <w:r>
        <w:lastRenderedPageBreak/>
        <w:t>Directlink’s revised</w:t>
      </w:r>
      <w:r w:rsidR="00DE563D" w:rsidRPr="00AF1F9E">
        <w:t xml:space="preserve"> proposal</w:t>
      </w:r>
      <w:bookmarkEnd w:id="15"/>
      <w:bookmarkEnd w:id="16"/>
    </w:p>
    <w:p w:rsidR="00116B17" w:rsidRDefault="00411623" w:rsidP="00116B17">
      <w:bookmarkStart w:id="17" w:name="_Toc403144138"/>
      <w:r>
        <w:t xml:space="preserve">In its revised proposal </w:t>
      </w:r>
      <w:r w:rsidR="00116B17">
        <w:t>Directlink</w:t>
      </w:r>
      <w:r w:rsidR="00116B17" w:rsidRPr="004F55B3">
        <w:t xml:space="preserve"> forecast opex of $</w:t>
      </w:r>
      <w:r>
        <w:t>18</w:t>
      </w:r>
      <w:r w:rsidR="00116B17">
        <w:t xml:space="preserve">.5 million </w:t>
      </w:r>
      <w:r w:rsidR="00116B17" w:rsidRPr="004F55B3">
        <w:t>for the 201</w:t>
      </w:r>
      <w:r w:rsidR="00116B17">
        <w:t>5</w:t>
      </w:r>
      <w:r w:rsidR="00116B17" w:rsidRPr="004F55B3">
        <w:t>–</w:t>
      </w:r>
      <w:r w:rsidR="00116B17">
        <w:t>20</w:t>
      </w:r>
      <w:r w:rsidR="00116B17" w:rsidRPr="004F55B3">
        <w:t xml:space="preserve"> </w:t>
      </w:r>
      <w:r w:rsidR="00C91946">
        <w:t xml:space="preserve">regulatory control </w:t>
      </w:r>
      <w:r w:rsidR="00116B17">
        <w:t>period</w:t>
      </w:r>
      <w:r w:rsidR="00116B17" w:rsidRPr="004F55B3">
        <w:t xml:space="preserve">. The </w:t>
      </w:r>
      <w:r w:rsidR="00555C59">
        <w:t>revised forecast of</w:t>
      </w:r>
      <w:r w:rsidR="00116B17">
        <w:t xml:space="preserve"> </w:t>
      </w:r>
      <w:r w:rsidR="00116B17" w:rsidRPr="004F55B3">
        <w:t>opex is $</w:t>
      </w:r>
      <w:r w:rsidR="00F10BBC">
        <w:t>7.6</w:t>
      </w:r>
      <w:r w:rsidR="00116B17" w:rsidRPr="004F55B3">
        <w:t xml:space="preserve"> million (or </w:t>
      </w:r>
      <w:r w:rsidR="00555C59">
        <w:t>29.0</w:t>
      </w:r>
      <w:r w:rsidR="00116B17">
        <w:t xml:space="preserve"> </w:t>
      </w:r>
      <w:r w:rsidR="00116B17" w:rsidRPr="004F55B3">
        <w:t xml:space="preserve">per cent) </w:t>
      </w:r>
      <w:r w:rsidR="00555C59">
        <w:t>low</w:t>
      </w:r>
      <w:r w:rsidR="00116B17" w:rsidRPr="004F55B3">
        <w:t xml:space="preserve">er than </w:t>
      </w:r>
      <w:r w:rsidR="00555C59">
        <w:t>its initial forecast of</w:t>
      </w:r>
      <w:r w:rsidR="00116B17" w:rsidRPr="004F55B3">
        <w:t xml:space="preserve"> opex </w:t>
      </w:r>
      <w:r w:rsidR="00CC06DD">
        <w:t xml:space="preserve">over the </w:t>
      </w:r>
      <w:r w:rsidR="00116B17" w:rsidRPr="004F55B3">
        <w:t>20</w:t>
      </w:r>
      <w:r w:rsidR="00860D9F">
        <w:t>15-20</w:t>
      </w:r>
      <w:r w:rsidR="00CC06DD">
        <w:t xml:space="preserve"> period</w:t>
      </w:r>
      <w:r w:rsidR="00116B17" w:rsidRPr="004F55B3">
        <w:t>.</w:t>
      </w:r>
      <w:r w:rsidR="00116B17">
        <w:rPr>
          <w:rStyle w:val="FootnoteReference"/>
        </w:rPr>
        <w:footnoteReference w:id="5"/>
      </w:r>
    </w:p>
    <w:p w:rsidR="007B49E1" w:rsidRDefault="00116B17" w:rsidP="00116B17">
      <w:r w:rsidRPr="004F55B3">
        <w:t xml:space="preserve">The </w:t>
      </w:r>
      <w:r w:rsidR="00FC6308">
        <w:t>de</w:t>
      </w:r>
      <w:r w:rsidRPr="004F55B3">
        <w:t xml:space="preserve">crease in </w:t>
      </w:r>
      <w:r>
        <w:t>Directlink</w:t>
      </w:r>
      <w:r w:rsidRPr="004F55B3">
        <w:t xml:space="preserve">'s proposed opex </w:t>
      </w:r>
      <w:r w:rsidR="00F7043E">
        <w:t xml:space="preserve">mainly results </w:t>
      </w:r>
      <w:r w:rsidRPr="004F55B3">
        <w:t>from</w:t>
      </w:r>
      <w:r w:rsidR="00FC6308">
        <w:t>:</w:t>
      </w:r>
    </w:p>
    <w:p w:rsidR="00FC6308" w:rsidRDefault="000274DA" w:rsidP="00FC6308">
      <w:pPr>
        <w:pStyle w:val="AERbulletlistfirststyle"/>
      </w:pPr>
      <w:r>
        <w:t xml:space="preserve">a </w:t>
      </w:r>
      <w:r w:rsidR="00FC6308">
        <w:t>42.4 per cent decrease in its forecast insurance</w:t>
      </w:r>
    </w:p>
    <w:p w:rsidR="00FC6308" w:rsidRDefault="000274DA" w:rsidP="00FC6308">
      <w:pPr>
        <w:pStyle w:val="AERbulletlistfirststyle"/>
      </w:pPr>
      <w:r>
        <w:t xml:space="preserve">a </w:t>
      </w:r>
      <w:r w:rsidR="00FC6308">
        <w:t>16.1 per cent decrease in the commercial services fee</w:t>
      </w:r>
    </w:p>
    <w:p w:rsidR="00FC6308" w:rsidRDefault="000274DA" w:rsidP="00FC6308">
      <w:pPr>
        <w:pStyle w:val="AERbulletlistfirststyle"/>
      </w:pPr>
      <w:r>
        <w:t xml:space="preserve">a </w:t>
      </w:r>
      <w:r w:rsidR="00FC6308">
        <w:t>3.6 per cent decrease in operating and maintenance expenditure (on a like-for-like basis)</w:t>
      </w:r>
    </w:p>
    <w:p w:rsidR="00FC6308" w:rsidRDefault="000274DA" w:rsidP="00FC6308">
      <w:pPr>
        <w:pStyle w:val="AERbulletlistfirststyle"/>
      </w:pPr>
      <w:r>
        <w:t xml:space="preserve">commensurate </w:t>
      </w:r>
      <w:r w:rsidR="00FC6308">
        <w:t>reductions in the amount of margin accruing to APA Operations, which charges 10 per cent on all opex elements.</w:t>
      </w:r>
    </w:p>
    <w:p w:rsidR="005C5312" w:rsidRPr="005C5312" w:rsidRDefault="005C5312" w:rsidP="005C5312">
      <w:r>
        <w:fldChar w:fldCharType="begin"/>
      </w:r>
      <w:r>
        <w:instrText xml:space="preserve"> REF _Ref397614661 \h </w:instrText>
      </w:r>
      <w:r>
        <w:fldChar w:fldCharType="separate"/>
      </w:r>
      <w:r w:rsidR="00020BF5">
        <w:t>Figure 7.</w:t>
      </w:r>
      <w:r w:rsidR="00020BF5">
        <w:rPr>
          <w:noProof/>
        </w:rPr>
        <w:t>1</w:t>
      </w:r>
      <w:r>
        <w:fldChar w:fldCharType="end"/>
      </w:r>
      <w:r>
        <w:t xml:space="preserve"> </w:t>
      </w:r>
      <w:r w:rsidRPr="004F55B3">
        <w:t xml:space="preserve">shows </w:t>
      </w:r>
      <w:proofErr w:type="spellStart"/>
      <w:r>
        <w:t>Directlink</w:t>
      </w:r>
      <w:r w:rsidRPr="004F55B3">
        <w:t>'s</w:t>
      </w:r>
      <w:proofErr w:type="spellEnd"/>
      <w:r w:rsidRPr="004F55B3">
        <w:t xml:space="preserve"> annual </w:t>
      </w:r>
      <w:r>
        <w:t xml:space="preserve">actual and forecast </w:t>
      </w:r>
      <w:r w:rsidRPr="004F55B3">
        <w:t>opex from 200</w:t>
      </w:r>
      <w:r>
        <w:t>5</w:t>
      </w:r>
      <w:r w:rsidRPr="004F55B3">
        <w:t>-</w:t>
      </w:r>
      <w:r>
        <w:t>06</w:t>
      </w:r>
      <w:r w:rsidRPr="004F55B3">
        <w:t xml:space="preserve"> to 201</w:t>
      </w:r>
      <w:r>
        <w:t>9</w:t>
      </w:r>
      <w:r w:rsidRPr="004F55B3">
        <w:t>-</w:t>
      </w:r>
      <w:r>
        <w:t>20</w:t>
      </w:r>
      <w:r w:rsidRPr="004F55B3">
        <w:t xml:space="preserve"> </w:t>
      </w:r>
      <w:r>
        <w:t xml:space="preserve">compared to the AER </w:t>
      </w:r>
      <w:r w:rsidR="00930397">
        <w:t>forecast</w:t>
      </w:r>
      <w:r w:rsidRPr="004F55B3">
        <w:t>.</w:t>
      </w:r>
    </w:p>
    <w:p w:rsidR="00097B87" w:rsidRDefault="00EC024D" w:rsidP="00EC024D">
      <w:pPr>
        <w:pStyle w:val="Caption"/>
      </w:pPr>
      <w:bookmarkStart w:id="18" w:name="_Ref397614661"/>
      <w:r>
        <w:t>Figure 7.</w:t>
      </w:r>
      <w:r w:rsidRPr="00EC024D">
        <w:fldChar w:fldCharType="begin"/>
      </w:r>
      <w:r>
        <w:instrText xml:space="preserve"> SEQ Figure \* ARABIC \s 1 </w:instrText>
      </w:r>
      <w:r w:rsidRPr="00EC024D">
        <w:fldChar w:fldCharType="separate"/>
      </w:r>
      <w:r w:rsidR="00020BF5">
        <w:rPr>
          <w:noProof/>
        </w:rPr>
        <w:t>1</w:t>
      </w:r>
      <w:r w:rsidRPr="00EC024D">
        <w:fldChar w:fldCharType="end"/>
      </w:r>
      <w:bookmarkEnd w:id="18"/>
      <w:r>
        <w:tab/>
        <w:t>Directlink</w:t>
      </w:r>
      <w:r w:rsidRPr="006E6655">
        <w:t>’s actual/estimated an</w:t>
      </w:r>
      <w:r>
        <w:t>d proposed opex, 2005</w:t>
      </w:r>
      <w:r w:rsidRPr="006E6655">
        <w:t>-</w:t>
      </w:r>
      <w:r>
        <w:t>06</w:t>
      </w:r>
      <w:r w:rsidRPr="006E6655">
        <w:t xml:space="preserve"> to</w:t>
      </w:r>
      <w:r>
        <w:t xml:space="preserve"> </w:t>
      </w:r>
      <w:r w:rsidRPr="006E6655">
        <w:t>201</w:t>
      </w:r>
      <w:r>
        <w:t>9</w:t>
      </w:r>
      <w:r w:rsidRPr="006E6655">
        <w:t>-</w:t>
      </w:r>
      <w:r>
        <w:t>20</w:t>
      </w:r>
      <w:r w:rsidRPr="000622DC">
        <w:rPr>
          <w:rStyle w:val="AERsuperscript"/>
        </w:rPr>
        <w:t>(a)</w:t>
      </w:r>
      <w:r w:rsidRPr="006E6655">
        <w:t xml:space="preserve"> ($ million, 201</w:t>
      </w:r>
      <w:r>
        <w:t>4</w:t>
      </w:r>
      <w:r w:rsidRPr="006E6655">
        <w:t>–1</w:t>
      </w:r>
      <w:r>
        <w:t>5</w:t>
      </w:r>
      <w:r w:rsidRPr="006E6655">
        <w:t>)</w:t>
      </w:r>
    </w:p>
    <w:p w:rsidR="005C26FF" w:rsidRDefault="002B389E" w:rsidP="005C26FF">
      <w:r w:rsidRPr="002B389E">
        <w:rPr>
          <w:noProof/>
          <w:lang w:eastAsia="en-AU"/>
        </w:rPr>
        <w:drawing>
          <wp:inline distT="0" distB="0" distL="0" distR="0" wp14:anchorId="3E8DE9B5" wp14:editId="654B9320">
            <wp:extent cx="5382895" cy="331884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82895" cy="3318849"/>
                    </a:xfrm>
                    <a:prstGeom prst="rect">
                      <a:avLst/>
                    </a:prstGeom>
                  </pic:spPr>
                </pic:pic>
              </a:graphicData>
            </a:graphic>
          </wp:inline>
        </w:drawing>
      </w:r>
    </w:p>
    <w:p w:rsidR="005C26FF" w:rsidRDefault="005C26FF" w:rsidP="005C26FF">
      <w:pPr>
        <w:pStyle w:val="AERtablesource"/>
      </w:pPr>
      <w:r>
        <w:t xml:space="preserve">Source: </w:t>
      </w:r>
      <w:r w:rsidR="00B05EA6">
        <w:tab/>
      </w:r>
      <w:r>
        <w:t>AER analysis.</w:t>
      </w:r>
    </w:p>
    <w:p w:rsidR="00B05EA6" w:rsidRPr="00B05EA6" w:rsidRDefault="00B05EA6" w:rsidP="00B05EA6">
      <w:pPr>
        <w:pStyle w:val="AERtablesource"/>
      </w:pPr>
      <w:r>
        <w:lastRenderedPageBreak/>
        <w:t>Note:</w:t>
      </w:r>
      <w:r>
        <w:tab/>
      </w:r>
      <w:r w:rsidR="00923A07">
        <w:t xml:space="preserve">(a) </w:t>
      </w:r>
      <w:r>
        <w:t>The AER final deci</w:t>
      </w:r>
      <w:r w:rsidR="000274DA">
        <w:t>si</w:t>
      </w:r>
      <w:r>
        <w:t>on includes expenditure which was classified as capex in Directlink's revised proposal. Directlink's revised proposal ex</w:t>
      </w:r>
      <w:r w:rsidR="000274DA">
        <w:t>c</w:t>
      </w:r>
      <w:r>
        <w:t>ludes opex that was shifted to capex between its initial and draft proposal.</w:t>
      </w:r>
    </w:p>
    <w:p w:rsidR="00DE563D" w:rsidRPr="00AF1F9E" w:rsidRDefault="00DE563D" w:rsidP="00AF1F9E">
      <w:pPr>
        <w:pStyle w:val="Heading2"/>
      </w:pPr>
      <w:bookmarkStart w:id="19" w:name="_Toc417745440"/>
      <w:r w:rsidRPr="00AF1F9E">
        <w:t>AER’s assessment approach</w:t>
      </w:r>
      <w:bookmarkEnd w:id="17"/>
      <w:bookmarkEnd w:id="19"/>
    </w:p>
    <w:p w:rsidR="007B2A34" w:rsidRDefault="007B2A34" w:rsidP="007B2A34">
      <w:pPr>
        <w:numPr>
          <w:ilvl w:val="0"/>
          <w:numId w:val="25"/>
        </w:numPr>
      </w:pPr>
      <w:bookmarkStart w:id="20" w:name="_Toc403144139"/>
      <w:r>
        <w:t>We assess whether or not to accept the service provider's total forecast operating expenditure. W</w:t>
      </w:r>
      <w:r w:rsidRPr="002342B2">
        <w:t xml:space="preserve">e accept the </w:t>
      </w:r>
      <w:r>
        <w:t xml:space="preserve">service provider's </w:t>
      </w:r>
      <w:r w:rsidRPr="002342B2">
        <w:t xml:space="preserve">forecast </w:t>
      </w:r>
      <w:r>
        <w:t>i</w:t>
      </w:r>
      <w:r w:rsidRPr="002342B2">
        <w:t xml:space="preserve">f we are satisfied that </w:t>
      </w:r>
      <w:r>
        <w:t>it</w:t>
      </w:r>
      <w:r w:rsidRPr="002342B2">
        <w:t xml:space="preserve"> reasonably reflects the </w:t>
      </w:r>
      <w:r w:rsidRPr="00DD0F13">
        <w:t>opex criteria</w:t>
      </w:r>
      <w:r w:rsidRPr="002342B2">
        <w:t>.</w:t>
      </w:r>
      <w:r w:rsidRPr="00E42F5C">
        <w:rPr>
          <w:rStyle w:val="AERsuperscript"/>
        </w:rPr>
        <w:footnoteReference w:id="6"/>
      </w:r>
      <w:r w:rsidRPr="002342B2">
        <w:t xml:space="preserve"> If we are not satisfied, we </w:t>
      </w:r>
      <w:r>
        <w:t>replace it with a</w:t>
      </w:r>
      <w:r w:rsidRPr="002342B2">
        <w:t xml:space="preserve"> total</w:t>
      </w:r>
      <w:r>
        <w:t xml:space="preserve"> </w:t>
      </w:r>
      <w:r w:rsidRPr="002342B2">
        <w:t xml:space="preserve">forecast </w:t>
      </w:r>
      <w:r>
        <w:t xml:space="preserve">opex </w:t>
      </w:r>
      <w:r w:rsidRPr="002342B2">
        <w:t xml:space="preserve">that we are satisfied </w:t>
      </w:r>
      <w:r>
        <w:t>does reasonably reflect</w:t>
      </w:r>
      <w:r w:rsidRPr="002342B2">
        <w:t xml:space="preserve"> the </w:t>
      </w:r>
      <w:r>
        <w:t>opex</w:t>
      </w:r>
      <w:r w:rsidRPr="002342B2">
        <w:t xml:space="preserve"> criteria.</w:t>
      </w:r>
      <w:r w:rsidRPr="00E42F5C">
        <w:rPr>
          <w:rStyle w:val="AERsuperscript"/>
        </w:rPr>
        <w:footnoteReference w:id="7"/>
      </w:r>
      <w:r>
        <w:t xml:space="preserve"> </w:t>
      </w:r>
    </w:p>
    <w:p w:rsidR="007B2A34" w:rsidRPr="00AC472A" w:rsidRDefault="007B2A34" w:rsidP="007B2A34">
      <w:pPr>
        <w:numPr>
          <w:ilvl w:val="0"/>
          <w:numId w:val="25"/>
        </w:numPr>
      </w:pPr>
      <w:r>
        <w:t xml:space="preserve">The service provider’s forecast is intended to cover the expenditure that will be needed to achieve the </w:t>
      </w:r>
      <w:r w:rsidRPr="00AC472A">
        <w:t>operating expenditure objectives.  These objectives are</w:t>
      </w:r>
      <w:r>
        <w:t xml:space="preserve"> to</w:t>
      </w:r>
      <w:r w:rsidRPr="00AC472A">
        <w:t>:</w:t>
      </w:r>
      <w:r>
        <w:rPr>
          <w:rStyle w:val="FootnoteReference"/>
        </w:rPr>
        <w:footnoteReference w:id="8"/>
      </w:r>
    </w:p>
    <w:p w:rsidR="007B2A34" w:rsidRDefault="007B2A34" w:rsidP="006C6574">
      <w:pPr>
        <w:pStyle w:val="ListNumber"/>
      </w:pPr>
      <w:r>
        <w:t>meet or manage the expected demand for prescribed transmission services over the regulatory control period</w:t>
      </w:r>
    </w:p>
    <w:p w:rsidR="007B2A34" w:rsidRDefault="007B2A34" w:rsidP="006C6574">
      <w:pPr>
        <w:pStyle w:val="ListNumber"/>
      </w:pPr>
      <w:r>
        <w:t>comply with all applicable regulatory obligations or requirements associated with providing prescribed transmission services</w:t>
      </w:r>
    </w:p>
    <w:p w:rsidR="007B2A34" w:rsidRDefault="007B2A34" w:rsidP="006C6574">
      <w:pPr>
        <w:pStyle w:val="ListNumber"/>
      </w:pPr>
      <w:r>
        <w:t>where there is no regulatory obligation or requirement, to maintain the quality, reliability and security of supply of prescribed transmission services and maintain the reliability and security of the transmission system.</w:t>
      </w:r>
    </w:p>
    <w:p w:rsidR="007B2A34" w:rsidRDefault="007B2A34" w:rsidP="006C6574">
      <w:pPr>
        <w:pStyle w:val="ListNumber"/>
      </w:pPr>
      <w:r>
        <w:t>maintain the safety of the transmission system through the supply of prescribed transmission services.</w:t>
      </w:r>
    </w:p>
    <w:p w:rsidR="007B2A34" w:rsidRPr="002342B2" w:rsidRDefault="007B2A34" w:rsidP="007B2A34">
      <w:pPr>
        <w:numPr>
          <w:ilvl w:val="0"/>
          <w:numId w:val="25"/>
        </w:numPr>
      </w:pPr>
      <w:r>
        <w:t>We must assess the proposed total forecast opex against t</w:t>
      </w:r>
      <w:r w:rsidRPr="00D80519">
        <w:t xml:space="preserve">he </w:t>
      </w:r>
      <w:r w:rsidRPr="00AC472A">
        <w:t>opex criteria</w:t>
      </w:r>
      <w:r w:rsidRPr="00D80519">
        <w:t xml:space="preserve"> </w:t>
      </w:r>
      <w:r>
        <w:t>set out in the NER.  The opex criteria provide that the total forecast must reasonably reflect</w:t>
      </w:r>
      <w:r w:rsidRPr="002342B2">
        <w:t>:</w:t>
      </w:r>
      <w:r w:rsidRPr="00E42F5C">
        <w:rPr>
          <w:rStyle w:val="AERsuperscript"/>
        </w:rPr>
        <w:footnoteReference w:id="9"/>
      </w:r>
    </w:p>
    <w:p w:rsidR="007B2A34" w:rsidRPr="002342B2" w:rsidRDefault="007B2A34" w:rsidP="006C6574">
      <w:pPr>
        <w:pStyle w:val="ListNumber"/>
        <w:numPr>
          <w:ilvl w:val="0"/>
          <w:numId w:val="40"/>
        </w:numPr>
      </w:pPr>
      <w:r w:rsidRPr="002342B2">
        <w:t xml:space="preserve">the efficient costs of achieving the </w:t>
      </w:r>
      <w:r w:rsidRPr="00AC472A">
        <w:t>operating expenditure objectives</w:t>
      </w:r>
      <w:r>
        <w:t>; and</w:t>
      </w:r>
    </w:p>
    <w:p w:rsidR="007B2A34" w:rsidRPr="002342B2" w:rsidRDefault="007B2A34" w:rsidP="006C6574">
      <w:pPr>
        <w:pStyle w:val="ListNumber"/>
      </w:pPr>
      <w:r w:rsidRPr="002342B2">
        <w:t xml:space="preserve">the costs that a prudent operator would require to achieve the </w:t>
      </w:r>
      <w:r w:rsidRPr="00AC472A">
        <w:t>operating expenditure objectives</w:t>
      </w:r>
      <w:r>
        <w:t>; and</w:t>
      </w:r>
    </w:p>
    <w:p w:rsidR="007B2A34" w:rsidRPr="002342B2" w:rsidRDefault="007B2A34" w:rsidP="006C6574">
      <w:pPr>
        <w:pStyle w:val="ListNumber"/>
      </w:pPr>
      <w:r w:rsidRPr="002342B2">
        <w:t xml:space="preserve">a realistic expectation of the demand forecast and cost inputs required to achieve the </w:t>
      </w:r>
      <w:r w:rsidRPr="00AC472A">
        <w:t>operating expenditure objectives</w:t>
      </w:r>
      <w:r>
        <w:t>.</w:t>
      </w:r>
      <w:r w:rsidRPr="00781F38">
        <w:t xml:space="preserve"> </w:t>
      </w:r>
    </w:p>
    <w:p w:rsidR="007B2A34" w:rsidRDefault="007B2A34" w:rsidP="006C6574">
      <w:r>
        <w:t>The Australian Energy Market Commission (AEMC) noted that '[t]hese criteria broadly reflect the NEO [National Electricity Objective]'.</w:t>
      </w:r>
      <w:r>
        <w:rPr>
          <w:rStyle w:val="FootnoteReference"/>
        </w:rPr>
        <w:footnoteReference w:id="10"/>
      </w:r>
    </w:p>
    <w:p w:rsidR="007B2A34" w:rsidRDefault="007B2A34" w:rsidP="006C6574">
      <w:r>
        <w:t xml:space="preserve">In deciding whether or not we are satisfied </w:t>
      </w:r>
      <w:r w:rsidRPr="002342B2">
        <w:t xml:space="preserve">the </w:t>
      </w:r>
      <w:r>
        <w:t xml:space="preserve">service provider's </w:t>
      </w:r>
      <w:r w:rsidRPr="002342B2">
        <w:t xml:space="preserve">forecast reasonably reflects the </w:t>
      </w:r>
      <w:r>
        <w:t>opex</w:t>
      </w:r>
      <w:r w:rsidRPr="002342B2">
        <w:t xml:space="preserve"> criteria</w:t>
      </w:r>
      <w:r w:rsidRPr="00C67E77">
        <w:t xml:space="preserve"> </w:t>
      </w:r>
      <w:r w:rsidRPr="00377DA5">
        <w:t>we must h</w:t>
      </w:r>
      <w:r>
        <w:t xml:space="preserve">ave regard to the </w:t>
      </w:r>
      <w:r w:rsidRPr="00AC472A">
        <w:t>opex factors</w:t>
      </w:r>
      <w:r>
        <w:t>.</w:t>
      </w:r>
      <w:r>
        <w:rPr>
          <w:rStyle w:val="FootnoteReference"/>
        </w:rPr>
        <w:footnoteReference w:id="11"/>
      </w:r>
      <w:r>
        <w:t xml:space="preserve"> </w:t>
      </w:r>
    </w:p>
    <w:p w:rsidR="007B2A34" w:rsidRDefault="007B2A34" w:rsidP="007B2A34">
      <w:pPr>
        <w:numPr>
          <w:ilvl w:val="0"/>
          <w:numId w:val="25"/>
        </w:numPr>
      </w:pPr>
      <w:r>
        <w:lastRenderedPageBreak/>
        <w:t>The o</w:t>
      </w:r>
      <w:r w:rsidRPr="00AC28BF">
        <w:t xml:space="preserve">pex factors </w:t>
      </w:r>
      <w:r>
        <w:t xml:space="preserve">are also set out exhaustively in the NER. The opex factors we must have regard to </w:t>
      </w:r>
      <w:r w:rsidRPr="00AC28BF">
        <w:t>are:</w:t>
      </w:r>
    </w:p>
    <w:p w:rsidR="007B2A34" w:rsidRPr="007B2A34" w:rsidRDefault="007B2A34" w:rsidP="007B2A34">
      <w:pPr>
        <w:pStyle w:val="AERbulletlistfirststyle"/>
      </w:pPr>
      <w:r w:rsidRPr="00AC28BF">
        <w:t>the most recent annual benchmarking report that has been published under clause 6A.31 and the benchmark operating expenditure that would be incurred by an efficient Transmission Network Service Provider over the relevant regulatory control period;</w:t>
      </w:r>
    </w:p>
    <w:p w:rsidR="007B2A34" w:rsidRPr="007B2A34" w:rsidRDefault="007B2A34" w:rsidP="007B2A34">
      <w:pPr>
        <w:pStyle w:val="AERbulletlistfirststyle"/>
      </w:pPr>
      <w:r w:rsidRPr="00AC28BF">
        <w:t>the actual and expected operating expenditure of the Transmission Network Service Provider during any preceding regulatory control periods;</w:t>
      </w:r>
    </w:p>
    <w:p w:rsidR="007B2A34" w:rsidRPr="007B2A34" w:rsidRDefault="007B2A34" w:rsidP="007B2A34">
      <w:pPr>
        <w:pStyle w:val="AERbulletlistfirststyle"/>
      </w:pPr>
      <w:r w:rsidRPr="00AC28BF">
        <w:t>the extent to which the operating expenditure forecast includes expenditure to address the concerns</w:t>
      </w:r>
      <w:r w:rsidRPr="007B2A34">
        <w:t xml:space="preserve"> of electricity consumers as identified by the Transmission Network Service Provider in the course of its engagement with electricity consumers;</w:t>
      </w:r>
    </w:p>
    <w:p w:rsidR="007B2A34" w:rsidRPr="007B2A34" w:rsidRDefault="007B2A34" w:rsidP="007B2A34">
      <w:pPr>
        <w:pStyle w:val="AERbulletlistfirststyle"/>
      </w:pPr>
      <w:r w:rsidRPr="00AC28BF">
        <w:t>the relative prices of operating and capital inputs;</w:t>
      </w:r>
    </w:p>
    <w:p w:rsidR="007B2A34" w:rsidRPr="007B2A34" w:rsidRDefault="007B2A34" w:rsidP="007B2A34">
      <w:pPr>
        <w:pStyle w:val="AERbulletlistfirststyle"/>
      </w:pPr>
      <w:r w:rsidRPr="00AC28BF">
        <w:t>the substitution possibilities between operating and capital expenditure;</w:t>
      </w:r>
    </w:p>
    <w:p w:rsidR="007B2A34" w:rsidRPr="007B2A34" w:rsidRDefault="007B2A34" w:rsidP="007B2A34">
      <w:pPr>
        <w:pStyle w:val="AERbulletlistfirststyle"/>
      </w:pPr>
      <w:r w:rsidRPr="00AC28BF">
        <w:t>whether the operating expenditure forecast is consistent with any incentive scheme or schemes that apply to the Transmission Network Service Provider under clauses 6A.6.5, 6A.7.4 or 6A.7.5;</w:t>
      </w:r>
    </w:p>
    <w:p w:rsidR="007B2A34" w:rsidRPr="007B2A34" w:rsidRDefault="007B2A34" w:rsidP="007B2A34">
      <w:pPr>
        <w:pStyle w:val="AERbulletlistfirststyle"/>
      </w:pPr>
      <w:r w:rsidRPr="00AC28BF">
        <w:t>the extent the operating expenditure forecast is referable to arrangements with a person other than the Transmission Network Service Provider that, in the opinion of the AER, do not reflect arm’s length terms;</w:t>
      </w:r>
    </w:p>
    <w:p w:rsidR="007B2A34" w:rsidRPr="007B2A34" w:rsidRDefault="007B2A34" w:rsidP="007B2A34">
      <w:pPr>
        <w:pStyle w:val="AERbulletlistfirststyle"/>
      </w:pPr>
      <w:r w:rsidRPr="00AC28BF">
        <w:t>whether the operating expenditure forecast includes an amount relating to a project that should more appropriately be included as a contingent project under clause 6A.8.1(b);</w:t>
      </w:r>
    </w:p>
    <w:p w:rsidR="007B2A34" w:rsidRPr="007B2A34" w:rsidRDefault="007B2A34" w:rsidP="007B2A34">
      <w:pPr>
        <w:pStyle w:val="AERbulletlistfirststyle"/>
      </w:pPr>
      <w:r w:rsidRPr="00AC28BF">
        <w:t xml:space="preserve">the most recent NTNDP and any submissions made by AEMO, in accordance with the Rules, on the forecast of the Transmission Network Service Provider’s required operating expenditure; </w:t>
      </w:r>
    </w:p>
    <w:p w:rsidR="007B2A34" w:rsidRPr="007B2A34" w:rsidRDefault="007B2A34" w:rsidP="007B2A34">
      <w:pPr>
        <w:pStyle w:val="AERbulletlistfirststyle"/>
      </w:pPr>
      <w:r w:rsidRPr="00AC28BF">
        <w:t xml:space="preserve">the extent to which the Transmission Network Service Provider has considered and made provision for efficient and prudent non-network alternatives; </w:t>
      </w:r>
    </w:p>
    <w:p w:rsidR="007B2A34" w:rsidRPr="007B2A34" w:rsidRDefault="007B2A34" w:rsidP="007B2A34">
      <w:pPr>
        <w:pStyle w:val="AERbulletlistfirststyle"/>
      </w:pPr>
      <w:r w:rsidRPr="00AC28BF">
        <w:t>any relevant project assessment conclusions report required under 5.16.4 ; and</w:t>
      </w:r>
    </w:p>
    <w:p w:rsidR="007B2A34" w:rsidRPr="007B2A34" w:rsidRDefault="007B2A34" w:rsidP="007B2A34">
      <w:pPr>
        <w:pStyle w:val="AERbulletlistfirststyle"/>
      </w:pPr>
      <w:r w:rsidRPr="00AC28BF">
        <w:t xml:space="preserve">any other factor the AER considers relevant and which the AER has notified the Transmission Network Service Provider in writing, prior to the submission of its revised Revenue Proposal under clause 6A.12.3, is an operating expenditure factor. </w:t>
      </w:r>
    </w:p>
    <w:p w:rsidR="007B2A34" w:rsidRPr="00AC472A" w:rsidRDefault="007B2A34" w:rsidP="007B2A34">
      <w:pPr>
        <w:numPr>
          <w:ilvl w:val="0"/>
          <w:numId w:val="25"/>
        </w:numPr>
      </w:pPr>
      <w:r>
        <w:t xml:space="preserve">For this determination, </w:t>
      </w:r>
      <w:r w:rsidRPr="00AC472A">
        <w:t>there are no additional operating expenditure factors that we will take i</w:t>
      </w:r>
      <w:r>
        <w:t>nto account under this last clause</w:t>
      </w:r>
      <w:r w:rsidRPr="00AC472A">
        <w:t>.</w:t>
      </w:r>
    </w:p>
    <w:p w:rsidR="007B2A34" w:rsidRPr="00AF64DE" w:rsidRDefault="007B2A34" w:rsidP="006C6574">
      <w:pPr>
        <w:pStyle w:val="Heading3"/>
      </w:pPr>
      <w:bookmarkStart w:id="21" w:name="_Toc417745441"/>
      <w:r w:rsidRPr="009F33FB">
        <w:t>The Expenditure Forecast Assessment Guideline</w:t>
      </w:r>
      <w:bookmarkEnd w:id="21"/>
    </w:p>
    <w:p w:rsidR="007B2A34" w:rsidRPr="009F33FB" w:rsidRDefault="007B2A34" w:rsidP="007B2A34">
      <w:pPr>
        <w:numPr>
          <w:ilvl w:val="0"/>
          <w:numId w:val="25"/>
        </w:numPr>
      </w:pPr>
      <w:r w:rsidRPr="009F33FB">
        <w:lastRenderedPageBreak/>
        <w:t>We issued an Expenditure Forecast Assessment Guideline (Guideline) in November 2013. Our Guideline sets out our intended approach to assessing operating expenditure in accordance with the NER.</w:t>
      </w:r>
      <w:r w:rsidRPr="0064612C">
        <w:rPr>
          <w:rStyle w:val="AERsuperscript"/>
        </w:rPr>
        <w:footnoteReference w:id="12"/>
      </w:r>
      <w:r w:rsidRPr="009F33FB">
        <w:t xml:space="preserve">  After conducting an extensive consultation process with service providers, users, consumers and other interested stakeholders, we issued our guideline together with an explanatory statement.</w:t>
      </w:r>
      <w:r w:rsidRPr="0064612C">
        <w:rPr>
          <w:rStyle w:val="AERsuperscript"/>
        </w:rPr>
        <w:footnoteReference w:id="13"/>
      </w:r>
      <w:r w:rsidRPr="009F33FB">
        <w:t xml:space="preserve">  </w:t>
      </w:r>
    </w:p>
    <w:p w:rsidR="007B2A34" w:rsidRPr="009F33FB" w:rsidRDefault="007B2A34" w:rsidP="007B2A34">
      <w:r w:rsidRPr="009F33FB">
        <w:t>We may depart from the approach set out in the Guideline but if we do so we have to give reasons for doing so. In our Framework and Approach paper for each service provider, we set out our intention to apply our Guideline approach in making this determination.</w:t>
      </w:r>
      <w:r>
        <w:rPr>
          <w:rStyle w:val="FootnoteReference"/>
        </w:rPr>
        <w:footnoteReference w:id="14"/>
      </w:r>
    </w:p>
    <w:p w:rsidR="007B2A34" w:rsidRPr="009F33FB" w:rsidRDefault="007B2A34" w:rsidP="007B2A34">
      <w:r w:rsidRPr="009F33FB">
        <w:t>Our approach is to compare the service provider's total forecast opex with an alternative estimate that we develop ourselves.</w:t>
      </w:r>
      <w:r w:rsidRPr="0064612C">
        <w:rPr>
          <w:rStyle w:val="AERsuperscript"/>
        </w:rPr>
        <w:footnoteReference w:id="15"/>
      </w:r>
      <w:r w:rsidRPr="009F33FB">
        <w:t xml:space="preserve"> By doing this we form a view on whether we are satisfied that the service provider's proposed total forecast reasonably reflects the criteria. If we conclude the proposal does not reasonably reflect the opex criteria, we use our estimate as a substitute forecast. This approach was expressly endorsed by the AEMC in its decision on the major rule changes that were introduced in November 2012.  The AEMC stated:</w:t>
      </w:r>
      <w:r w:rsidRPr="0064612C">
        <w:rPr>
          <w:rStyle w:val="AERsuperscript"/>
        </w:rPr>
        <w:footnoteReference w:id="16"/>
      </w:r>
    </w:p>
    <w:p w:rsidR="007B2A34" w:rsidRPr="009F33FB" w:rsidRDefault="007B2A34" w:rsidP="007B2A34">
      <w:pPr>
        <w:pStyle w:val="AERquote"/>
      </w:pPr>
      <w:r w:rsidRPr="009F33FB">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7B2A34" w:rsidRPr="009F33FB" w:rsidRDefault="007B2A34" w:rsidP="007B2A34">
      <w:pPr>
        <w:numPr>
          <w:ilvl w:val="0"/>
          <w:numId w:val="25"/>
        </w:numPr>
      </w:pPr>
      <w:r w:rsidRPr="009F33FB">
        <w:t>Our estimate is unlikely to exactly match the service provider's forecast because the service provider may not adopt the same forecasting method. However, if the service provider's inputs and assumptions are reasonable, its method should produce a forecast consistent with our estimate. Accordingly, part of our approach is to assess the service provider's forecasting method.</w:t>
      </w:r>
    </w:p>
    <w:p w:rsidR="007B2A34" w:rsidRPr="009F33FB" w:rsidRDefault="007B2A34" w:rsidP="007B2A34">
      <w:pPr>
        <w:numPr>
          <w:ilvl w:val="0"/>
          <w:numId w:val="25"/>
        </w:numPr>
      </w:pPr>
      <w:r w:rsidRPr="009F33FB">
        <w:t xml:space="preserve">If a service provider's total forecast opex is materially different to our estimate and there is no satisfactory explanation for this difference, we may form the view that the service provider's forecast does not reasonably reflect the opex criteria. Conversely, if our estimate demonstrates that the service provider's forecast reasonably reflects the </w:t>
      </w:r>
      <w:r w:rsidRPr="009F33FB">
        <w:lastRenderedPageBreak/>
        <w:t>expenditure criteria, we will accept the forecast.</w:t>
      </w:r>
      <w:r w:rsidRPr="00DE75D2">
        <w:rPr>
          <w:rStyle w:val="AERsuperscript"/>
        </w:rPr>
        <w:footnoteReference w:id="17"/>
      </w:r>
      <w:r w:rsidRPr="00DE75D2">
        <w:rPr>
          <w:rStyle w:val="AERsuperscript"/>
        </w:rPr>
        <w:t xml:space="preserve"> </w:t>
      </w:r>
      <w:r w:rsidRPr="009F33FB">
        <w:t>Whether or not we accept a service provider's forecast, we will provide the reasons for our decision.</w:t>
      </w:r>
      <w:r w:rsidRPr="0064612C">
        <w:rPr>
          <w:rStyle w:val="AERsuperscript"/>
        </w:rPr>
        <w:footnoteReference w:id="18"/>
      </w:r>
    </w:p>
    <w:p w:rsidR="007B2A34" w:rsidRPr="009F33FB" w:rsidRDefault="007B2A34" w:rsidP="006C6574">
      <w:pPr>
        <w:pStyle w:val="Heading3"/>
      </w:pPr>
      <w:bookmarkStart w:id="22" w:name="_Toc417745442"/>
      <w:r w:rsidRPr="009F33FB">
        <w:t>Building an alternative estimate of total forecast opex</w:t>
      </w:r>
      <w:bookmarkEnd w:id="22"/>
    </w:p>
    <w:p w:rsidR="007B2A34" w:rsidRPr="009F33FB" w:rsidRDefault="007B2A34" w:rsidP="007B2A34">
      <w:pPr>
        <w:numPr>
          <w:ilvl w:val="0"/>
          <w:numId w:val="25"/>
        </w:numPr>
      </w:pPr>
      <w:r w:rsidRPr="009F33FB">
        <w:t>Our</w:t>
      </w:r>
      <w:r>
        <w:t xml:space="preserve"> usual</w:t>
      </w:r>
      <w:r w:rsidRPr="009F33FB">
        <w:t xml:space="preserve"> approach to forming an alternative estimate of opex involves five key steps:</w:t>
      </w:r>
    </w:p>
    <w:p w:rsidR="007B2A34" w:rsidRPr="009F33FB" w:rsidRDefault="007B2A34" w:rsidP="007B2A34">
      <w:pPr>
        <w:numPr>
          <w:ilvl w:val="1"/>
          <w:numId w:val="25"/>
        </w:numPr>
      </w:pPr>
      <w:r w:rsidRPr="009F33FB">
        <w:t xml:space="preserve">We typically use the service provider's actual opex in a single year as the starting point for our assessment. While categories of opex can vary from year to year, total opex is relatively recurrent. </w:t>
      </w:r>
    </w:p>
    <w:p w:rsidR="007B2A34" w:rsidRPr="009F33FB" w:rsidRDefault="007B2A34" w:rsidP="007B2A34">
      <w:pPr>
        <w:numPr>
          <w:ilvl w:val="1"/>
          <w:numId w:val="25"/>
        </w:numPr>
      </w:pPr>
      <w:r w:rsidRPr="009F33FB">
        <w:t>We assess whether expenditure in that base year reasonably reflects the opex criteria. We now have a number of different techniques including economic benchmarking, by which can test the efficiency o</w:t>
      </w:r>
      <w:r>
        <w:t xml:space="preserve">f expenditure in the base year. </w:t>
      </w:r>
      <w:r w:rsidRPr="009F33FB">
        <w:t>If necessary, we make an adjustment to the base year expenditure to ensure that it reflects the opex criteria. We can utilise the same techniques available to assess the efficiency of base year opex as to make an adjustment of base year opex.</w:t>
      </w:r>
    </w:p>
    <w:p w:rsidR="007B2A34" w:rsidRPr="009F33FB" w:rsidRDefault="007B2A34" w:rsidP="007B2A34">
      <w:pPr>
        <w:numPr>
          <w:ilvl w:val="1"/>
          <w:numId w:val="25"/>
        </w:numPr>
      </w:pPr>
      <w:r w:rsidRPr="009F33FB">
        <w:t xml:space="preserve">As opex tends to change over time due to input price changes, output and productivity we trend the adjusted base year expenditure forward over the regulatory control period to take account of those changes. We refer to this as the rate of change. </w:t>
      </w:r>
    </w:p>
    <w:p w:rsidR="007B2A34" w:rsidRPr="009F33FB" w:rsidRDefault="007B2A34" w:rsidP="007B2A34">
      <w:pPr>
        <w:numPr>
          <w:ilvl w:val="1"/>
          <w:numId w:val="25"/>
        </w:numPr>
      </w:pPr>
      <w:r w:rsidRPr="009F33FB">
        <w:t>We then adjust the base year expenditure to account for any other forecast cost changes over the forthcoming regulatory control period that would meet the opex criteria. This may be due to new regulatory obligations and efficient capex/opex trade-offs. We call these step changes.</w:t>
      </w:r>
    </w:p>
    <w:p w:rsidR="007B2A34" w:rsidRPr="009F33FB" w:rsidRDefault="007B2A34" w:rsidP="007B2A34">
      <w:pPr>
        <w:numPr>
          <w:ilvl w:val="1"/>
          <w:numId w:val="25"/>
        </w:numPr>
      </w:pPr>
      <w:r w:rsidRPr="009F33FB">
        <w:t>Finally we add any additional 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in forecasting total opex.</w:t>
      </w:r>
    </w:p>
    <w:p w:rsidR="007B2A34" w:rsidRPr="009F33FB" w:rsidRDefault="007B2A34" w:rsidP="007B2A34">
      <w:pPr>
        <w:numPr>
          <w:ilvl w:val="0"/>
          <w:numId w:val="25"/>
        </w:numPr>
      </w:pPr>
      <w:r w:rsidRPr="009F33FB">
        <w:t>Underlying our approach are two general assumptions:</w:t>
      </w:r>
    </w:p>
    <w:p w:rsidR="007B2A34" w:rsidRPr="007B2A34" w:rsidRDefault="007B2A34" w:rsidP="007B2A34">
      <w:pPr>
        <w:pStyle w:val="AERbulletlistfirststyle"/>
      </w:pPr>
      <w:r w:rsidRPr="009F33FB">
        <w:t>the efficiency criterion and the prudence criterion in the NER are complementary, and</w:t>
      </w:r>
    </w:p>
    <w:p w:rsidR="007B2A34" w:rsidRPr="007B2A34" w:rsidRDefault="007B2A34" w:rsidP="007B2A34">
      <w:pPr>
        <w:pStyle w:val="AERbulletlistfirststyle"/>
      </w:pPr>
      <w:r w:rsidRPr="009F33FB">
        <w:t>past actual expenditure was sufficient to achieve the expenditure objectives in the past.</w:t>
      </w:r>
    </w:p>
    <w:p w:rsidR="007B2A34" w:rsidRDefault="007B2A34" w:rsidP="007B2A34">
      <w:pPr>
        <w:numPr>
          <w:ilvl w:val="0"/>
          <w:numId w:val="25"/>
        </w:numPr>
      </w:pPr>
      <w:r w:rsidRPr="009F33FB">
        <w:t xml:space="preserve">We have used this general approach in our past decisions.  It is a well-regarded top-down forecasting model for regulatory purposes that have been employed by a number of Australian regulators over the last fifteen years. We refer to it as a ‘revealed cost </w:t>
      </w:r>
      <w:r w:rsidRPr="009F33FB">
        <w:lastRenderedPageBreak/>
        <w:t>method’ in our Guideline (and we have sometimes referred to it as the base-step-trend method in our past regulatory decisions).</w:t>
      </w:r>
    </w:p>
    <w:p w:rsidR="007B2A34" w:rsidRDefault="007B2A34" w:rsidP="006C6574">
      <w:pPr>
        <w:pStyle w:val="Heading3"/>
      </w:pPr>
      <w:bookmarkStart w:id="23" w:name="_Toc417745443"/>
      <w:r>
        <w:t>Comparing the service provider's proposal with our estimate</w:t>
      </w:r>
      <w:bookmarkEnd w:id="23"/>
    </w:p>
    <w:p w:rsidR="007B2A34" w:rsidRDefault="007B2A34" w:rsidP="007B2A34">
      <w:pPr>
        <w:numPr>
          <w:ilvl w:val="0"/>
          <w:numId w:val="25"/>
        </w:numPr>
      </w:pPr>
      <w:r>
        <w:t>Having established our estimate of total forecast opex we can test the service provider's proposed total forecast</w:t>
      </w:r>
      <w:r w:rsidRPr="00163D10">
        <w:t xml:space="preserve"> </w:t>
      </w:r>
      <w:r>
        <w:t xml:space="preserve">opex. Obviously, this includes comparing our alternative total with the service provider’s total forecast opex. However, it also includes </w:t>
      </w:r>
      <w:r w:rsidRPr="00F10FF1">
        <w:t>assess</w:t>
      </w:r>
      <w:r>
        <w:t>ing</w:t>
      </w:r>
      <w:r w:rsidRPr="00F10FF1">
        <w:t xml:space="preserve"> whether the </w:t>
      </w:r>
      <w:r>
        <w:t>service provider's</w:t>
      </w:r>
      <w:r w:rsidRPr="00F10FF1">
        <w:t xml:space="preserve"> </w:t>
      </w:r>
      <w:r>
        <w:t xml:space="preserve">forecasting method, </w:t>
      </w:r>
      <w:r w:rsidRPr="00F10FF1">
        <w:t>assumptions, inputs and models</w:t>
      </w:r>
      <w:r>
        <w:t xml:space="preserve"> are reasonable, and assessing the service provider's</w:t>
      </w:r>
      <w:r w:rsidRPr="00F10FF1">
        <w:t xml:space="preserve"> </w:t>
      </w:r>
      <w:r>
        <w:t xml:space="preserve">explanation of how that method </w:t>
      </w:r>
      <w:r w:rsidRPr="00F10FF1">
        <w:t xml:space="preserve">results in </w:t>
      </w:r>
      <w:r>
        <w:t xml:space="preserve">a </w:t>
      </w:r>
      <w:r w:rsidRPr="00F10FF1">
        <w:t>prudent and efficient forecast</w:t>
      </w:r>
      <w:r>
        <w:t xml:space="preserve">. </w:t>
      </w:r>
    </w:p>
    <w:p w:rsidR="007B2A34" w:rsidRDefault="007B2A34" w:rsidP="007B2A34">
      <w:pPr>
        <w:numPr>
          <w:ilvl w:val="0"/>
          <w:numId w:val="25"/>
        </w:numPr>
      </w:pPr>
      <w:r>
        <w:t xml:space="preserve">The service provider may be able to adequately explain any apparent differences between its forecast and our estimate. Necessarily, we can only determine this on a case by case basis using our regulatory judgment. </w:t>
      </w:r>
    </w:p>
    <w:p w:rsidR="007B2A34" w:rsidRDefault="007B2A34" w:rsidP="007B2A34">
      <w:pPr>
        <w:numPr>
          <w:ilvl w:val="0"/>
          <w:numId w:val="25"/>
        </w:numPr>
      </w:pPr>
      <w:r>
        <w:t>This approach is supported by the AEMC’s decision when implementing the changes to the NER in November 2012.  The Commission stated:</w:t>
      </w:r>
      <w:r>
        <w:rPr>
          <w:rStyle w:val="FootnoteReference"/>
        </w:rPr>
        <w:footnoteReference w:id="19"/>
      </w:r>
    </w:p>
    <w:p w:rsidR="007B2A34" w:rsidRPr="00AC472A" w:rsidRDefault="007B2A34" w:rsidP="007B2A34">
      <w:pPr>
        <w:pStyle w:val="AERquote"/>
      </w:pPr>
      <w:r>
        <w:t>‘</w:t>
      </w:r>
      <w:r w:rsidRPr="00AC472A">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7B2A34" w:rsidRDefault="007B2A34" w:rsidP="006C6574">
      <w:pPr>
        <w:pStyle w:val="Heading3"/>
      </w:pPr>
      <w:bookmarkStart w:id="24" w:name="_Toc417745444"/>
      <w:r>
        <w:t>A summary of the opex factors and how we take them into account</w:t>
      </w:r>
      <w:bookmarkEnd w:id="24"/>
    </w:p>
    <w:p w:rsidR="007B2A34" w:rsidRDefault="007B2A34" w:rsidP="007B2A34">
      <w:pPr>
        <w:numPr>
          <w:ilvl w:val="0"/>
          <w:numId w:val="25"/>
        </w:numPr>
      </w:pPr>
      <w:r>
        <w:t xml:space="preserve">An important change to the NER, following the rule change in November 2012, relates to the opex factors we must have regard to when making our decisions.  Not only have the opex factors been altered but they have been changed into an exhaustive list of the factors that we must take into account.  </w:t>
      </w:r>
    </w:p>
    <w:p w:rsidR="007B2A34" w:rsidRDefault="007B2A34" w:rsidP="007B2A34">
      <w:pPr>
        <w:numPr>
          <w:ilvl w:val="0"/>
          <w:numId w:val="25"/>
        </w:numPr>
      </w:pPr>
      <w:r>
        <w:t>While we have regard to each factor, we attach different weight to different factors when making our decision to best achieve the National Electricity Objective.  This approach has been neatly summarised by the AEMC as follows:</w:t>
      </w:r>
      <w:r w:rsidRPr="00AC472A">
        <w:rPr>
          <w:rStyle w:val="FootnoteReference"/>
        </w:rPr>
        <w:footnoteReference w:id="20"/>
      </w:r>
    </w:p>
    <w:p w:rsidR="007B2A34" w:rsidRPr="00AC472A" w:rsidRDefault="007B2A34" w:rsidP="007B2A34">
      <w:pPr>
        <w:pStyle w:val="AERquote"/>
      </w:pPr>
      <w:r>
        <w:lastRenderedPageBreak/>
        <w:t>‘</w:t>
      </w:r>
      <w:r w:rsidRPr="00AC472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7B2A34" w:rsidRDefault="007B2A34" w:rsidP="007B2A34">
      <w:pPr>
        <w:numPr>
          <w:ilvl w:val="0"/>
          <w:numId w:val="25"/>
        </w:numPr>
      </w:pPr>
      <w:r>
        <w:t>We make reference to the factors throughout this chapter and the related appendixes where they are relevant.  However, for transparency and ease of reference, we have included the below table, which summarises how we have had regard to each of the opex factors in our assessment.</w:t>
      </w:r>
    </w:p>
    <w:p w:rsidR="00716F75" w:rsidRPr="00545167" w:rsidRDefault="00716F75" w:rsidP="007B2A34">
      <w:pPr>
        <w:numPr>
          <w:ilvl w:val="0"/>
          <w:numId w:val="25"/>
        </w:numPr>
      </w:pPr>
    </w:p>
    <w:tbl>
      <w:tblPr>
        <w:tblStyle w:val="AERtable-text0"/>
        <w:tblW w:w="0" w:type="auto"/>
        <w:tblLook w:val="04A0" w:firstRow="1" w:lastRow="0" w:firstColumn="1" w:lastColumn="0" w:noHBand="0" w:noVBand="1"/>
      </w:tblPr>
      <w:tblGrid>
        <w:gridCol w:w="4345"/>
        <w:gridCol w:w="4348"/>
      </w:tblGrid>
      <w:tr w:rsidR="007B2A34" w:rsidTr="006C6574">
        <w:trPr>
          <w:cnfStyle w:val="100000000000" w:firstRow="1" w:lastRow="0" w:firstColumn="0" w:lastColumn="0" w:oddVBand="0" w:evenVBand="0" w:oddHBand="0" w:evenHBand="0"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Opex factor</w:t>
            </w:r>
            <w:r w:rsidRPr="000120DA">
              <w:rPr>
                <w:rStyle w:val="AERsuperscript"/>
              </w:rPr>
              <w:t>(a)</w:t>
            </w:r>
          </w:p>
        </w:tc>
        <w:tc>
          <w:tcPr>
            <w:tcW w:w="4621" w:type="dxa"/>
            <w:hideMark/>
          </w:tcPr>
          <w:p w:rsidR="007B2A34" w:rsidRPr="000120DA" w:rsidRDefault="007B2A34" w:rsidP="007B2A34">
            <w:pPr>
              <w:numPr>
                <w:ilvl w:val="0"/>
                <w:numId w:val="25"/>
              </w:numPr>
            </w:pPr>
            <w:r w:rsidRPr="000120DA">
              <w:t>AER's consideration</w:t>
            </w:r>
          </w:p>
        </w:tc>
      </w:tr>
      <w:tr w:rsidR="007B2A34" w:rsidTr="006C6574">
        <w:tc>
          <w:tcPr>
            <w:tcW w:w="4621" w:type="dxa"/>
            <w:hideMark/>
          </w:tcPr>
          <w:p w:rsidR="007B2A34" w:rsidRPr="000120DA" w:rsidRDefault="007B2A34" w:rsidP="007B2A34">
            <w:pPr>
              <w:numPr>
                <w:ilvl w:val="0"/>
                <w:numId w:val="25"/>
              </w:numPr>
            </w:pPr>
            <w:r w:rsidRPr="000120DA">
              <w:t>Annual benchmarking report</w:t>
            </w:r>
            <w:r>
              <w:t xml:space="preserve"> and the b</w:t>
            </w:r>
            <w:r w:rsidRPr="000120DA">
              <w:t>enchmark opex that would be incurred by an efficient TNSP over the relevant regulatory control period</w:t>
            </w:r>
          </w:p>
        </w:tc>
        <w:tc>
          <w:tcPr>
            <w:tcW w:w="4621" w:type="dxa"/>
            <w:hideMark/>
          </w:tcPr>
          <w:p w:rsidR="007B2A34" w:rsidRPr="00CC48D3" w:rsidRDefault="007B2A34" w:rsidP="007B2A34">
            <w:pPr>
              <w:numPr>
                <w:ilvl w:val="0"/>
                <w:numId w:val="25"/>
              </w:numPr>
            </w:pPr>
            <w:r>
              <w:t>The annual benchmarking report does not capture information relating to Directlink.</w:t>
            </w:r>
          </w:p>
        </w:tc>
      </w:tr>
      <w:tr w:rsidR="007B2A34" w:rsidTr="006C6574">
        <w:trPr>
          <w:cnfStyle w:val="000000010000" w:firstRow="0" w:lastRow="0" w:firstColumn="0" w:lastColumn="0" w:oddVBand="0" w:evenVBand="0" w:oddHBand="0" w:evenHBand="1"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Actual and expected opex of the TNSP during any preceding regulatory control periods</w:t>
            </w:r>
          </w:p>
        </w:tc>
        <w:tc>
          <w:tcPr>
            <w:tcW w:w="4621" w:type="dxa"/>
            <w:hideMark/>
          </w:tcPr>
          <w:p w:rsidR="007B2A34" w:rsidRDefault="007B2A34" w:rsidP="007B2A34">
            <w:pPr>
              <w:numPr>
                <w:ilvl w:val="0"/>
                <w:numId w:val="25"/>
              </w:numPr>
            </w:pPr>
            <w:r>
              <w:t xml:space="preserve">In assessing Directlink's bottom up forecast we had regard to actual opex in the preceding regulatory control period.  </w:t>
            </w:r>
          </w:p>
          <w:p w:rsidR="007B2A34" w:rsidRPr="000120DA" w:rsidRDefault="007B2A34" w:rsidP="007B2A34">
            <w:pPr>
              <w:numPr>
                <w:ilvl w:val="0"/>
                <w:numId w:val="25"/>
              </w:numPr>
            </w:pPr>
            <w:r w:rsidRPr="000120DA">
              <w:t xml:space="preserve">In assessing the efficiency of the </w:t>
            </w:r>
            <w:r>
              <w:t>op</w:t>
            </w:r>
            <w:r w:rsidRPr="000120DA">
              <w:t xml:space="preserve">ex we </w:t>
            </w:r>
            <w:r>
              <w:t>also had</w:t>
            </w:r>
            <w:r w:rsidRPr="000120DA">
              <w:t xml:space="preserve"> regard to tre</w:t>
            </w:r>
            <w:r>
              <w:t xml:space="preserve">nds in total level opex. </w:t>
            </w:r>
          </w:p>
        </w:tc>
      </w:tr>
      <w:tr w:rsidR="007B2A34" w:rsidTr="006C6574">
        <w:tc>
          <w:tcPr>
            <w:tcW w:w="4621" w:type="dxa"/>
            <w:hideMark/>
          </w:tcPr>
          <w:p w:rsidR="007B2A34" w:rsidRPr="000120DA" w:rsidRDefault="007B2A34" w:rsidP="007B2A34">
            <w:pPr>
              <w:numPr>
                <w:ilvl w:val="0"/>
                <w:numId w:val="25"/>
              </w:numPr>
            </w:pPr>
            <w:r w:rsidRPr="000120DA">
              <w:t>Extent to which the opex forecast includes expenditure to address concerns of electricity consumers as identified by the TNSP in the course of its engagement with electricity consumers</w:t>
            </w:r>
          </w:p>
        </w:tc>
        <w:tc>
          <w:tcPr>
            <w:tcW w:w="4621" w:type="dxa"/>
            <w:hideMark/>
          </w:tcPr>
          <w:p w:rsidR="007B2A34" w:rsidRPr="000120DA" w:rsidRDefault="007B2A34" w:rsidP="007B2A34">
            <w:pPr>
              <w:numPr>
                <w:ilvl w:val="0"/>
                <w:numId w:val="25"/>
              </w:numPr>
            </w:pPr>
            <w:r>
              <w:t>Directlink's proposed opex forecast does not identify any concerns raised by electricity consumers.</w:t>
            </w:r>
          </w:p>
        </w:tc>
      </w:tr>
      <w:tr w:rsidR="007B2A34" w:rsidTr="006C6574">
        <w:trPr>
          <w:cnfStyle w:val="000000010000" w:firstRow="0" w:lastRow="0" w:firstColumn="0" w:lastColumn="0" w:oddVBand="0" w:evenVBand="0" w:oddHBand="0" w:evenHBand="1"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The relative prices of operating and capital inputs</w:t>
            </w:r>
          </w:p>
        </w:tc>
        <w:tc>
          <w:tcPr>
            <w:tcW w:w="4621" w:type="dxa"/>
            <w:hideMark/>
          </w:tcPr>
          <w:p w:rsidR="007B2A34" w:rsidRPr="000120DA" w:rsidRDefault="007B2A34" w:rsidP="007B2A34">
            <w:pPr>
              <w:numPr>
                <w:ilvl w:val="0"/>
                <w:numId w:val="25"/>
              </w:numPr>
            </w:pPr>
            <w:r>
              <w:t xml:space="preserve">We </w:t>
            </w:r>
            <w:r w:rsidRPr="000120DA">
              <w:t>consider</w:t>
            </w:r>
            <w:r>
              <w:t>ed</w:t>
            </w:r>
            <w:r w:rsidRPr="000120DA">
              <w:t xml:space="preserve"> the relative prices of operating and capital inputs in assessing </w:t>
            </w:r>
            <w:r>
              <w:t xml:space="preserve">Directlink's proposed bottom up build of costs. </w:t>
            </w:r>
          </w:p>
        </w:tc>
      </w:tr>
      <w:tr w:rsidR="007B2A34" w:rsidTr="006C6574">
        <w:tc>
          <w:tcPr>
            <w:tcW w:w="4621" w:type="dxa"/>
            <w:hideMark/>
          </w:tcPr>
          <w:p w:rsidR="007B2A34" w:rsidRPr="000120DA" w:rsidRDefault="007B2A34" w:rsidP="007B2A34">
            <w:pPr>
              <w:numPr>
                <w:ilvl w:val="0"/>
                <w:numId w:val="25"/>
              </w:numPr>
            </w:pPr>
            <w:r w:rsidRPr="000120DA">
              <w:t>The substitution possibilities between operating and capital expenditure</w:t>
            </w:r>
          </w:p>
        </w:tc>
        <w:tc>
          <w:tcPr>
            <w:tcW w:w="4621" w:type="dxa"/>
            <w:hideMark/>
          </w:tcPr>
          <w:p w:rsidR="007B2A34" w:rsidRPr="00CC48D3" w:rsidRDefault="007B2A34" w:rsidP="007B2A34">
            <w:pPr>
              <w:numPr>
                <w:ilvl w:val="0"/>
                <w:numId w:val="25"/>
              </w:numPr>
            </w:pPr>
            <w:r>
              <w:t>We considered whether there are more efficient and prudent trade-offs in investing more or less in capital in place of ongoing operating and maintenance expenditure.</w:t>
            </w:r>
          </w:p>
        </w:tc>
      </w:tr>
      <w:tr w:rsidR="007B2A34" w:rsidTr="006C6574">
        <w:trPr>
          <w:cnfStyle w:val="000000010000" w:firstRow="0" w:lastRow="0" w:firstColumn="0" w:lastColumn="0" w:oddVBand="0" w:evenVBand="0" w:oddHBand="0" w:evenHBand="1"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The opex forecast is consistent with any incentive scheme or schemes that apply to the TNSP</w:t>
            </w:r>
          </w:p>
        </w:tc>
        <w:tc>
          <w:tcPr>
            <w:tcW w:w="4621" w:type="dxa"/>
            <w:hideMark/>
          </w:tcPr>
          <w:p w:rsidR="007B2A34" w:rsidRPr="00F21ED7" w:rsidRDefault="007B2A34" w:rsidP="007B2A34">
            <w:pPr>
              <w:numPr>
                <w:ilvl w:val="0"/>
                <w:numId w:val="25"/>
              </w:numPr>
            </w:pPr>
            <w:r>
              <w:t xml:space="preserve">We considered what incentive schemes applied in the previous regulatory control period in assessing Directlink's opex forecast.  We </w:t>
            </w:r>
            <w:r w:rsidR="000274DA">
              <w:t>also</w:t>
            </w:r>
            <w:r>
              <w:t xml:space="preserve"> considered what incentive schemes should apply in the forthcoming regulatory control period in setting our forecasts. For example, we considered how the allowed opex provides for higher </w:t>
            </w:r>
            <w:r w:rsidR="000274DA">
              <w:t>reliability</w:t>
            </w:r>
            <w:r>
              <w:t xml:space="preserve"> targets when applying the STPIS.</w:t>
            </w:r>
          </w:p>
        </w:tc>
      </w:tr>
      <w:tr w:rsidR="007B2A34" w:rsidTr="006C6574">
        <w:tc>
          <w:tcPr>
            <w:tcW w:w="4621" w:type="dxa"/>
            <w:hideMark/>
          </w:tcPr>
          <w:p w:rsidR="007B2A34" w:rsidRPr="000120DA" w:rsidRDefault="007B2A34" w:rsidP="007B2A34">
            <w:pPr>
              <w:numPr>
                <w:ilvl w:val="0"/>
                <w:numId w:val="25"/>
              </w:numPr>
            </w:pPr>
            <w:r w:rsidRPr="000120DA">
              <w:t>The extent the opex forecast is referable to arrangements with a person other than the TNSP that do not reflect arm's length terms</w:t>
            </w:r>
          </w:p>
        </w:tc>
        <w:tc>
          <w:tcPr>
            <w:tcW w:w="4621" w:type="dxa"/>
            <w:hideMark/>
          </w:tcPr>
          <w:p w:rsidR="007B2A34" w:rsidRPr="000120DA" w:rsidRDefault="007B2A34" w:rsidP="007B2A34">
            <w:pPr>
              <w:numPr>
                <w:ilvl w:val="0"/>
                <w:numId w:val="25"/>
              </w:numPr>
            </w:pPr>
            <w:r>
              <w:t>If we identify costs incurred to</w:t>
            </w:r>
            <w:r w:rsidRPr="000120DA">
              <w:t xml:space="preserve"> related party </w:t>
            </w:r>
            <w:r>
              <w:t>businesses, we examine whether this adversely affects the</w:t>
            </w:r>
            <w:r w:rsidRPr="000120DA">
              <w:t xml:space="preserve"> </w:t>
            </w:r>
            <w:r>
              <w:t xml:space="preserve">TNSP’s </w:t>
            </w:r>
            <w:r w:rsidRPr="000120DA">
              <w:t>opex forecast.</w:t>
            </w:r>
            <w:r>
              <w:t xml:space="preserve"> We consider that APA Group is a related party to Directlink and have considered this in assessing any influence on Directlink's opex forecast.</w:t>
            </w:r>
          </w:p>
        </w:tc>
      </w:tr>
      <w:tr w:rsidR="007B2A34" w:rsidTr="006C6574">
        <w:trPr>
          <w:cnfStyle w:val="000000010000" w:firstRow="0" w:lastRow="0" w:firstColumn="0" w:lastColumn="0" w:oddVBand="0" w:evenVBand="0" w:oddHBand="0" w:evenHBand="1"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Whether the opex forecast includes an amount relating to a project that should more appropriately be included as a contingent project</w:t>
            </w:r>
          </w:p>
        </w:tc>
        <w:tc>
          <w:tcPr>
            <w:tcW w:w="4621" w:type="dxa"/>
            <w:hideMark/>
          </w:tcPr>
          <w:p w:rsidR="007B2A34" w:rsidRPr="00E32E56" w:rsidRDefault="007B2A34" w:rsidP="007B2A34">
            <w:pPr>
              <w:numPr>
                <w:ilvl w:val="0"/>
                <w:numId w:val="25"/>
              </w:numPr>
            </w:pPr>
            <w:r>
              <w:t>We did not identify any projects that would more appropriately be included as</w:t>
            </w:r>
            <w:r w:rsidRPr="000120DA">
              <w:t xml:space="preserve"> a contingent project.</w:t>
            </w:r>
          </w:p>
        </w:tc>
      </w:tr>
      <w:tr w:rsidR="007B2A34" w:rsidTr="006C6574">
        <w:tc>
          <w:tcPr>
            <w:tcW w:w="4621" w:type="dxa"/>
            <w:hideMark/>
          </w:tcPr>
          <w:p w:rsidR="007B2A34" w:rsidRPr="000120DA" w:rsidRDefault="007B2A34" w:rsidP="007B2A34">
            <w:pPr>
              <w:numPr>
                <w:ilvl w:val="0"/>
                <w:numId w:val="25"/>
              </w:numPr>
            </w:pPr>
            <w:r w:rsidRPr="000120DA">
              <w:t>The most recent NTNDP and any submissions made by AEMO on the forecast of the TNSPs required opex</w:t>
            </w:r>
          </w:p>
        </w:tc>
        <w:tc>
          <w:tcPr>
            <w:tcW w:w="4621" w:type="dxa"/>
            <w:hideMark/>
          </w:tcPr>
          <w:p w:rsidR="007B2A34" w:rsidRPr="00E32E56" w:rsidRDefault="007B2A34" w:rsidP="007B2A34">
            <w:pPr>
              <w:numPr>
                <w:ilvl w:val="0"/>
                <w:numId w:val="25"/>
              </w:numPr>
            </w:pPr>
            <w:r>
              <w:t>We examined these factors and took them into account in considering whether the proposed total forecast opex reasonably reflects the opex criteria.</w:t>
            </w:r>
          </w:p>
        </w:tc>
      </w:tr>
      <w:tr w:rsidR="007B2A34" w:rsidTr="006C6574">
        <w:trPr>
          <w:cnfStyle w:val="000000010000" w:firstRow="0" w:lastRow="0" w:firstColumn="0" w:lastColumn="0" w:oddVBand="0" w:evenVBand="0" w:oddHBand="0" w:evenHBand="1"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 xml:space="preserve">The extent to which the TNSP has considered and made provision for efficient and prudent non-network </w:t>
            </w:r>
            <w:r w:rsidRPr="000120DA">
              <w:lastRenderedPageBreak/>
              <w:t>alternatives</w:t>
            </w:r>
          </w:p>
        </w:tc>
        <w:tc>
          <w:tcPr>
            <w:tcW w:w="4621" w:type="dxa"/>
            <w:hideMark/>
          </w:tcPr>
          <w:p w:rsidR="007B2A34" w:rsidRPr="00E32E56" w:rsidRDefault="007B2A34" w:rsidP="007B2A34">
            <w:pPr>
              <w:numPr>
                <w:ilvl w:val="0"/>
                <w:numId w:val="25"/>
              </w:numPr>
            </w:pPr>
            <w:r>
              <w:lastRenderedPageBreak/>
              <w:t xml:space="preserve">We identified any non-network alternatives to ensure that </w:t>
            </w:r>
            <w:r>
              <w:lastRenderedPageBreak/>
              <w:t>they are properly reflected in the total forecast opex.</w:t>
            </w:r>
          </w:p>
        </w:tc>
      </w:tr>
      <w:tr w:rsidR="007B2A34" w:rsidTr="006C6574">
        <w:tc>
          <w:tcPr>
            <w:tcW w:w="4621" w:type="dxa"/>
            <w:hideMark/>
          </w:tcPr>
          <w:p w:rsidR="007B2A34" w:rsidRPr="000120DA" w:rsidRDefault="007B2A34" w:rsidP="007B2A34">
            <w:pPr>
              <w:numPr>
                <w:ilvl w:val="0"/>
                <w:numId w:val="25"/>
              </w:numPr>
            </w:pPr>
            <w:r w:rsidRPr="000120DA">
              <w:lastRenderedPageBreak/>
              <w:t>Any relevant project assessment conclusions report required under cl.5.16.4</w:t>
            </w:r>
          </w:p>
        </w:tc>
        <w:tc>
          <w:tcPr>
            <w:tcW w:w="4621" w:type="dxa"/>
            <w:hideMark/>
          </w:tcPr>
          <w:p w:rsidR="007B2A34" w:rsidRPr="000120DA" w:rsidRDefault="007B2A34" w:rsidP="007B2A34">
            <w:pPr>
              <w:numPr>
                <w:ilvl w:val="0"/>
                <w:numId w:val="25"/>
              </w:numPr>
            </w:pPr>
            <w:r>
              <w:t>We are unaware of any RIT-T project being submitted by Directlink.</w:t>
            </w:r>
          </w:p>
        </w:tc>
      </w:tr>
      <w:tr w:rsidR="007B2A34" w:rsidTr="006C6574">
        <w:trPr>
          <w:cnfStyle w:val="000000010000" w:firstRow="0" w:lastRow="0" w:firstColumn="0" w:lastColumn="0" w:oddVBand="0" w:evenVBand="0" w:oddHBand="0" w:evenHBand="1" w:firstRowFirstColumn="0" w:firstRowLastColumn="0" w:lastRowFirstColumn="0" w:lastRowLastColumn="0"/>
        </w:trPr>
        <w:tc>
          <w:tcPr>
            <w:tcW w:w="4621" w:type="dxa"/>
            <w:hideMark/>
          </w:tcPr>
          <w:p w:rsidR="007B2A34" w:rsidRPr="000120DA" w:rsidRDefault="007B2A34" w:rsidP="007B2A34">
            <w:pPr>
              <w:numPr>
                <w:ilvl w:val="0"/>
                <w:numId w:val="25"/>
              </w:numPr>
            </w:pPr>
            <w:r w:rsidRPr="000120DA">
              <w:t>Any other factor the AER considers relevant and which the AER has notified the TNSP in writing, prior to the submission of its revised Revenue Proposal under cl.6A.12.3, is an opex factor</w:t>
            </w:r>
          </w:p>
        </w:tc>
        <w:tc>
          <w:tcPr>
            <w:tcW w:w="4621" w:type="dxa"/>
            <w:hideMark/>
          </w:tcPr>
          <w:p w:rsidR="007B2A34" w:rsidRPr="000120DA" w:rsidRDefault="007B2A34" w:rsidP="007B2A34">
            <w:pPr>
              <w:numPr>
                <w:ilvl w:val="0"/>
                <w:numId w:val="25"/>
              </w:numPr>
            </w:pPr>
            <w:r>
              <w:t>No other factors are notified by the AER</w:t>
            </w:r>
            <w:r w:rsidRPr="000120DA">
              <w:t>.</w:t>
            </w:r>
          </w:p>
        </w:tc>
      </w:tr>
    </w:tbl>
    <w:p w:rsidR="007B2A34" w:rsidRPr="000120DA" w:rsidRDefault="007B2A34" w:rsidP="007B2A34">
      <w:pPr>
        <w:pStyle w:val="AERtablesource"/>
      </w:pPr>
      <w:r w:rsidRPr="000120DA">
        <w:t xml:space="preserve">Source: </w:t>
      </w:r>
      <w:r w:rsidRPr="000120DA">
        <w:tab/>
        <w:t>AER analysis</w:t>
      </w:r>
    </w:p>
    <w:p w:rsidR="007B49E1" w:rsidRPr="00AF1F9E" w:rsidRDefault="007B2A34" w:rsidP="00716F75">
      <w:pPr>
        <w:pStyle w:val="AERtablesource"/>
      </w:pPr>
      <w:r w:rsidRPr="000120DA">
        <w:t>Note:</w:t>
      </w:r>
      <w:r w:rsidRPr="000120DA">
        <w:tab/>
        <w:t>(a) The opex factors are set out in NER cl. 6A.6.6(e)</w:t>
      </w:r>
      <w:r>
        <w:t>.</w:t>
      </w:r>
    </w:p>
    <w:p w:rsidR="00DE563D" w:rsidRPr="00AF1F9E" w:rsidRDefault="00DE563D" w:rsidP="00AF1F9E">
      <w:pPr>
        <w:pStyle w:val="Heading3"/>
      </w:pPr>
      <w:bookmarkStart w:id="25" w:name="_Toc417745445"/>
      <w:r w:rsidRPr="00AF1F9E">
        <w:t>Interrelationships</w:t>
      </w:r>
      <w:bookmarkEnd w:id="20"/>
      <w:bookmarkEnd w:id="25"/>
    </w:p>
    <w:p w:rsidR="00A64D59" w:rsidRPr="00DA1745" w:rsidRDefault="00A64D59" w:rsidP="00A64D59">
      <w:pPr>
        <w:numPr>
          <w:ilvl w:val="0"/>
          <w:numId w:val="25"/>
        </w:numPr>
      </w:pPr>
      <w:bookmarkStart w:id="26" w:name="_Toc403144140"/>
      <w:r w:rsidRPr="00DA1745">
        <w:t xml:space="preserve">In assessing </w:t>
      </w:r>
      <w:r>
        <w:t>Directlink</w:t>
      </w:r>
      <w:r w:rsidRPr="00DA1745">
        <w:t>'</w:t>
      </w:r>
      <w:r>
        <w:t>s</w:t>
      </w:r>
      <w:r w:rsidRPr="00DA1745">
        <w:t xml:space="preserve"> total forecast opex we took into account other components of its regulatory proposal, including:</w:t>
      </w:r>
    </w:p>
    <w:p w:rsidR="00A64D59" w:rsidRPr="00A64D59" w:rsidRDefault="00A64D59" w:rsidP="00A64D59">
      <w:pPr>
        <w:pStyle w:val="AERbulletlistfirststyle"/>
      </w:pPr>
      <w:r w:rsidRPr="00984496">
        <w:t xml:space="preserve">the trade-off between potential capex and opex solutions in our assessment of </w:t>
      </w:r>
      <w:r w:rsidRPr="00A64D59">
        <w:t>operating and maintenance costs (see section</w:t>
      </w:r>
      <w:r w:rsidR="00D9018D">
        <w:t xml:space="preserve"> </w:t>
      </w:r>
      <w:r w:rsidR="0081304E">
        <w:fldChar w:fldCharType="begin"/>
      </w:r>
      <w:r w:rsidR="0081304E">
        <w:instrText xml:space="preserve"> REF _Ref415401319 \r \h </w:instrText>
      </w:r>
      <w:r w:rsidR="0081304E">
        <w:fldChar w:fldCharType="separate"/>
      </w:r>
      <w:r w:rsidR="00020BF5">
        <w:t>7.4.2</w:t>
      </w:r>
      <w:r w:rsidR="0081304E">
        <w:fldChar w:fldCharType="end"/>
      </w:r>
      <w:r w:rsidRPr="00A64D59">
        <w:t>)</w:t>
      </w:r>
    </w:p>
    <w:p w:rsidR="007B49E1" w:rsidRPr="00AF1F9E" w:rsidRDefault="00A64D59" w:rsidP="007B49E1">
      <w:pPr>
        <w:pStyle w:val="AERbulletlistfirststyle"/>
      </w:pPr>
      <w:r>
        <w:t>the effect of forecast capex</w:t>
      </w:r>
      <w:r w:rsidRPr="00A64D59">
        <w:t xml:space="preserve"> and operating and maintenance costs on reducing likely insurance costs (see section</w:t>
      </w:r>
      <w:r w:rsidR="00D9018D">
        <w:t xml:space="preserve"> </w:t>
      </w:r>
      <w:r w:rsidR="0081304E">
        <w:fldChar w:fldCharType="begin"/>
      </w:r>
      <w:r w:rsidR="0081304E">
        <w:instrText xml:space="preserve"> REF _Ref415401247 \r \h </w:instrText>
      </w:r>
      <w:r w:rsidR="0081304E">
        <w:fldChar w:fldCharType="separate"/>
      </w:r>
      <w:r w:rsidR="00020BF5">
        <w:t>7.4.3</w:t>
      </w:r>
      <w:r w:rsidR="0081304E">
        <w:fldChar w:fldCharType="end"/>
      </w:r>
      <w:r w:rsidR="0081304E">
        <w:t>)</w:t>
      </w:r>
    </w:p>
    <w:p w:rsidR="00DE563D" w:rsidRDefault="00DE563D" w:rsidP="00AF1F9E">
      <w:pPr>
        <w:pStyle w:val="Heading2"/>
      </w:pPr>
      <w:bookmarkStart w:id="27" w:name="_Toc417745446"/>
      <w:r w:rsidRPr="00AF1F9E">
        <w:t xml:space="preserve">Reasons for </w:t>
      </w:r>
      <w:r w:rsidR="00AF1F9E">
        <w:t>final</w:t>
      </w:r>
      <w:r w:rsidRPr="00AF1F9E">
        <w:t xml:space="preserve"> decision</w:t>
      </w:r>
      <w:bookmarkEnd w:id="26"/>
      <w:bookmarkEnd w:id="27"/>
      <w:r w:rsidRPr="00AF1F9E">
        <w:t xml:space="preserve"> </w:t>
      </w:r>
    </w:p>
    <w:p w:rsidR="00A64D59" w:rsidRDefault="00A64D59" w:rsidP="00A64D59">
      <w:pPr>
        <w:numPr>
          <w:ilvl w:val="0"/>
          <w:numId w:val="25"/>
        </w:numPr>
      </w:pPr>
      <w:r>
        <w:t>We are not satisfied that Directlink</w:t>
      </w:r>
      <w:r w:rsidRPr="00896595">
        <w:t>'s t</w:t>
      </w:r>
      <w:r>
        <w:t>otal forecast opex reasonably reflects the opex criteria. We reached this conclusion after undertaking our analysis using a bottom up calculation of expenditure. When we compare</w:t>
      </w:r>
      <w:r w:rsidRPr="00D75E6C">
        <w:t xml:space="preserve"> </w:t>
      </w:r>
      <w:r>
        <w:t>Directlink's total forecast opex with our estimate of the efficient opex a prudent operator would require to achieve the opex objectives</w:t>
      </w:r>
      <w:r w:rsidR="00F7043E">
        <w:t xml:space="preserve"> based on a realistic expectation of the demand forecast and cost inputs</w:t>
      </w:r>
      <w:r>
        <w:t>, its proposal is materially higher such that it does not reasonably reflect the opex criteria.</w:t>
      </w:r>
    </w:p>
    <w:p w:rsidR="00A64D59" w:rsidRDefault="00A64D59" w:rsidP="00A64D59">
      <w:pPr>
        <w:numPr>
          <w:ilvl w:val="0"/>
          <w:numId w:val="25"/>
        </w:numPr>
      </w:pPr>
      <w:r>
        <w:t>The key areas of difference between our alternative estimate of total opex and Directlink's proposed forecast total opex are:</w:t>
      </w:r>
    </w:p>
    <w:p w:rsidR="00A64D59" w:rsidRDefault="00C77451" w:rsidP="006C6574">
      <w:pPr>
        <w:pStyle w:val="ListNumber"/>
        <w:numPr>
          <w:ilvl w:val="0"/>
          <w:numId w:val="41"/>
        </w:numPr>
      </w:pPr>
      <w:r>
        <w:t>Operating and maintenance expenditure</w:t>
      </w:r>
      <w:r w:rsidR="002E587B">
        <w:t>. We did not agree with Directlink's proposal to include cable repair expenditure as capex and have included it as opex. Consistent with our draft decision, we consider that a</w:t>
      </w:r>
      <w:r w:rsidR="00857B29">
        <w:t>n</w:t>
      </w:r>
      <w:r w:rsidR="00930397">
        <w:t xml:space="preserve"> opex forecast</w:t>
      </w:r>
      <w:r w:rsidR="002E587B">
        <w:t xml:space="preserve"> for </w:t>
      </w:r>
      <w:r w:rsidR="00A10422">
        <w:t>three</w:t>
      </w:r>
      <w:r w:rsidR="002E587B">
        <w:t xml:space="preserve"> cable repairs per year is prudent and efficient, rather than the 12 cable repairs proposed by Directlink. We assessed that Directlink's proposed proactive cable replacement was inefficient and did not include it in our alternative opex forecast.</w:t>
      </w:r>
    </w:p>
    <w:p w:rsidR="00A64D59" w:rsidRDefault="00C77451" w:rsidP="00A64D59">
      <w:pPr>
        <w:pStyle w:val="ListNumber"/>
      </w:pPr>
      <w:r>
        <w:t>Insurance expenditure</w:t>
      </w:r>
      <w:r w:rsidR="002E587B">
        <w:t xml:space="preserve">. We consider that Directlink's </w:t>
      </w:r>
      <w:r w:rsidR="009E4355">
        <w:t xml:space="preserve">forecasting </w:t>
      </w:r>
      <w:r w:rsidR="002E587B">
        <w:t xml:space="preserve">method </w:t>
      </w:r>
      <w:r w:rsidR="009E4355">
        <w:t>r</w:t>
      </w:r>
      <w:r w:rsidR="002E587B">
        <w:t xml:space="preserve">esults in a higher </w:t>
      </w:r>
      <w:r w:rsidR="00042010">
        <w:t xml:space="preserve">insurance </w:t>
      </w:r>
      <w:r w:rsidR="002E587B">
        <w:t>expenditure</w:t>
      </w:r>
      <w:r w:rsidR="00042010">
        <w:t xml:space="preserve"> than would be incurred by a prudent operator achieving the opex objectives. </w:t>
      </w:r>
    </w:p>
    <w:p w:rsidR="00C77451" w:rsidRDefault="00C77451" w:rsidP="00A64D59">
      <w:pPr>
        <w:pStyle w:val="ListNumber"/>
      </w:pPr>
      <w:r>
        <w:t>Commercial services expenditure</w:t>
      </w:r>
      <w:r w:rsidR="009E4355">
        <w:t xml:space="preserve">. Consistent with our draft position, we consider that the method of allocating the EII commercial services fee should </w:t>
      </w:r>
      <w:r w:rsidR="00FE58F4">
        <w:t>use</w:t>
      </w:r>
      <w:r w:rsidR="009E4355">
        <w:t xml:space="preserve"> the </w:t>
      </w:r>
      <w:r w:rsidR="00FE58F4">
        <w:t>most contemporary audited revenue, which is calendar year 2013.</w:t>
      </w:r>
    </w:p>
    <w:p w:rsidR="00C77451" w:rsidRDefault="00C77451" w:rsidP="00A64D59">
      <w:pPr>
        <w:pStyle w:val="ListNumber"/>
      </w:pPr>
      <w:r>
        <w:lastRenderedPageBreak/>
        <w:t>APA 10 per cent margin.</w:t>
      </w:r>
      <w:r w:rsidR="00FE58F4">
        <w:t xml:space="preserve"> As the APA 10 per cent margin is applied to all elements of opex, the lower O&amp;M, insurance and commercial services expenditure results in a lower margin amount being included in our opex forecast.</w:t>
      </w:r>
    </w:p>
    <w:p w:rsidR="00A64D59" w:rsidRDefault="00A64D59" w:rsidP="00A64D59">
      <w:pPr>
        <w:numPr>
          <w:ilvl w:val="0"/>
          <w:numId w:val="25"/>
        </w:numPr>
      </w:pPr>
      <w:r>
        <w:fldChar w:fldCharType="begin"/>
      </w:r>
      <w:r>
        <w:instrText xml:space="preserve"> REF _Ref409694035 \h </w:instrText>
      </w:r>
      <w:r>
        <w:fldChar w:fldCharType="separate"/>
      </w:r>
      <w:r w:rsidR="00020BF5">
        <w:t xml:space="preserve">Table </w:t>
      </w:r>
      <w:r w:rsidR="00020BF5">
        <w:rPr>
          <w:noProof/>
        </w:rPr>
        <w:t>7</w:t>
      </w:r>
      <w:r w:rsidR="00020BF5">
        <w:noBreakHyphen/>
      </w:r>
      <w:r w:rsidR="00020BF5">
        <w:rPr>
          <w:noProof/>
        </w:rPr>
        <w:t>2</w:t>
      </w:r>
      <w:r>
        <w:fldChar w:fldCharType="end"/>
      </w:r>
      <w:r>
        <w:t xml:space="preserve"> summarises the quantum of the difference between Directlink's proposed total forecast opex and our alternative estimate</w:t>
      </w:r>
      <w:r w:rsidR="003B5FEB">
        <w:t xml:space="preserve">, </w:t>
      </w:r>
      <w:r w:rsidR="00810FCA">
        <w:t>excluding cable repair expenditure</w:t>
      </w:r>
      <w:r>
        <w:t>.</w:t>
      </w:r>
    </w:p>
    <w:p w:rsidR="00A64D59" w:rsidRDefault="00A64D59" w:rsidP="00A64D59">
      <w:pPr>
        <w:pStyle w:val="Caption"/>
        <w:numPr>
          <w:ilvl w:val="0"/>
          <w:numId w:val="25"/>
        </w:numPr>
      </w:pPr>
      <w:bookmarkStart w:id="28" w:name="_Ref409694035"/>
      <w:r>
        <w:t xml:space="preserve">Table </w:t>
      </w:r>
      <w:fldSimple w:instr=" STYLEREF 1 \s ">
        <w:r w:rsidR="00020BF5">
          <w:rPr>
            <w:noProof/>
          </w:rPr>
          <w:t>7</w:t>
        </w:r>
      </w:fldSimple>
      <w:r w:rsidR="00337764">
        <w:noBreakHyphen/>
      </w:r>
      <w:fldSimple w:instr=" SEQ Table \* ARABIC \s 1 ">
        <w:r w:rsidR="00020BF5">
          <w:rPr>
            <w:noProof/>
          </w:rPr>
          <w:t>2</w:t>
        </w:r>
      </w:fldSimple>
      <w:bookmarkEnd w:id="28"/>
      <w:r>
        <w:tab/>
        <w:t>AER final decision on Directlink's total opex</w:t>
      </w:r>
      <w:r w:rsidR="00810FCA">
        <w:t>, excluding cable repair expenditure</w:t>
      </w:r>
      <w:r>
        <w:t xml:space="preserve"> ($million 2014–15)</w:t>
      </w:r>
    </w:p>
    <w:tbl>
      <w:tblPr>
        <w:tblStyle w:val="AERtable-numbers"/>
        <w:tblW w:w="0" w:type="auto"/>
        <w:tblLayout w:type="fixed"/>
        <w:tblLook w:val="04A0" w:firstRow="1" w:lastRow="0" w:firstColumn="1" w:lastColumn="0" w:noHBand="0" w:noVBand="1"/>
      </w:tblPr>
      <w:tblGrid>
        <w:gridCol w:w="2376"/>
        <w:gridCol w:w="1052"/>
        <w:gridCol w:w="1053"/>
        <w:gridCol w:w="1053"/>
        <w:gridCol w:w="1053"/>
        <w:gridCol w:w="1053"/>
        <w:gridCol w:w="1053"/>
      </w:tblGrid>
      <w:tr w:rsidR="00A64D59" w:rsidTr="006C65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A64D59" w:rsidRDefault="00A64D59" w:rsidP="00A64D59">
            <w:pPr>
              <w:pStyle w:val="AERtabletextleft"/>
            </w:pPr>
          </w:p>
        </w:tc>
        <w:tc>
          <w:tcPr>
            <w:tcW w:w="1052" w:type="dxa"/>
          </w:tcPr>
          <w:p w:rsidR="00A64D59" w:rsidRPr="00A64D59" w:rsidRDefault="00A64D59" w:rsidP="00A64D59">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53" w:type="dxa"/>
          </w:tcPr>
          <w:p w:rsidR="00A64D59" w:rsidRPr="00A64D59" w:rsidRDefault="00A64D59" w:rsidP="00A64D59">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53" w:type="dxa"/>
          </w:tcPr>
          <w:p w:rsidR="00A64D59" w:rsidRPr="00A64D59" w:rsidRDefault="00A64D59" w:rsidP="00A64D59">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53" w:type="dxa"/>
          </w:tcPr>
          <w:p w:rsidR="00A64D59" w:rsidRPr="00A64D59" w:rsidRDefault="00A64D59" w:rsidP="00A64D59">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053" w:type="dxa"/>
          </w:tcPr>
          <w:p w:rsidR="00A64D59" w:rsidRPr="00A64D59" w:rsidRDefault="00A64D59" w:rsidP="00A64D59">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053" w:type="dxa"/>
          </w:tcPr>
          <w:p w:rsidR="00A64D59" w:rsidRPr="00A64D59" w:rsidRDefault="00A64D59" w:rsidP="00A64D59">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2B389E" w:rsidTr="00EB72B4">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 xml:space="preserve">Directlink's initial proposal </w:t>
            </w:r>
            <w:r w:rsidRPr="002B389E">
              <w:rPr>
                <w:rStyle w:val="AERsuperscript"/>
              </w:rPr>
              <w:t>(a)</w:t>
            </w:r>
          </w:p>
        </w:tc>
        <w:tc>
          <w:tcPr>
            <w:tcW w:w="105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5.0</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4.3</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4.4</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4.4</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4.4</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22.5</w:t>
            </w:r>
          </w:p>
        </w:tc>
      </w:tr>
      <w:tr w:rsidR="002B389E" w:rsidTr="00EB7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 xml:space="preserve">AER draft decision </w:t>
            </w:r>
            <w:r w:rsidRPr="002B389E">
              <w:rPr>
                <w:rStyle w:val="AERsuperscript"/>
              </w:rPr>
              <w:t>(a)</w:t>
            </w:r>
          </w:p>
        </w:tc>
        <w:tc>
          <w:tcPr>
            <w:tcW w:w="105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3.7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3.0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3.1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3.0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3.0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15.8 </w:t>
            </w:r>
          </w:p>
        </w:tc>
      </w:tr>
      <w:tr w:rsidR="002B389E" w:rsidTr="00EB72B4">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Directlink's revised proposal</w:t>
            </w:r>
          </w:p>
        </w:tc>
        <w:tc>
          <w:tcPr>
            <w:tcW w:w="105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4.3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3.5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3.6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3.6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3.5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18.5 </w:t>
            </w:r>
          </w:p>
        </w:tc>
      </w:tr>
      <w:tr w:rsidR="002B389E" w:rsidTr="00EB7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AER final decision</w:t>
            </w:r>
          </w:p>
        </w:tc>
        <w:tc>
          <w:tcPr>
            <w:tcW w:w="105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3.8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3.0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3.1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3.1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3.1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16.1 </w:t>
            </w:r>
          </w:p>
        </w:tc>
      </w:tr>
      <w:tr w:rsidR="002B389E" w:rsidTr="00EB72B4">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Difference between AER final decision and Directlink revised proposal ($million)</w:t>
            </w:r>
          </w:p>
        </w:tc>
        <w:tc>
          <w:tcPr>
            <w:tcW w:w="105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-0.5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-0.5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-0.5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-0.5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-0.4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-2.4 </w:t>
            </w:r>
          </w:p>
        </w:tc>
      </w:tr>
      <w:tr w:rsidR="002B389E" w:rsidTr="00EB72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top"/>
          </w:tcPr>
          <w:p w:rsidR="002B389E" w:rsidRPr="002B389E" w:rsidRDefault="002B389E" w:rsidP="002B389E">
            <w:pPr>
              <w:pStyle w:val="AERtabletextleft"/>
            </w:pPr>
            <w:r w:rsidRPr="002B389E">
              <w:t>Difference (%)</w:t>
            </w:r>
          </w:p>
        </w:tc>
        <w:tc>
          <w:tcPr>
            <w:tcW w:w="105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-12.2%</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-13.6%</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-13.6%</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-13.9%</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-12.7%</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-13.2%</w:t>
            </w:r>
          </w:p>
        </w:tc>
      </w:tr>
    </w:tbl>
    <w:p w:rsidR="00A64D59" w:rsidRDefault="00A64D59" w:rsidP="00A64D59">
      <w:pPr>
        <w:pStyle w:val="AERtablesource"/>
        <w:numPr>
          <w:ilvl w:val="0"/>
          <w:numId w:val="25"/>
        </w:numPr>
      </w:pPr>
      <w:r w:rsidRPr="000B78C1">
        <w:t>Source:</w:t>
      </w:r>
      <w:r w:rsidRPr="000B78C1">
        <w:tab/>
      </w:r>
      <w:r>
        <w:t>Directlink</w:t>
      </w:r>
      <w:r w:rsidRPr="000B78C1">
        <w:t>, proposal; AER analysis</w:t>
      </w:r>
    </w:p>
    <w:p w:rsidR="00A64D59" w:rsidRPr="00F665D1" w:rsidRDefault="00A64D59" w:rsidP="00A64D59">
      <w:pPr>
        <w:pStyle w:val="AERtablesource"/>
        <w:numPr>
          <w:ilvl w:val="0"/>
          <w:numId w:val="25"/>
        </w:numPr>
      </w:pPr>
      <w:r>
        <w:t xml:space="preserve">Note: (a) Excludes </w:t>
      </w:r>
      <w:r w:rsidR="00810FCA">
        <w:t xml:space="preserve">cable repair </w:t>
      </w:r>
      <w:r>
        <w:t>opex shifted from opex to capex in Directlink's revised proposal.</w:t>
      </w:r>
    </w:p>
    <w:p w:rsidR="00810FCA" w:rsidRDefault="00EB72B4" w:rsidP="00810FCA">
      <w:pPr>
        <w:numPr>
          <w:ilvl w:val="0"/>
          <w:numId w:val="25"/>
        </w:numPr>
      </w:pPr>
      <w:r>
        <w:fldChar w:fldCharType="begin"/>
      </w:r>
      <w:r>
        <w:instrText xml:space="preserve"> REF _Ref415564140 \h </w:instrText>
      </w:r>
      <w:r>
        <w:fldChar w:fldCharType="separate"/>
      </w:r>
      <w:r w:rsidR="00020BF5">
        <w:t xml:space="preserve">Table </w:t>
      </w:r>
      <w:r w:rsidR="00020BF5">
        <w:rPr>
          <w:noProof/>
        </w:rPr>
        <w:t>7</w:t>
      </w:r>
      <w:r w:rsidR="00020BF5">
        <w:noBreakHyphen/>
      </w:r>
      <w:r w:rsidR="00020BF5">
        <w:rPr>
          <w:noProof/>
        </w:rPr>
        <w:t>3</w:t>
      </w:r>
      <w:r>
        <w:fldChar w:fldCharType="end"/>
      </w:r>
      <w:r>
        <w:t xml:space="preserve"> </w:t>
      </w:r>
      <w:r w:rsidR="00810FCA">
        <w:t>summarises the quantum of the difference between Directlink's proposed total forecast opex and our alternative estimate for cable repair expenditure.</w:t>
      </w:r>
    </w:p>
    <w:p w:rsidR="00EB72B4" w:rsidRDefault="00EB72B4" w:rsidP="00EB72B4">
      <w:pPr>
        <w:pStyle w:val="Caption"/>
      </w:pPr>
      <w:bookmarkStart w:id="29" w:name="_Ref415564140"/>
      <w:bookmarkStart w:id="30" w:name="OLE_LINK1"/>
      <w:r>
        <w:t xml:space="preserve">Table </w:t>
      </w:r>
      <w:fldSimple w:instr=" STYLEREF 1 \s ">
        <w:r w:rsidR="00020BF5">
          <w:rPr>
            <w:noProof/>
          </w:rPr>
          <w:t>7</w:t>
        </w:r>
      </w:fldSimple>
      <w:r w:rsidR="00337764">
        <w:noBreakHyphen/>
      </w:r>
      <w:fldSimple w:instr=" SEQ Table \* ARABIC \s 1 ">
        <w:r w:rsidR="00020BF5">
          <w:rPr>
            <w:noProof/>
          </w:rPr>
          <w:t>3</w:t>
        </w:r>
      </w:fldSimple>
      <w:bookmarkEnd w:id="29"/>
      <w:r>
        <w:tab/>
      </w:r>
      <w:r w:rsidR="00F30FF2">
        <w:t xml:space="preserve">AER final decision on Directlink's </w:t>
      </w:r>
      <w:r>
        <w:t>cable replacement program expenditure ($</w:t>
      </w:r>
      <w:r w:rsidR="00ED45C9">
        <w:t>million</w:t>
      </w:r>
      <w:r>
        <w:t xml:space="preserve"> 2014-15, excluding APA Operations' 10 per cent margin)</w:t>
      </w:r>
    </w:p>
    <w:tbl>
      <w:tblPr>
        <w:tblStyle w:val="AERtable-numbers"/>
        <w:tblW w:w="0" w:type="auto"/>
        <w:tblLayout w:type="fixed"/>
        <w:tblLook w:val="04A0" w:firstRow="1" w:lastRow="0" w:firstColumn="1" w:lastColumn="0" w:noHBand="0" w:noVBand="1"/>
      </w:tblPr>
      <w:tblGrid>
        <w:gridCol w:w="2376"/>
        <w:gridCol w:w="1052"/>
        <w:gridCol w:w="1053"/>
        <w:gridCol w:w="1053"/>
        <w:gridCol w:w="1053"/>
        <w:gridCol w:w="1053"/>
        <w:gridCol w:w="1053"/>
      </w:tblGrid>
      <w:tr w:rsidR="00EB72B4" w:rsidTr="00BE7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B72B4" w:rsidRDefault="00EB72B4" w:rsidP="00EB72B4">
            <w:pPr>
              <w:numPr>
                <w:ilvl w:val="0"/>
                <w:numId w:val="25"/>
              </w:numPr>
            </w:pPr>
          </w:p>
        </w:tc>
        <w:tc>
          <w:tcPr>
            <w:tcW w:w="1052" w:type="dxa"/>
          </w:tcPr>
          <w:p w:rsidR="00EB72B4" w:rsidRPr="00EB72B4" w:rsidRDefault="00EB72B4" w:rsidP="00EB72B4">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53" w:type="dxa"/>
          </w:tcPr>
          <w:p w:rsidR="00EB72B4" w:rsidRPr="00EB72B4" w:rsidRDefault="00EB72B4" w:rsidP="00EB72B4">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53" w:type="dxa"/>
          </w:tcPr>
          <w:p w:rsidR="00EB72B4" w:rsidRPr="00EB72B4" w:rsidRDefault="00EB72B4" w:rsidP="00EB72B4">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53" w:type="dxa"/>
          </w:tcPr>
          <w:p w:rsidR="00EB72B4" w:rsidRPr="00EB72B4" w:rsidRDefault="00EB72B4" w:rsidP="00EB72B4">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053" w:type="dxa"/>
          </w:tcPr>
          <w:p w:rsidR="00EB72B4" w:rsidRPr="00EB72B4" w:rsidRDefault="00EB72B4" w:rsidP="00EB72B4">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053" w:type="dxa"/>
          </w:tcPr>
          <w:p w:rsidR="00EB72B4" w:rsidRPr="00EB72B4" w:rsidRDefault="00EB72B4" w:rsidP="00EB72B4">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2B389E" w:rsidTr="00BE70FE">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Directlink's initial proposal</w:t>
            </w:r>
          </w:p>
        </w:tc>
        <w:tc>
          <w:tcPr>
            <w:tcW w:w="105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1.6</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1.6</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1.6</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1.6</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1.6</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8.0</w:t>
            </w:r>
          </w:p>
        </w:tc>
      </w:tr>
      <w:tr w:rsidR="002B389E" w:rsidTr="00BE70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AER draft decision</w:t>
            </w:r>
          </w:p>
        </w:tc>
        <w:tc>
          <w:tcPr>
            <w:tcW w:w="105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1.5 </w:t>
            </w:r>
          </w:p>
        </w:tc>
      </w:tr>
      <w:tr w:rsidR="002B389E" w:rsidTr="00BE70FE">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Directlink's revised proposal</w:t>
            </w:r>
          </w:p>
        </w:tc>
        <w:tc>
          <w:tcPr>
            <w:tcW w:w="105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1.5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7.5 </w:t>
            </w:r>
          </w:p>
        </w:tc>
      </w:tr>
      <w:tr w:rsidR="002B389E" w:rsidTr="00BE70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AER final decision</w:t>
            </w:r>
          </w:p>
        </w:tc>
        <w:tc>
          <w:tcPr>
            <w:tcW w:w="105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0.3 </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1.5 </w:t>
            </w:r>
          </w:p>
        </w:tc>
      </w:tr>
      <w:tr w:rsidR="002B389E" w:rsidTr="00BE70FE">
        <w:tc>
          <w:tcPr>
            <w:cnfStyle w:val="001000000000" w:firstRow="0" w:lastRow="0" w:firstColumn="1" w:lastColumn="0" w:oddVBand="0" w:evenVBand="0" w:oddHBand="0" w:evenHBand="0" w:firstRowFirstColumn="0" w:firstRowLastColumn="0" w:lastRowFirstColumn="0" w:lastRowLastColumn="0"/>
            <w:tcW w:w="2376" w:type="dxa"/>
          </w:tcPr>
          <w:p w:rsidR="002B389E" w:rsidRPr="002B389E" w:rsidRDefault="002B389E" w:rsidP="002B389E">
            <w:pPr>
              <w:pStyle w:val="AERtabletextleft"/>
            </w:pPr>
            <w:r w:rsidRPr="002B389E">
              <w:t xml:space="preserve">Difference between </w:t>
            </w:r>
            <w:r w:rsidRPr="002B389E">
              <w:lastRenderedPageBreak/>
              <w:t>AER final decision and Directlink revised proposal ($million)</w:t>
            </w:r>
          </w:p>
        </w:tc>
        <w:tc>
          <w:tcPr>
            <w:tcW w:w="1052"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lastRenderedPageBreak/>
              <w:t xml:space="preserve">-1.2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-1.2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-1.2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-1.2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-1.2 </w:t>
            </w:r>
          </w:p>
        </w:tc>
        <w:tc>
          <w:tcPr>
            <w:tcW w:w="105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-6.0 </w:t>
            </w:r>
          </w:p>
        </w:tc>
      </w:tr>
      <w:tr w:rsidR="002B389E" w:rsidTr="00BE70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Align w:val="top"/>
          </w:tcPr>
          <w:p w:rsidR="002B389E" w:rsidRPr="002B389E" w:rsidRDefault="002B389E" w:rsidP="002B389E">
            <w:pPr>
              <w:pStyle w:val="AERtabletextleft"/>
            </w:pPr>
            <w:r w:rsidRPr="002B389E">
              <w:lastRenderedPageBreak/>
              <w:t>Difference (%)</w:t>
            </w:r>
          </w:p>
        </w:tc>
        <w:tc>
          <w:tcPr>
            <w:tcW w:w="1052"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-80.1%</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-80.1%</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-80.1%</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-80.1%</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-80.1%</w:t>
            </w:r>
          </w:p>
        </w:tc>
        <w:tc>
          <w:tcPr>
            <w:tcW w:w="105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-80.1%</w:t>
            </w:r>
          </w:p>
        </w:tc>
      </w:tr>
    </w:tbl>
    <w:p w:rsidR="00EB72B4" w:rsidRDefault="00EB72B4" w:rsidP="00EB72B4">
      <w:pPr>
        <w:pStyle w:val="AERtablesource"/>
      </w:pPr>
      <w:r>
        <w:t xml:space="preserve">Source: </w:t>
      </w:r>
      <w:r>
        <w:tab/>
        <w:t xml:space="preserve">Directlink, Revised revenue proposal, January 2015, </w:t>
      </w:r>
      <w:r w:rsidRPr="00A94CA1">
        <w:t xml:space="preserve">Directlink </w:t>
      </w:r>
      <w:r>
        <w:t xml:space="preserve">2015 </w:t>
      </w:r>
      <w:r w:rsidRPr="00A94CA1">
        <w:t>- Re</w:t>
      </w:r>
      <w:r>
        <w:t xml:space="preserve">vised proposal PTRM - Jan </w:t>
      </w:r>
      <w:r w:rsidRPr="00A94CA1">
        <w:t>201</w:t>
      </w:r>
      <w:r>
        <w:t>5</w:t>
      </w:r>
      <w:r w:rsidRPr="00A94CA1">
        <w:t>.xlsx, tab '</w:t>
      </w:r>
      <w:r>
        <w:t>Input</w:t>
      </w:r>
      <w:r w:rsidRPr="00A94CA1">
        <w:t>'</w:t>
      </w:r>
      <w:r>
        <w:t>; Directlink, Revised revenue proposal, January 2015, Table 5.1, p.26; AER analysis to remove 10 per cent margin.</w:t>
      </w:r>
    </w:p>
    <w:bookmarkEnd w:id="30"/>
    <w:p w:rsidR="00A64D59" w:rsidRPr="00A64D59" w:rsidRDefault="00EB7922" w:rsidP="00EB7922">
      <w:pPr>
        <w:ind w:left="340" w:hanging="340"/>
      </w:pPr>
      <w:r>
        <w:t>Our reasons are set out in more detail below.</w:t>
      </w:r>
    </w:p>
    <w:p w:rsidR="00AF1F9E" w:rsidRDefault="004E772D" w:rsidP="00AF1F9E">
      <w:pPr>
        <w:pStyle w:val="Heading3"/>
      </w:pPr>
      <w:bookmarkStart w:id="31" w:name="_Toc417745447"/>
      <w:r>
        <w:t>Forecasting method</w:t>
      </w:r>
      <w:bookmarkEnd w:id="31"/>
    </w:p>
    <w:p w:rsidR="00DE563D" w:rsidRPr="00AF1F9E" w:rsidRDefault="00E72765" w:rsidP="00AF1F9E">
      <w:r>
        <w:t xml:space="preserve">We note that our preferred </w:t>
      </w:r>
      <w:r w:rsidRPr="005A123A">
        <w:t>forecasting approach is to apply</w:t>
      </w:r>
      <w:r>
        <w:t xml:space="preserve"> </w:t>
      </w:r>
      <w:r w:rsidRPr="005A123A">
        <w:t>our ‘revealed cost method’</w:t>
      </w:r>
      <w:r>
        <w:t xml:space="preserve"> as described above. In our </w:t>
      </w:r>
      <w:r w:rsidR="00F2457C">
        <w:t>d</w:t>
      </w:r>
      <w:r>
        <w:t xml:space="preserve">raft </w:t>
      </w:r>
      <w:r w:rsidR="00F2457C">
        <w:t>d</w:t>
      </w:r>
      <w:r>
        <w:t>ecision we noted that, g</w:t>
      </w:r>
      <w:r w:rsidRPr="00D54151">
        <w:t>iven the specific circumstances of Directlink's</w:t>
      </w:r>
      <w:r>
        <w:t xml:space="preserve"> recent operational history, </w:t>
      </w:r>
      <w:r w:rsidRPr="00D54151">
        <w:t>assessing the efficiency and prudency of Directlink's proposed expenditure by using a</w:t>
      </w:r>
      <w:r>
        <w:t xml:space="preserve"> </w:t>
      </w:r>
      <w:r w:rsidRPr="00D54151">
        <w:t>bottom up assessment approach was appropriate.</w:t>
      </w:r>
      <w:r>
        <w:rPr>
          <w:rStyle w:val="FootnoteReference"/>
        </w:rPr>
        <w:footnoteReference w:id="21"/>
      </w:r>
      <w:r>
        <w:t xml:space="preserve"> Given the significant period of outages</w:t>
      </w:r>
      <w:r>
        <w:rPr>
          <w:rStyle w:val="FootnoteReference"/>
        </w:rPr>
        <w:footnoteReference w:id="22"/>
      </w:r>
      <w:r>
        <w:t xml:space="preserve"> over the current regulatory</w:t>
      </w:r>
      <w:r w:rsidR="00C91946">
        <w:t xml:space="preserve"> control</w:t>
      </w:r>
      <w:r>
        <w:t xml:space="preserve"> period we considered that w</w:t>
      </w:r>
      <w:r w:rsidRPr="007E33DB">
        <w:t>e would have to make an adjustment to any chosen recent historical base year to</w:t>
      </w:r>
      <w:r>
        <w:t xml:space="preserve"> </w:t>
      </w:r>
      <w:r w:rsidRPr="007E33DB">
        <w:t>account for the</w:t>
      </w:r>
      <w:r>
        <w:t>m</w:t>
      </w:r>
      <w:r w:rsidRPr="007E33DB">
        <w:t>. We consider</w:t>
      </w:r>
      <w:r>
        <w:t>ed</w:t>
      </w:r>
      <w:r w:rsidRPr="007E33DB">
        <w:t xml:space="preserve"> that this would </w:t>
      </w:r>
      <w:r>
        <w:t xml:space="preserve">have </w:t>
      </w:r>
      <w:r w:rsidRPr="007E33DB">
        <w:t>require</w:t>
      </w:r>
      <w:r>
        <w:t>d</w:t>
      </w:r>
      <w:r w:rsidRPr="007E33DB">
        <w:t xml:space="preserve"> an engineering</w:t>
      </w:r>
      <w:r>
        <w:t xml:space="preserve"> </w:t>
      </w:r>
      <w:r w:rsidRPr="007E33DB">
        <w:t xml:space="preserve">assessment akin to that which </w:t>
      </w:r>
      <w:r>
        <w:t>would have been</w:t>
      </w:r>
      <w:r w:rsidRPr="007E33DB">
        <w:t xml:space="preserve"> required for the assessment of the bottom-up build.</w:t>
      </w:r>
      <w:r>
        <w:t xml:space="preserve"> In reaching our final decision, we have formed our alternative opex forecast using this method, having regard to all the available information.</w:t>
      </w:r>
    </w:p>
    <w:p w:rsidR="004E772D" w:rsidRDefault="004419B2" w:rsidP="004E772D">
      <w:pPr>
        <w:pStyle w:val="Heading3"/>
      </w:pPr>
      <w:bookmarkStart w:id="32" w:name="_Ref415401319"/>
      <w:bookmarkStart w:id="33" w:name="_Toc417745448"/>
      <w:r>
        <w:t>Operating and maintenance</w:t>
      </w:r>
      <w:r w:rsidR="00426A86">
        <w:t xml:space="preserve"> costs</w:t>
      </w:r>
      <w:bookmarkEnd w:id="32"/>
      <w:bookmarkEnd w:id="33"/>
    </w:p>
    <w:p w:rsidR="004419B2" w:rsidRDefault="004419B2" w:rsidP="004419B2">
      <w:r>
        <w:t xml:space="preserve">We have not included Directlink's proposed operating and maintenance expenditure in our alternative forecast of total opex. This is because we consider that it does not represent the efficient </w:t>
      </w:r>
      <w:r w:rsidRPr="002345B2">
        <w:t>costs that a prudent operator would require to achieve the operating expenditure objectives</w:t>
      </w:r>
      <w:r>
        <w:t>.</w:t>
      </w:r>
      <w:r>
        <w:rPr>
          <w:rStyle w:val="FootnoteReference"/>
        </w:rPr>
        <w:footnoteReference w:id="23"/>
      </w:r>
      <w:r w:rsidR="005E7964">
        <w:t xml:space="preserve"> </w:t>
      </w:r>
      <w:proofErr w:type="gramStart"/>
      <w:r w:rsidR="005E7964">
        <w:t>Instead</w:t>
      </w:r>
      <w:proofErr w:type="gramEnd"/>
      <w:r w:rsidR="005E7964">
        <w:t xml:space="preserve"> we have included </w:t>
      </w:r>
      <w:r w:rsidR="006103D8">
        <w:t>$</w:t>
      </w:r>
      <w:r w:rsidR="002C22B1">
        <w:t>12.</w:t>
      </w:r>
      <w:r w:rsidR="002B389E">
        <w:t>4</w:t>
      </w:r>
      <w:r w:rsidR="005E7964">
        <w:t xml:space="preserve"> million </w:t>
      </w:r>
      <w:r w:rsidR="006103D8">
        <w:t xml:space="preserve">(real $2014-15) </w:t>
      </w:r>
      <w:r w:rsidR="005E7964">
        <w:t>for the 201</w:t>
      </w:r>
      <w:r w:rsidR="00F2457C">
        <w:t>5</w:t>
      </w:r>
      <w:r w:rsidR="005E7964">
        <w:t xml:space="preserve">-20 regulatory </w:t>
      </w:r>
      <w:r w:rsidR="00F2457C">
        <w:t xml:space="preserve">control </w:t>
      </w:r>
      <w:r w:rsidR="005E7964">
        <w:t xml:space="preserve">period (see </w:t>
      </w:r>
      <w:r w:rsidR="005E7964">
        <w:fldChar w:fldCharType="begin"/>
      </w:r>
      <w:r w:rsidR="005E7964">
        <w:instrText xml:space="preserve"> REF  _Ref401134843 \* Lower \h  \* MERGEFORMAT </w:instrText>
      </w:r>
      <w:r w:rsidR="005E7964">
        <w:fldChar w:fldCharType="separate"/>
      </w:r>
      <w:r w:rsidR="00020BF5">
        <w:t xml:space="preserve">table </w:t>
      </w:r>
      <w:r w:rsidR="00020BF5">
        <w:rPr>
          <w:noProof/>
        </w:rPr>
        <w:t>7</w:t>
      </w:r>
      <w:r w:rsidR="00020BF5">
        <w:rPr>
          <w:noProof/>
        </w:rPr>
        <w:noBreakHyphen/>
        <w:t>4</w:t>
      </w:r>
      <w:r w:rsidR="005E7964">
        <w:fldChar w:fldCharType="end"/>
      </w:r>
      <w:r w:rsidR="005E7964">
        <w:t>).</w:t>
      </w:r>
    </w:p>
    <w:p w:rsidR="00426A86" w:rsidRDefault="00426A86" w:rsidP="00426A86">
      <w:pPr>
        <w:pStyle w:val="Caption"/>
      </w:pPr>
      <w:bookmarkStart w:id="34" w:name="_Ref401134843"/>
      <w:r>
        <w:t xml:space="preserve">Table </w:t>
      </w:r>
      <w:fldSimple w:instr=" STYLEREF 1 \s ">
        <w:r w:rsidR="00020BF5">
          <w:rPr>
            <w:noProof/>
          </w:rPr>
          <w:t>7</w:t>
        </w:r>
      </w:fldSimple>
      <w:r w:rsidR="00337764">
        <w:noBreakHyphen/>
      </w:r>
      <w:fldSimple w:instr=" SEQ Table \* ARABIC \s 1 ">
        <w:r w:rsidR="00020BF5">
          <w:rPr>
            <w:noProof/>
          </w:rPr>
          <w:t>4</w:t>
        </w:r>
      </w:fldSimple>
      <w:bookmarkEnd w:id="34"/>
      <w:r>
        <w:tab/>
        <w:t>AER operating and maintenance expenditure</w:t>
      </w:r>
      <w:r w:rsidRPr="000A26AD">
        <w:t xml:space="preserve"> </w:t>
      </w:r>
      <w:r>
        <w:t>included in alternative opex estimate ($000s, real 2014-15</w:t>
      </w:r>
      <w:r w:rsidR="00B74BFA">
        <w:t>, excluding APA Operations' 10 per cent margin</w:t>
      </w:r>
      <w:r>
        <w:t>)</w:t>
      </w:r>
    </w:p>
    <w:tbl>
      <w:tblPr>
        <w:tblStyle w:val="AERtable-numbers"/>
        <w:tblW w:w="0" w:type="auto"/>
        <w:tblLook w:val="04A0" w:firstRow="1" w:lastRow="0" w:firstColumn="1" w:lastColumn="0" w:noHBand="0" w:noVBand="1"/>
      </w:tblPr>
      <w:tblGrid>
        <w:gridCol w:w="1833"/>
        <w:gridCol w:w="1144"/>
        <w:gridCol w:w="1144"/>
        <w:gridCol w:w="1144"/>
        <w:gridCol w:w="1144"/>
        <w:gridCol w:w="1144"/>
        <w:gridCol w:w="1140"/>
      </w:tblGrid>
      <w:tr w:rsidR="00426A86" w:rsidTr="002C2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426A86" w:rsidRPr="00E6553C" w:rsidRDefault="00426A86" w:rsidP="00426A86">
            <w:pPr>
              <w:numPr>
                <w:ilvl w:val="0"/>
                <w:numId w:val="25"/>
              </w:numPr>
            </w:pPr>
          </w:p>
        </w:tc>
        <w:tc>
          <w:tcPr>
            <w:tcW w:w="1144"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rsidRPr="00E6553C">
              <w:t>2015-16</w:t>
            </w:r>
          </w:p>
        </w:tc>
        <w:tc>
          <w:tcPr>
            <w:tcW w:w="1144"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rsidRPr="00E6553C">
              <w:t>2016-17</w:t>
            </w:r>
          </w:p>
        </w:tc>
        <w:tc>
          <w:tcPr>
            <w:tcW w:w="1144"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rsidRPr="00E6553C">
              <w:t>2017-18</w:t>
            </w:r>
          </w:p>
        </w:tc>
        <w:tc>
          <w:tcPr>
            <w:tcW w:w="1144"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rsidRPr="00E6553C">
              <w:t>2018-19</w:t>
            </w:r>
          </w:p>
        </w:tc>
        <w:tc>
          <w:tcPr>
            <w:tcW w:w="1144"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rsidRPr="00E6553C">
              <w:t>2019-20</w:t>
            </w:r>
          </w:p>
        </w:tc>
        <w:tc>
          <w:tcPr>
            <w:tcW w:w="1140"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rsidRPr="00E6553C">
              <w:t>Total</w:t>
            </w:r>
          </w:p>
        </w:tc>
      </w:tr>
      <w:tr w:rsidR="002B389E" w:rsidTr="002C22B1">
        <w:tc>
          <w:tcPr>
            <w:cnfStyle w:val="001000000000" w:firstRow="0" w:lastRow="0" w:firstColumn="1" w:lastColumn="0" w:oddVBand="0" w:evenVBand="0" w:oddHBand="0" w:evenHBand="0" w:firstRowFirstColumn="0" w:firstRowLastColumn="0" w:lastRowFirstColumn="0" w:lastRowLastColumn="0"/>
            <w:tcW w:w="1833" w:type="dxa"/>
            <w:vAlign w:val="top"/>
          </w:tcPr>
          <w:p w:rsidR="002B389E" w:rsidRPr="002B389E" w:rsidRDefault="002B389E" w:rsidP="002B389E">
            <w:r w:rsidRPr="002B389E">
              <w:t xml:space="preserve">Direct operating and </w:t>
            </w:r>
            <w:r w:rsidRPr="002B389E">
              <w:lastRenderedPageBreak/>
              <w:t>maintenance costs (excluding cable repair program)</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lastRenderedPageBreak/>
              <w:t xml:space="preserve"> 2,529.9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1,885.1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1,955.1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1,907.3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1,933.7 </w:t>
            </w:r>
          </w:p>
        </w:tc>
        <w:tc>
          <w:tcPr>
            <w:tcW w:w="1140"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10,211.2 </w:t>
            </w:r>
          </w:p>
        </w:tc>
      </w:tr>
      <w:tr w:rsidR="002B389E" w:rsidTr="002C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top"/>
          </w:tcPr>
          <w:p w:rsidR="002B389E" w:rsidRPr="002B389E" w:rsidRDefault="002B389E" w:rsidP="002B389E">
            <w:r w:rsidRPr="002B389E">
              <w:lastRenderedPageBreak/>
              <w:t>ABB Service Agreement</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133.8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133.8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133.8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133.8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133.8 </w:t>
            </w:r>
          </w:p>
        </w:tc>
        <w:tc>
          <w:tcPr>
            <w:tcW w:w="1140"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669.1 </w:t>
            </w:r>
          </w:p>
        </w:tc>
      </w:tr>
      <w:tr w:rsidR="002B389E" w:rsidTr="002C22B1">
        <w:tc>
          <w:tcPr>
            <w:cnfStyle w:val="001000000000" w:firstRow="0" w:lastRow="0" w:firstColumn="1" w:lastColumn="0" w:oddVBand="0" w:evenVBand="0" w:oddHBand="0" w:evenHBand="0" w:firstRowFirstColumn="0" w:firstRowLastColumn="0" w:lastRowFirstColumn="0" w:lastRowLastColumn="0"/>
            <w:tcW w:w="1833" w:type="dxa"/>
            <w:vAlign w:val="top"/>
          </w:tcPr>
          <w:p w:rsidR="002B389E" w:rsidRPr="002B389E" w:rsidRDefault="002B389E" w:rsidP="002B389E">
            <w:r w:rsidRPr="002B389E">
              <w:t>Cable repair program</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4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40"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1,479.5 </w:t>
            </w:r>
          </w:p>
        </w:tc>
      </w:tr>
      <w:tr w:rsidR="002B389E" w:rsidTr="002C22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top"/>
          </w:tcPr>
          <w:p w:rsidR="002B389E" w:rsidRPr="002B389E" w:rsidRDefault="002B389E" w:rsidP="002B389E">
            <w:r w:rsidRPr="002B389E">
              <w:t>Total operating and maintenance costs</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2,959.7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2,314.8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2,384.8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2,337.1 </w:t>
            </w:r>
          </w:p>
        </w:tc>
        <w:tc>
          <w:tcPr>
            <w:tcW w:w="1144"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2,363.5 </w:t>
            </w:r>
          </w:p>
        </w:tc>
        <w:tc>
          <w:tcPr>
            <w:tcW w:w="1140"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12,359.8 </w:t>
            </w:r>
          </w:p>
        </w:tc>
      </w:tr>
    </w:tbl>
    <w:p w:rsidR="00426A86" w:rsidRPr="00E6553C" w:rsidRDefault="00426A86" w:rsidP="00426A86">
      <w:pPr>
        <w:pStyle w:val="AERtablesource"/>
      </w:pPr>
      <w:r>
        <w:t>Source: AER analysis.</w:t>
      </w:r>
    </w:p>
    <w:p w:rsidR="00426A86" w:rsidRDefault="00602458" w:rsidP="00426A86">
      <w:pPr>
        <w:numPr>
          <w:ilvl w:val="0"/>
          <w:numId w:val="25"/>
        </w:numPr>
      </w:pPr>
      <w:r>
        <w:t xml:space="preserve">In its revised proposal </w:t>
      </w:r>
      <w:r w:rsidR="00426A86">
        <w:t xml:space="preserve">Directlink proposed total direct operating and maintenance expenditure of </w:t>
      </w:r>
      <w:r w:rsidR="00ED2B32">
        <w:t>$11.0</w:t>
      </w:r>
      <w:r w:rsidR="00426A86">
        <w:t xml:space="preserve"> million</w:t>
      </w:r>
      <w:r w:rsidR="00ED2B32">
        <w:t xml:space="preserve"> (real $2014-15)</w:t>
      </w:r>
      <w:r w:rsidR="00426A86">
        <w:t xml:space="preserve"> for the </w:t>
      </w:r>
      <w:r w:rsidR="00426A86" w:rsidRPr="00F5039C">
        <w:t>201</w:t>
      </w:r>
      <w:r w:rsidR="00337764">
        <w:t>5</w:t>
      </w:r>
      <w:r w:rsidR="00426A86" w:rsidRPr="00F5039C">
        <w:t>-20 regulatory control period</w:t>
      </w:r>
      <w:r w:rsidR="00426A86">
        <w:t xml:space="preserve"> (see </w:t>
      </w:r>
      <w:r w:rsidR="00426A86">
        <w:fldChar w:fldCharType="begin"/>
      </w:r>
      <w:r w:rsidR="00426A86">
        <w:instrText xml:space="preserve"> REF  _Ref403054197 \* Lower \h  \* MERGEFORMAT </w:instrText>
      </w:r>
      <w:r w:rsidR="00426A86">
        <w:fldChar w:fldCharType="separate"/>
      </w:r>
      <w:r w:rsidR="00020BF5">
        <w:t>table 7</w:t>
      </w:r>
      <w:r w:rsidR="00020BF5">
        <w:noBreakHyphen/>
        <w:t>5</w:t>
      </w:r>
      <w:r w:rsidR="00426A86">
        <w:fldChar w:fldCharType="end"/>
      </w:r>
      <w:r w:rsidR="00426A86">
        <w:t xml:space="preserve">). This represents a </w:t>
      </w:r>
      <w:r w:rsidR="00ED2B32">
        <w:t>3.6</w:t>
      </w:r>
      <w:r w:rsidR="00426A86">
        <w:t xml:space="preserve"> per cent </w:t>
      </w:r>
      <w:r w:rsidR="00ED2B32">
        <w:t>de</w:t>
      </w:r>
      <w:r w:rsidR="00426A86">
        <w:t xml:space="preserve">crease in operating and maintenance costs </w:t>
      </w:r>
      <w:r w:rsidR="004B132A">
        <w:t xml:space="preserve">compared with Directlink's initial proposal and a </w:t>
      </w:r>
      <w:r w:rsidR="00D76EB4">
        <w:t>2.8</w:t>
      </w:r>
      <w:r w:rsidR="004B132A">
        <w:t xml:space="preserve"> per cent increase compared with the AER's draft decision</w:t>
      </w:r>
      <w:r w:rsidR="00426A86">
        <w:t>.</w:t>
      </w:r>
      <w:r w:rsidR="00426A86">
        <w:rPr>
          <w:rStyle w:val="FootnoteReference"/>
        </w:rPr>
        <w:footnoteReference w:id="24"/>
      </w:r>
      <w:r w:rsidR="00426A86">
        <w:t xml:space="preserve"> </w:t>
      </w:r>
    </w:p>
    <w:p w:rsidR="00426A86" w:rsidRDefault="00426A86" w:rsidP="00426A86">
      <w:pPr>
        <w:pStyle w:val="Caption"/>
      </w:pPr>
      <w:bookmarkStart w:id="35" w:name="_Ref403054197"/>
      <w:r>
        <w:t xml:space="preserve">Table </w:t>
      </w:r>
      <w:fldSimple w:instr=" STYLEREF 1 \s ">
        <w:r w:rsidR="00020BF5">
          <w:rPr>
            <w:noProof/>
          </w:rPr>
          <w:t>7</w:t>
        </w:r>
      </w:fldSimple>
      <w:r w:rsidR="00337764">
        <w:noBreakHyphen/>
      </w:r>
      <w:fldSimple w:instr=" SEQ Table \* ARABIC \s 1 ">
        <w:r w:rsidR="00020BF5">
          <w:rPr>
            <w:noProof/>
          </w:rPr>
          <w:t>5</w:t>
        </w:r>
      </w:fldSimple>
      <w:bookmarkEnd w:id="35"/>
      <w:r>
        <w:tab/>
        <w:t>Directlink proposed operating and maintenance expenditure ($000s, real 2014-15, excluding APA Operations' 10 per cent margin)</w:t>
      </w:r>
    </w:p>
    <w:tbl>
      <w:tblPr>
        <w:tblStyle w:val="AERtable-numbers"/>
        <w:tblW w:w="0" w:type="auto"/>
        <w:tblLook w:val="04A0" w:firstRow="1" w:lastRow="0" w:firstColumn="1" w:lastColumn="0" w:noHBand="0" w:noVBand="1"/>
      </w:tblPr>
      <w:tblGrid>
        <w:gridCol w:w="1710"/>
        <w:gridCol w:w="1163"/>
        <w:gridCol w:w="1165"/>
        <w:gridCol w:w="1165"/>
        <w:gridCol w:w="1165"/>
        <w:gridCol w:w="1165"/>
        <w:gridCol w:w="1160"/>
      </w:tblGrid>
      <w:tr w:rsidR="00426A86" w:rsidTr="00703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426A86" w:rsidRDefault="00426A86" w:rsidP="00426A86">
            <w:pPr>
              <w:numPr>
                <w:ilvl w:val="0"/>
                <w:numId w:val="25"/>
              </w:numPr>
            </w:pPr>
          </w:p>
        </w:tc>
        <w:tc>
          <w:tcPr>
            <w:tcW w:w="1163"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65"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65"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65"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65"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160" w:type="dxa"/>
          </w:tcPr>
          <w:p w:rsidR="00426A86" w:rsidRPr="00426A86" w:rsidRDefault="00426A86" w:rsidP="00426A86">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70384A" w:rsidTr="0070384A">
        <w:tc>
          <w:tcPr>
            <w:cnfStyle w:val="001000000000" w:firstRow="0" w:lastRow="0" w:firstColumn="1" w:lastColumn="0" w:oddVBand="0" w:evenVBand="0" w:oddHBand="0" w:evenHBand="0" w:firstRowFirstColumn="0" w:firstRowLastColumn="0" w:lastRowFirstColumn="0" w:lastRowLastColumn="0"/>
            <w:tcW w:w="1710" w:type="dxa"/>
          </w:tcPr>
          <w:p w:rsidR="0070384A" w:rsidRPr="0070384A" w:rsidRDefault="0070384A" w:rsidP="0070384A">
            <w:pPr>
              <w:numPr>
                <w:ilvl w:val="0"/>
                <w:numId w:val="25"/>
              </w:numPr>
            </w:pPr>
            <w:r w:rsidRPr="0070384A">
              <w:t>Direct operating and maintenance costs</w:t>
            </w:r>
            <w:r w:rsidR="00887B66" w:rsidRPr="00887B66">
              <w:rPr>
                <w:rStyle w:val="AERsuperscript"/>
              </w:rPr>
              <w:t>(a)</w:t>
            </w:r>
          </w:p>
        </w:tc>
        <w:tc>
          <w:tcPr>
            <w:tcW w:w="1163"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2,563.0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1,910.3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1,981.2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1,932.8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1,959.6 </w:t>
            </w:r>
          </w:p>
        </w:tc>
        <w:tc>
          <w:tcPr>
            <w:tcW w:w="1160"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10,346.9 </w:t>
            </w:r>
          </w:p>
        </w:tc>
      </w:tr>
      <w:tr w:rsidR="0070384A" w:rsidTr="00703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70384A" w:rsidRPr="0070384A" w:rsidRDefault="0070384A" w:rsidP="0070384A">
            <w:pPr>
              <w:numPr>
                <w:ilvl w:val="0"/>
                <w:numId w:val="25"/>
              </w:numPr>
            </w:pPr>
            <w:r w:rsidRPr="0070384A">
              <w:t>ABB Service Agreement</w:t>
            </w:r>
          </w:p>
        </w:tc>
        <w:tc>
          <w:tcPr>
            <w:tcW w:w="1163" w:type="dxa"/>
            <w:vAlign w:val="top"/>
          </w:tcPr>
          <w:p w:rsidR="0070384A" w:rsidRPr="0070384A" w:rsidRDefault="0070384A" w:rsidP="00F03A42">
            <w:pPr>
              <w:cnfStyle w:val="000000010000" w:firstRow="0" w:lastRow="0" w:firstColumn="0" w:lastColumn="0" w:oddVBand="0" w:evenVBand="0" w:oddHBand="0" w:evenHBand="1" w:firstRowFirstColumn="0" w:firstRowLastColumn="0" w:lastRowFirstColumn="0" w:lastRowLastColumn="0"/>
            </w:pPr>
            <w:r w:rsidRPr="0070384A">
              <w:t xml:space="preserve">137.0 </w:t>
            </w:r>
          </w:p>
        </w:tc>
        <w:tc>
          <w:tcPr>
            <w:tcW w:w="1165" w:type="dxa"/>
            <w:vAlign w:val="top"/>
          </w:tcPr>
          <w:p w:rsidR="0070384A" w:rsidRPr="0070384A" w:rsidRDefault="0070384A" w:rsidP="00F03A42">
            <w:pPr>
              <w:cnfStyle w:val="000000010000" w:firstRow="0" w:lastRow="0" w:firstColumn="0" w:lastColumn="0" w:oddVBand="0" w:evenVBand="0" w:oddHBand="0" w:evenHBand="1" w:firstRowFirstColumn="0" w:firstRowLastColumn="0" w:lastRowFirstColumn="0" w:lastRowLastColumn="0"/>
            </w:pPr>
            <w:r w:rsidRPr="0070384A">
              <w:t xml:space="preserve">137.0 </w:t>
            </w:r>
          </w:p>
        </w:tc>
        <w:tc>
          <w:tcPr>
            <w:tcW w:w="1165" w:type="dxa"/>
            <w:vAlign w:val="top"/>
          </w:tcPr>
          <w:p w:rsidR="0070384A" w:rsidRPr="0070384A" w:rsidRDefault="0070384A" w:rsidP="00F03A42">
            <w:pPr>
              <w:cnfStyle w:val="000000010000" w:firstRow="0" w:lastRow="0" w:firstColumn="0" w:lastColumn="0" w:oddVBand="0" w:evenVBand="0" w:oddHBand="0" w:evenHBand="1" w:firstRowFirstColumn="0" w:firstRowLastColumn="0" w:lastRowFirstColumn="0" w:lastRowLastColumn="0"/>
            </w:pPr>
            <w:r w:rsidRPr="0070384A">
              <w:t xml:space="preserve">137.0 </w:t>
            </w:r>
          </w:p>
        </w:tc>
        <w:tc>
          <w:tcPr>
            <w:tcW w:w="1165" w:type="dxa"/>
            <w:vAlign w:val="top"/>
          </w:tcPr>
          <w:p w:rsidR="0070384A" w:rsidRPr="0070384A" w:rsidRDefault="0070384A" w:rsidP="00F03A42">
            <w:pPr>
              <w:cnfStyle w:val="000000010000" w:firstRow="0" w:lastRow="0" w:firstColumn="0" w:lastColumn="0" w:oddVBand="0" w:evenVBand="0" w:oddHBand="0" w:evenHBand="1" w:firstRowFirstColumn="0" w:firstRowLastColumn="0" w:lastRowFirstColumn="0" w:lastRowLastColumn="0"/>
            </w:pPr>
            <w:r w:rsidRPr="0070384A">
              <w:t xml:space="preserve">137.0 </w:t>
            </w:r>
          </w:p>
        </w:tc>
        <w:tc>
          <w:tcPr>
            <w:tcW w:w="1165" w:type="dxa"/>
            <w:vAlign w:val="top"/>
          </w:tcPr>
          <w:p w:rsidR="0070384A" w:rsidRPr="0070384A" w:rsidRDefault="0070384A" w:rsidP="00F03A42">
            <w:pPr>
              <w:cnfStyle w:val="000000010000" w:firstRow="0" w:lastRow="0" w:firstColumn="0" w:lastColumn="0" w:oddVBand="0" w:evenVBand="0" w:oddHBand="0" w:evenHBand="1" w:firstRowFirstColumn="0" w:firstRowLastColumn="0" w:lastRowFirstColumn="0" w:lastRowLastColumn="0"/>
            </w:pPr>
            <w:r w:rsidRPr="0070384A">
              <w:t xml:space="preserve">137.0 </w:t>
            </w:r>
          </w:p>
        </w:tc>
        <w:tc>
          <w:tcPr>
            <w:tcW w:w="1160" w:type="dxa"/>
            <w:vAlign w:val="top"/>
          </w:tcPr>
          <w:p w:rsidR="0070384A" w:rsidRPr="0070384A" w:rsidRDefault="0070384A" w:rsidP="00F03A42">
            <w:pPr>
              <w:cnfStyle w:val="000000010000" w:firstRow="0" w:lastRow="0" w:firstColumn="0" w:lastColumn="0" w:oddVBand="0" w:evenVBand="0" w:oddHBand="0" w:evenHBand="1" w:firstRowFirstColumn="0" w:firstRowLastColumn="0" w:lastRowFirstColumn="0" w:lastRowLastColumn="0"/>
            </w:pPr>
            <w:r w:rsidRPr="0070384A">
              <w:t xml:space="preserve">685.2 </w:t>
            </w:r>
          </w:p>
        </w:tc>
      </w:tr>
      <w:tr w:rsidR="0070384A" w:rsidTr="0070384A">
        <w:tc>
          <w:tcPr>
            <w:cnfStyle w:val="001000000000" w:firstRow="0" w:lastRow="0" w:firstColumn="1" w:lastColumn="0" w:oddVBand="0" w:evenVBand="0" w:oddHBand="0" w:evenHBand="0" w:firstRowFirstColumn="0" w:firstRowLastColumn="0" w:lastRowFirstColumn="0" w:lastRowLastColumn="0"/>
            <w:tcW w:w="1710" w:type="dxa"/>
          </w:tcPr>
          <w:p w:rsidR="0070384A" w:rsidRPr="0070384A" w:rsidRDefault="0070384A" w:rsidP="0070384A">
            <w:pPr>
              <w:numPr>
                <w:ilvl w:val="0"/>
                <w:numId w:val="25"/>
              </w:numPr>
            </w:pPr>
            <w:r w:rsidRPr="0070384A">
              <w:t>Total operating and maintenance costs</w:t>
            </w:r>
          </w:p>
        </w:tc>
        <w:tc>
          <w:tcPr>
            <w:tcW w:w="1163"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2,700.0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2,047.4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2,118.2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2,069.9 </w:t>
            </w:r>
          </w:p>
        </w:tc>
        <w:tc>
          <w:tcPr>
            <w:tcW w:w="1165"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2,096.6 </w:t>
            </w:r>
          </w:p>
        </w:tc>
        <w:tc>
          <w:tcPr>
            <w:tcW w:w="1160" w:type="dxa"/>
            <w:vAlign w:val="top"/>
          </w:tcPr>
          <w:p w:rsidR="0070384A" w:rsidRPr="0070384A" w:rsidRDefault="0070384A" w:rsidP="00F03A42">
            <w:pPr>
              <w:cnfStyle w:val="000000000000" w:firstRow="0" w:lastRow="0" w:firstColumn="0" w:lastColumn="0" w:oddVBand="0" w:evenVBand="0" w:oddHBand="0" w:evenHBand="0" w:firstRowFirstColumn="0" w:firstRowLastColumn="0" w:lastRowFirstColumn="0" w:lastRowLastColumn="0"/>
            </w:pPr>
            <w:r w:rsidRPr="0070384A">
              <w:t xml:space="preserve">11,032.1 </w:t>
            </w:r>
          </w:p>
        </w:tc>
      </w:tr>
    </w:tbl>
    <w:p w:rsidR="00426A86" w:rsidRDefault="00426A86" w:rsidP="00887B66">
      <w:pPr>
        <w:pStyle w:val="AERtablesource"/>
      </w:pPr>
      <w:r>
        <w:t xml:space="preserve">Source: </w:t>
      </w:r>
      <w:r>
        <w:tab/>
        <w:t>Directlink, R</w:t>
      </w:r>
      <w:r w:rsidR="00DA2259">
        <w:t>evised r</w:t>
      </w:r>
      <w:r>
        <w:t xml:space="preserve">evenue proposal, </w:t>
      </w:r>
      <w:r w:rsidR="00DA2259">
        <w:t>Januar</w:t>
      </w:r>
      <w:r>
        <w:t>y 201</w:t>
      </w:r>
      <w:r w:rsidR="00DA2259">
        <w:t>5</w:t>
      </w:r>
      <w:r>
        <w:t xml:space="preserve">, </w:t>
      </w:r>
      <w:r w:rsidRPr="00A94CA1">
        <w:t xml:space="preserve">Directlink </w:t>
      </w:r>
      <w:r w:rsidR="00DA2259">
        <w:t xml:space="preserve">2015 </w:t>
      </w:r>
      <w:r w:rsidRPr="00A94CA1">
        <w:t>- Re</w:t>
      </w:r>
      <w:r w:rsidR="00DA2259">
        <w:t xml:space="preserve">vised proposal PTRM - Jan </w:t>
      </w:r>
      <w:r w:rsidRPr="00A94CA1">
        <w:t>201</w:t>
      </w:r>
      <w:r w:rsidR="00DA2259">
        <w:t>5</w:t>
      </w:r>
      <w:r w:rsidRPr="00A94CA1">
        <w:t>.xlsx, tab '</w:t>
      </w:r>
      <w:r w:rsidR="00DA2259">
        <w:t>Input</w:t>
      </w:r>
      <w:r w:rsidRPr="00A94CA1">
        <w:t>'</w:t>
      </w:r>
      <w:r>
        <w:t>; AER analysis to remove 10 per cent margin.</w:t>
      </w:r>
    </w:p>
    <w:p w:rsidR="00887B66" w:rsidRPr="00887B66" w:rsidRDefault="00887B66" w:rsidP="00887B66">
      <w:pPr>
        <w:pStyle w:val="AERtablesource"/>
      </w:pPr>
      <w:r>
        <w:t xml:space="preserve">Note: </w:t>
      </w:r>
      <w:r>
        <w:tab/>
        <w:t>(a) This excludes the cable repair expenditure which Directlink included in opex in its initial proposal and proposed to include in capex in its revised proposal.</w:t>
      </w:r>
    </w:p>
    <w:p w:rsidR="007D2D2D" w:rsidRPr="00F2457C" w:rsidRDefault="007D2D2D" w:rsidP="006C6574">
      <w:pPr>
        <w:pStyle w:val="HeadingBoldBlue"/>
        <w:rPr>
          <w:rStyle w:val="AERtextitalic"/>
          <w:rFonts w:eastAsia="Calibri" w:cs="Times New Roman"/>
          <w:i w:val="0"/>
          <w:sz w:val="16"/>
          <w:szCs w:val="20"/>
          <w:lang w:eastAsia="en-AU"/>
        </w:rPr>
      </w:pPr>
      <w:r w:rsidRPr="00F2457C">
        <w:rPr>
          <w:rStyle w:val="AERtextitalic"/>
          <w:i w:val="0"/>
        </w:rPr>
        <w:t>Cable replacement program</w:t>
      </w:r>
    </w:p>
    <w:p w:rsidR="00BE3C80" w:rsidRDefault="00F7043E" w:rsidP="00426A86">
      <w:r>
        <w:t xml:space="preserve">In its revised proposal, </w:t>
      </w:r>
      <w:r w:rsidR="00EA0B27">
        <w:t>Directlink transferred the cable replacement planning and execution expenditure and expenditure for three additional staff worth $3.3 million (real 2014-15) over the 201</w:t>
      </w:r>
      <w:r w:rsidR="00F2457C">
        <w:t>5</w:t>
      </w:r>
      <w:r w:rsidR="00EA0B27">
        <w:t>-20 regulatory control period in its original proposal from opex to capex</w:t>
      </w:r>
      <w:r w:rsidR="00BE3C80">
        <w:t>. Directlink submitte</w:t>
      </w:r>
      <w:r w:rsidR="009B63AD">
        <w:t xml:space="preserve">d that this is consistent with </w:t>
      </w:r>
      <w:r w:rsidR="00BE3C80">
        <w:t>i</w:t>
      </w:r>
      <w:r w:rsidR="009B63AD">
        <w:t>t</w:t>
      </w:r>
      <w:r w:rsidR="00BE3C80">
        <w:t>s capitalisation policy.</w:t>
      </w:r>
      <w:r w:rsidR="00BE3C80">
        <w:rPr>
          <w:rStyle w:val="FootnoteReference"/>
        </w:rPr>
        <w:footnoteReference w:id="25"/>
      </w:r>
      <w:r w:rsidR="00C221EA">
        <w:t xml:space="preserve"> </w:t>
      </w:r>
      <w:r w:rsidR="00CF6BFD">
        <w:lastRenderedPageBreak/>
        <w:t>Directlink proposed $7.8 million (real 2014-15) capex for proactive and reactive cable repair over the 201</w:t>
      </w:r>
      <w:r w:rsidR="00F2457C">
        <w:t>5</w:t>
      </w:r>
      <w:r w:rsidR="00CF6BFD">
        <w:t xml:space="preserve">-20 regulatory control period (see </w:t>
      </w:r>
      <w:r w:rsidR="00CF6BFD">
        <w:fldChar w:fldCharType="begin"/>
      </w:r>
      <w:r w:rsidR="00CF6BFD">
        <w:instrText xml:space="preserve"> REF  _Ref415317298 \* Lower \h  \* MERGEFORMAT </w:instrText>
      </w:r>
      <w:r w:rsidR="00CF6BFD">
        <w:fldChar w:fldCharType="separate"/>
      </w:r>
      <w:r w:rsidR="00020BF5">
        <w:t xml:space="preserve">table </w:t>
      </w:r>
      <w:r w:rsidR="00020BF5">
        <w:rPr>
          <w:noProof/>
        </w:rPr>
        <w:t>7</w:t>
      </w:r>
      <w:r w:rsidR="00020BF5">
        <w:rPr>
          <w:noProof/>
        </w:rPr>
        <w:noBreakHyphen/>
        <w:t>6</w:t>
      </w:r>
      <w:r w:rsidR="00CF6BFD">
        <w:fldChar w:fldCharType="end"/>
      </w:r>
      <w:r w:rsidR="00CF6BFD">
        <w:t>).</w:t>
      </w:r>
    </w:p>
    <w:p w:rsidR="00F03A42" w:rsidRDefault="00F03A42" w:rsidP="00F03A42">
      <w:pPr>
        <w:pStyle w:val="Caption"/>
      </w:pPr>
      <w:bookmarkStart w:id="36" w:name="_Ref415317298"/>
      <w:r>
        <w:t xml:space="preserve">Table </w:t>
      </w:r>
      <w:fldSimple w:instr=" STYLEREF 1 \s ">
        <w:r w:rsidR="00020BF5">
          <w:rPr>
            <w:noProof/>
          </w:rPr>
          <w:t>7</w:t>
        </w:r>
      </w:fldSimple>
      <w:r w:rsidR="00337764">
        <w:noBreakHyphen/>
      </w:r>
      <w:fldSimple w:instr=" SEQ Table \* ARABIC \s 1 ">
        <w:r w:rsidR="00020BF5">
          <w:rPr>
            <w:noProof/>
          </w:rPr>
          <w:t>6</w:t>
        </w:r>
      </w:fldSimple>
      <w:bookmarkEnd w:id="36"/>
      <w:r>
        <w:tab/>
        <w:t>Directlink proposed cable replacement program expenditure ($000s, real 2014-15, excluding APA Operations' 10 per cent margin)</w:t>
      </w:r>
    </w:p>
    <w:tbl>
      <w:tblPr>
        <w:tblStyle w:val="AERtable-numbers"/>
        <w:tblW w:w="0" w:type="auto"/>
        <w:tblLook w:val="04A0" w:firstRow="1" w:lastRow="0" w:firstColumn="1" w:lastColumn="0" w:noHBand="0" w:noVBand="1"/>
      </w:tblPr>
      <w:tblGrid>
        <w:gridCol w:w="1710"/>
        <w:gridCol w:w="1163"/>
        <w:gridCol w:w="1165"/>
        <w:gridCol w:w="1165"/>
        <w:gridCol w:w="1165"/>
        <w:gridCol w:w="1165"/>
        <w:gridCol w:w="1160"/>
      </w:tblGrid>
      <w:tr w:rsidR="00F03A42" w:rsidTr="006C65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rsidR="00F03A42" w:rsidRDefault="00F03A42" w:rsidP="00F03A42">
            <w:pPr>
              <w:numPr>
                <w:ilvl w:val="0"/>
                <w:numId w:val="25"/>
              </w:numPr>
            </w:pPr>
          </w:p>
        </w:tc>
        <w:tc>
          <w:tcPr>
            <w:tcW w:w="1163" w:type="dxa"/>
          </w:tcPr>
          <w:p w:rsidR="00F03A42" w:rsidRPr="00F03A42" w:rsidRDefault="00F03A42" w:rsidP="00F03A42">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65" w:type="dxa"/>
          </w:tcPr>
          <w:p w:rsidR="00F03A42" w:rsidRPr="00F03A42" w:rsidRDefault="00F03A42" w:rsidP="00F03A42">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65" w:type="dxa"/>
          </w:tcPr>
          <w:p w:rsidR="00F03A42" w:rsidRPr="00F03A42" w:rsidRDefault="00F03A42" w:rsidP="00F03A42">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65" w:type="dxa"/>
          </w:tcPr>
          <w:p w:rsidR="00F03A42" w:rsidRPr="00F03A42" w:rsidRDefault="00F03A42" w:rsidP="00F03A42">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65" w:type="dxa"/>
          </w:tcPr>
          <w:p w:rsidR="00F03A42" w:rsidRPr="00F03A42" w:rsidRDefault="00F03A42" w:rsidP="00F03A42">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160" w:type="dxa"/>
          </w:tcPr>
          <w:p w:rsidR="00F03A42" w:rsidRPr="00F03A42" w:rsidRDefault="00F03A42" w:rsidP="00F03A42">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EA0B27" w:rsidTr="00F03A42">
        <w:tc>
          <w:tcPr>
            <w:cnfStyle w:val="001000000000" w:firstRow="0" w:lastRow="0" w:firstColumn="1" w:lastColumn="0" w:oddVBand="0" w:evenVBand="0" w:oddHBand="0" w:evenHBand="0" w:firstRowFirstColumn="0" w:firstRowLastColumn="0" w:lastRowFirstColumn="0" w:lastRowLastColumn="0"/>
            <w:tcW w:w="1710" w:type="dxa"/>
          </w:tcPr>
          <w:p w:rsidR="00EA0B27" w:rsidRPr="00EA0B27" w:rsidRDefault="00EA0B27" w:rsidP="00EA0B27">
            <w:pPr>
              <w:numPr>
                <w:ilvl w:val="0"/>
                <w:numId w:val="25"/>
              </w:numPr>
            </w:pPr>
            <w:r w:rsidRPr="00EA0B27">
              <w:t>Cable sourcing program</w:t>
            </w:r>
          </w:p>
        </w:tc>
        <w:tc>
          <w:tcPr>
            <w:tcW w:w="1163"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516.9</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516.9</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516.9</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516.9</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516.9</w:t>
            </w:r>
          </w:p>
        </w:tc>
        <w:tc>
          <w:tcPr>
            <w:tcW w:w="1160"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2,584.3 </w:t>
            </w:r>
          </w:p>
        </w:tc>
      </w:tr>
      <w:tr w:rsidR="00EA0B27" w:rsidTr="00F03A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EA0B27" w:rsidRPr="00EA0B27" w:rsidRDefault="00EA0B27" w:rsidP="00EA0B27">
            <w:pPr>
              <w:numPr>
                <w:ilvl w:val="0"/>
                <w:numId w:val="25"/>
              </w:numPr>
            </w:pPr>
            <w:r w:rsidRPr="00EA0B27">
              <w:t>Cable joint sourcing</w:t>
            </w:r>
          </w:p>
        </w:tc>
        <w:tc>
          <w:tcPr>
            <w:tcW w:w="1163"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353.1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353.1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353.1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353.1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353.1 </w:t>
            </w:r>
          </w:p>
        </w:tc>
        <w:tc>
          <w:tcPr>
            <w:tcW w:w="1160"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1,765.7 </w:t>
            </w:r>
          </w:p>
        </w:tc>
      </w:tr>
      <w:tr w:rsidR="00EA0B27" w:rsidTr="00F03A42">
        <w:tc>
          <w:tcPr>
            <w:cnfStyle w:val="001000000000" w:firstRow="0" w:lastRow="0" w:firstColumn="1" w:lastColumn="0" w:oddVBand="0" w:evenVBand="0" w:oddHBand="0" w:evenHBand="0" w:firstRowFirstColumn="0" w:firstRowLastColumn="0" w:lastRowFirstColumn="0" w:lastRowLastColumn="0"/>
            <w:tcW w:w="1710" w:type="dxa"/>
          </w:tcPr>
          <w:p w:rsidR="00EA0B27" w:rsidRPr="00EA0B27" w:rsidRDefault="00EA0B27" w:rsidP="00EA0B27">
            <w:pPr>
              <w:numPr>
                <w:ilvl w:val="0"/>
                <w:numId w:val="25"/>
              </w:numPr>
            </w:pPr>
            <w:r w:rsidRPr="00EA0B27">
              <w:t>Reliability planning and coordination</w:t>
            </w:r>
          </w:p>
        </w:tc>
        <w:tc>
          <w:tcPr>
            <w:tcW w:w="1163"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292.6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292.6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292.6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292.6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292.6 </w:t>
            </w:r>
          </w:p>
        </w:tc>
        <w:tc>
          <w:tcPr>
            <w:tcW w:w="1160"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1,463.1 </w:t>
            </w:r>
          </w:p>
        </w:tc>
      </w:tr>
      <w:tr w:rsidR="00EA0B27" w:rsidTr="00F03A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EA0B27" w:rsidRPr="00EA0B27" w:rsidRDefault="00EA0B27" w:rsidP="00EA0B27">
            <w:pPr>
              <w:numPr>
                <w:ilvl w:val="0"/>
                <w:numId w:val="25"/>
              </w:numPr>
            </w:pPr>
            <w:r w:rsidRPr="00EA0B27">
              <w:t>Cable replacement execution costs</w:t>
            </w:r>
          </w:p>
        </w:tc>
        <w:tc>
          <w:tcPr>
            <w:tcW w:w="1163"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327.9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327.9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327.9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327.9 </w:t>
            </w:r>
          </w:p>
        </w:tc>
        <w:tc>
          <w:tcPr>
            <w:tcW w:w="1165"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327.9 </w:t>
            </w:r>
          </w:p>
        </w:tc>
        <w:tc>
          <w:tcPr>
            <w:tcW w:w="1160" w:type="dxa"/>
            <w:vAlign w:val="top"/>
          </w:tcPr>
          <w:p w:rsidR="00EA0B27" w:rsidRPr="00EA0B27" w:rsidRDefault="00EA0B27" w:rsidP="00930397">
            <w:pPr>
              <w:cnfStyle w:val="000000010000" w:firstRow="0" w:lastRow="0" w:firstColumn="0" w:lastColumn="0" w:oddVBand="0" w:evenVBand="0" w:oddHBand="0" w:evenHBand="1" w:firstRowFirstColumn="0" w:firstRowLastColumn="0" w:lastRowFirstColumn="0" w:lastRowLastColumn="0"/>
            </w:pPr>
            <w:r w:rsidRPr="00EA0B27">
              <w:t xml:space="preserve"> 1,639.4 </w:t>
            </w:r>
          </w:p>
        </w:tc>
      </w:tr>
      <w:tr w:rsidR="00EA0B27" w:rsidTr="00F03A42">
        <w:tc>
          <w:tcPr>
            <w:cnfStyle w:val="001000000000" w:firstRow="0" w:lastRow="0" w:firstColumn="1" w:lastColumn="0" w:oddVBand="0" w:evenVBand="0" w:oddHBand="0" w:evenHBand="0" w:firstRowFirstColumn="0" w:firstRowLastColumn="0" w:lastRowFirstColumn="0" w:lastRowLastColumn="0"/>
            <w:tcW w:w="1710" w:type="dxa"/>
          </w:tcPr>
          <w:p w:rsidR="00EA0B27" w:rsidRPr="00EA0B27" w:rsidRDefault="00EA0B27" w:rsidP="00EA0B27">
            <w:pPr>
              <w:numPr>
                <w:ilvl w:val="0"/>
                <w:numId w:val="25"/>
              </w:numPr>
            </w:pPr>
            <w:r w:rsidRPr="00EA0B27">
              <w:t>Total</w:t>
            </w:r>
          </w:p>
        </w:tc>
        <w:tc>
          <w:tcPr>
            <w:tcW w:w="1163"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1,490.5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1,490.5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1,490.5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1,490.5 </w:t>
            </w:r>
          </w:p>
        </w:tc>
        <w:tc>
          <w:tcPr>
            <w:tcW w:w="1165"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1,490.5 </w:t>
            </w:r>
          </w:p>
        </w:tc>
        <w:tc>
          <w:tcPr>
            <w:tcW w:w="1160" w:type="dxa"/>
            <w:vAlign w:val="top"/>
          </w:tcPr>
          <w:p w:rsidR="00EA0B27" w:rsidRPr="00EA0B27" w:rsidRDefault="00EA0B27" w:rsidP="00930397">
            <w:pPr>
              <w:cnfStyle w:val="000000000000" w:firstRow="0" w:lastRow="0" w:firstColumn="0" w:lastColumn="0" w:oddVBand="0" w:evenVBand="0" w:oddHBand="0" w:evenHBand="0" w:firstRowFirstColumn="0" w:firstRowLastColumn="0" w:lastRowFirstColumn="0" w:lastRowLastColumn="0"/>
            </w:pPr>
            <w:r w:rsidRPr="00EA0B27">
              <w:t xml:space="preserve"> 7,452.4 </w:t>
            </w:r>
          </w:p>
        </w:tc>
      </w:tr>
    </w:tbl>
    <w:p w:rsidR="00F03A42" w:rsidRDefault="00F03A42" w:rsidP="00F03A42">
      <w:pPr>
        <w:pStyle w:val="AERtablesource"/>
      </w:pPr>
      <w:r>
        <w:t xml:space="preserve">Source: </w:t>
      </w:r>
      <w:r>
        <w:tab/>
        <w:t xml:space="preserve">Directlink, Revised revenue proposal, January 2015, </w:t>
      </w:r>
      <w:r w:rsidRPr="00A94CA1">
        <w:t xml:space="preserve">Directlink </w:t>
      </w:r>
      <w:r>
        <w:t xml:space="preserve">2015 </w:t>
      </w:r>
      <w:r w:rsidRPr="00A94CA1">
        <w:t>- Re</w:t>
      </w:r>
      <w:r>
        <w:t xml:space="preserve">vised proposal PTRM - Jan </w:t>
      </w:r>
      <w:r w:rsidRPr="00A94CA1">
        <w:t>201</w:t>
      </w:r>
      <w:r>
        <w:t>5</w:t>
      </w:r>
      <w:r w:rsidRPr="00A94CA1">
        <w:t>.xlsx, tab '</w:t>
      </w:r>
      <w:r>
        <w:t>Input</w:t>
      </w:r>
      <w:r w:rsidRPr="00A94CA1">
        <w:t>'</w:t>
      </w:r>
      <w:r>
        <w:t xml:space="preserve">; </w:t>
      </w:r>
      <w:r w:rsidR="001405E0">
        <w:t xml:space="preserve">Directlink, Revised revenue proposal, January 2015, Table 5.1, p.26; </w:t>
      </w:r>
      <w:r>
        <w:t>AER analysis to remove 10 per cent margin.</w:t>
      </w:r>
    </w:p>
    <w:p w:rsidR="00F03A42" w:rsidRPr="00887B66" w:rsidRDefault="00F03A42" w:rsidP="00F03A42">
      <w:pPr>
        <w:pStyle w:val="AERtablesource"/>
      </w:pPr>
      <w:r>
        <w:t xml:space="preserve">Note: </w:t>
      </w:r>
      <w:r>
        <w:tab/>
        <w:t>Directlink did not distinguish the respective proactive and reactive cable repair expenditure.</w:t>
      </w:r>
    </w:p>
    <w:p w:rsidR="00B91595" w:rsidRDefault="00123DCD" w:rsidP="003D4DFF">
      <w:r>
        <w:t>We</w:t>
      </w:r>
      <w:r w:rsidR="001B696D">
        <w:t xml:space="preserve"> </w:t>
      </w:r>
      <w:r w:rsidR="00CE7914">
        <w:t xml:space="preserve">do not consider that the cable repair expenditure should be shifted from opex to capex. </w:t>
      </w:r>
      <w:r w:rsidR="00EA0B27">
        <w:t xml:space="preserve">In making this assessment we have had regard to the Tribunal's </w:t>
      </w:r>
      <w:r w:rsidR="00D87567" w:rsidRPr="00D87567">
        <w:t>decision in Jemena</w:t>
      </w:r>
      <w:r w:rsidR="00D87567">
        <w:t xml:space="preserve"> Gas Networks (NSW) Ltd (No 3)</w:t>
      </w:r>
      <w:r w:rsidR="00EA0B27">
        <w:t>.</w:t>
      </w:r>
      <w:r w:rsidR="00EA0B27">
        <w:rPr>
          <w:rStyle w:val="FootnoteReference"/>
        </w:rPr>
        <w:footnoteReference w:id="26"/>
      </w:r>
      <w:r w:rsidR="00EA0B27">
        <w:t xml:space="preserve"> </w:t>
      </w:r>
      <w:r w:rsidR="004F7C6B">
        <w:t>The Tribunal's view was that</w:t>
      </w:r>
      <w:r w:rsidR="00B91595">
        <w:t xml:space="preserve"> the </w:t>
      </w:r>
      <w:r w:rsidR="0045479C">
        <w:t xml:space="preserve">usual </w:t>
      </w:r>
      <w:r w:rsidR="00B91595">
        <w:t xml:space="preserve">matters  to which regard will be had </w:t>
      </w:r>
      <w:r w:rsidR="0045479C">
        <w:t xml:space="preserve">in deciding whether expenditure is capex or opex </w:t>
      </w:r>
      <w:r w:rsidR="00B91595">
        <w:t xml:space="preserve">are: </w:t>
      </w:r>
      <w:r w:rsidR="004F7C6B">
        <w:t xml:space="preserve"> </w:t>
      </w:r>
      <w:r w:rsidR="00B91595">
        <w:t>'</w:t>
      </w:r>
      <w:r w:rsidR="00980C3D" w:rsidRPr="00980C3D">
        <w:t>(1) the character of the advantage sought and, in this respect, its lasting qualities and recurrence may play a part; (2) the manner in which the advantage is to be used, relied upon or enjoyed and, in this respect as well, recurrence may play a part; and (3) the means adopted to obtain the advantage, that is, whether a periodical reward or outlay is provided to cover its use or enjoyment for periods commensurate with the payment or whether a final provision or payment is made so as to secure future use or enjoyment</w:t>
      </w:r>
      <w:r w:rsidR="00B91595">
        <w:t>'</w:t>
      </w:r>
      <w:r w:rsidR="00980C3D" w:rsidRPr="00980C3D">
        <w:t>.</w:t>
      </w:r>
      <w:r w:rsidR="00980C3D" w:rsidRPr="00980C3D">
        <w:rPr>
          <w:rStyle w:val="FootnoteReference"/>
        </w:rPr>
        <w:t xml:space="preserve"> </w:t>
      </w:r>
      <w:r w:rsidR="00980C3D">
        <w:rPr>
          <w:rStyle w:val="FootnoteReference"/>
        </w:rPr>
        <w:footnoteReference w:id="27"/>
      </w:r>
      <w:r w:rsidR="00B91595">
        <w:t xml:space="preserve"> </w:t>
      </w:r>
      <w:r w:rsidR="00026D03" w:rsidRPr="00026D03">
        <w:t>The Tribunal also noted that distinguishing between opex and capex depends on what the expenditure is calculated to effect from a practical and business point of view.</w:t>
      </w:r>
      <w:r w:rsidR="00026D03" w:rsidRPr="00026D03">
        <w:rPr>
          <w:rStyle w:val="FootnoteReference"/>
        </w:rPr>
        <w:t xml:space="preserve"> </w:t>
      </w:r>
      <w:r w:rsidR="00026D03" w:rsidRPr="00026D03">
        <w:rPr>
          <w:rStyle w:val="FootnoteReference"/>
        </w:rPr>
        <w:footnoteReference w:id="28"/>
      </w:r>
      <w:r w:rsidR="00026D03" w:rsidRPr="00026D03">
        <w:t xml:space="preserve"> On this approach, </w:t>
      </w:r>
      <w:r w:rsidR="00026D03">
        <w:t>w</w:t>
      </w:r>
      <w:r w:rsidR="00B91595">
        <w:t>e consider that:</w:t>
      </w:r>
    </w:p>
    <w:p w:rsidR="00B91595" w:rsidRDefault="00B91595" w:rsidP="00B74BFA">
      <w:pPr>
        <w:pStyle w:val="AERbulletlistfirststyle"/>
      </w:pPr>
      <w:r>
        <w:t>the cable repairs are required to maintain the operation of the asset</w:t>
      </w:r>
      <w:r w:rsidR="008056DD">
        <w:t>. We refer to the Tribunal's view that '</w:t>
      </w:r>
      <w:r w:rsidR="008056DD" w:rsidRPr="008056DD">
        <w:t>it is an operating expense when it is to repair defects resulting from the operations of the person who incurs the expense</w:t>
      </w:r>
      <w:r w:rsidR="008056DD">
        <w:t xml:space="preserve">'. In operating the asset water ingress has caused the cable to fault. Repair of the cable involves removing the water damaged part of the cable and replacing it with a small section of </w:t>
      </w:r>
      <w:r w:rsidR="008056DD">
        <w:lastRenderedPageBreak/>
        <w:t>undamaged cable.</w:t>
      </w:r>
      <w:r w:rsidR="008056DD">
        <w:rPr>
          <w:rStyle w:val="FootnoteReference"/>
        </w:rPr>
        <w:footnoteReference w:id="29"/>
      </w:r>
      <w:r w:rsidR="00D87567" w:rsidRPr="00D87567">
        <w:t xml:space="preserve"> </w:t>
      </w:r>
      <w:r w:rsidR="00D87567">
        <w:t>T</w:t>
      </w:r>
      <w:r w:rsidR="00D87567" w:rsidRPr="008056DD">
        <w:t>he cost of maintaining an income-producing asset (</w:t>
      </w:r>
      <w:r w:rsidR="00F2457C" w:rsidRPr="008056DD">
        <w:t>e.g.</w:t>
      </w:r>
      <w:r w:rsidR="00D87567" w:rsidRPr="008056DD">
        <w:t xml:space="preserve"> the cost of “servicing” plant and equipment) is an operating expense</w:t>
      </w:r>
      <w:r w:rsidR="00D87567" w:rsidRPr="00B91595">
        <w:t>.</w:t>
      </w:r>
      <w:r w:rsidR="00D87567" w:rsidRPr="00D87567">
        <w:rPr>
          <w:rStyle w:val="FootnoteReference"/>
        </w:rPr>
        <w:footnoteReference w:id="30"/>
      </w:r>
    </w:p>
    <w:p w:rsidR="00B91595" w:rsidRDefault="00B91595" w:rsidP="00B74BFA">
      <w:pPr>
        <w:pStyle w:val="AERbulletlistfirststyle"/>
      </w:pPr>
      <w:r w:rsidRPr="00B91595">
        <w:t>no benefit of an enduring kind is acquired as a result of the expenditure</w:t>
      </w:r>
      <w:r w:rsidR="0036240E">
        <w:rPr>
          <w:rStyle w:val="FootnoteReference"/>
        </w:rPr>
        <w:footnoteReference w:id="31"/>
      </w:r>
      <w:r w:rsidRPr="00B91595">
        <w:t xml:space="preserve"> </w:t>
      </w:r>
      <w:r>
        <w:t xml:space="preserve"> </w:t>
      </w:r>
    </w:p>
    <w:p w:rsidR="00B91595" w:rsidRDefault="00B91595" w:rsidP="00B74BFA">
      <w:pPr>
        <w:pStyle w:val="AERbulletlistfirststyle"/>
      </w:pPr>
      <w:r>
        <w:t>cable repair expenditure is recurring, not 'once and for all'</w:t>
      </w:r>
      <w:r w:rsidR="0036240E">
        <w:rPr>
          <w:rStyle w:val="FootnoteReference"/>
        </w:rPr>
        <w:footnoteReference w:id="32"/>
      </w:r>
    </w:p>
    <w:p w:rsidR="000F5FD0" w:rsidRDefault="00F2457C" w:rsidP="00B74BFA">
      <w:pPr>
        <w:pStyle w:val="AERbulletlistfirststyle"/>
      </w:pPr>
      <w:r>
        <w:t>t</w:t>
      </w:r>
      <w:r w:rsidR="000F5FD0">
        <w:t xml:space="preserve">he cable repairs consist of a small part of the entire cable length. A cable repair is typically </w:t>
      </w:r>
      <w:r w:rsidR="00B74BFA">
        <w:t>25</w:t>
      </w:r>
      <w:r w:rsidR="000F5FD0">
        <w:t>0 metres long.</w:t>
      </w:r>
      <w:r w:rsidR="00B74BFA">
        <w:rPr>
          <w:rStyle w:val="FootnoteReference"/>
        </w:rPr>
        <w:footnoteReference w:id="33"/>
      </w:r>
      <w:r w:rsidR="000F5FD0">
        <w:t xml:space="preserve"> We forecast </w:t>
      </w:r>
      <w:r w:rsidR="00337764">
        <w:t>three</w:t>
      </w:r>
      <w:r w:rsidR="000F5FD0">
        <w:t xml:space="preserve"> repairs per year.</w:t>
      </w:r>
      <w:r w:rsidR="000F5FD0" w:rsidRPr="000F5FD0">
        <w:t xml:space="preserve"> </w:t>
      </w:r>
      <w:r w:rsidR="000F5FD0">
        <w:t xml:space="preserve">The entire cable length for Directlink is </w:t>
      </w:r>
      <w:r w:rsidR="00B74BFA">
        <w:t>354</w:t>
      </w:r>
      <w:r w:rsidR="000F5FD0">
        <w:t xml:space="preserve"> kilometres.</w:t>
      </w:r>
      <w:r w:rsidR="00B74BFA">
        <w:rPr>
          <w:rStyle w:val="FootnoteReference"/>
        </w:rPr>
        <w:footnoteReference w:id="34"/>
      </w:r>
      <w:r w:rsidR="000F5FD0">
        <w:t xml:space="preserve"> The Tribunal's view is that '[o]</w:t>
      </w:r>
      <w:r w:rsidR="000F5FD0" w:rsidRPr="000F5FD0">
        <w:t>rdinarily work done in renewing a major or important part of plant or equipment can be treated as capital expenditure, depending upon the extent of the work</w:t>
      </w:r>
      <w:r w:rsidR="000F5FD0">
        <w:t>'.</w:t>
      </w:r>
      <w:r w:rsidR="000F5FD0" w:rsidRPr="000F5FD0">
        <w:rPr>
          <w:rStyle w:val="FootnoteReference"/>
        </w:rPr>
        <w:t xml:space="preserve"> </w:t>
      </w:r>
      <w:r w:rsidR="000F5FD0" w:rsidRPr="000F5FD0">
        <w:rPr>
          <w:rStyle w:val="FootnoteReference"/>
        </w:rPr>
        <w:footnoteReference w:id="35"/>
      </w:r>
      <w:r w:rsidR="000F5FD0">
        <w:t xml:space="preserve"> We do not consider that a cable repair constitutes a major part of plant or equipment.</w:t>
      </w:r>
    </w:p>
    <w:p w:rsidR="004F7C6B" w:rsidRDefault="00D87567" w:rsidP="003D4DFF">
      <w:r>
        <w:t xml:space="preserve">We refer to the Tribunal's view that </w:t>
      </w:r>
      <w:r w:rsidR="004F7C6B">
        <w:t>'[i]</w:t>
      </w:r>
      <w:r w:rsidR="004F7C6B" w:rsidRPr="004F7C6B">
        <w:t>f accounting standards adopt the proper legal meaning then the accounting standards may be used as a proxy</w:t>
      </w:r>
      <w:r w:rsidR="004F7C6B">
        <w:t>'</w:t>
      </w:r>
      <w:r w:rsidR="004F7C6B" w:rsidRPr="004F7C6B">
        <w:t>.</w:t>
      </w:r>
      <w:r w:rsidR="004F7C6B" w:rsidRPr="004F7C6B">
        <w:rPr>
          <w:rStyle w:val="FootnoteReference"/>
        </w:rPr>
        <w:t xml:space="preserve"> </w:t>
      </w:r>
      <w:r w:rsidR="004F7C6B">
        <w:rPr>
          <w:rStyle w:val="FootnoteReference"/>
        </w:rPr>
        <w:footnoteReference w:id="36"/>
      </w:r>
      <w:r>
        <w:t xml:space="preserve"> In this instance we consider that AASB 116 is able to be used as a proxy.</w:t>
      </w:r>
    </w:p>
    <w:p w:rsidR="00001FB7" w:rsidRDefault="00001FB7" w:rsidP="003D4DFF">
      <w:r>
        <w:t xml:space="preserve">The </w:t>
      </w:r>
      <w:r w:rsidR="0074552A">
        <w:t xml:space="preserve">Australian Accounting Standard </w:t>
      </w:r>
      <w:r>
        <w:t xml:space="preserve">for </w:t>
      </w:r>
      <w:r w:rsidRPr="00001FB7">
        <w:t xml:space="preserve">Property, Plant and Equipment </w:t>
      </w:r>
      <w:r>
        <w:t xml:space="preserve">(AASB 116) </w:t>
      </w:r>
      <w:r w:rsidR="0074552A">
        <w:t xml:space="preserve">requires that </w:t>
      </w:r>
      <w:r>
        <w:t>the cost of an item of property, plant and equipment is recognised as an asset if, and only if, it is probabl</w:t>
      </w:r>
      <w:r w:rsidR="00EA0B27">
        <w:t>e</w:t>
      </w:r>
      <w:r>
        <w:t xml:space="preserve"> that future economic benefits associated with the item will flow to the entity.</w:t>
      </w:r>
      <w:r>
        <w:rPr>
          <w:rStyle w:val="FootnoteReference"/>
        </w:rPr>
        <w:footnoteReference w:id="37"/>
      </w:r>
      <w:r>
        <w:t xml:space="preserve"> We asked Directlink to provide evidence of the expected future economic benefit of the cable repairs and employee positions which it proposed shifting from opex to capex.</w:t>
      </w:r>
      <w:r w:rsidR="00237C9E">
        <w:rPr>
          <w:rStyle w:val="FootnoteReference"/>
        </w:rPr>
        <w:footnoteReference w:id="38"/>
      </w:r>
      <w:r w:rsidR="00237C9E">
        <w:t xml:space="preserve"> Directlink did not identify any expected future economic benefit in its response to the AER</w:t>
      </w:r>
      <w:r w:rsidR="00A640DB">
        <w:t xml:space="preserve">. </w:t>
      </w:r>
      <w:r w:rsidR="00237C9E">
        <w:t>I</w:t>
      </w:r>
      <w:r w:rsidR="004A137E">
        <w:t>n relation to the labour positions i</w:t>
      </w:r>
      <w:r w:rsidR="00237C9E">
        <w:t>t submitted that</w:t>
      </w:r>
      <w:r w:rsidR="004A137E">
        <w:t xml:space="preserve"> that these costs are related to condition monitoring activities</w:t>
      </w:r>
      <w:r w:rsidR="00F417EB">
        <w:t>,</w:t>
      </w:r>
      <w:r w:rsidR="004A137E">
        <w:t xml:space="preserve"> </w:t>
      </w:r>
      <w:r w:rsidR="007063C0">
        <w:t xml:space="preserve">normal coordination </w:t>
      </w:r>
      <w:r w:rsidR="00F417EB">
        <w:t xml:space="preserve">or document preparation and management activities, </w:t>
      </w:r>
      <w:r w:rsidR="007063C0">
        <w:t>'</w:t>
      </w:r>
      <w:r w:rsidR="004A137E">
        <w:t>which would be operating, rather than capital in nature'.</w:t>
      </w:r>
      <w:r w:rsidR="004A137E">
        <w:rPr>
          <w:rStyle w:val="FootnoteReference"/>
        </w:rPr>
        <w:footnoteReference w:id="39"/>
      </w:r>
      <w:r w:rsidR="00F417EB">
        <w:t xml:space="preserve"> Directlink stated that '</w:t>
      </w:r>
      <w:r w:rsidR="00F417EB" w:rsidRPr="00F417EB">
        <w:t>it considers that it would not be unreasonable to classify these expenditures as operating costs, rather than capital expenditure</w:t>
      </w:r>
      <w:r w:rsidR="00F417EB">
        <w:t>'.</w:t>
      </w:r>
      <w:r w:rsidR="00F417EB" w:rsidRPr="00F417EB">
        <w:rPr>
          <w:rStyle w:val="FootnoteReference"/>
        </w:rPr>
        <w:t xml:space="preserve"> </w:t>
      </w:r>
      <w:r w:rsidR="00F417EB">
        <w:rPr>
          <w:rStyle w:val="FootnoteReference"/>
        </w:rPr>
        <w:footnoteReference w:id="40"/>
      </w:r>
      <w:r w:rsidR="00A640DB">
        <w:t xml:space="preserve"> As Directlink has not identified any future economic benefits associated with the cable rep</w:t>
      </w:r>
      <w:r w:rsidR="00B83468">
        <w:t>lacement</w:t>
      </w:r>
      <w:r w:rsidR="00A640DB">
        <w:t xml:space="preserve"> program we are classifying the proposed cable repair program as opex.</w:t>
      </w:r>
      <w:r w:rsidR="00FF1111">
        <w:t xml:space="preserve"> This is consistent with industry practice, where repairs are classified as opex.</w:t>
      </w:r>
      <w:r w:rsidR="007D2D2D">
        <w:t xml:space="preserve"> Consequently, </w:t>
      </w:r>
      <w:r w:rsidR="00F7043E">
        <w:t xml:space="preserve">we have assessed </w:t>
      </w:r>
      <w:r w:rsidR="007D2D2D">
        <w:t xml:space="preserve">Directlink's proposed cable replacement program expenditure </w:t>
      </w:r>
      <w:r w:rsidR="00F7043E">
        <w:t>as</w:t>
      </w:r>
      <w:r w:rsidR="007D2D2D">
        <w:t xml:space="preserve"> opex.</w:t>
      </w:r>
    </w:p>
    <w:p w:rsidR="006A0244" w:rsidRDefault="00CE7914" w:rsidP="00426A86">
      <w:r>
        <w:lastRenderedPageBreak/>
        <w:t xml:space="preserve">In </w:t>
      </w:r>
      <w:r w:rsidR="007D2D2D">
        <w:t xml:space="preserve">its </w:t>
      </w:r>
      <w:r w:rsidR="00E8586B">
        <w:t>initial</w:t>
      </w:r>
      <w:r w:rsidR="007D2D2D">
        <w:t xml:space="preserve"> proposal Directlink proposed </w:t>
      </w:r>
      <w:r w:rsidR="006A0244">
        <w:t xml:space="preserve">expenditure for 11.5 </w:t>
      </w:r>
      <w:r w:rsidR="007D2D2D">
        <w:t xml:space="preserve">reactive </w:t>
      </w:r>
      <w:r w:rsidR="006A0244">
        <w:t xml:space="preserve">cable </w:t>
      </w:r>
      <w:r w:rsidR="007D2D2D">
        <w:t>rep</w:t>
      </w:r>
      <w:r w:rsidR="006A0244">
        <w:t>airs</w:t>
      </w:r>
      <w:r w:rsidR="007D2D2D">
        <w:t xml:space="preserve"> per year.</w:t>
      </w:r>
      <w:r w:rsidR="00E8586B">
        <w:rPr>
          <w:rStyle w:val="FootnoteReference"/>
        </w:rPr>
        <w:footnoteReference w:id="41"/>
      </w:r>
      <w:r w:rsidR="007D2D2D">
        <w:t xml:space="preserve"> In our draft decision </w:t>
      </w:r>
      <w:r w:rsidR="00E8586B">
        <w:t xml:space="preserve">we assessed that expenditure for </w:t>
      </w:r>
      <w:r w:rsidR="00F2457C">
        <w:t>three</w:t>
      </w:r>
      <w:r w:rsidR="00E8586B">
        <w:t xml:space="preserve"> cable repairs was prudent and efficient.</w:t>
      </w:r>
      <w:r w:rsidR="00E8586B">
        <w:rPr>
          <w:rStyle w:val="FootnoteReference"/>
        </w:rPr>
        <w:footnoteReference w:id="42"/>
      </w:r>
      <w:r w:rsidR="00E8586B">
        <w:t xml:space="preserve"> In its </w:t>
      </w:r>
      <w:r w:rsidR="007D2D2D">
        <w:t xml:space="preserve">revised proposal Directlink </w:t>
      </w:r>
      <w:r w:rsidR="006A0244">
        <w:t>rescoped it</w:t>
      </w:r>
      <w:r w:rsidR="007D2D2D">
        <w:t>s program to</w:t>
      </w:r>
      <w:r w:rsidR="006A0244">
        <w:t xml:space="preserve"> consist of:</w:t>
      </w:r>
      <w:r w:rsidR="006A0244">
        <w:rPr>
          <w:rStyle w:val="FootnoteReference"/>
        </w:rPr>
        <w:footnoteReference w:id="43"/>
      </w:r>
    </w:p>
    <w:p w:rsidR="007D2D2D" w:rsidRDefault="00F2457C" w:rsidP="006A0244">
      <w:pPr>
        <w:pStyle w:val="AERbulletlistfirststyle"/>
      </w:pPr>
      <w:r>
        <w:t xml:space="preserve">reactive </w:t>
      </w:r>
      <w:r w:rsidR="006A0244">
        <w:t>replacement of cable failures once they occur,</w:t>
      </w:r>
      <w:r w:rsidR="007D2D2D">
        <w:t xml:space="preserve"> a</w:t>
      </w:r>
      <w:r w:rsidR="006A0244">
        <w:t>nd</w:t>
      </w:r>
    </w:p>
    <w:p w:rsidR="006A0244" w:rsidRDefault="00F2457C" w:rsidP="006A0244">
      <w:pPr>
        <w:pStyle w:val="AERbulletlistfirststyle"/>
      </w:pPr>
      <w:r>
        <w:t xml:space="preserve">proactive </w:t>
      </w:r>
      <w:r w:rsidR="006A0244">
        <w:t>replacement of cable sections in locations where previous faults have occurred that were reactively repaired under its previous strategy.</w:t>
      </w:r>
    </w:p>
    <w:p w:rsidR="00CE7914" w:rsidRDefault="007D2D2D" w:rsidP="00426A86">
      <w:r>
        <w:t xml:space="preserve">In </w:t>
      </w:r>
      <w:r w:rsidR="00CE7914">
        <w:t xml:space="preserve">relation to </w:t>
      </w:r>
      <w:r w:rsidR="00B83468">
        <w:t xml:space="preserve">Directlink's </w:t>
      </w:r>
      <w:r w:rsidR="005727F9">
        <w:t xml:space="preserve">reactive </w:t>
      </w:r>
      <w:r w:rsidR="00CE7914">
        <w:t>rep</w:t>
      </w:r>
      <w:r w:rsidR="00B83468">
        <w:t>lacement</w:t>
      </w:r>
      <w:r w:rsidR="00CE7914">
        <w:t xml:space="preserve"> </w:t>
      </w:r>
      <w:r w:rsidR="005727F9">
        <w:t>of cables</w:t>
      </w:r>
      <w:r w:rsidR="00CE7914">
        <w:t xml:space="preserve">, we continue to hold our draft view that </w:t>
      </w:r>
      <w:r w:rsidR="00F2457C">
        <w:t>three</w:t>
      </w:r>
      <w:r w:rsidR="00CE7914">
        <w:t xml:space="preserve"> repairs per annum is prudent and efficient.</w:t>
      </w:r>
      <w:r>
        <w:t xml:space="preserve"> </w:t>
      </w:r>
      <w:r w:rsidR="008B16D2">
        <w:t>Directlink provided no new evidence to support relying on the historical average number of faults. Our draft decision noted that the new replacement strategy of replacing longer sections of faulted cable</w:t>
      </w:r>
      <w:r w:rsidR="00806D47">
        <w:t>, which has been in place for three years, has yielded a significant reduction in cable faults per year</w:t>
      </w:r>
      <w:r w:rsidR="008B16D2">
        <w:t xml:space="preserve">. </w:t>
      </w:r>
      <w:r w:rsidR="005A616A">
        <w:t xml:space="preserve">The use of an historical average is inconsistent with this finding. </w:t>
      </w:r>
      <w:r w:rsidR="008B16D2">
        <w:t xml:space="preserve">Directlink </w:t>
      </w:r>
      <w:r w:rsidR="00F7043E">
        <w:t>reiterated its submissions</w:t>
      </w:r>
      <w:r w:rsidR="008B16D2">
        <w:t xml:space="preserve"> on the correlation of cable faults with rainfall.</w:t>
      </w:r>
      <w:r w:rsidR="00214242">
        <w:rPr>
          <w:rStyle w:val="FootnoteReference"/>
        </w:rPr>
        <w:footnoteReference w:id="44"/>
      </w:r>
      <w:r w:rsidR="008B16D2">
        <w:t xml:space="preserve"> </w:t>
      </w:r>
      <w:r w:rsidR="005A616A">
        <w:t xml:space="preserve">Directlink focuses on the lower than average rainfall in 2014 coinciding with </w:t>
      </w:r>
      <w:r w:rsidR="00C91946">
        <w:t>three to four</w:t>
      </w:r>
      <w:r w:rsidR="005A616A">
        <w:t xml:space="preserve"> cable faults in the 2013-14 period. </w:t>
      </w:r>
      <w:r w:rsidR="008B16D2">
        <w:t xml:space="preserve">However, </w:t>
      </w:r>
      <w:r w:rsidR="005A616A">
        <w:t>we observe that following the introduction of the new replacement strategy</w:t>
      </w:r>
      <w:r w:rsidR="005A616A">
        <w:rPr>
          <w:rStyle w:val="FootnoteReference"/>
        </w:rPr>
        <w:footnoteReference w:id="45"/>
      </w:r>
      <w:r w:rsidR="005A616A">
        <w:t xml:space="preserve">, the number of cable faults fell dramatically through 2011-12 to 2012-13 despite the average to higher than average rainfall during this period. As no additional information has been provided to justify a different failure forecast, we assess that an average cable failure rate of </w:t>
      </w:r>
      <w:r w:rsidR="00A10422">
        <w:t>three</w:t>
      </w:r>
      <w:r w:rsidR="005A616A">
        <w:t xml:space="preserve"> per annum is a reasonable estimate of the expected cable faults as the full impact of Directlink's new cable repair strategy</w:t>
      </w:r>
      <w:r w:rsidR="005A616A">
        <w:rPr>
          <w:rStyle w:val="FootnoteReference"/>
        </w:rPr>
        <w:footnoteReference w:id="46"/>
      </w:r>
      <w:r w:rsidR="005A616A">
        <w:t xml:space="preserve"> is realised.</w:t>
      </w:r>
    </w:p>
    <w:p w:rsidR="003D340D" w:rsidRPr="003D340D" w:rsidRDefault="003D340D" w:rsidP="003D340D">
      <w:r>
        <w:t>In relation to Directlink's proposed p</w:t>
      </w:r>
      <w:r w:rsidR="00CE7914">
        <w:t>roactive cable repair</w:t>
      </w:r>
      <w:r>
        <w:t xml:space="preserve">, </w:t>
      </w:r>
      <w:r w:rsidR="00343399">
        <w:t>we undertook a technical engineering review and assessed</w:t>
      </w:r>
      <w:r>
        <w:t xml:space="preserve"> that </w:t>
      </w:r>
      <w:r w:rsidRPr="003D340D">
        <w:t xml:space="preserve">it is not </w:t>
      </w:r>
      <w:r w:rsidR="00343399">
        <w:t>standard</w:t>
      </w:r>
      <w:r w:rsidR="00343399" w:rsidRPr="003D340D">
        <w:t xml:space="preserve"> </w:t>
      </w:r>
      <w:r w:rsidRPr="003D340D">
        <w:t>industry practice to proactively replace cable in order to pre-emptively avoid its failure except in the case of known cable ‘type’ faults. In such circumstances</w:t>
      </w:r>
      <w:r w:rsidR="00343399">
        <w:t>,</w:t>
      </w:r>
      <w:r w:rsidRPr="003D340D">
        <w:t xml:space="preserve"> a business case </w:t>
      </w:r>
      <w:r w:rsidR="00343399">
        <w:t xml:space="preserve">would ordinarily be </w:t>
      </w:r>
      <w:r w:rsidRPr="003D340D">
        <w:t xml:space="preserve">developed to demonstrate the need and efficiency of proactive cable replacement (e.g. CONSAC cable replacement programs). Directlink has not provided </w:t>
      </w:r>
      <w:r w:rsidR="00343399">
        <w:t>such</w:t>
      </w:r>
      <w:r w:rsidR="00343399" w:rsidRPr="003D340D">
        <w:t xml:space="preserve"> </w:t>
      </w:r>
      <w:r w:rsidRPr="003D340D">
        <w:t xml:space="preserve">information to demonstrate the business case for the proposed proactive cable replacement expenditure or </w:t>
      </w:r>
      <w:r w:rsidR="00343399">
        <w:t>such</w:t>
      </w:r>
      <w:r w:rsidR="00343399" w:rsidRPr="003D340D">
        <w:t xml:space="preserve"> </w:t>
      </w:r>
      <w:r w:rsidRPr="003D340D">
        <w:t>information to demonstrate the value of the proposed proactive cable replacement in remediating such failure events.</w:t>
      </w:r>
    </w:p>
    <w:p w:rsidR="003D340D" w:rsidRPr="003D340D" w:rsidRDefault="003D340D" w:rsidP="003D340D">
      <w:r w:rsidRPr="003D340D">
        <w:t>In response to AER enquiries</w:t>
      </w:r>
      <w:r w:rsidR="00343399">
        <w:t>,</w:t>
      </w:r>
      <w:r w:rsidRPr="003D340D">
        <w:t xml:space="preserve"> Directlink provided information on </w:t>
      </w:r>
      <w:r>
        <w:t xml:space="preserve">the </w:t>
      </w:r>
      <w:r w:rsidRPr="003D340D">
        <w:t xml:space="preserve">analysis of the cable condition and on the strategies to address the cables historical failure rate. Of </w:t>
      </w:r>
      <w:r w:rsidRPr="003D340D">
        <w:lastRenderedPageBreak/>
        <w:t>the documents submitted</w:t>
      </w:r>
      <w:r>
        <w:t>,</w:t>
      </w:r>
      <w:r w:rsidRPr="003D340D">
        <w:t xml:space="preserve"> two reports addressed the condition of the cable and strategies to address this condition.</w:t>
      </w:r>
      <w:r w:rsidR="00343399">
        <w:t xml:space="preserve">  We have reviewed these reports and make the following comments.</w:t>
      </w:r>
    </w:p>
    <w:p w:rsidR="003D340D" w:rsidRPr="003D340D" w:rsidRDefault="003D340D" w:rsidP="003D340D">
      <w:r w:rsidRPr="003D340D">
        <w:t>PSC  provided a report which concluded that ‘… a strategy of careful analysis of past cable faults to identify areas that have and are likely to experience clusters of failures, and the replacement of these cables, is a prudent approach to improve the reliability of the DC cables’.</w:t>
      </w:r>
      <w:r>
        <w:rPr>
          <w:rStyle w:val="FootnoteReference"/>
        </w:rPr>
        <w:footnoteReference w:id="47"/>
      </w:r>
      <w:r w:rsidRPr="003D340D">
        <w:t xml:space="preserve"> </w:t>
      </w:r>
      <w:r w:rsidR="00343399">
        <w:t>The report suggests</w:t>
      </w:r>
      <w:r w:rsidRPr="003D340D">
        <w:t xml:space="preserve"> the recommended proactive strategy is cost efficient</w:t>
      </w:r>
      <w:r w:rsidR="00343399" w:rsidRPr="00343399">
        <w:t xml:space="preserve"> </w:t>
      </w:r>
      <w:r w:rsidR="00343399">
        <w:t>but only refers to the potential improvement in</w:t>
      </w:r>
      <w:r w:rsidR="00343399" w:rsidRPr="003D340D">
        <w:t xml:space="preserve"> the reliability of the cable</w:t>
      </w:r>
      <w:r w:rsidR="00343399">
        <w:t xml:space="preserve">.  The value of the proactive strategy is not assessed </w:t>
      </w:r>
      <w:r w:rsidRPr="003D340D">
        <w:t xml:space="preserve">other than in </w:t>
      </w:r>
      <w:r w:rsidR="00343399">
        <w:t xml:space="preserve">these </w:t>
      </w:r>
      <w:r w:rsidRPr="003D340D">
        <w:t>engineering terms</w:t>
      </w:r>
      <w:r w:rsidR="00343399">
        <w:t>.</w:t>
      </w:r>
      <w:r w:rsidR="0045479C">
        <w:t xml:space="preserve"> </w:t>
      </w:r>
      <w:r>
        <w:t xml:space="preserve">We </w:t>
      </w:r>
      <w:r w:rsidR="00343399">
        <w:t>accept that</w:t>
      </w:r>
      <w:r w:rsidRPr="003D340D">
        <w:t xml:space="preserve"> the reliability of the cable </w:t>
      </w:r>
      <w:r w:rsidR="00343399">
        <w:t>may be</w:t>
      </w:r>
      <w:r w:rsidR="00343399" w:rsidRPr="003D340D">
        <w:t xml:space="preserve"> </w:t>
      </w:r>
      <w:r w:rsidRPr="003D340D">
        <w:t>of concern</w:t>
      </w:r>
      <w:r w:rsidR="00343399">
        <w:t>.  However, we consider that a prudent service provider when assessing efficient costs would only</w:t>
      </w:r>
      <w:r w:rsidR="00343399" w:rsidRPr="003D340D">
        <w:t xml:space="preserve"> </w:t>
      </w:r>
      <w:r w:rsidR="00343399">
        <w:t xml:space="preserve">propose to </w:t>
      </w:r>
      <w:r w:rsidR="00343399" w:rsidRPr="003D340D">
        <w:t>improv</w:t>
      </w:r>
      <w:r w:rsidR="00343399">
        <w:t>e</w:t>
      </w:r>
      <w:r w:rsidR="00343399" w:rsidRPr="003D340D">
        <w:t xml:space="preserve"> </w:t>
      </w:r>
      <w:r w:rsidRPr="003D340D">
        <w:t xml:space="preserve">performance by replacing cable before it fails </w:t>
      </w:r>
      <w:r w:rsidR="00343399">
        <w:t>if it had first undertaken</w:t>
      </w:r>
      <w:r w:rsidRPr="003D340D">
        <w:t xml:space="preserve"> a </w:t>
      </w:r>
      <w:r w:rsidR="00343399">
        <w:t>cost benefit</w:t>
      </w:r>
      <w:r w:rsidRPr="003D340D">
        <w:t xml:space="preserve"> analysis. Moreover, the current strategy of reactively replacing larger section of cable either side of faults is significantly improving the cable’s reliability, and any proactive strategy would need to provide commensurate benefits over the brought forward costs of practice replacement. </w:t>
      </w:r>
      <w:r w:rsidR="00343399">
        <w:t>Such an approach is not evident in t</w:t>
      </w:r>
      <w:r w:rsidRPr="003D340D">
        <w:t>he PSC report.</w:t>
      </w:r>
    </w:p>
    <w:p w:rsidR="003D340D" w:rsidRPr="003D340D" w:rsidRDefault="00240337" w:rsidP="00240337">
      <w:r>
        <w:t>The</w:t>
      </w:r>
      <w:r w:rsidR="003D340D" w:rsidRPr="003D340D">
        <w:t xml:space="preserve"> report from Orton </w:t>
      </w:r>
      <w:r w:rsidRPr="003D340D">
        <w:t>make</w:t>
      </w:r>
      <w:r>
        <w:t>s</w:t>
      </w:r>
      <w:r w:rsidRPr="003D340D">
        <w:t xml:space="preserve"> observations regarding the cable’s condition</w:t>
      </w:r>
      <w:r>
        <w:t xml:space="preserve"> and the ABB's advice makes recommendations about repairing longer sections of cable</w:t>
      </w:r>
      <w:r w:rsidR="003D340D" w:rsidRPr="003D340D">
        <w:t>.</w:t>
      </w:r>
      <w:r w:rsidR="003D340D">
        <w:rPr>
          <w:rStyle w:val="FootnoteReference"/>
        </w:rPr>
        <w:footnoteReference w:id="48"/>
      </w:r>
      <w:r w:rsidR="003D340D" w:rsidRPr="003D340D">
        <w:t xml:space="preserve"> </w:t>
      </w:r>
    </w:p>
    <w:p w:rsidR="00240337" w:rsidRDefault="00550613" w:rsidP="00550613">
      <w:r>
        <w:t>We</w:t>
      </w:r>
      <w:r w:rsidRPr="00550613">
        <w:t xml:space="preserve"> generally concur with the ABB considerations regarding the replacement of failed cable with longer sections. As PSC points out</w:t>
      </w:r>
      <w:r>
        <w:t>,</w:t>
      </w:r>
      <w:r w:rsidRPr="00550613">
        <w:t xml:space="preserve"> this is essentially the strategy that Directlink has successfully applied. </w:t>
      </w:r>
      <w:r>
        <w:t>We</w:t>
      </w:r>
      <w:r w:rsidRPr="00550613">
        <w:t xml:space="preserve"> do not question the cable condition or the potential reliability concerns it raises. </w:t>
      </w:r>
    </w:p>
    <w:p w:rsidR="00550613" w:rsidRDefault="00550613" w:rsidP="00550613">
      <w:r w:rsidRPr="00550613">
        <w:t>However</w:t>
      </w:r>
      <w:r w:rsidR="00FC31C5">
        <w:t>,</w:t>
      </w:r>
      <w:r w:rsidRPr="00550613">
        <w:t xml:space="preserve"> while it may be prudent to proactively replace cable</w:t>
      </w:r>
      <w:r>
        <w:t>,</w:t>
      </w:r>
      <w:r w:rsidRPr="00550613">
        <w:t xml:space="preserve"> there is no information to show that proactive replacement is more efficient </w:t>
      </w:r>
      <w:r w:rsidR="00FC31C5" w:rsidRPr="00550613">
        <w:t>tha</w:t>
      </w:r>
      <w:r w:rsidR="00FC31C5">
        <w:t>n</w:t>
      </w:r>
      <w:r w:rsidR="00FC31C5" w:rsidRPr="00550613">
        <w:t xml:space="preserve"> </w:t>
      </w:r>
      <w:r w:rsidRPr="00550613">
        <w:t>the current strategy of replacing long sections on failure. Hence</w:t>
      </w:r>
      <w:r w:rsidR="00240337">
        <w:t>, on the information available to us,</w:t>
      </w:r>
      <w:r w:rsidRPr="00550613">
        <w:t xml:space="preserve"> </w:t>
      </w:r>
      <w:r>
        <w:t>we</w:t>
      </w:r>
      <w:r w:rsidRPr="00550613">
        <w:t xml:space="preserve"> cannot conclude that the additional cable replacement volume (</w:t>
      </w:r>
      <w:r w:rsidR="00B849B0">
        <w:t>that is,</w:t>
      </w:r>
      <w:r w:rsidRPr="00550613">
        <w:t xml:space="preserve"> over the failure estimate volume) is efficient. Consequently</w:t>
      </w:r>
      <w:r w:rsidR="00FC31C5">
        <w:t>,</w:t>
      </w:r>
      <w:r w:rsidRPr="00550613">
        <w:t xml:space="preserve"> </w:t>
      </w:r>
      <w:r w:rsidR="00B849B0">
        <w:t>we assess</w:t>
      </w:r>
      <w:r w:rsidRPr="00550613">
        <w:t xml:space="preserve"> that the efficient estimate is for the reactive replacement of failed cable</w:t>
      </w:r>
      <w:r w:rsidR="00B849B0">
        <w:t>. A</w:t>
      </w:r>
      <w:r w:rsidRPr="00550613">
        <w:t>s noted above</w:t>
      </w:r>
      <w:r w:rsidR="00FC31C5">
        <w:t>,</w:t>
      </w:r>
      <w:r w:rsidRPr="00550613">
        <w:t xml:space="preserve"> </w:t>
      </w:r>
      <w:r w:rsidR="00B849B0">
        <w:t>we</w:t>
      </w:r>
      <w:r w:rsidRPr="00550613">
        <w:t xml:space="preserve"> remain of the view that an average cable failure rate of </w:t>
      </w:r>
      <w:r w:rsidR="00A10422">
        <w:t>three</w:t>
      </w:r>
      <w:r w:rsidRPr="00550613">
        <w:t xml:space="preserve"> per annum is a reasonable estimate of the expected cable faults as the full impact of Directlink’s new cable repair strategy is realised.</w:t>
      </w:r>
    </w:p>
    <w:p w:rsidR="00383D7B" w:rsidRDefault="00383D7B" w:rsidP="00550613">
      <w:r>
        <w:t xml:space="preserve">Consistent with our assessment that </w:t>
      </w:r>
      <w:r w:rsidR="00A10422">
        <w:t>three</w:t>
      </w:r>
      <w:r>
        <w:t xml:space="preserve"> cable repairs per annum is a reasonable estimate, we have included the pro-rated amounts, as per our draft decision for cable sourcing and cable joint sourcing in our </w:t>
      </w:r>
      <w:r w:rsidR="00A56782">
        <w:t xml:space="preserve">alternative </w:t>
      </w:r>
      <w:proofErr w:type="spellStart"/>
      <w:r>
        <w:t>opex</w:t>
      </w:r>
      <w:proofErr w:type="spellEnd"/>
      <w:r w:rsidR="00FC31C5">
        <w:t xml:space="preserve"> estimate</w:t>
      </w:r>
      <w:r>
        <w:t xml:space="preserve"> (see </w:t>
      </w:r>
      <w:r>
        <w:fldChar w:fldCharType="begin"/>
      </w:r>
      <w:r>
        <w:instrText xml:space="preserve"> REF  _Ref415325628 \* Lower \h  \* MERGEFORMAT </w:instrText>
      </w:r>
      <w:r>
        <w:fldChar w:fldCharType="separate"/>
      </w:r>
      <w:r w:rsidR="00020BF5">
        <w:t>table 7</w:t>
      </w:r>
      <w:r w:rsidR="00020BF5">
        <w:noBreakHyphen/>
        <w:t>7</w:t>
      </w:r>
      <w:r>
        <w:fldChar w:fldCharType="end"/>
      </w:r>
      <w:r>
        <w:t xml:space="preserve">). </w:t>
      </w:r>
    </w:p>
    <w:p w:rsidR="0021180D" w:rsidRDefault="00B92374" w:rsidP="000C026C">
      <w:r>
        <w:lastRenderedPageBreak/>
        <w:t>In its initial proposal Directlink proposed three new staff positions - a s</w:t>
      </w:r>
      <w:r w:rsidRPr="00B92374">
        <w:t>enior reliability engineer</w:t>
      </w:r>
      <w:r>
        <w:t>, w</w:t>
      </w:r>
      <w:r w:rsidRPr="00B92374">
        <w:t>orks practices specialist</w:t>
      </w:r>
      <w:r>
        <w:t xml:space="preserve"> and a w</w:t>
      </w:r>
      <w:r w:rsidRPr="00B92374">
        <w:t>orks planner</w:t>
      </w:r>
      <w:r>
        <w:t>.</w:t>
      </w:r>
      <w:r>
        <w:rPr>
          <w:rStyle w:val="FootnoteReference"/>
        </w:rPr>
        <w:footnoteReference w:id="49"/>
      </w:r>
      <w:r>
        <w:t xml:space="preserve"> We </w:t>
      </w:r>
      <w:r w:rsidR="00A56782">
        <w:t>di</w:t>
      </w:r>
      <w:r>
        <w:t>d</w:t>
      </w:r>
      <w:r w:rsidR="00A56782">
        <w:t xml:space="preserve"> not include</w:t>
      </w:r>
      <w:r>
        <w:t xml:space="preserve"> the expenditure for these positions in our draft decision. This was on the basis that the existing engineering position was sufficient when considered together with the expenditure included for various supporting consultancies</w:t>
      </w:r>
      <w:r w:rsidR="000C026C" w:rsidRPr="000C026C">
        <w:t xml:space="preserve"> to meet the condition monitoring, provision of asset reliability advice and asset failure investigation requirements for the Directlink asset</w:t>
      </w:r>
      <w:r>
        <w:t>.</w:t>
      </w:r>
      <w:r>
        <w:rPr>
          <w:rStyle w:val="FootnoteReference"/>
        </w:rPr>
        <w:footnoteReference w:id="50"/>
      </w:r>
      <w:r>
        <w:t xml:space="preserve"> </w:t>
      </w:r>
      <w:r w:rsidR="000C026C">
        <w:t xml:space="preserve">We also stated that the work proposed for the </w:t>
      </w:r>
      <w:r w:rsidR="000C026C" w:rsidRPr="000C026C">
        <w:t>Works Practices Specialist</w:t>
      </w:r>
      <w:r w:rsidR="000C026C">
        <w:t xml:space="preserve"> was mostly one-off work, a significant amount of which had already been outsourced to PSC. We also stated that </w:t>
      </w:r>
      <w:r w:rsidR="000C026C" w:rsidRPr="000C026C">
        <w:t>we consider</w:t>
      </w:r>
      <w:r w:rsidR="000C026C">
        <w:t>ed</w:t>
      </w:r>
      <w:r w:rsidR="000C026C" w:rsidRPr="000C026C">
        <w:t xml:space="preserve"> that the current O&amp;M Supervisor position is sufficient to undertake the</w:t>
      </w:r>
      <w:r w:rsidR="000C026C">
        <w:t xml:space="preserve"> </w:t>
      </w:r>
      <w:r w:rsidR="000C026C" w:rsidRPr="000C026C">
        <w:t>planning, scheduling and supervision of completion of maintenance work that is</w:t>
      </w:r>
      <w:r w:rsidR="000C026C">
        <w:t xml:space="preserve"> </w:t>
      </w:r>
      <w:r w:rsidR="000C026C" w:rsidRPr="000C026C">
        <w:t>attributed to the Works Planner.</w:t>
      </w:r>
      <w:r w:rsidR="000C026C">
        <w:rPr>
          <w:rStyle w:val="FootnoteReference"/>
        </w:rPr>
        <w:footnoteReference w:id="51"/>
      </w:r>
      <w:r w:rsidR="000C026C">
        <w:t xml:space="preserve"> </w:t>
      </w:r>
    </w:p>
    <w:p w:rsidR="0021180D" w:rsidRDefault="00B92374" w:rsidP="000C026C">
      <w:r>
        <w:t xml:space="preserve">In its revised proposal </w:t>
      </w:r>
      <w:r w:rsidR="000C026C">
        <w:t>Directlink submitted that the AER's rejection of the expenditure for the three positions '</w:t>
      </w:r>
      <w:r w:rsidR="000C026C" w:rsidRPr="000C026C">
        <w:t>hinged on the draft decision’s assessment that Directlink would only undertake three cable replacements per year going forward</w:t>
      </w:r>
      <w:r w:rsidR="000C026C">
        <w:t>'</w:t>
      </w:r>
      <w:r w:rsidR="000C026C" w:rsidRPr="000C026C">
        <w:t>.</w:t>
      </w:r>
      <w:r>
        <w:t xml:space="preserve"> </w:t>
      </w:r>
      <w:r w:rsidR="0021180D">
        <w:t>As explained above, t</w:t>
      </w:r>
      <w:r w:rsidR="000C026C">
        <w:t xml:space="preserve">his was not the basis of </w:t>
      </w:r>
      <w:r w:rsidR="0021180D">
        <w:t>our posi</w:t>
      </w:r>
      <w:r w:rsidR="000C026C">
        <w:t xml:space="preserve">tion. </w:t>
      </w:r>
      <w:r w:rsidR="00A4708C">
        <w:t xml:space="preserve">In its revised proposal Directlink </w:t>
      </w:r>
      <w:r>
        <w:t>linked the proposed t</w:t>
      </w:r>
      <w:r w:rsidR="00CE7914">
        <w:t xml:space="preserve">hree </w:t>
      </w:r>
      <w:r>
        <w:t xml:space="preserve">new </w:t>
      </w:r>
      <w:r w:rsidR="00CE7914">
        <w:t>staff positions to the cable rep</w:t>
      </w:r>
      <w:r w:rsidR="00977E79">
        <w:t>lacement</w:t>
      </w:r>
      <w:r w:rsidR="00CE7914">
        <w:t xml:space="preserve"> program</w:t>
      </w:r>
      <w:r w:rsidR="00977E79">
        <w:t>.</w:t>
      </w:r>
      <w:r w:rsidR="002F23DF">
        <w:rPr>
          <w:rStyle w:val="FootnoteReference"/>
        </w:rPr>
        <w:footnoteReference w:id="52"/>
      </w:r>
      <w:r w:rsidR="00A4708C">
        <w:t xml:space="preserve"> </w:t>
      </w:r>
    </w:p>
    <w:p w:rsidR="00CE7914" w:rsidRDefault="00A4708C" w:rsidP="000C026C">
      <w:r>
        <w:t xml:space="preserve">We continue to hold </w:t>
      </w:r>
      <w:r w:rsidR="00FC31C5">
        <w:t>our view as set out in our draft decision</w:t>
      </w:r>
      <w:r>
        <w:t xml:space="preserve"> that </w:t>
      </w:r>
      <w:r w:rsidR="00FC31C5">
        <w:t>the capex for these three positions for work across the Directlink asset does not reasonably reflect the efficient costs that prudent service provider would require</w:t>
      </w:r>
      <w:r>
        <w:t xml:space="preserve">. </w:t>
      </w:r>
      <w:r w:rsidR="000A34CA" w:rsidRPr="000A34CA">
        <w:t xml:space="preserve">Directlink ties the </w:t>
      </w:r>
      <w:r w:rsidR="000A34CA">
        <w:t xml:space="preserve">three </w:t>
      </w:r>
      <w:r w:rsidR="000A34CA" w:rsidRPr="000A34CA">
        <w:t>positions to the cable replacement program</w:t>
      </w:r>
      <w:r w:rsidR="000A34CA">
        <w:t xml:space="preserve">. </w:t>
      </w:r>
      <w:r>
        <w:t xml:space="preserve">Given we have forecast cable repairs to be </w:t>
      </w:r>
      <w:r w:rsidR="00F2457C">
        <w:t>three</w:t>
      </w:r>
      <w:r>
        <w:t xml:space="preserve"> per year</w:t>
      </w:r>
      <w:r w:rsidR="00F2457C">
        <w:t>,</w:t>
      </w:r>
      <w:r w:rsidR="000A34CA">
        <w:t xml:space="preserve"> and</w:t>
      </w:r>
      <w:r>
        <w:t xml:space="preserve"> that we have not included expenditure for proactive cable replacement as there is no evidence to support its efficiency, the lack of need is even more evident.</w:t>
      </w:r>
    </w:p>
    <w:p w:rsidR="00383D7B" w:rsidRDefault="00383D7B" w:rsidP="00383D7B">
      <w:pPr>
        <w:pStyle w:val="Caption"/>
      </w:pPr>
      <w:bookmarkStart w:id="37" w:name="_Ref415325628"/>
      <w:r>
        <w:t xml:space="preserve">Table </w:t>
      </w:r>
      <w:fldSimple w:instr=" STYLEREF 1 \s ">
        <w:r w:rsidR="00020BF5">
          <w:rPr>
            <w:noProof/>
          </w:rPr>
          <w:t>7</w:t>
        </w:r>
      </w:fldSimple>
      <w:r w:rsidR="00337764">
        <w:noBreakHyphen/>
      </w:r>
      <w:fldSimple w:instr=" SEQ Table \* ARABIC \s 1 ">
        <w:r w:rsidR="00020BF5">
          <w:rPr>
            <w:noProof/>
          </w:rPr>
          <w:t>7</w:t>
        </w:r>
      </w:fldSimple>
      <w:bookmarkEnd w:id="37"/>
      <w:r>
        <w:tab/>
      </w:r>
      <w:r w:rsidR="002B6105">
        <w:t xml:space="preserve">AER included expenditure for the </w:t>
      </w:r>
      <w:r>
        <w:t>cable replacement program ($000s, real 2014-15, excluding APA Operations' 10 per cent margin)</w:t>
      </w:r>
    </w:p>
    <w:tbl>
      <w:tblPr>
        <w:tblStyle w:val="AERtable-numbers"/>
        <w:tblW w:w="0" w:type="auto"/>
        <w:tblLook w:val="04A0" w:firstRow="1" w:lastRow="0" w:firstColumn="1" w:lastColumn="0" w:noHBand="0" w:noVBand="1"/>
      </w:tblPr>
      <w:tblGrid>
        <w:gridCol w:w="1710"/>
        <w:gridCol w:w="1163"/>
        <w:gridCol w:w="1165"/>
        <w:gridCol w:w="1165"/>
        <w:gridCol w:w="1165"/>
        <w:gridCol w:w="1165"/>
        <w:gridCol w:w="1160"/>
      </w:tblGrid>
      <w:tr w:rsidR="00383D7B" w:rsidTr="006B4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383D7B" w:rsidRDefault="00383D7B" w:rsidP="00383D7B">
            <w:pPr>
              <w:numPr>
                <w:ilvl w:val="0"/>
                <w:numId w:val="25"/>
              </w:numPr>
            </w:pPr>
          </w:p>
        </w:tc>
        <w:tc>
          <w:tcPr>
            <w:tcW w:w="1163" w:type="dxa"/>
          </w:tcPr>
          <w:p w:rsidR="00383D7B" w:rsidRPr="00383D7B" w:rsidRDefault="00383D7B" w:rsidP="00383D7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65" w:type="dxa"/>
          </w:tcPr>
          <w:p w:rsidR="00383D7B" w:rsidRPr="00383D7B" w:rsidRDefault="00383D7B" w:rsidP="00383D7B">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65" w:type="dxa"/>
          </w:tcPr>
          <w:p w:rsidR="00383D7B" w:rsidRPr="00383D7B" w:rsidRDefault="00383D7B" w:rsidP="00383D7B">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65" w:type="dxa"/>
          </w:tcPr>
          <w:p w:rsidR="00383D7B" w:rsidRPr="00383D7B" w:rsidRDefault="00383D7B" w:rsidP="00383D7B">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65" w:type="dxa"/>
          </w:tcPr>
          <w:p w:rsidR="00383D7B" w:rsidRPr="00383D7B" w:rsidRDefault="00383D7B" w:rsidP="00383D7B">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160" w:type="dxa"/>
          </w:tcPr>
          <w:p w:rsidR="00383D7B" w:rsidRPr="00383D7B" w:rsidRDefault="00383D7B" w:rsidP="00383D7B">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2B389E" w:rsidTr="006B4B07">
        <w:tc>
          <w:tcPr>
            <w:cnfStyle w:val="001000000000" w:firstRow="0" w:lastRow="0" w:firstColumn="1" w:lastColumn="0" w:oddVBand="0" w:evenVBand="0" w:oddHBand="0" w:evenHBand="0" w:firstRowFirstColumn="0" w:firstRowLastColumn="0" w:lastRowFirstColumn="0" w:lastRowLastColumn="0"/>
            <w:tcW w:w="1710" w:type="dxa"/>
          </w:tcPr>
          <w:p w:rsidR="002B389E" w:rsidRPr="002B389E" w:rsidRDefault="002B389E" w:rsidP="002B389E">
            <w:pPr>
              <w:numPr>
                <w:ilvl w:val="0"/>
                <w:numId w:val="25"/>
              </w:numPr>
            </w:pPr>
            <w:r w:rsidRPr="002B389E">
              <w:t>Cable sourcing program</w:t>
            </w:r>
          </w:p>
        </w:tc>
        <w:tc>
          <w:tcPr>
            <w:tcW w:w="116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127.7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127.7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127.7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127.7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127.7 </w:t>
            </w:r>
          </w:p>
        </w:tc>
        <w:tc>
          <w:tcPr>
            <w:tcW w:w="1160"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638.4 </w:t>
            </w:r>
          </w:p>
        </w:tc>
      </w:tr>
      <w:tr w:rsidR="002B389E" w:rsidTr="006B4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2B389E" w:rsidRPr="002B389E" w:rsidRDefault="002B389E" w:rsidP="002B389E">
            <w:pPr>
              <w:numPr>
                <w:ilvl w:val="0"/>
                <w:numId w:val="25"/>
              </w:numPr>
            </w:pPr>
            <w:r w:rsidRPr="002B389E">
              <w:t>Cable joint sourcing</w:t>
            </w:r>
          </w:p>
        </w:tc>
        <w:tc>
          <w:tcPr>
            <w:tcW w:w="116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87.2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87.2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87.2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87.2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87.2 </w:t>
            </w:r>
          </w:p>
        </w:tc>
        <w:tc>
          <w:tcPr>
            <w:tcW w:w="1160"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436.2 </w:t>
            </w:r>
          </w:p>
        </w:tc>
      </w:tr>
      <w:tr w:rsidR="002B389E" w:rsidTr="006B4B07">
        <w:tc>
          <w:tcPr>
            <w:cnfStyle w:val="001000000000" w:firstRow="0" w:lastRow="0" w:firstColumn="1" w:lastColumn="0" w:oddVBand="0" w:evenVBand="0" w:oddHBand="0" w:evenHBand="0" w:firstRowFirstColumn="0" w:firstRowLastColumn="0" w:lastRowFirstColumn="0" w:lastRowLastColumn="0"/>
            <w:tcW w:w="1710" w:type="dxa"/>
          </w:tcPr>
          <w:p w:rsidR="002B389E" w:rsidRPr="002B389E" w:rsidRDefault="002B389E" w:rsidP="002B389E">
            <w:pPr>
              <w:numPr>
                <w:ilvl w:val="0"/>
                <w:numId w:val="25"/>
              </w:numPr>
            </w:pPr>
            <w:r w:rsidRPr="002B389E">
              <w:t>Reliability planning and coordination</w:t>
            </w:r>
          </w:p>
        </w:tc>
        <w:tc>
          <w:tcPr>
            <w:tcW w:w="116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0</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0</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0</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0</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0</w:t>
            </w:r>
          </w:p>
        </w:tc>
        <w:tc>
          <w:tcPr>
            <w:tcW w:w="1160"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0</w:t>
            </w:r>
          </w:p>
        </w:tc>
      </w:tr>
      <w:tr w:rsidR="002B389E" w:rsidTr="006B4B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2B389E" w:rsidRPr="002B389E" w:rsidRDefault="002B389E" w:rsidP="002B389E">
            <w:pPr>
              <w:numPr>
                <w:ilvl w:val="0"/>
                <w:numId w:val="25"/>
              </w:numPr>
            </w:pPr>
            <w:r w:rsidRPr="002B389E">
              <w:t>Cable replacement execution costs</w:t>
            </w:r>
          </w:p>
        </w:tc>
        <w:tc>
          <w:tcPr>
            <w:tcW w:w="116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81.0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81.0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81.0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81.0 </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81.0 </w:t>
            </w:r>
          </w:p>
        </w:tc>
        <w:tc>
          <w:tcPr>
            <w:tcW w:w="1160"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405.0 </w:t>
            </w:r>
          </w:p>
        </w:tc>
      </w:tr>
      <w:tr w:rsidR="002B389E" w:rsidTr="006B4B07">
        <w:tc>
          <w:tcPr>
            <w:cnfStyle w:val="001000000000" w:firstRow="0" w:lastRow="0" w:firstColumn="1" w:lastColumn="0" w:oddVBand="0" w:evenVBand="0" w:oddHBand="0" w:evenHBand="0" w:firstRowFirstColumn="0" w:firstRowLastColumn="0" w:lastRowFirstColumn="0" w:lastRowLastColumn="0"/>
            <w:tcW w:w="1710" w:type="dxa"/>
          </w:tcPr>
          <w:p w:rsidR="002B389E" w:rsidRPr="002B389E" w:rsidRDefault="002B389E" w:rsidP="002B389E">
            <w:pPr>
              <w:numPr>
                <w:ilvl w:val="0"/>
                <w:numId w:val="25"/>
              </w:numPr>
            </w:pPr>
            <w:r w:rsidRPr="002B389E">
              <w:t>Total</w:t>
            </w:r>
          </w:p>
        </w:tc>
        <w:tc>
          <w:tcPr>
            <w:tcW w:w="116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295.9 </w:t>
            </w:r>
          </w:p>
        </w:tc>
        <w:tc>
          <w:tcPr>
            <w:tcW w:w="1160"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1,479.5 </w:t>
            </w:r>
          </w:p>
        </w:tc>
      </w:tr>
    </w:tbl>
    <w:p w:rsidR="00383D7B" w:rsidRDefault="00383D7B" w:rsidP="00AF670A">
      <w:pPr>
        <w:pStyle w:val="AERtablesource"/>
      </w:pPr>
      <w:r>
        <w:lastRenderedPageBreak/>
        <w:t xml:space="preserve">Source: </w:t>
      </w:r>
      <w:r>
        <w:tab/>
        <w:t>AER analysis.</w:t>
      </w:r>
    </w:p>
    <w:p w:rsidR="0098799B" w:rsidRPr="00F2457C" w:rsidRDefault="0098799B" w:rsidP="006C6574">
      <w:pPr>
        <w:pStyle w:val="HeadingBoldBlue"/>
        <w:rPr>
          <w:rStyle w:val="AERtextitalic"/>
          <w:rFonts w:eastAsia="Calibri" w:cs="Times New Roman"/>
          <w:i w:val="0"/>
          <w:sz w:val="16"/>
          <w:szCs w:val="20"/>
          <w:lang w:eastAsia="en-AU"/>
        </w:rPr>
      </w:pPr>
      <w:r w:rsidRPr="00F2457C">
        <w:rPr>
          <w:rStyle w:val="AERtextitalic"/>
          <w:i w:val="0"/>
        </w:rPr>
        <w:t>Phase reactor maintenance</w:t>
      </w:r>
    </w:p>
    <w:p w:rsidR="0098799B" w:rsidRDefault="0098799B" w:rsidP="0098799B">
      <w:r w:rsidRPr="00C221EA">
        <w:t>D</w:t>
      </w:r>
      <w:r>
        <w:t>irectlink did</w:t>
      </w:r>
      <w:r w:rsidRPr="00C221EA">
        <w:t xml:space="preserve"> not accept</w:t>
      </w:r>
      <w:r>
        <w:t xml:space="preserve"> the </w:t>
      </w:r>
      <w:r w:rsidRPr="00C221EA">
        <w:t>AER</w:t>
      </w:r>
      <w:r>
        <w:t xml:space="preserve">'s draft decision to not </w:t>
      </w:r>
      <w:r w:rsidR="005173CB">
        <w:t>include</w:t>
      </w:r>
      <w:r w:rsidR="0045479C">
        <w:t xml:space="preserve"> forecast expenditure for</w:t>
      </w:r>
      <w:r>
        <w:t xml:space="preserve"> phase reactor maintenance</w:t>
      </w:r>
      <w:r w:rsidRPr="00C221EA">
        <w:t xml:space="preserve">. </w:t>
      </w:r>
      <w:r w:rsidR="00D04C21">
        <w:t xml:space="preserve">In its revised proposal, </w:t>
      </w:r>
      <w:r>
        <w:t>Directlink submits that the phase reactor will r</w:t>
      </w:r>
      <w:r w:rsidRPr="00C221EA">
        <w:t xml:space="preserve">equire maintenance </w:t>
      </w:r>
      <w:r>
        <w:t>'which had not been specified at the time of the bottom-up cost study'.</w:t>
      </w:r>
      <w:r>
        <w:rPr>
          <w:rStyle w:val="FootnoteReference"/>
        </w:rPr>
        <w:footnoteReference w:id="53"/>
      </w:r>
      <w:r>
        <w:t xml:space="preserve"> It submits that this includes management of air filtration systems, thermostatic controls, cleaning and replacement of sail cloth.</w:t>
      </w:r>
      <w:r>
        <w:rPr>
          <w:rStyle w:val="FootnoteReference"/>
        </w:rPr>
        <w:footnoteReference w:id="54"/>
      </w:r>
      <w:r>
        <w:t xml:space="preserve"> It proposed </w:t>
      </w:r>
      <w:r w:rsidR="00D04C21">
        <w:t xml:space="preserve">forecast </w:t>
      </w:r>
      <w:r>
        <w:t>costs of $553 per year for 2016-17 to 2019-20.</w:t>
      </w:r>
      <w:r>
        <w:rPr>
          <w:rStyle w:val="FootnoteReference"/>
        </w:rPr>
        <w:footnoteReference w:id="55"/>
      </w:r>
    </w:p>
    <w:p w:rsidR="0098799B" w:rsidRDefault="000A34CA" w:rsidP="007D2D2D">
      <w:pPr>
        <w:rPr>
          <w:rStyle w:val="AERtextitalic"/>
        </w:rPr>
      </w:pPr>
      <w:r w:rsidRPr="000A34CA">
        <w:t xml:space="preserve">We reviewed Directlink's reasons for inclusion of this forecast </w:t>
      </w:r>
      <w:r>
        <w:t>o</w:t>
      </w:r>
      <w:r w:rsidRPr="000A34CA">
        <w:t xml:space="preserve">pex and accept </w:t>
      </w:r>
      <w:r>
        <w:t xml:space="preserve">this expenditure </w:t>
      </w:r>
      <w:r w:rsidRPr="000A34CA">
        <w:t>on the basis of the further information provided by Directlink in its revised proposal</w:t>
      </w:r>
      <w:r>
        <w:t>.</w:t>
      </w:r>
      <w:r w:rsidRPr="000A34CA">
        <w:t xml:space="preserve"> </w:t>
      </w:r>
      <w:r w:rsidR="0098799B">
        <w:t>We have included this amount in our alternative opex forecast.</w:t>
      </w:r>
    </w:p>
    <w:p w:rsidR="007D2D2D" w:rsidRPr="00F2457C" w:rsidRDefault="007D2D2D" w:rsidP="006C6574">
      <w:pPr>
        <w:pStyle w:val="HeadingBoldBlue"/>
        <w:rPr>
          <w:rStyle w:val="AERtextitalic"/>
          <w:i w:val="0"/>
        </w:rPr>
      </w:pPr>
      <w:r w:rsidRPr="00F2457C">
        <w:rPr>
          <w:rStyle w:val="AERtextitalic"/>
          <w:i w:val="0"/>
        </w:rPr>
        <w:t>Pre-start inspection costs</w:t>
      </w:r>
    </w:p>
    <w:p w:rsidR="007D2D2D" w:rsidRDefault="007D2D2D" w:rsidP="007D2D2D">
      <w:r>
        <w:t>As discussed above, Directlink did not accept the AER's draft decision regarding the annual number of cable repairs. In its revised proposal Directlink hard coded in 12 cable repairs per year.</w:t>
      </w:r>
      <w:r>
        <w:rPr>
          <w:rStyle w:val="FootnoteReference"/>
        </w:rPr>
        <w:footnoteReference w:id="56"/>
      </w:r>
      <w:r>
        <w:t xml:space="preserve"> It did not justify the increase from its initial proposal of 11.5 cable repairs per year. This had the effect of reinstating the pre-start inspection costs per cable repair as per Directlink's initial proposal.</w:t>
      </w:r>
    </w:p>
    <w:p w:rsidR="007D2D2D" w:rsidRPr="004419B2" w:rsidRDefault="007D2D2D" w:rsidP="007D2D2D">
      <w:r>
        <w:t xml:space="preserve">As indicated above, </w:t>
      </w:r>
      <w:r w:rsidR="00916D1F">
        <w:t>we have</w:t>
      </w:r>
      <w:r>
        <w:t xml:space="preserve"> appli</w:t>
      </w:r>
      <w:r w:rsidR="00916D1F">
        <w:t>ed</w:t>
      </w:r>
      <w:r>
        <w:t xml:space="preserve"> our draft decision numb</w:t>
      </w:r>
      <w:r w:rsidR="00916D1F">
        <w:t xml:space="preserve">er of cable repairs, that is, </w:t>
      </w:r>
      <w:r w:rsidR="00F2457C">
        <w:t>three</w:t>
      </w:r>
      <w:r w:rsidR="00A4708C">
        <w:t xml:space="preserve"> per year</w:t>
      </w:r>
      <w:r w:rsidR="00916D1F">
        <w:t xml:space="preserve">. Accordingly, the pre-start inspection costs we have included in our opex forecast are </w:t>
      </w:r>
      <w:r w:rsidR="00A4708C">
        <w:t xml:space="preserve">unchanged from our draft position of </w:t>
      </w:r>
      <w:r w:rsidR="00916D1F">
        <w:t>$</w:t>
      </w:r>
      <w:r w:rsidR="00A4708C">
        <w:t>23,667 (real$2014-15)</w:t>
      </w:r>
      <w:r w:rsidR="00916D1F">
        <w:t xml:space="preserve"> over the 201</w:t>
      </w:r>
      <w:r w:rsidR="00F2457C">
        <w:t>5</w:t>
      </w:r>
      <w:r w:rsidR="00916D1F">
        <w:t>-20 regulatory control period.</w:t>
      </w:r>
    </w:p>
    <w:p w:rsidR="004E772D" w:rsidRDefault="00EF042E" w:rsidP="004E772D">
      <w:pPr>
        <w:pStyle w:val="Heading3"/>
      </w:pPr>
      <w:bookmarkStart w:id="38" w:name="_Ref415401247"/>
      <w:bookmarkStart w:id="39" w:name="_Toc417745449"/>
      <w:r>
        <w:t>Insurance costs</w:t>
      </w:r>
      <w:bookmarkEnd w:id="38"/>
      <w:bookmarkEnd w:id="39"/>
    </w:p>
    <w:p w:rsidR="00EF042E" w:rsidRDefault="00EF042E" w:rsidP="00EF042E">
      <w:pPr>
        <w:numPr>
          <w:ilvl w:val="0"/>
          <w:numId w:val="25"/>
        </w:numPr>
      </w:pPr>
      <w:r>
        <w:t xml:space="preserve">We have not included Directlink's proposed insurance expenditure </w:t>
      </w:r>
      <w:r w:rsidR="00D04C21">
        <w:t>of $</w:t>
      </w:r>
      <w:r w:rsidR="00C70ACB">
        <w:t>3.7</w:t>
      </w:r>
      <w:r w:rsidR="00D04C21">
        <w:t xml:space="preserve"> million </w:t>
      </w:r>
      <w:r w:rsidR="00C70ACB">
        <w:t xml:space="preserve">(real $2014-15) </w:t>
      </w:r>
      <w:r>
        <w:t xml:space="preserve">in our alternative estimate of </w:t>
      </w:r>
      <w:r w:rsidR="00D04C21">
        <w:t xml:space="preserve">forecast </w:t>
      </w:r>
      <w:r>
        <w:t>total opex.</w:t>
      </w:r>
      <w:r w:rsidRPr="004D1FD8">
        <w:t xml:space="preserve"> </w:t>
      </w:r>
      <w:r>
        <w:t>We are not satisfied that Directlink's proposed insurance expenditure reflects</w:t>
      </w:r>
      <w:r w:rsidRPr="00DA7335">
        <w:t xml:space="preserve"> the </w:t>
      </w:r>
      <w:r>
        <w:t xml:space="preserve">efficient </w:t>
      </w:r>
      <w:r w:rsidRPr="00DA7335">
        <w:t>cost that a prudent operator would require to achieve the operating expenditure objectives</w:t>
      </w:r>
      <w:r>
        <w:t>. This is because we do not agree with some of the assumptions</w:t>
      </w:r>
      <w:r w:rsidRPr="00CC6301">
        <w:t xml:space="preserve"> </w:t>
      </w:r>
      <w:r>
        <w:t>Directlink applied in estimating its proposed insurance costs. We consider that these assumptions result in a forecast that is above an efficient and prudent level.</w:t>
      </w:r>
    </w:p>
    <w:p w:rsidR="00EF042E" w:rsidRDefault="00EF042E" w:rsidP="00EF042E">
      <w:pPr>
        <w:numPr>
          <w:ilvl w:val="0"/>
          <w:numId w:val="25"/>
        </w:numPr>
      </w:pPr>
      <w:r>
        <w:t>We have included in our alternative opex estimate insurance expenditure of $</w:t>
      </w:r>
      <w:r w:rsidR="00C70ACB">
        <w:t>2.0</w:t>
      </w:r>
      <w:r w:rsidR="00EC319B">
        <w:t xml:space="preserve"> million (real</w:t>
      </w:r>
      <w:r w:rsidR="00C70ACB">
        <w:t xml:space="preserve"> </w:t>
      </w:r>
      <w:r w:rsidR="00EC319B">
        <w:t>$</w:t>
      </w:r>
      <w:r>
        <w:t>2014-15) over the 201</w:t>
      </w:r>
      <w:r w:rsidR="00F2457C">
        <w:t>5</w:t>
      </w:r>
      <w:r>
        <w:t xml:space="preserve">-20 regulatory </w:t>
      </w:r>
      <w:r w:rsidR="00F2457C">
        <w:t xml:space="preserve">control </w:t>
      </w:r>
      <w:r>
        <w:t>period (see</w:t>
      </w:r>
      <w:r w:rsidR="00337764">
        <w:t xml:space="preserve"> </w:t>
      </w:r>
      <w:r w:rsidR="00337764">
        <w:fldChar w:fldCharType="begin"/>
      </w:r>
      <w:r w:rsidR="00337764">
        <w:instrText xml:space="preserve"> REF _Ref417745630 \h </w:instrText>
      </w:r>
      <w:r w:rsidR="00337764">
        <w:fldChar w:fldCharType="separate"/>
      </w:r>
      <w:r w:rsidR="00020BF5">
        <w:t xml:space="preserve">Table </w:t>
      </w:r>
      <w:r w:rsidR="00020BF5">
        <w:rPr>
          <w:noProof/>
        </w:rPr>
        <w:t>7</w:t>
      </w:r>
      <w:r w:rsidR="00020BF5">
        <w:noBreakHyphen/>
      </w:r>
      <w:r w:rsidR="00020BF5">
        <w:rPr>
          <w:noProof/>
        </w:rPr>
        <w:t>8</w:t>
      </w:r>
      <w:r w:rsidR="00337764">
        <w:fldChar w:fldCharType="end"/>
      </w:r>
      <w:r>
        <w:t>).</w:t>
      </w:r>
      <w:r w:rsidRPr="00AF51A9">
        <w:t xml:space="preserve"> The elements of </w:t>
      </w:r>
      <w:r>
        <w:t>our</w:t>
      </w:r>
      <w:r w:rsidRPr="00AF51A9">
        <w:t xml:space="preserve"> decision are set out below.</w:t>
      </w:r>
    </w:p>
    <w:p w:rsidR="00EF042E" w:rsidRDefault="00337764" w:rsidP="00337764">
      <w:pPr>
        <w:pStyle w:val="Caption"/>
      </w:pPr>
      <w:bookmarkStart w:id="40" w:name="_Ref417745630"/>
      <w:r>
        <w:lastRenderedPageBreak/>
        <w:t xml:space="preserve">Table </w:t>
      </w:r>
      <w:fldSimple w:instr=" STYLEREF 1 \s ">
        <w:r w:rsidR="00020BF5">
          <w:rPr>
            <w:noProof/>
          </w:rPr>
          <w:t>7</w:t>
        </w:r>
      </w:fldSimple>
      <w:r>
        <w:noBreakHyphen/>
      </w:r>
      <w:fldSimple w:instr=" SEQ Table \* ARABIC \s 1 ">
        <w:r w:rsidR="00020BF5">
          <w:rPr>
            <w:noProof/>
          </w:rPr>
          <w:t>8</w:t>
        </w:r>
      </w:fldSimple>
      <w:bookmarkEnd w:id="40"/>
      <w:r w:rsidR="00EF042E">
        <w:tab/>
        <w:t>AER insurance expenditure included in alternative opex estimate (</w:t>
      </w:r>
      <w:r w:rsidR="00EF042E" w:rsidRPr="00724062">
        <w:t>$000s, real 2014-15)</w:t>
      </w:r>
    </w:p>
    <w:tbl>
      <w:tblPr>
        <w:tblStyle w:val="AERtable-numbers"/>
        <w:tblW w:w="0" w:type="auto"/>
        <w:tblLook w:val="04A0" w:firstRow="1" w:lastRow="0" w:firstColumn="1" w:lastColumn="0" w:noHBand="0" w:noVBand="1"/>
      </w:tblPr>
      <w:tblGrid>
        <w:gridCol w:w="1701"/>
        <w:gridCol w:w="1165"/>
        <w:gridCol w:w="1166"/>
        <w:gridCol w:w="1166"/>
        <w:gridCol w:w="1166"/>
        <w:gridCol w:w="1166"/>
        <w:gridCol w:w="1163"/>
      </w:tblGrid>
      <w:tr w:rsidR="00EF042E" w:rsidTr="006C65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EF042E" w:rsidRPr="00724062" w:rsidRDefault="00EF042E" w:rsidP="00EF042E">
            <w:pPr>
              <w:numPr>
                <w:ilvl w:val="0"/>
                <w:numId w:val="25"/>
              </w:numPr>
            </w:pPr>
          </w:p>
        </w:tc>
        <w:tc>
          <w:tcPr>
            <w:tcW w:w="1165" w:type="dxa"/>
          </w:tcPr>
          <w:p w:rsidR="00EF042E" w:rsidRPr="00724062" w:rsidRDefault="00EF042E" w:rsidP="00EF042E">
            <w:pPr>
              <w:numPr>
                <w:ilvl w:val="0"/>
                <w:numId w:val="25"/>
              </w:numPr>
              <w:cnfStyle w:val="100000000000" w:firstRow="1" w:lastRow="0" w:firstColumn="0" w:lastColumn="0" w:oddVBand="0" w:evenVBand="0" w:oddHBand="0" w:evenHBand="0" w:firstRowFirstColumn="0" w:firstRowLastColumn="0" w:lastRowFirstColumn="0" w:lastRowLastColumn="0"/>
            </w:pPr>
            <w:r w:rsidRPr="00724062">
              <w:t>2015-16</w:t>
            </w:r>
          </w:p>
        </w:tc>
        <w:tc>
          <w:tcPr>
            <w:tcW w:w="1166" w:type="dxa"/>
          </w:tcPr>
          <w:p w:rsidR="00EF042E" w:rsidRPr="00724062" w:rsidRDefault="00EF042E" w:rsidP="00EF042E">
            <w:pPr>
              <w:numPr>
                <w:ilvl w:val="0"/>
                <w:numId w:val="25"/>
              </w:numPr>
              <w:cnfStyle w:val="100000000000" w:firstRow="1" w:lastRow="0" w:firstColumn="0" w:lastColumn="0" w:oddVBand="0" w:evenVBand="0" w:oddHBand="0" w:evenHBand="0" w:firstRowFirstColumn="0" w:firstRowLastColumn="0" w:lastRowFirstColumn="0" w:lastRowLastColumn="0"/>
            </w:pPr>
            <w:r w:rsidRPr="00724062">
              <w:t>2016-17</w:t>
            </w:r>
          </w:p>
        </w:tc>
        <w:tc>
          <w:tcPr>
            <w:tcW w:w="1166" w:type="dxa"/>
          </w:tcPr>
          <w:p w:rsidR="00EF042E" w:rsidRPr="00724062" w:rsidRDefault="00EF042E" w:rsidP="00EF042E">
            <w:pPr>
              <w:numPr>
                <w:ilvl w:val="0"/>
                <w:numId w:val="25"/>
              </w:numPr>
              <w:cnfStyle w:val="100000000000" w:firstRow="1" w:lastRow="0" w:firstColumn="0" w:lastColumn="0" w:oddVBand="0" w:evenVBand="0" w:oddHBand="0" w:evenHBand="0" w:firstRowFirstColumn="0" w:firstRowLastColumn="0" w:lastRowFirstColumn="0" w:lastRowLastColumn="0"/>
            </w:pPr>
            <w:r w:rsidRPr="00724062">
              <w:t>2017-18</w:t>
            </w:r>
          </w:p>
        </w:tc>
        <w:tc>
          <w:tcPr>
            <w:tcW w:w="1166" w:type="dxa"/>
          </w:tcPr>
          <w:p w:rsidR="00EF042E" w:rsidRPr="00724062" w:rsidRDefault="00EF042E" w:rsidP="00EF042E">
            <w:pPr>
              <w:numPr>
                <w:ilvl w:val="0"/>
                <w:numId w:val="25"/>
              </w:numPr>
              <w:cnfStyle w:val="100000000000" w:firstRow="1" w:lastRow="0" w:firstColumn="0" w:lastColumn="0" w:oddVBand="0" w:evenVBand="0" w:oddHBand="0" w:evenHBand="0" w:firstRowFirstColumn="0" w:firstRowLastColumn="0" w:lastRowFirstColumn="0" w:lastRowLastColumn="0"/>
            </w:pPr>
            <w:r w:rsidRPr="00724062">
              <w:t>2018-19</w:t>
            </w:r>
          </w:p>
        </w:tc>
        <w:tc>
          <w:tcPr>
            <w:tcW w:w="1166" w:type="dxa"/>
          </w:tcPr>
          <w:p w:rsidR="00EF042E" w:rsidRPr="00724062" w:rsidRDefault="00EF042E" w:rsidP="00EF042E">
            <w:pPr>
              <w:numPr>
                <w:ilvl w:val="0"/>
                <w:numId w:val="25"/>
              </w:numPr>
              <w:cnfStyle w:val="100000000000" w:firstRow="1" w:lastRow="0" w:firstColumn="0" w:lastColumn="0" w:oddVBand="0" w:evenVBand="0" w:oddHBand="0" w:evenHBand="0" w:firstRowFirstColumn="0" w:firstRowLastColumn="0" w:lastRowFirstColumn="0" w:lastRowLastColumn="0"/>
            </w:pPr>
            <w:r w:rsidRPr="00724062">
              <w:t>2019-20</w:t>
            </w:r>
          </w:p>
        </w:tc>
        <w:tc>
          <w:tcPr>
            <w:tcW w:w="1163" w:type="dxa"/>
          </w:tcPr>
          <w:p w:rsidR="00EF042E" w:rsidRPr="00724062" w:rsidRDefault="00EF042E" w:rsidP="00EF042E">
            <w:pPr>
              <w:numPr>
                <w:ilvl w:val="0"/>
                <w:numId w:val="25"/>
              </w:numPr>
              <w:cnfStyle w:val="100000000000" w:firstRow="1" w:lastRow="0" w:firstColumn="0" w:lastColumn="0" w:oddVBand="0" w:evenVBand="0" w:oddHBand="0" w:evenHBand="0" w:firstRowFirstColumn="0" w:firstRowLastColumn="0" w:lastRowFirstColumn="0" w:lastRowLastColumn="0"/>
            </w:pPr>
            <w:r w:rsidRPr="00724062">
              <w:t>Total</w:t>
            </w:r>
          </w:p>
        </w:tc>
      </w:tr>
      <w:tr w:rsidR="002B389E" w:rsidTr="00EC319B">
        <w:tc>
          <w:tcPr>
            <w:cnfStyle w:val="001000000000" w:firstRow="0" w:lastRow="0" w:firstColumn="1" w:lastColumn="0" w:oddVBand="0" w:evenVBand="0" w:oddHBand="0" w:evenHBand="0" w:firstRowFirstColumn="0" w:firstRowLastColumn="0" w:lastRowFirstColumn="0" w:lastRowLastColumn="0"/>
            <w:tcW w:w="1701" w:type="dxa"/>
          </w:tcPr>
          <w:p w:rsidR="002B389E" w:rsidRPr="002B389E" w:rsidRDefault="002B389E" w:rsidP="002B389E">
            <w:pPr>
              <w:numPr>
                <w:ilvl w:val="0"/>
                <w:numId w:val="25"/>
              </w:numPr>
            </w:pPr>
            <w:r w:rsidRPr="002B389E">
              <w:t>Industrial special risks premium</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250.0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243.8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249.9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256.1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243.3 </w:t>
            </w:r>
          </w:p>
        </w:tc>
        <w:tc>
          <w:tcPr>
            <w:tcW w:w="116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1,243.2 </w:t>
            </w:r>
          </w:p>
        </w:tc>
      </w:tr>
      <w:tr w:rsidR="002B389E" w:rsidTr="00EC31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B389E" w:rsidRPr="002B389E" w:rsidRDefault="002B389E" w:rsidP="002B389E">
            <w:pPr>
              <w:numPr>
                <w:ilvl w:val="0"/>
                <w:numId w:val="25"/>
              </w:numPr>
            </w:pPr>
            <w:r w:rsidRPr="002B389E">
              <w:t>Public liability premium</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21.5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20.9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20.4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20.9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21.4 </w:t>
            </w:r>
          </w:p>
        </w:tc>
        <w:tc>
          <w:tcPr>
            <w:tcW w:w="116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105.2 </w:t>
            </w:r>
          </w:p>
        </w:tc>
      </w:tr>
      <w:tr w:rsidR="002B389E" w:rsidTr="00EC319B">
        <w:tc>
          <w:tcPr>
            <w:cnfStyle w:val="001000000000" w:firstRow="0" w:lastRow="0" w:firstColumn="1" w:lastColumn="0" w:oddVBand="0" w:evenVBand="0" w:oddHBand="0" w:evenHBand="0" w:firstRowFirstColumn="0" w:firstRowLastColumn="0" w:lastRowFirstColumn="0" w:lastRowLastColumn="0"/>
            <w:tcW w:w="1701" w:type="dxa"/>
          </w:tcPr>
          <w:p w:rsidR="002B389E" w:rsidRPr="002B389E" w:rsidRDefault="002B389E" w:rsidP="002B389E">
            <w:pPr>
              <w:numPr>
                <w:ilvl w:val="0"/>
                <w:numId w:val="25"/>
              </w:numPr>
            </w:pPr>
            <w:r w:rsidRPr="002B389E">
              <w:t>Self insurance costs</w:t>
            </w:r>
          </w:p>
        </w:tc>
        <w:tc>
          <w:tcPr>
            <w:tcW w:w="1165"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123.3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123.3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123.3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123.3 </w:t>
            </w:r>
          </w:p>
        </w:tc>
        <w:tc>
          <w:tcPr>
            <w:tcW w:w="1166"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123.3 </w:t>
            </w:r>
          </w:p>
        </w:tc>
        <w:tc>
          <w:tcPr>
            <w:tcW w:w="116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616.3 </w:t>
            </w:r>
          </w:p>
        </w:tc>
      </w:tr>
      <w:tr w:rsidR="002B389E" w:rsidTr="00EC31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B389E" w:rsidRPr="002B389E" w:rsidRDefault="002B389E" w:rsidP="002B389E">
            <w:pPr>
              <w:numPr>
                <w:ilvl w:val="0"/>
                <w:numId w:val="25"/>
              </w:numPr>
            </w:pPr>
            <w:r w:rsidRPr="002B389E">
              <w:t>Total insurance costs</w:t>
            </w:r>
          </w:p>
        </w:tc>
        <w:tc>
          <w:tcPr>
            <w:tcW w:w="1165"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394.8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388.0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393.6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400.3 </w:t>
            </w:r>
          </w:p>
        </w:tc>
        <w:tc>
          <w:tcPr>
            <w:tcW w:w="1166"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388.0 </w:t>
            </w:r>
          </w:p>
        </w:tc>
        <w:tc>
          <w:tcPr>
            <w:tcW w:w="1163" w:type="dxa"/>
            <w:vAlign w:val="top"/>
          </w:tcPr>
          <w:p w:rsidR="002B389E" w:rsidRPr="002B389E" w:rsidRDefault="002B389E" w:rsidP="0045479C">
            <w:pPr>
              <w:cnfStyle w:val="000000010000" w:firstRow="0" w:lastRow="0" w:firstColumn="0" w:lastColumn="0" w:oddVBand="0" w:evenVBand="0" w:oddHBand="0" w:evenHBand="1" w:firstRowFirstColumn="0" w:firstRowLastColumn="0" w:lastRowFirstColumn="0" w:lastRowLastColumn="0"/>
            </w:pPr>
            <w:r w:rsidRPr="002B389E">
              <w:t xml:space="preserve"> 1,964.7 </w:t>
            </w:r>
          </w:p>
        </w:tc>
      </w:tr>
    </w:tbl>
    <w:p w:rsidR="00EF042E" w:rsidRDefault="00EF042E" w:rsidP="00EF042E">
      <w:pPr>
        <w:pStyle w:val="AERtablesource"/>
      </w:pPr>
      <w:r>
        <w:t xml:space="preserve">Source: </w:t>
      </w:r>
      <w:r>
        <w:tab/>
        <w:t>AER analysis.</w:t>
      </w:r>
    </w:p>
    <w:p w:rsidR="00EF042E" w:rsidRPr="004F15DD" w:rsidRDefault="00EF042E" w:rsidP="00EF042E">
      <w:pPr>
        <w:pStyle w:val="AERtablesource"/>
      </w:pPr>
      <w:r>
        <w:t>Note:</w:t>
      </w:r>
      <w:r>
        <w:tab/>
        <w:t>This expenditure does not include the 10 per cent APA Operations margin.</w:t>
      </w:r>
    </w:p>
    <w:p w:rsidR="00EC319B" w:rsidRDefault="00EC319B" w:rsidP="00EF042E">
      <w:pPr>
        <w:numPr>
          <w:ilvl w:val="0"/>
          <w:numId w:val="25"/>
        </w:numPr>
      </w:pPr>
      <w:r>
        <w:t>In our draft decision we included in our alternative opex estimate insurance expenditure of $1.8 million (real 2014-15) over the 201</w:t>
      </w:r>
      <w:r w:rsidR="00F2457C">
        <w:t>5</w:t>
      </w:r>
      <w:r>
        <w:t>-20 regulatory period.</w:t>
      </w:r>
      <w:r w:rsidR="0053727E">
        <w:t xml:space="preserve"> This consisted of $1.</w:t>
      </w:r>
      <w:r w:rsidR="008B2AD1">
        <w:t>3</w:t>
      </w:r>
      <w:r w:rsidR="0053727E">
        <w:t xml:space="preserve"> million for property insurance, $0.3 million for public liability and $0.3 million for self-insurance.</w:t>
      </w:r>
    </w:p>
    <w:p w:rsidR="0053727E" w:rsidRDefault="0053727E" w:rsidP="00EF042E">
      <w:pPr>
        <w:numPr>
          <w:ilvl w:val="0"/>
          <w:numId w:val="25"/>
        </w:numPr>
      </w:pPr>
      <w:r>
        <w:t>Our key concerns with Directlink's initial forecast of insurance were:</w:t>
      </w:r>
    </w:p>
    <w:p w:rsidR="00495934" w:rsidRDefault="00AB61A9" w:rsidP="0053727E">
      <w:pPr>
        <w:pStyle w:val="AERbulletlistfirststyle"/>
      </w:pPr>
      <w:r>
        <w:t>While APA Group charged EII an insurance amount for the total EII portfolio of assets, Directlink no</w:t>
      </w:r>
      <w:r w:rsidR="00FD0429">
        <w:t xml:space="preserve"> </w:t>
      </w:r>
      <w:r>
        <w:t>longer allocated this total amount according to its cost allocation methodology. The cost allocation methodology provides for insurance, a shared cost, to be allocated on the basis of each EII asset's contribution to total EII revenue.</w:t>
      </w:r>
      <w:r w:rsidR="00FD0429">
        <w:t xml:space="preserve"> Instead, Directlink obtained a</w:t>
      </w:r>
      <w:r w:rsidR="0021443B">
        <w:t>n estimate</w:t>
      </w:r>
      <w:r w:rsidR="008C0DF0">
        <w:rPr>
          <w:rStyle w:val="FootnoteReference"/>
        </w:rPr>
        <w:footnoteReference w:id="57"/>
      </w:r>
      <w:r w:rsidR="00FD0429">
        <w:t xml:space="preserve"> from Marsh for the cost of insuring Directlink as a separate, stand alone asset. </w:t>
      </w:r>
      <w:r w:rsidR="00DD5A9B">
        <w:t xml:space="preserve">This amount was deducted from the total EII charged amount. We assessed that this resulted in an </w:t>
      </w:r>
      <w:r w:rsidR="00F2457C">
        <w:t>asymmetric</w:t>
      </w:r>
      <w:r w:rsidR="00DD5A9B">
        <w:t xml:space="preserve"> and upwardly biased amount of insurance being attributed to Directlink. </w:t>
      </w:r>
    </w:p>
    <w:p w:rsidR="0053727E" w:rsidRDefault="00FD0429" w:rsidP="0053727E">
      <w:pPr>
        <w:pStyle w:val="AERbulletlistfirststyle"/>
      </w:pPr>
      <w:r>
        <w:t xml:space="preserve">We considered that the Marsh </w:t>
      </w:r>
      <w:r w:rsidR="00BE35C0">
        <w:t>estimate</w:t>
      </w:r>
      <w:r>
        <w:t xml:space="preserve"> did not</w:t>
      </w:r>
      <w:r w:rsidR="0055238A">
        <w:t xml:space="preserve"> adequately</w:t>
      </w:r>
      <w:r>
        <w:t xml:space="preserve"> take into account the capex and opex that Directlink had proposed to improve the design and management of the asset</w:t>
      </w:r>
      <w:r w:rsidR="00D04C21">
        <w:t xml:space="preserve"> and which we accepted in our alternative estimate in our draft decision</w:t>
      </w:r>
      <w:r>
        <w:t xml:space="preserve">. This included addressing </w:t>
      </w:r>
      <w:r w:rsidR="00051BE6">
        <w:t xml:space="preserve">asset design and maintenance </w:t>
      </w:r>
      <w:r>
        <w:t>issues identified as likely cause</w:t>
      </w:r>
      <w:r w:rsidR="0055238A">
        <w:t>s of</w:t>
      </w:r>
      <w:r>
        <w:t xml:space="preserve"> the Mullumbimby converter station fire</w:t>
      </w:r>
      <w:r w:rsidR="0055238A">
        <w:t>,</w:t>
      </w:r>
      <w:r>
        <w:t xml:space="preserve"> plus adding a fire suppression system to </w:t>
      </w:r>
      <w:r w:rsidR="00051BE6">
        <w:t xml:space="preserve">isolate fire from </w:t>
      </w:r>
      <w:r>
        <w:t>spread</w:t>
      </w:r>
      <w:r w:rsidR="00051BE6">
        <w:t>ing throughout the converter station</w:t>
      </w:r>
      <w:r>
        <w:t xml:space="preserve"> </w:t>
      </w:r>
      <w:r w:rsidR="0055238A">
        <w:t>(</w:t>
      </w:r>
      <w:r>
        <w:t>which was not pre</w:t>
      </w:r>
      <w:r w:rsidR="0055238A">
        <w:t>v</w:t>
      </w:r>
      <w:r>
        <w:t xml:space="preserve">iously </w:t>
      </w:r>
      <w:r w:rsidR="0055238A">
        <w:t>installed).</w:t>
      </w:r>
      <w:r w:rsidR="00A10CFD">
        <w:t xml:space="preserve"> </w:t>
      </w:r>
      <w:r w:rsidR="00B96570">
        <w:t>We considered that this was likely to result in property and self-insurance being overstated.</w:t>
      </w:r>
      <w:r w:rsidR="00DD5A9B">
        <w:t xml:space="preserve"> </w:t>
      </w:r>
    </w:p>
    <w:p w:rsidR="005C3042" w:rsidRDefault="008B0BB0" w:rsidP="005C3042">
      <w:pPr>
        <w:pStyle w:val="AERbulletlistfirststyle"/>
      </w:pPr>
      <w:r>
        <w:t xml:space="preserve">We also found that Marsh had applied higher maximum claim amounts for estimating the stand alone insurance </w:t>
      </w:r>
      <w:r w:rsidR="00BE35C0">
        <w:t>estima</w:t>
      </w:r>
      <w:r>
        <w:t xml:space="preserve">te for Directlink than were actually being applied for insuring Directlink under the APA Group policies. We considered </w:t>
      </w:r>
      <w:r>
        <w:lastRenderedPageBreak/>
        <w:t>that the higher maximum claim amounts would lead to higher public liability insurance estimates.</w:t>
      </w:r>
    </w:p>
    <w:p w:rsidR="005C3042" w:rsidRDefault="001F572A" w:rsidP="005C3042">
      <w:r>
        <w:t xml:space="preserve">Our method of forecasting insurance for inclusion in our opex </w:t>
      </w:r>
      <w:r w:rsidR="00930397">
        <w:t xml:space="preserve">forecast </w:t>
      </w:r>
      <w:r>
        <w:t>consisted of:</w:t>
      </w:r>
    </w:p>
    <w:p w:rsidR="001F572A" w:rsidRDefault="001F572A" w:rsidP="00B765C3">
      <w:pPr>
        <w:pStyle w:val="AERbulletlistfirststyle"/>
      </w:pPr>
      <w:r>
        <w:t xml:space="preserve">For property insurance, we used the 2011-12 EII insurance </w:t>
      </w:r>
      <w:r w:rsidR="00B765C3">
        <w:t xml:space="preserve">amount </w:t>
      </w:r>
      <w:r>
        <w:t xml:space="preserve">charged by APA Group. </w:t>
      </w:r>
      <w:r w:rsidR="00B765C3">
        <w:t xml:space="preserve">We chose 2011-12 </w:t>
      </w:r>
      <w:r>
        <w:t xml:space="preserve">to reflect pre-fire insurance levels. We indexed the 2011-12 EII </w:t>
      </w:r>
      <w:r w:rsidR="00B765C3" w:rsidRPr="00B765C3">
        <w:t>to real 2014-15. We then</w:t>
      </w:r>
      <w:r w:rsidR="00B765C3">
        <w:t xml:space="preserve"> </w:t>
      </w:r>
      <w:r w:rsidR="00B765C3" w:rsidRPr="00B765C3">
        <w:t>applied the adjustments which Marsh recommended for the softening insurance market over the</w:t>
      </w:r>
      <w:r w:rsidR="00B765C3">
        <w:t xml:space="preserve"> </w:t>
      </w:r>
      <w:r w:rsidR="00B765C3" w:rsidRPr="00B765C3">
        <w:t>201</w:t>
      </w:r>
      <w:r w:rsidR="00F2457C">
        <w:t>5</w:t>
      </w:r>
      <w:r w:rsidR="00B765C3" w:rsidRPr="00B765C3">
        <w:t xml:space="preserve">-20 regulatory </w:t>
      </w:r>
      <w:r w:rsidR="00337764">
        <w:t xml:space="preserve">control </w:t>
      </w:r>
      <w:r w:rsidR="00B765C3" w:rsidRPr="00B765C3">
        <w:t>period.</w:t>
      </w:r>
    </w:p>
    <w:p w:rsidR="00B765C3" w:rsidRDefault="00B765C3" w:rsidP="008F115B">
      <w:pPr>
        <w:pStyle w:val="AERbulletlistfirststyle"/>
      </w:pPr>
      <w:r>
        <w:t xml:space="preserve">For public liability insurance, </w:t>
      </w:r>
      <w:r w:rsidR="008F115B">
        <w:t xml:space="preserve">we </w:t>
      </w:r>
      <w:r w:rsidR="008F115B" w:rsidRPr="008F115B">
        <w:t>appli</w:t>
      </w:r>
      <w:r w:rsidR="008F115B">
        <w:t>ed</w:t>
      </w:r>
      <w:r w:rsidR="008F115B" w:rsidRPr="008F115B">
        <w:t xml:space="preserve"> the 2013-14 public liability insurance amount charged by APA</w:t>
      </w:r>
      <w:r w:rsidR="008F115B">
        <w:t xml:space="preserve"> Group</w:t>
      </w:r>
      <w:r w:rsidR="008F115B" w:rsidRPr="008F115B">
        <w:t xml:space="preserve"> to EII</w:t>
      </w:r>
      <w:r w:rsidR="008F115B">
        <w:t>,</w:t>
      </w:r>
      <w:r w:rsidR="008F115B" w:rsidRPr="008F115B">
        <w:t xml:space="preserve"> indexed to real 2014-15. We then applied the adjustments which Marsh</w:t>
      </w:r>
      <w:r w:rsidR="008F115B">
        <w:t xml:space="preserve"> </w:t>
      </w:r>
      <w:r w:rsidR="008F115B" w:rsidRPr="008F115B">
        <w:t>recommended for the softening insurance market over the 201</w:t>
      </w:r>
      <w:r w:rsidR="00F2457C">
        <w:t>5</w:t>
      </w:r>
      <w:r w:rsidR="008F115B" w:rsidRPr="008F115B">
        <w:t xml:space="preserve">-20 regulatory </w:t>
      </w:r>
      <w:r w:rsidR="00337764">
        <w:t xml:space="preserve">control </w:t>
      </w:r>
      <w:r w:rsidR="008F115B" w:rsidRPr="008F115B">
        <w:t>period.</w:t>
      </w:r>
    </w:p>
    <w:p w:rsidR="00B765C3" w:rsidRPr="00B765C3" w:rsidRDefault="00B765C3" w:rsidP="00B765C3">
      <w:pPr>
        <w:pStyle w:val="AERbulletlistfirststyle"/>
      </w:pPr>
      <w:r w:rsidRPr="00B765C3">
        <w:t>For self insurance, we applied PSC's estimate of the pre-fire likelihood of 'a one in 42 year probability of a major failure to the Directlink facility' for the purposes of calculating an alternative estimate of working losses and major property loss.</w:t>
      </w:r>
    </w:p>
    <w:p w:rsidR="00EF042E" w:rsidRDefault="00EF042E" w:rsidP="00EF042E">
      <w:pPr>
        <w:pStyle w:val="AERbulletlistfirststyle"/>
        <w:numPr>
          <w:ilvl w:val="0"/>
          <w:numId w:val="25"/>
        </w:numPr>
      </w:pPr>
      <w:r>
        <w:t>Directlink</w:t>
      </w:r>
      <w:r w:rsidR="004801F3">
        <w:t xml:space="preserve"> did not accept </w:t>
      </w:r>
      <w:r w:rsidR="00EB1103">
        <w:t>the</w:t>
      </w:r>
      <w:r w:rsidR="004801F3">
        <w:t xml:space="preserve"> insurance amount in</w:t>
      </w:r>
      <w:r w:rsidR="00EB1103">
        <w:t xml:space="preserve"> our</w:t>
      </w:r>
      <w:r w:rsidR="004801F3">
        <w:t xml:space="preserve"> draft decision. I</w:t>
      </w:r>
      <w:r w:rsidR="007D3407">
        <w:t xml:space="preserve">n its revised </w:t>
      </w:r>
      <w:proofErr w:type="gramStart"/>
      <w:r w:rsidR="007D3407">
        <w:t>proposal</w:t>
      </w:r>
      <w:proofErr w:type="gramEnd"/>
      <w:r w:rsidR="007D3407">
        <w:t xml:space="preserve"> </w:t>
      </w:r>
      <w:r>
        <w:t xml:space="preserve">Directlink </w:t>
      </w:r>
      <w:r w:rsidR="007D3407">
        <w:t>forecast</w:t>
      </w:r>
      <w:r>
        <w:t xml:space="preserve"> insurance costs of $</w:t>
      </w:r>
      <w:r w:rsidR="007D3407">
        <w:t>3</w:t>
      </w:r>
      <w:r>
        <w:t>.</w:t>
      </w:r>
      <w:r w:rsidR="007D3407">
        <w:t>7</w:t>
      </w:r>
      <w:r>
        <w:t xml:space="preserve"> million (real $2014-15, excluding APA Operations 10 per cent margin) over the 2015</w:t>
      </w:r>
      <w:r w:rsidR="00C91946">
        <w:t>-</w:t>
      </w:r>
      <w:r>
        <w:t>20 regulatory</w:t>
      </w:r>
      <w:r w:rsidR="00C91946">
        <w:t xml:space="preserve"> control </w:t>
      </w:r>
      <w:r>
        <w:t>period</w:t>
      </w:r>
      <w:r w:rsidR="004801F3">
        <w:t xml:space="preserve"> (see </w:t>
      </w:r>
      <w:r w:rsidR="004801F3">
        <w:fldChar w:fldCharType="begin"/>
      </w:r>
      <w:r w:rsidR="004801F3">
        <w:instrText xml:space="preserve"> REF  _Ref411328042 \* Lower \h  \* MERGEFORMAT </w:instrText>
      </w:r>
      <w:r w:rsidR="004801F3">
        <w:fldChar w:fldCharType="separate"/>
      </w:r>
      <w:r w:rsidR="00020BF5">
        <w:t>table 7</w:t>
      </w:r>
      <w:r w:rsidR="00020BF5">
        <w:noBreakHyphen/>
        <w:t>9</w:t>
      </w:r>
      <w:r w:rsidR="004801F3">
        <w:fldChar w:fldCharType="end"/>
      </w:r>
      <w:r w:rsidR="004801F3">
        <w:t>)</w:t>
      </w:r>
      <w:r w:rsidR="007D3407">
        <w:t xml:space="preserve">. This is a </w:t>
      </w:r>
      <w:r w:rsidR="00396D00">
        <w:t>43</w:t>
      </w:r>
      <w:r w:rsidR="007D3407">
        <w:t xml:space="preserve"> per cent decrease compared with its initial proposal</w:t>
      </w:r>
      <w:r>
        <w:t xml:space="preserve">, </w:t>
      </w:r>
      <w:r w:rsidR="007D3407">
        <w:t xml:space="preserve">but remains </w:t>
      </w:r>
      <w:r>
        <w:t>an increase of $</w:t>
      </w:r>
      <w:r w:rsidR="003446C1">
        <w:t>1.6</w:t>
      </w:r>
      <w:r>
        <w:t xml:space="preserve"> million or </w:t>
      </w:r>
      <w:r w:rsidR="003446C1">
        <w:t>70.0</w:t>
      </w:r>
      <w:r>
        <w:t xml:space="preserve"> per cent over the 2009</w:t>
      </w:r>
      <w:r w:rsidR="008E5BBA">
        <w:t>-</w:t>
      </w:r>
      <w:r w:rsidR="00AC1A53">
        <w:t>14</w:t>
      </w:r>
      <w:r w:rsidR="00C05B8C">
        <w:t xml:space="preserve"> </w:t>
      </w:r>
      <w:r w:rsidR="008E5BBA">
        <w:t xml:space="preserve">period </w:t>
      </w:r>
      <w:r w:rsidR="00C05B8C">
        <w:t>insurance costs</w:t>
      </w:r>
      <w:r>
        <w:t>.</w:t>
      </w:r>
      <w:r>
        <w:rPr>
          <w:rStyle w:val="FootnoteReference"/>
        </w:rPr>
        <w:footnoteReference w:id="58"/>
      </w:r>
    </w:p>
    <w:p w:rsidR="00EF042E" w:rsidRDefault="00EF042E" w:rsidP="00EF042E">
      <w:pPr>
        <w:pStyle w:val="Caption"/>
      </w:pPr>
      <w:bookmarkStart w:id="41" w:name="_Ref411328042"/>
      <w:r>
        <w:t>Table</w:t>
      </w:r>
      <w:r w:rsidR="007F04F4">
        <w:t xml:space="preserve"> </w:t>
      </w:r>
      <w:fldSimple w:instr=" STYLEREF 1 \s ">
        <w:r w:rsidR="00020BF5">
          <w:rPr>
            <w:noProof/>
          </w:rPr>
          <w:t>7</w:t>
        </w:r>
      </w:fldSimple>
      <w:r w:rsidR="00337764">
        <w:noBreakHyphen/>
      </w:r>
      <w:fldSimple w:instr=" SEQ Table \* ARABIC \s 1 ">
        <w:r w:rsidR="00020BF5">
          <w:rPr>
            <w:noProof/>
          </w:rPr>
          <w:t>9</w:t>
        </w:r>
      </w:fldSimple>
      <w:bookmarkEnd w:id="41"/>
      <w:r>
        <w:tab/>
        <w:t>Directlink proposed insurance expenditure (</w:t>
      </w:r>
      <w:r w:rsidRPr="00724062">
        <w:t>$000s, real 2014-15)</w:t>
      </w:r>
    </w:p>
    <w:tbl>
      <w:tblPr>
        <w:tblStyle w:val="AERtable-numbers"/>
        <w:tblW w:w="0" w:type="auto"/>
        <w:tblLook w:val="04A0" w:firstRow="1" w:lastRow="0" w:firstColumn="1" w:lastColumn="0" w:noHBand="0" w:noVBand="1"/>
      </w:tblPr>
      <w:tblGrid>
        <w:gridCol w:w="1263"/>
        <w:gridCol w:w="1238"/>
        <w:gridCol w:w="1239"/>
        <w:gridCol w:w="1239"/>
        <w:gridCol w:w="1239"/>
        <w:gridCol w:w="1240"/>
        <w:gridCol w:w="1235"/>
      </w:tblGrid>
      <w:tr w:rsidR="00EF042E" w:rsidTr="00ED2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rsidR="00EF042E" w:rsidRPr="00724062" w:rsidRDefault="00EF042E" w:rsidP="00EF042E">
            <w:pPr>
              <w:numPr>
                <w:ilvl w:val="0"/>
                <w:numId w:val="25"/>
              </w:numPr>
            </w:pPr>
          </w:p>
        </w:tc>
        <w:tc>
          <w:tcPr>
            <w:tcW w:w="1238" w:type="dxa"/>
          </w:tcPr>
          <w:p w:rsidR="00EF042E" w:rsidRPr="00EF042E" w:rsidRDefault="00EF042E" w:rsidP="00EF042E">
            <w:pPr>
              <w:pStyle w:val="AERtabletextright"/>
              <w:cnfStyle w:val="100000000000" w:firstRow="1" w:lastRow="0" w:firstColumn="0" w:lastColumn="0" w:oddVBand="0" w:evenVBand="0" w:oddHBand="0" w:evenHBand="0" w:firstRowFirstColumn="0" w:firstRowLastColumn="0" w:lastRowFirstColumn="0" w:lastRowLastColumn="0"/>
            </w:pPr>
            <w:r w:rsidRPr="00724062">
              <w:t>2015-16</w:t>
            </w:r>
          </w:p>
        </w:tc>
        <w:tc>
          <w:tcPr>
            <w:tcW w:w="1239" w:type="dxa"/>
          </w:tcPr>
          <w:p w:rsidR="00EF042E" w:rsidRPr="00EF042E" w:rsidRDefault="00EF042E" w:rsidP="00EF042E">
            <w:pPr>
              <w:pStyle w:val="AERtabletextright"/>
              <w:cnfStyle w:val="100000000000" w:firstRow="1" w:lastRow="0" w:firstColumn="0" w:lastColumn="0" w:oddVBand="0" w:evenVBand="0" w:oddHBand="0" w:evenHBand="0" w:firstRowFirstColumn="0" w:firstRowLastColumn="0" w:lastRowFirstColumn="0" w:lastRowLastColumn="0"/>
            </w:pPr>
            <w:r w:rsidRPr="00724062">
              <w:t>2016-17</w:t>
            </w:r>
          </w:p>
        </w:tc>
        <w:tc>
          <w:tcPr>
            <w:tcW w:w="1239" w:type="dxa"/>
          </w:tcPr>
          <w:p w:rsidR="00EF042E" w:rsidRPr="00EF042E" w:rsidRDefault="00EF042E" w:rsidP="00EF042E">
            <w:pPr>
              <w:pStyle w:val="AERtabletextright"/>
              <w:cnfStyle w:val="100000000000" w:firstRow="1" w:lastRow="0" w:firstColumn="0" w:lastColumn="0" w:oddVBand="0" w:evenVBand="0" w:oddHBand="0" w:evenHBand="0" w:firstRowFirstColumn="0" w:firstRowLastColumn="0" w:lastRowFirstColumn="0" w:lastRowLastColumn="0"/>
            </w:pPr>
            <w:r w:rsidRPr="00724062">
              <w:t>2017-18</w:t>
            </w:r>
          </w:p>
        </w:tc>
        <w:tc>
          <w:tcPr>
            <w:tcW w:w="1239" w:type="dxa"/>
          </w:tcPr>
          <w:p w:rsidR="00EF042E" w:rsidRPr="00EF042E" w:rsidRDefault="00EF042E" w:rsidP="00EF042E">
            <w:pPr>
              <w:pStyle w:val="AERtabletextright"/>
              <w:cnfStyle w:val="100000000000" w:firstRow="1" w:lastRow="0" w:firstColumn="0" w:lastColumn="0" w:oddVBand="0" w:evenVBand="0" w:oddHBand="0" w:evenHBand="0" w:firstRowFirstColumn="0" w:firstRowLastColumn="0" w:lastRowFirstColumn="0" w:lastRowLastColumn="0"/>
            </w:pPr>
            <w:r w:rsidRPr="00724062">
              <w:t>2018-19</w:t>
            </w:r>
          </w:p>
        </w:tc>
        <w:tc>
          <w:tcPr>
            <w:tcW w:w="1240" w:type="dxa"/>
          </w:tcPr>
          <w:p w:rsidR="00EF042E" w:rsidRPr="00EF042E" w:rsidRDefault="00EF042E" w:rsidP="00EF042E">
            <w:pPr>
              <w:pStyle w:val="AERtabletextright"/>
              <w:cnfStyle w:val="100000000000" w:firstRow="1" w:lastRow="0" w:firstColumn="0" w:lastColumn="0" w:oddVBand="0" w:evenVBand="0" w:oddHBand="0" w:evenHBand="0" w:firstRowFirstColumn="0" w:firstRowLastColumn="0" w:lastRowFirstColumn="0" w:lastRowLastColumn="0"/>
            </w:pPr>
            <w:r w:rsidRPr="00724062">
              <w:t>2019-20</w:t>
            </w:r>
          </w:p>
        </w:tc>
        <w:tc>
          <w:tcPr>
            <w:tcW w:w="1235" w:type="dxa"/>
          </w:tcPr>
          <w:p w:rsidR="00EF042E" w:rsidRPr="00EF042E" w:rsidRDefault="00EF042E" w:rsidP="00EF042E">
            <w:pPr>
              <w:pStyle w:val="AERtabletextright"/>
              <w:cnfStyle w:val="100000000000" w:firstRow="1" w:lastRow="0" w:firstColumn="0" w:lastColumn="0" w:oddVBand="0" w:evenVBand="0" w:oddHBand="0" w:evenHBand="0" w:firstRowFirstColumn="0" w:firstRowLastColumn="0" w:lastRowFirstColumn="0" w:lastRowLastColumn="0"/>
            </w:pPr>
            <w:r w:rsidRPr="00724062">
              <w:t>Total</w:t>
            </w:r>
          </w:p>
        </w:tc>
      </w:tr>
      <w:tr w:rsidR="00ED2148" w:rsidTr="00ED2148">
        <w:tc>
          <w:tcPr>
            <w:cnfStyle w:val="001000000000" w:firstRow="0" w:lastRow="0" w:firstColumn="1" w:lastColumn="0" w:oddVBand="0" w:evenVBand="0" w:oddHBand="0" w:evenHBand="0" w:firstRowFirstColumn="0" w:firstRowLastColumn="0" w:lastRowFirstColumn="0" w:lastRowLastColumn="0"/>
            <w:tcW w:w="1263" w:type="dxa"/>
          </w:tcPr>
          <w:p w:rsidR="00ED2148" w:rsidRPr="00ED2148" w:rsidRDefault="00ED2148" w:rsidP="00ED2148">
            <w:pPr>
              <w:numPr>
                <w:ilvl w:val="0"/>
                <w:numId w:val="25"/>
              </w:numPr>
            </w:pPr>
            <w:r w:rsidRPr="00ED2148">
              <w:t>Industrial special risks premium</w:t>
            </w:r>
          </w:p>
        </w:tc>
        <w:tc>
          <w:tcPr>
            <w:tcW w:w="1238"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608.0 </w:t>
            </w:r>
          </w:p>
        </w:tc>
        <w:tc>
          <w:tcPr>
            <w:tcW w:w="1239"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573.3 </w:t>
            </w:r>
          </w:p>
        </w:tc>
        <w:tc>
          <w:tcPr>
            <w:tcW w:w="1239"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587.6 </w:t>
            </w:r>
          </w:p>
        </w:tc>
        <w:tc>
          <w:tcPr>
            <w:tcW w:w="1239"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602.3 </w:t>
            </w:r>
          </w:p>
        </w:tc>
        <w:tc>
          <w:tcPr>
            <w:tcW w:w="1240"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543.1 </w:t>
            </w:r>
          </w:p>
        </w:tc>
        <w:tc>
          <w:tcPr>
            <w:tcW w:w="1235"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2,914.4 </w:t>
            </w:r>
          </w:p>
        </w:tc>
      </w:tr>
      <w:tr w:rsidR="00ED2148" w:rsidTr="00ED21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rsidR="00ED2148" w:rsidRPr="00ED2148" w:rsidRDefault="00ED2148" w:rsidP="00ED2148">
            <w:pPr>
              <w:numPr>
                <w:ilvl w:val="0"/>
                <w:numId w:val="25"/>
              </w:numPr>
            </w:pPr>
            <w:r w:rsidRPr="00ED2148">
              <w:t>Public liability premium</w:t>
            </w:r>
          </w:p>
        </w:tc>
        <w:tc>
          <w:tcPr>
            <w:tcW w:w="1238"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22.0 </w:t>
            </w:r>
          </w:p>
        </w:tc>
        <w:tc>
          <w:tcPr>
            <w:tcW w:w="1239"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21.4 </w:t>
            </w:r>
          </w:p>
        </w:tc>
        <w:tc>
          <w:tcPr>
            <w:tcW w:w="1239"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20.9 </w:t>
            </w:r>
          </w:p>
        </w:tc>
        <w:tc>
          <w:tcPr>
            <w:tcW w:w="1239"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21.4 </w:t>
            </w:r>
          </w:p>
        </w:tc>
        <w:tc>
          <w:tcPr>
            <w:tcW w:w="1240"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21.9 </w:t>
            </w:r>
          </w:p>
        </w:tc>
        <w:tc>
          <w:tcPr>
            <w:tcW w:w="1235"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107.6 </w:t>
            </w:r>
          </w:p>
        </w:tc>
      </w:tr>
      <w:tr w:rsidR="00ED2148" w:rsidTr="00ED2148">
        <w:tc>
          <w:tcPr>
            <w:cnfStyle w:val="001000000000" w:firstRow="0" w:lastRow="0" w:firstColumn="1" w:lastColumn="0" w:oddVBand="0" w:evenVBand="0" w:oddHBand="0" w:evenHBand="0" w:firstRowFirstColumn="0" w:firstRowLastColumn="0" w:lastRowFirstColumn="0" w:lastRowLastColumn="0"/>
            <w:tcW w:w="1263" w:type="dxa"/>
          </w:tcPr>
          <w:p w:rsidR="00ED2148" w:rsidRPr="00ED2148" w:rsidRDefault="00ED2148" w:rsidP="00ED2148">
            <w:pPr>
              <w:numPr>
                <w:ilvl w:val="0"/>
                <w:numId w:val="25"/>
              </w:numPr>
            </w:pPr>
            <w:r w:rsidRPr="00ED2148">
              <w:t>Self insurance costs</w:t>
            </w:r>
          </w:p>
        </w:tc>
        <w:tc>
          <w:tcPr>
            <w:tcW w:w="1238"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126.4 </w:t>
            </w:r>
          </w:p>
        </w:tc>
        <w:tc>
          <w:tcPr>
            <w:tcW w:w="1239"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126.4 </w:t>
            </w:r>
          </w:p>
        </w:tc>
        <w:tc>
          <w:tcPr>
            <w:tcW w:w="1239"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126.4 </w:t>
            </w:r>
          </w:p>
        </w:tc>
        <w:tc>
          <w:tcPr>
            <w:tcW w:w="1239"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126.4 </w:t>
            </w:r>
          </w:p>
        </w:tc>
        <w:tc>
          <w:tcPr>
            <w:tcW w:w="1240"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126.4 </w:t>
            </w:r>
          </w:p>
        </w:tc>
        <w:tc>
          <w:tcPr>
            <w:tcW w:w="1235" w:type="dxa"/>
            <w:vAlign w:val="top"/>
          </w:tcPr>
          <w:p w:rsidR="00ED2148" w:rsidRPr="00ED2148" w:rsidRDefault="00ED2148" w:rsidP="00ED2148">
            <w:pPr>
              <w:pStyle w:val="AERtabletextright"/>
              <w:cnfStyle w:val="000000000000" w:firstRow="0" w:lastRow="0" w:firstColumn="0" w:lastColumn="0" w:oddVBand="0" w:evenVBand="0" w:oddHBand="0" w:evenHBand="0" w:firstRowFirstColumn="0" w:firstRowLastColumn="0" w:lastRowFirstColumn="0" w:lastRowLastColumn="0"/>
            </w:pPr>
            <w:r w:rsidRPr="00ED2148">
              <w:t xml:space="preserve"> 632.0 </w:t>
            </w:r>
          </w:p>
        </w:tc>
      </w:tr>
      <w:tr w:rsidR="00ED2148" w:rsidTr="00ED21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rsidR="00ED2148" w:rsidRPr="00ED2148" w:rsidRDefault="00ED2148" w:rsidP="00ED2148">
            <w:pPr>
              <w:numPr>
                <w:ilvl w:val="0"/>
                <w:numId w:val="25"/>
              </w:numPr>
            </w:pPr>
            <w:r w:rsidRPr="00ED2148">
              <w:t>Total insurance costs</w:t>
            </w:r>
          </w:p>
        </w:tc>
        <w:tc>
          <w:tcPr>
            <w:tcW w:w="1238"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756.4 </w:t>
            </w:r>
          </w:p>
        </w:tc>
        <w:tc>
          <w:tcPr>
            <w:tcW w:w="1239"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721.1 </w:t>
            </w:r>
          </w:p>
        </w:tc>
        <w:tc>
          <w:tcPr>
            <w:tcW w:w="1239"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734.9 </w:t>
            </w:r>
          </w:p>
        </w:tc>
        <w:tc>
          <w:tcPr>
            <w:tcW w:w="1239"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750.1 </w:t>
            </w:r>
          </w:p>
        </w:tc>
        <w:tc>
          <w:tcPr>
            <w:tcW w:w="1240"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691.5 </w:t>
            </w:r>
          </w:p>
        </w:tc>
        <w:tc>
          <w:tcPr>
            <w:tcW w:w="1235" w:type="dxa"/>
            <w:vAlign w:val="top"/>
          </w:tcPr>
          <w:p w:rsidR="00ED2148" w:rsidRPr="00ED2148" w:rsidRDefault="00ED2148" w:rsidP="00ED2148">
            <w:pPr>
              <w:pStyle w:val="AERtabletextright"/>
              <w:cnfStyle w:val="000000010000" w:firstRow="0" w:lastRow="0" w:firstColumn="0" w:lastColumn="0" w:oddVBand="0" w:evenVBand="0" w:oddHBand="0" w:evenHBand="1" w:firstRowFirstColumn="0" w:firstRowLastColumn="0" w:lastRowFirstColumn="0" w:lastRowLastColumn="0"/>
            </w:pPr>
            <w:r w:rsidRPr="00ED2148">
              <w:t xml:space="preserve"> 3,654.0 </w:t>
            </w:r>
          </w:p>
        </w:tc>
      </w:tr>
    </w:tbl>
    <w:p w:rsidR="00EF042E" w:rsidRDefault="00EF042E" w:rsidP="00EF042E">
      <w:pPr>
        <w:pStyle w:val="AERtablesource"/>
      </w:pPr>
      <w:r>
        <w:t xml:space="preserve">Source: </w:t>
      </w:r>
      <w:r>
        <w:tab/>
        <w:t>Directlink, Revenue Proposal, May 2014, Table 9.4, p.73; AER analysis.</w:t>
      </w:r>
    </w:p>
    <w:p w:rsidR="00EF042E" w:rsidRDefault="00EF042E" w:rsidP="00EF042E">
      <w:pPr>
        <w:pStyle w:val="AERtablesource"/>
      </w:pPr>
      <w:r>
        <w:t>Note:</w:t>
      </w:r>
      <w:r>
        <w:tab/>
        <w:t>The AER has removed the 10 per cent APA Operations margin from the costs in Table 9.4.</w:t>
      </w:r>
    </w:p>
    <w:p w:rsidR="00B3229E" w:rsidRDefault="00B3229E" w:rsidP="00EF042E">
      <w:r>
        <w:lastRenderedPageBreak/>
        <w:t>Directlink</w:t>
      </w:r>
      <w:r w:rsidR="00443B65">
        <w:t xml:space="preserve"> </w:t>
      </w:r>
      <w:r w:rsidR="001903E0">
        <w:t>c</w:t>
      </w:r>
      <w:r w:rsidR="00443B65">
        <w:t xml:space="preserve">ited </w:t>
      </w:r>
      <w:r w:rsidR="001903E0">
        <w:t>four</w:t>
      </w:r>
      <w:r w:rsidR="00B9031F">
        <w:t xml:space="preserve"> main</w:t>
      </w:r>
      <w:r>
        <w:t xml:space="preserve"> reasons for not accepting the AER's draft decision</w:t>
      </w:r>
      <w:r w:rsidR="00443B65">
        <w:t>. These</w:t>
      </w:r>
      <w:r>
        <w:t xml:space="preserve"> are set out below.</w:t>
      </w:r>
    </w:p>
    <w:p w:rsidR="0007686E" w:rsidRDefault="0007686E" w:rsidP="006C6574">
      <w:pPr>
        <w:pStyle w:val="HeadingBoldBlue"/>
      </w:pPr>
      <w:r>
        <w:t>Returning the Directlink asset to pre-fire risk levels</w:t>
      </w:r>
    </w:p>
    <w:p w:rsidR="00B3229E" w:rsidRDefault="00581FF1" w:rsidP="00B3229E">
      <w:r>
        <w:t>Directlink d</w:t>
      </w:r>
      <w:r w:rsidR="0029788E">
        <w:t>id</w:t>
      </w:r>
      <w:r>
        <w:t xml:space="preserve"> not </w:t>
      </w:r>
      <w:r w:rsidR="00443B65">
        <w:t>agree that</w:t>
      </w:r>
      <w:r>
        <w:t xml:space="preserve"> insurance costs</w:t>
      </w:r>
      <w:r w:rsidR="00443B65">
        <w:t xml:space="preserve"> should return to pre-fire levels, consistent with the return of risk to at least </w:t>
      </w:r>
      <w:r>
        <w:t>pre-fire</w:t>
      </w:r>
      <w:r w:rsidR="00443B65">
        <w:t xml:space="preserve"> l</w:t>
      </w:r>
      <w:r w:rsidR="0029788E">
        <w:t>e</w:t>
      </w:r>
      <w:r w:rsidR="00443B65">
        <w:t>vels</w:t>
      </w:r>
      <w:r>
        <w:t xml:space="preserve">. </w:t>
      </w:r>
      <w:r w:rsidR="00B3229E">
        <w:t>In its revised proposal Directlink submitted that the insurance assessor found that the probable cause of the Mullumbimby fire was a short circuit fault in the Pole 1 converter but that the cause of the fire was not conclusively determined.</w:t>
      </w:r>
      <w:r w:rsidR="00B3229E">
        <w:rPr>
          <w:rStyle w:val="FootnoteReference"/>
        </w:rPr>
        <w:footnoteReference w:id="59"/>
      </w:r>
      <w:r w:rsidR="00B3229E">
        <w:t xml:space="preserve"> </w:t>
      </w:r>
      <w:r w:rsidR="002C4640" w:rsidRPr="007D5F1E">
        <w:t>Directlink submit</w:t>
      </w:r>
      <w:r w:rsidR="0029788E">
        <w:t>ted</w:t>
      </w:r>
      <w:r w:rsidR="002C4640" w:rsidRPr="007D5F1E">
        <w:t xml:space="preserve"> that it has sought to identify and mitigate potential causes</w:t>
      </w:r>
      <w:r w:rsidR="002C4640">
        <w:t xml:space="preserve"> of the fire</w:t>
      </w:r>
      <w:r w:rsidR="002C4640" w:rsidRPr="007D5F1E">
        <w:t>.</w:t>
      </w:r>
      <w:r w:rsidR="002C4640" w:rsidRPr="002C4640">
        <w:t xml:space="preserve"> </w:t>
      </w:r>
      <w:r w:rsidR="0029788E">
        <w:t>It</w:t>
      </w:r>
      <w:r w:rsidR="002C4640" w:rsidRPr="007D5F1E">
        <w:t xml:space="preserve"> submit</w:t>
      </w:r>
      <w:r w:rsidR="0029788E">
        <w:t>ted</w:t>
      </w:r>
      <w:r w:rsidR="002C4640" w:rsidRPr="007D5F1E">
        <w:t xml:space="preserve"> that it cannot say with confidence that the proposed capital and operating program will return the fire risks associated with the asset to pre-fire levels. Directlink submit</w:t>
      </w:r>
      <w:r w:rsidR="0029788E">
        <w:t>ted</w:t>
      </w:r>
      <w:r w:rsidR="002C4640" w:rsidRPr="007D5F1E">
        <w:t xml:space="preserve"> that it is not able to provide comfort to insurers that the cause of the fire has been addressed.</w:t>
      </w:r>
      <w:r w:rsidR="00273329">
        <w:rPr>
          <w:rStyle w:val="FootnoteReference"/>
        </w:rPr>
        <w:footnoteReference w:id="60"/>
      </w:r>
      <w:r w:rsidR="002C4640">
        <w:t xml:space="preserve"> </w:t>
      </w:r>
    </w:p>
    <w:p w:rsidR="00002582" w:rsidRDefault="00F14E00" w:rsidP="00EF042E">
      <w:r>
        <w:t>This is n</w:t>
      </w:r>
      <w:r w:rsidR="00002582">
        <w:t xml:space="preserve">otwithstanding </w:t>
      </w:r>
      <w:r>
        <w:t xml:space="preserve">that </w:t>
      </w:r>
      <w:r w:rsidR="00002582">
        <w:t>PSC state</w:t>
      </w:r>
      <w:r>
        <w:t>d</w:t>
      </w:r>
      <w:r w:rsidR="00263C68">
        <w:t xml:space="preserve"> in the risk assessment report</w:t>
      </w:r>
      <w:r w:rsidR="006B39A9">
        <w:t>, commissioned by Directlink and submitted to support its proposed capex and opex</w:t>
      </w:r>
      <w:r w:rsidR="00002582">
        <w:t>:</w:t>
      </w:r>
      <w:r w:rsidR="00BE52A9">
        <w:rPr>
          <w:rStyle w:val="FootnoteReference"/>
        </w:rPr>
        <w:footnoteReference w:id="61"/>
      </w:r>
    </w:p>
    <w:p w:rsidR="00002582" w:rsidRDefault="00D90405" w:rsidP="00D90405">
      <w:pPr>
        <w:pStyle w:val="AERquote"/>
      </w:pPr>
      <w:r>
        <w:t>"</w:t>
      </w:r>
      <w:r w:rsidRPr="00D90405">
        <w:t>In February 2014, PSC was engaged to determine the expected change in risk profile in the operation and maintenance of the Directlink facility before and after the August 2012 Fire Event and to review, at a high level, the costs and benefits of each recommendation, determine the mitigation of risk associated with that recommendation and determine whether the incremental cost of implementing that recommendation can be justified in terms of a change in risk profile.</w:t>
      </w:r>
      <w:r>
        <w:t xml:space="preserve"> … </w:t>
      </w:r>
    </w:p>
    <w:p w:rsidR="00D90405" w:rsidRPr="00D90405" w:rsidRDefault="00D90405" w:rsidP="00D90405">
      <w:pPr>
        <w:pStyle w:val="AERquote"/>
      </w:pPr>
      <w:r w:rsidRPr="00D90405">
        <w:t>PSC first selected a set of operational risks where the risk assumptions and/or risk levels are expected to change as a result of the August 2012 Fire Event. For each operational risk, PSC considered how the risk assumptions have changed between pre- and post-event.</w:t>
      </w:r>
    </w:p>
    <w:p w:rsidR="00D90405" w:rsidRPr="00D90405" w:rsidRDefault="00D90405" w:rsidP="00D90405">
      <w:pPr>
        <w:pStyle w:val="AERquote"/>
      </w:pPr>
      <w:r w:rsidRPr="00D90405">
        <w:t>The results showed that the post-event residual risk levels for the selected operational risks are considerably higher than the pre-event risk levels.</w:t>
      </w:r>
    </w:p>
    <w:p w:rsidR="00D90405" w:rsidRDefault="00D90405" w:rsidP="00D90405">
      <w:pPr>
        <w:pStyle w:val="AERquote"/>
      </w:pPr>
      <w:r w:rsidRPr="00D90405">
        <w:t>Each operational risk was then considered with a view to what GEIP recommendations could be used to mitigate the post-event residual risk levels, potentially to the same levels as the pre-event residual risk profile.</w:t>
      </w:r>
      <w:r>
        <w:t xml:space="preserve"> …</w:t>
      </w:r>
    </w:p>
    <w:p w:rsidR="00D90405" w:rsidRDefault="00DC6C0E" w:rsidP="00D90405">
      <w:pPr>
        <w:pStyle w:val="AERquote"/>
      </w:pPr>
      <w:r>
        <w:t>PSC considers that the implementation of the suite of recommendations will return the risk profile back to pre-event levels and in doing so will assist in maintaining the reliability and availability levels of the converter stations to those originally predicted by ABB in the Reliability and Availability Prediction technical report</w:t>
      </w:r>
      <w:r w:rsidR="00D90405" w:rsidRPr="00D90405">
        <w:t>.</w:t>
      </w:r>
      <w:r w:rsidR="00D90405">
        <w:t>"</w:t>
      </w:r>
    </w:p>
    <w:p w:rsidR="007D5F1E" w:rsidRDefault="00BE52A9" w:rsidP="007D5F1E">
      <w:r>
        <w:lastRenderedPageBreak/>
        <w:t xml:space="preserve">However in its revised proposal </w:t>
      </w:r>
      <w:r w:rsidR="007D5F1E" w:rsidRPr="007D5F1E">
        <w:t>Directlink submit</w:t>
      </w:r>
      <w:r>
        <w:t>ted</w:t>
      </w:r>
      <w:r w:rsidR="007D5F1E" w:rsidRPr="007D5F1E">
        <w:t xml:space="preserve"> that it does not accept that the addition of these procedures reduces the risk of the asset to pre-fire levels.</w:t>
      </w:r>
      <w:r w:rsidR="00353B6E">
        <w:rPr>
          <w:rStyle w:val="FootnoteReference"/>
        </w:rPr>
        <w:footnoteReference w:id="62"/>
      </w:r>
      <w:r w:rsidR="009A1F15">
        <w:t xml:space="preserve"> </w:t>
      </w:r>
      <w:r w:rsidR="007D5F1E" w:rsidRPr="007D5F1E">
        <w:t>Directlink submit</w:t>
      </w:r>
      <w:r w:rsidR="00BC4576">
        <w:t>ted</w:t>
      </w:r>
      <w:r w:rsidR="007D5F1E" w:rsidRPr="007D5F1E">
        <w:t xml:space="preserve"> that while the proposed capex and opex improves the risk profile that prevailed before the event, the fact that an unexplained fire event resulting in a significant insurance claim has occurred, cannot be removed </w:t>
      </w:r>
      <w:r w:rsidR="009A1F15">
        <w:t>from consideration by insurers.</w:t>
      </w:r>
    </w:p>
    <w:p w:rsidR="00E2796F" w:rsidRDefault="00140C7B" w:rsidP="004D6203">
      <w:r>
        <w:t>We continue to hold the view, b</w:t>
      </w:r>
      <w:r w:rsidRPr="00EA75A6">
        <w:t xml:space="preserve">ased on our internal engineering expertise, </w:t>
      </w:r>
      <w:r>
        <w:t xml:space="preserve">that </w:t>
      </w:r>
      <w:r w:rsidR="00EA75A6" w:rsidRPr="00EA75A6">
        <w:t>the changes in design and operation</w:t>
      </w:r>
      <w:r>
        <w:t xml:space="preserve"> </w:t>
      </w:r>
      <w:r w:rsidR="00357D1F">
        <w:t xml:space="preserve">plus the addition of the fire suppression system </w:t>
      </w:r>
      <w:r w:rsidR="00EA75A6" w:rsidRPr="00EA75A6">
        <w:t xml:space="preserve">will reduce the risk associated with the Directlink asset to </w:t>
      </w:r>
      <w:r w:rsidR="00357D1F">
        <w:t>lower than the</w:t>
      </w:r>
      <w:r w:rsidR="00EA75A6" w:rsidRPr="00EA75A6">
        <w:t xml:space="preserve"> pre-fire</w:t>
      </w:r>
      <w:r w:rsidR="00357D1F">
        <w:t xml:space="preserve"> risk</w:t>
      </w:r>
      <w:r w:rsidR="00EA75A6" w:rsidRPr="00EA75A6">
        <w:t xml:space="preserve"> levels.  </w:t>
      </w:r>
    </w:p>
    <w:p w:rsidR="00E2796F" w:rsidRDefault="00E2796F" w:rsidP="002B389E">
      <w:r w:rsidRPr="002B389E">
        <w:t>[</w:t>
      </w:r>
      <w:r w:rsidR="00020BF5">
        <w:t>CONFIDENTIAL MATERIAL OMITTED</w:t>
      </w:r>
      <w:r w:rsidRPr="002B389E">
        <w:t>]</w:t>
      </w:r>
      <w:r w:rsidR="0023690D">
        <w:rPr>
          <w:rStyle w:val="FootnoteReference"/>
        </w:rPr>
        <w:footnoteReference w:id="63"/>
      </w:r>
      <w:r w:rsidR="007A7DE6" w:rsidRPr="007A7DE6">
        <w:t xml:space="preserve"> </w:t>
      </w:r>
    </w:p>
    <w:p w:rsidR="000E4D0E" w:rsidRDefault="001B77CC" w:rsidP="004D6203">
      <w:r>
        <w:t>On the basis of the opex and capex</w:t>
      </w:r>
      <w:r w:rsidR="00614770" w:rsidRPr="00614770">
        <w:t xml:space="preserve"> </w:t>
      </w:r>
      <w:r w:rsidR="00614770">
        <w:t>that we have included in our opex and capex forecasts</w:t>
      </w:r>
      <w:r>
        <w:t xml:space="preserve">, </w:t>
      </w:r>
      <w:r w:rsidR="007A7DE6" w:rsidRPr="00EA75A6">
        <w:t xml:space="preserve">the phase reactor configuration has been substantially altered and Directlink’s management standards will be </w:t>
      </w:r>
      <w:r w:rsidR="00614770">
        <w:t>consistent with</w:t>
      </w:r>
      <w:r w:rsidR="007A7DE6" w:rsidRPr="00EA75A6">
        <w:t xml:space="preserve"> GEIP standards</w:t>
      </w:r>
      <w:r>
        <w:t>.</w:t>
      </w:r>
      <w:r w:rsidR="007A7DE6">
        <w:t xml:space="preserve"> Additionally,</w:t>
      </w:r>
      <w:r w:rsidR="00CE5931">
        <w:t xml:space="preserve"> </w:t>
      </w:r>
      <w:r w:rsidR="00A03716">
        <w:t>the fire suppression system</w:t>
      </w:r>
      <w:r w:rsidR="006F3CAC">
        <w:t xml:space="preserve"> to be completed by May 2016, which did not exist</w:t>
      </w:r>
      <w:r w:rsidR="00C969C3">
        <w:t xml:space="preserve"> pre-fire</w:t>
      </w:r>
      <w:r w:rsidR="006F3CAC">
        <w:t xml:space="preserve">, </w:t>
      </w:r>
      <w:r w:rsidR="00A74DCA">
        <w:t xml:space="preserve">is intended to </w:t>
      </w:r>
      <w:r w:rsidR="006F3CAC">
        <w:t>limit the spread of any</w:t>
      </w:r>
      <w:r w:rsidR="00357D1F">
        <w:t xml:space="preserve"> potential</w:t>
      </w:r>
      <w:r w:rsidR="006F3CAC">
        <w:t xml:space="preserve"> fire in the converter station building. The APA Group insurer for property, which provides the </w:t>
      </w:r>
      <w:r w:rsidR="006F3CAC" w:rsidRPr="004D6203">
        <w:t>actual i</w:t>
      </w:r>
      <w:r w:rsidR="006F3CAC">
        <w:t>nsurance coverage for Directlink, estimates that this will reduce the loss exposure to physical damage and business interruption by 97 per cent.</w:t>
      </w:r>
      <w:r w:rsidR="00C969C3">
        <w:rPr>
          <w:rStyle w:val="FootnoteReference"/>
        </w:rPr>
        <w:footnoteReference w:id="64"/>
      </w:r>
      <w:r w:rsidR="006F3CAC">
        <w:t xml:space="preserve"> </w:t>
      </w:r>
      <w:r>
        <w:t>For these reasons, we consider that the most likely cause of the fire ha</w:t>
      </w:r>
      <w:r w:rsidR="008D0257">
        <w:t>s</w:t>
      </w:r>
      <w:r>
        <w:t xml:space="preserve"> been </w:t>
      </w:r>
      <w:r w:rsidR="007C3050">
        <w:t>remov</w:t>
      </w:r>
      <w:r>
        <w:t>ed</w:t>
      </w:r>
      <w:r w:rsidR="00357D1F">
        <w:t xml:space="preserve"> and that the Directlink asset will be returned to lower than pre-fire risk levels</w:t>
      </w:r>
      <w:r w:rsidRPr="00EA75A6">
        <w:t>.</w:t>
      </w:r>
    </w:p>
    <w:p w:rsidR="00FD05B8" w:rsidRDefault="00062CF7" w:rsidP="00591FA1">
      <w:r>
        <w:t>Directlink submitted that</w:t>
      </w:r>
      <w:r w:rsidR="008D0257">
        <w:t xml:space="preserve"> the adverse claims history 'significantly influences pricing of insurance going forward, and is further compounded by the absence of definitive cause'.</w:t>
      </w:r>
      <w:r w:rsidR="008D0257">
        <w:rPr>
          <w:rStyle w:val="FootnoteReference"/>
        </w:rPr>
        <w:footnoteReference w:id="65"/>
      </w:r>
      <w:r>
        <w:t xml:space="preserve">  </w:t>
      </w:r>
      <w:r w:rsidR="00FD05B8">
        <w:t xml:space="preserve">However, </w:t>
      </w:r>
      <w:r w:rsidR="00D142DF">
        <w:t xml:space="preserve">communication from </w:t>
      </w:r>
      <w:r w:rsidR="00FD05B8">
        <w:t xml:space="preserve">APA Group's </w:t>
      </w:r>
      <w:r w:rsidR="00A74DCA">
        <w:t>Manager of C</w:t>
      </w:r>
      <w:r w:rsidR="00FD05B8">
        <w:t xml:space="preserve">orporate </w:t>
      </w:r>
      <w:r w:rsidR="00A74DCA">
        <w:t xml:space="preserve">Development </w:t>
      </w:r>
      <w:r w:rsidR="00FD05B8">
        <w:t xml:space="preserve">and </w:t>
      </w:r>
      <w:r w:rsidR="00A74DCA">
        <w:t xml:space="preserve">Investments </w:t>
      </w:r>
      <w:r w:rsidR="00FD05B8">
        <w:t>indicates that EII's</w:t>
      </w:r>
      <w:r w:rsidR="00FD05B8" w:rsidRPr="004D6203">
        <w:t xml:space="preserve"> actual</w:t>
      </w:r>
      <w:r w:rsidR="00FD05B8">
        <w:t xml:space="preserve"> property insurance premiums are reduced.</w:t>
      </w:r>
      <w:r w:rsidR="00FD05B8">
        <w:rPr>
          <w:rStyle w:val="FootnoteReference"/>
        </w:rPr>
        <w:footnoteReference w:id="66"/>
      </w:r>
      <w:r w:rsidR="00E16C61">
        <w:t xml:space="preserve"> </w:t>
      </w:r>
      <w:r w:rsidR="00E16C61" w:rsidRPr="00591FA1">
        <w:t xml:space="preserve">This is further supported by the EII Interim Results </w:t>
      </w:r>
      <w:r w:rsidR="001E37A3" w:rsidRPr="00591FA1">
        <w:t xml:space="preserve">which show a </w:t>
      </w:r>
      <w:r w:rsidR="006911E2" w:rsidRPr="00591FA1">
        <w:t>32.7</w:t>
      </w:r>
      <w:r w:rsidR="001E37A3" w:rsidRPr="00591FA1">
        <w:t xml:space="preserve"> per cent decrease between 2013-14 and 2012-13</w:t>
      </w:r>
      <w:r w:rsidR="002423A7" w:rsidRPr="00591FA1">
        <w:t xml:space="preserve">, </w:t>
      </w:r>
      <w:r w:rsidR="00753A03" w:rsidRPr="00591FA1">
        <w:t xml:space="preserve">with the 2013-14 insurance expense for EII </w:t>
      </w:r>
      <w:r w:rsidR="002423A7" w:rsidRPr="00591FA1">
        <w:t>lower than any previous</w:t>
      </w:r>
      <w:r w:rsidR="00753A03" w:rsidRPr="00591FA1">
        <w:t xml:space="preserve"> total EII </w:t>
      </w:r>
      <w:r w:rsidR="002423A7" w:rsidRPr="00591FA1">
        <w:t xml:space="preserve">insurance cost reported over </w:t>
      </w:r>
      <w:r w:rsidR="008E5BBA">
        <w:t xml:space="preserve">the </w:t>
      </w:r>
      <w:r w:rsidR="002423A7" w:rsidRPr="00591FA1">
        <w:t>2008</w:t>
      </w:r>
      <w:r w:rsidR="008E5BBA">
        <w:t>-</w:t>
      </w:r>
      <w:r w:rsidR="00AC1A53">
        <w:t>14</w:t>
      </w:r>
      <w:r w:rsidR="008E5BBA">
        <w:t xml:space="preserve"> period</w:t>
      </w:r>
      <w:r w:rsidR="001E37A3">
        <w:t>.</w:t>
      </w:r>
      <w:r w:rsidR="002A3FD1">
        <w:rPr>
          <w:rStyle w:val="FootnoteReference"/>
        </w:rPr>
        <w:footnoteReference w:id="67"/>
      </w:r>
    </w:p>
    <w:p w:rsidR="008C12DF" w:rsidRDefault="004D6203" w:rsidP="004D6203">
      <w:r>
        <w:lastRenderedPageBreak/>
        <w:t>We</w:t>
      </w:r>
      <w:r w:rsidR="00691DB5">
        <w:t xml:space="preserve"> requested </w:t>
      </w:r>
      <w:r w:rsidR="00B9611E">
        <w:t xml:space="preserve">but did not receive from </w:t>
      </w:r>
      <w:r w:rsidR="00691DB5">
        <w:t>Directlink/APA Operations policy premiums</w:t>
      </w:r>
      <w:r w:rsidR="00B9611E">
        <w:t xml:space="preserve"> and any </w:t>
      </w:r>
      <w:r w:rsidR="006A56F7">
        <w:t xml:space="preserve">supporting evidence (that is, </w:t>
      </w:r>
      <w:r w:rsidR="008C7606">
        <w:t>"</w:t>
      </w:r>
      <w:r w:rsidR="006A56F7">
        <w:t>quotes</w:t>
      </w:r>
      <w:r w:rsidR="008C7606">
        <w:t>"</w:t>
      </w:r>
      <w:r w:rsidR="00E82154">
        <w:rPr>
          <w:rStyle w:val="FootnoteReference"/>
        </w:rPr>
        <w:footnoteReference w:id="68"/>
      </w:r>
      <w:r w:rsidR="006A56F7">
        <w:t xml:space="preserve"> and board approval of the </w:t>
      </w:r>
      <w:r w:rsidR="008C7606">
        <w:t>"</w:t>
      </w:r>
      <w:r w:rsidR="006A56F7">
        <w:t>quotes</w:t>
      </w:r>
      <w:r w:rsidR="008C7606">
        <w:t>"</w:t>
      </w:r>
      <w:r w:rsidR="006A56F7">
        <w:t xml:space="preserve">), including the assumptions made in arriving at the invoice amounts, charged </w:t>
      </w:r>
      <w:r w:rsidR="00C66478">
        <w:t>by</w:t>
      </w:r>
      <w:r w:rsidR="006A56F7">
        <w:t xml:space="preserve"> APA Operations to the EII Group</w:t>
      </w:r>
      <w:r w:rsidR="003543F1">
        <w:rPr>
          <w:rStyle w:val="FootnoteReference"/>
        </w:rPr>
        <w:footnoteReference w:id="69"/>
      </w:r>
      <w:r w:rsidR="003543F1">
        <w:t>.</w:t>
      </w:r>
      <w:r w:rsidR="006438A1">
        <w:t xml:space="preserve"> </w:t>
      </w:r>
      <w:r w:rsidR="00F75FD0">
        <w:t xml:space="preserve">We </w:t>
      </w:r>
      <w:r w:rsidR="00B9611E">
        <w:t xml:space="preserve">also </w:t>
      </w:r>
      <w:r w:rsidR="00F75FD0">
        <w:t>sought information regarding the APA Group policies directly from APA Group</w:t>
      </w:r>
      <w:r w:rsidR="00B9611E">
        <w:t xml:space="preserve"> but these were not provided on request</w:t>
      </w:r>
      <w:r w:rsidR="009F3459">
        <w:t>.</w:t>
      </w:r>
      <w:r w:rsidR="009F3459">
        <w:rPr>
          <w:rStyle w:val="FootnoteReference"/>
        </w:rPr>
        <w:footnoteReference w:id="70"/>
      </w:r>
      <w:r w:rsidR="0086330D">
        <w:t xml:space="preserve">  Our assessment is therefore based only on the information before us. </w:t>
      </w:r>
    </w:p>
    <w:p w:rsidR="009A1F15" w:rsidRDefault="00BD150C" w:rsidP="00D765B7">
      <w:pPr>
        <w:pStyle w:val="HeadingBoldBlue"/>
      </w:pPr>
      <w:r>
        <w:t>APA Operations' m</w:t>
      </w:r>
      <w:r w:rsidR="00455800">
        <w:t xml:space="preserve">ethodology </w:t>
      </w:r>
      <w:r>
        <w:t>for</w:t>
      </w:r>
      <w:r w:rsidR="00455800">
        <w:t xml:space="preserve"> calculating the insurance allocation from the EII </w:t>
      </w:r>
      <w:r w:rsidR="00FA0DF1">
        <w:t>"</w:t>
      </w:r>
      <w:r w:rsidR="00455800">
        <w:t>quote</w:t>
      </w:r>
      <w:r w:rsidR="00FA0DF1">
        <w:t>"</w:t>
      </w:r>
    </w:p>
    <w:p w:rsidR="00D6134A" w:rsidRDefault="00D6134A" w:rsidP="00455800">
      <w:r>
        <w:t>In its initial proposal Directlink submitted that estimate</w:t>
      </w:r>
      <w:r w:rsidR="00401DA5">
        <w:t>d</w:t>
      </w:r>
      <w:r>
        <w:t xml:space="preserve"> Directlink</w:t>
      </w:r>
      <w:r w:rsidR="00401DA5">
        <w:t>'s</w:t>
      </w:r>
      <w:r>
        <w:t xml:space="preserve"> insurance premiums on the basis of a</w:t>
      </w:r>
      <w:r w:rsidR="008C7606">
        <w:t>n estimate</w:t>
      </w:r>
      <w:r>
        <w:t xml:space="preserve"> provided by Marsh which assumed that Directlink was a ring-fenced or standalone asset.</w:t>
      </w:r>
      <w:r w:rsidR="00D142DF">
        <w:rPr>
          <w:rStyle w:val="FootnoteReference"/>
        </w:rPr>
        <w:footnoteReference w:id="71"/>
      </w:r>
      <w:r>
        <w:t xml:space="preserve"> </w:t>
      </w:r>
      <w:r w:rsidR="009E4F36">
        <w:t xml:space="preserve">Directlink's standalone insurance amount was deducted from the EII asset group total </w:t>
      </w:r>
      <w:r w:rsidR="008C7606">
        <w:t>"quo</w:t>
      </w:r>
      <w:r w:rsidR="009E4F36">
        <w:t>te</w:t>
      </w:r>
      <w:r w:rsidR="008C7606">
        <w:t>"</w:t>
      </w:r>
      <w:r w:rsidR="009E4F36">
        <w:t xml:space="preserve">, with the residual shared among the other EII assets. </w:t>
      </w:r>
      <w:r>
        <w:t xml:space="preserve">This forecast method denied Directlink the reduced premium benefits associated with risk diversification and purchasing economies provided by obtaining a </w:t>
      </w:r>
      <w:r w:rsidR="008C7606">
        <w:t>"</w:t>
      </w:r>
      <w:r>
        <w:t>quote</w:t>
      </w:r>
      <w:r w:rsidR="008C7606">
        <w:t>"</w:t>
      </w:r>
      <w:r>
        <w:t xml:space="preserve"> for insurance for the EII asset group.</w:t>
      </w:r>
      <w:r w:rsidR="00401DA5">
        <w:rPr>
          <w:rStyle w:val="FootnoteReference"/>
        </w:rPr>
        <w:footnoteReference w:id="72"/>
      </w:r>
      <w:r>
        <w:t xml:space="preserve"> It is this group </w:t>
      </w:r>
      <w:r w:rsidR="008C7606">
        <w:t>"</w:t>
      </w:r>
      <w:r>
        <w:t>quote</w:t>
      </w:r>
      <w:r w:rsidR="008C7606">
        <w:t>"</w:t>
      </w:r>
      <w:r>
        <w:t xml:space="preserve"> that </w:t>
      </w:r>
      <w:r w:rsidR="00401DA5">
        <w:t xml:space="preserve">EII </w:t>
      </w:r>
      <w:r>
        <w:t xml:space="preserve">has allocated on a revenue or asset value share in the past. </w:t>
      </w:r>
    </w:p>
    <w:p w:rsidR="00401DA5" w:rsidRDefault="00401DA5" w:rsidP="00401DA5">
      <w:r>
        <w:t>In our draft decision we expressed concern that Directlink's method of allocating the EII group insurance amongst the EII assets may contribute to a biased forecast of insurance costs for Directlink.</w:t>
      </w:r>
      <w:r>
        <w:rPr>
          <w:rStyle w:val="FootnoteReference"/>
        </w:rPr>
        <w:footnoteReference w:id="73"/>
      </w:r>
      <w:r>
        <w:t xml:space="preserve"> </w:t>
      </w:r>
    </w:p>
    <w:p w:rsidR="0048782C" w:rsidRDefault="00401DA5" w:rsidP="007D5F1E">
      <w:r>
        <w:t xml:space="preserve">In response to the draft decision Directlink altered its methodology for calculating insurance premiums. </w:t>
      </w:r>
      <w:r w:rsidR="00701C31">
        <w:t>Directlink</w:t>
      </w:r>
      <w:r w:rsidR="00455800" w:rsidRPr="007D5F1E">
        <w:t xml:space="preserve"> </w:t>
      </w:r>
      <w:r w:rsidR="008744D9">
        <w:t>submit</w:t>
      </w:r>
      <w:r w:rsidR="00466FBA">
        <w:t>ted</w:t>
      </w:r>
      <w:r w:rsidR="008744D9">
        <w:t xml:space="preserve"> that it </w:t>
      </w:r>
      <w:r w:rsidR="009E4F36">
        <w:t xml:space="preserve">obtains standalone </w:t>
      </w:r>
      <w:r w:rsidR="008C7606">
        <w:t>"</w:t>
      </w:r>
      <w:r w:rsidR="009E4F36">
        <w:t>quotes</w:t>
      </w:r>
      <w:r w:rsidR="008C7606">
        <w:t>"</w:t>
      </w:r>
      <w:r w:rsidR="009E4F36">
        <w:t xml:space="preserve"> for all EII assets over a three year cycle and then applies an APA Group ex gratia discount</w:t>
      </w:r>
      <w:r w:rsidR="009E4F36">
        <w:rPr>
          <w:rStyle w:val="FootnoteReference"/>
        </w:rPr>
        <w:footnoteReference w:id="74"/>
      </w:r>
      <w:r w:rsidR="009E4F36">
        <w:t xml:space="preserve"> and the APA Operations 10 per cent margin.</w:t>
      </w:r>
      <w:r w:rsidR="00455800">
        <w:rPr>
          <w:rStyle w:val="FootnoteReference"/>
        </w:rPr>
        <w:footnoteReference w:id="75"/>
      </w:r>
      <w:r w:rsidR="00C3588E">
        <w:t xml:space="preserve"> </w:t>
      </w:r>
      <w:r w:rsidR="005034D0">
        <w:t xml:space="preserve">The EII </w:t>
      </w:r>
      <w:r w:rsidR="008C7606">
        <w:t>"</w:t>
      </w:r>
      <w:r w:rsidR="005034D0">
        <w:t>quote</w:t>
      </w:r>
      <w:r w:rsidR="008C7606">
        <w:t>"</w:t>
      </w:r>
      <w:r w:rsidR="005034D0">
        <w:t xml:space="preserve"> is 21 percent less than the total standalone EII premium estimates. </w:t>
      </w:r>
      <w:r w:rsidR="00413635">
        <w:t>While t</w:t>
      </w:r>
      <w:r w:rsidR="00991FDE">
        <w:t xml:space="preserve">his </w:t>
      </w:r>
      <w:r w:rsidR="005034D0">
        <w:t xml:space="preserve">revised method </w:t>
      </w:r>
      <w:r w:rsidR="00991FDE">
        <w:t>addresses</w:t>
      </w:r>
      <w:r w:rsidR="00413635">
        <w:t xml:space="preserve"> some of the bias associated with the methodology applied in Directlink's initial proposal, it still </w:t>
      </w:r>
      <w:r w:rsidR="00495038">
        <w:t xml:space="preserve">imposes an assumption that the portfolio diversification and purchasing economies, worth </w:t>
      </w:r>
      <w:r w:rsidR="0048782C">
        <w:t xml:space="preserve">a </w:t>
      </w:r>
      <w:r w:rsidR="00495038">
        <w:t>21 per c</w:t>
      </w:r>
      <w:r w:rsidR="0048782C">
        <w:t xml:space="preserve">ent reduction in the total standalone premiums, are in proportion to the </w:t>
      </w:r>
      <w:r w:rsidR="0048782C">
        <w:lastRenderedPageBreak/>
        <w:t xml:space="preserve">standalone premium weights. There is no reason to assume that this is the case, without understanding the risk covariance of the assets. </w:t>
      </w:r>
      <w:r w:rsidR="00F56089">
        <w:t>Some assets may accrue more or less than their standalone premium share of the diversification benefits according to their risk covariance with the portfolio of assets.</w:t>
      </w:r>
    </w:p>
    <w:p w:rsidR="00E47ABB" w:rsidRDefault="00D142DF" w:rsidP="007D5F1E">
      <w:r>
        <w:t>In addition,</w:t>
      </w:r>
      <w:r w:rsidR="0021532F">
        <w:t xml:space="preserve"> w</w:t>
      </w:r>
      <w:r w:rsidR="00E47ABB">
        <w:t>e consider</w:t>
      </w:r>
      <w:r w:rsidR="00D32F77">
        <w:t xml:space="preserve"> that this allocation method is not </w:t>
      </w:r>
      <w:r w:rsidR="00E47ABB">
        <w:t>consistent with the Directlink cost allocation methodol</w:t>
      </w:r>
      <w:r w:rsidR="0086330D">
        <w:t>o</w:t>
      </w:r>
      <w:r w:rsidR="00E47ABB">
        <w:t>gy approved by the AER.</w:t>
      </w:r>
    </w:p>
    <w:p w:rsidR="007A7DE6" w:rsidRDefault="00E95D20" w:rsidP="007D5F1E">
      <w:r>
        <w:t xml:space="preserve">We assess that the EII asset group insurance is a shared cost (see discussion below). The cost allocation methodology then requires that </w:t>
      </w:r>
      <w:r w:rsidR="00D32F77">
        <w:t>the shared cost</w:t>
      </w:r>
      <w:r>
        <w:t xml:space="preserve"> is allocated on</w:t>
      </w:r>
      <w:r w:rsidR="008B45D3">
        <w:t xml:space="preserve"> each EII asset's</w:t>
      </w:r>
      <w:r>
        <w:t xml:space="preserve"> revenue share.</w:t>
      </w:r>
      <w:r w:rsidR="00EF6851">
        <w:rPr>
          <w:rStyle w:val="FootnoteReference"/>
        </w:rPr>
        <w:footnoteReference w:id="76"/>
      </w:r>
    </w:p>
    <w:p w:rsidR="00D32F77" w:rsidRDefault="00DC7054" w:rsidP="00D765B7">
      <w:pPr>
        <w:pStyle w:val="HeadingBoldBlue"/>
      </w:pPr>
      <w:r w:rsidRPr="00DC7054">
        <w:t>Application of Directlink Cost Allocation Methodology</w:t>
      </w:r>
    </w:p>
    <w:p w:rsidR="00DC7054" w:rsidRDefault="009D628B" w:rsidP="00D32F77">
      <w:r>
        <w:t>In our draft decision w</w:t>
      </w:r>
      <w:r w:rsidR="00393277">
        <w:t>e expressed concern that Directlink's original allocation methodology for insurance was not consistent with its CAM.</w:t>
      </w:r>
      <w:r>
        <w:rPr>
          <w:rStyle w:val="FootnoteReference"/>
        </w:rPr>
        <w:footnoteReference w:id="77"/>
      </w:r>
      <w:r w:rsidR="00393277">
        <w:t xml:space="preserve"> As indicated above, we continue to hold this view in relation to Directlink's revised allocation methodology.</w:t>
      </w:r>
    </w:p>
    <w:p w:rsidR="00694EDB" w:rsidRDefault="00393277" w:rsidP="00393277">
      <w:r>
        <w:t xml:space="preserve">In its revised proposal Directlink submitted that </w:t>
      </w:r>
      <w:r w:rsidR="00D32F77" w:rsidRPr="007D5F1E">
        <w:t xml:space="preserve">its CAM </w:t>
      </w:r>
      <w:r>
        <w:t>'</w:t>
      </w:r>
      <w:r w:rsidR="00D32F77" w:rsidRPr="007D5F1E">
        <w:t>requires costs to be 1) directly attributable to assets where possible, then 2) allocated among assets using a causal allocator, and then 3) any remaining costs to be allocated on some reasonable basis</w:t>
      </w:r>
      <w:r>
        <w:t>'</w:t>
      </w:r>
      <w:r w:rsidR="00D32F77" w:rsidRPr="007D5F1E">
        <w:t>.</w:t>
      </w:r>
      <w:r>
        <w:rPr>
          <w:rStyle w:val="FootnoteReference"/>
        </w:rPr>
        <w:footnoteReference w:id="78"/>
      </w:r>
      <w:r w:rsidR="00D32F77" w:rsidRPr="007D5F1E">
        <w:t xml:space="preserve"> However, </w:t>
      </w:r>
      <w:r w:rsidR="00592811">
        <w:t>we are</w:t>
      </w:r>
      <w:r w:rsidR="00D32F77" w:rsidRPr="007D5F1E">
        <w:t xml:space="preserve"> </w:t>
      </w:r>
      <w:r w:rsidR="00BE0FDF">
        <w:t>unable to identify the</w:t>
      </w:r>
      <w:r w:rsidR="00D32F77" w:rsidRPr="007D5F1E">
        <w:t xml:space="preserve"> reference to such an allocation</w:t>
      </w:r>
      <w:r w:rsidR="00694EDB">
        <w:t xml:space="preserve"> method</w:t>
      </w:r>
      <w:r w:rsidR="00D32F77" w:rsidRPr="007D5F1E">
        <w:t xml:space="preserve"> in the version of the CAM </w:t>
      </w:r>
      <w:r w:rsidR="00592811">
        <w:t>currently</w:t>
      </w:r>
      <w:r w:rsidR="00D32F77" w:rsidRPr="007D5F1E">
        <w:t xml:space="preserve"> approved (</w:t>
      </w:r>
      <w:r w:rsidR="00694EDB">
        <w:t xml:space="preserve">that is, the </w:t>
      </w:r>
      <w:r w:rsidR="00D32F77" w:rsidRPr="007D5F1E">
        <w:t xml:space="preserve">version dated April 2010). </w:t>
      </w:r>
    </w:p>
    <w:p w:rsidR="00387DBB" w:rsidRDefault="00387DBB" w:rsidP="00393277">
      <w:r>
        <w:t>We consider that insurance taken out by APA Operations is a shared cost as:</w:t>
      </w:r>
    </w:p>
    <w:p w:rsidR="00200713" w:rsidRDefault="00200713" w:rsidP="00E455DF">
      <w:pPr>
        <w:pStyle w:val="AERbulletlistfirststyle"/>
      </w:pPr>
      <w:r>
        <w:t>Directlink, in response to AER information request Opex 01, included insurance under shared costs and not under direct costs.</w:t>
      </w:r>
      <w:r>
        <w:rPr>
          <w:rStyle w:val="FootnoteReference"/>
        </w:rPr>
        <w:footnoteReference w:id="79"/>
      </w:r>
    </w:p>
    <w:p w:rsidR="00103468" w:rsidRDefault="00BE78D9" w:rsidP="00103468">
      <w:pPr>
        <w:pStyle w:val="AERbulletlistfirststyle"/>
      </w:pPr>
      <w:r>
        <w:t>Directlink has indicated that</w:t>
      </w:r>
      <w:r w:rsidR="00103468">
        <w:t xml:space="preserve"> ther</w:t>
      </w:r>
      <w:r w:rsidR="00651B1F">
        <w:t>e</w:t>
      </w:r>
      <w:r w:rsidR="00103468">
        <w:t xml:space="preserve"> is no directly charged cost to Directlink for insurance. Directlink submits that</w:t>
      </w:r>
      <w:r>
        <w:t xml:space="preserve"> </w:t>
      </w:r>
      <w:r w:rsidR="00103468">
        <w:t>'[a]</w:t>
      </w:r>
      <w:r w:rsidR="00103468" w:rsidRPr="00F546E5">
        <w:t>s EII insures its assets as a portfolio, there is no direct invoice for Directlink insurance written on a standalone basis.</w:t>
      </w:r>
      <w:r w:rsidR="00103468">
        <w:t>'</w:t>
      </w:r>
      <w:r w:rsidR="00103468">
        <w:rPr>
          <w:rStyle w:val="FootnoteReference"/>
        </w:rPr>
        <w:footnoteReference w:id="80"/>
      </w:r>
    </w:p>
    <w:p w:rsidR="00313568" w:rsidRDefault="005D1C29" w:rsidP="002B389E">
      <w:pPr>
        <w:pStyle w:val="AERbulletlistfirststyle"/>
      </w:pPr>
      <w:r w:rsidRPr="002B389E">
        <w:t>[</w:t>
      </w:r>
      <w:r w:rsidR="00020BF5">
        <w:t>CONFIDENTIAL MATERIAL OMITTED</w:t>
      </w:r>
      <w:r w:rsidRPr="002B389E">
        <w:t>]</w:t>
      </w:r>
      <w:r w:rsidR="0053135D" w:rsidRPr="002B389E">
        <w:t>.</w:t>
      </w:r>
      <w:r w:rsidR="00C36A0C">
        <w:rPr>
          <w:rStyle w:val="FootnoteReference"/>
        </w:rPr>
        <w:footnoteReference w:id="81"/>
      </w:r>
    </w:p>
    <w:p w:rsidR="00387DBB" w:rsidRDefault="00651B1F" w:rsidP="00651B1F">
      <w:pPr>
        <w:pStyle w:val="AERbulletlistfirststyle"/>
      </w:pPr>
      <w:r>
        <w:t>The insurance invoice is for the total</w:t>
      </w:r>
      <w:r w:rsidR="006A7D31">
        <w:t xml:space="preserve"> EII Group</w:t>
      </w:r>
      <w:r>
        <w:t xml:space="preserve"> insurance amount, is</w:t>
      </w:r>
      <w:r w:rsidR="007C7C38">
        <w:t xml:space="preserve"> invoiced to Energy Fund Asset Pty Limited and</w:t>
      </w:r>
      <w:r>
        <w:t xml:space="preserve"> described</w:t>
      </w:r>
      <w:r w:rsidR="007C7C38">
        <w:t xml:space="preserve"> generically as 'Industrial Special Risk insurance for the period 1 Jun 14 - 1 Jun 15' and 'Combined General &amp; Products Liability Insurance for the period 1 November 2014 - 31 October 2015'. </w:t>
      </w:r>
      <w:r w:rsidR="00271024">
        <w:lastRenderedPageBreak/>
        <w:t>This is in contrast to direct costs, which specify services to</w:t>
      </w:r>
      <w:r w:rsidR="006A7D31">
        <w:t xml:space="preserve"> be provided to</w:t>
      </w:r>
      <w:r w:rsidR="00271024">
        <w:t xml:space="preserve"> Directlink</w:t>
      </w:r>
      <w:r w:rsidR="006A7D31">
        <w:t xml:space="preserve"> or are invoiced directly to the Directlink Joint Venture</w:t>
      </w:r>
      <w:r w:rsidR="00271024">
        <w:t>. For e</w:t>
      </w:r>
      <w:r>
        <w:t>xample</w:t>
      </w:r>
      <w:r w:rsidR="00271024">
        <w:t xml:space="preserve">, </w:t>
      </w:r>
      <w:r w:rsidR="00206AA0">
        <w:t>t</w:t>
      </w:r>
      <w:r w:rsidR="006A7D31">
        <w:t>he Directlink fire suppression system costs were invoiced to the Directlink Joint Venture.</w:t>
      </w:r>
      <w:r w:rsidR="006A7D31">
        <w:rPr>
          <w:rStyle w:val="FootnoteReference"/>
        </w:rPr>
        <w:footnoteReference w:id="82"/>
      </w:r>
      <w:r w:rsidR="00673C63">
        <w:t xml:space="preserve"> Direc</w:t>
      </w:r>
      <w:r w:rsidR="00482226">
        <w:t>t</w:t>
      </w:r>
      <w:r w:rsidR="00673C63">
        <w:t>l</w:t>
      </w:r>
      <w:r w:rsidR="00482226">
        <w:t>ink property taxes were invoiced to the Directlink Joint Venture.</w:t>
      </w:r>
      <w:r w:rsidR="00482226">
        <w:rPr>
          <w:rStyle w:val="FootnoteReference"/>
        </w:rPr>
        <w:footnoteReference w:id="83"/>
      </w:r>
      <w:r w:rsidR="00206AA0" w:rsidRPr="00206AA0">
        <w:t xml:space="preserve"> </w:t>
      </w:r>
      <w:r w:rsidR="00206AA0">
        <w:t>Only those audit services that were specified as being for Directlink and Murraylink were allocated to Directlink and Murraylink.</w:t>
      </w:r>
      <w:r w:rsidR="00206AA0">
        <w:rPr>
          <w:rStyle w:val="FootnoteReference"/>
        </w:rPr>
        <w:footnoteReference w:id="84"/>
      </w:r>
    </w:p>
    <w:p w:rsidR="00073328" w:rsidRDefault="00073328" w:rsidP="00073328">
      <w:pPr>
        <w:pStyle w:val="AERbulletlistfirststyle"/>
      </w:pPr>
      <w:r>
        <w:t>Directlink's CAM states that '[a]</w:t>
      </w:r>
      <w:r w:rsidRPr="00073328">
        <w:t xml:space="preserve"> monthly cost allocation is undertaken for all shared costs, the bulk of which are incurred under the MOMCSA</w:t>
      </w:r>
      <w:r>
        <w:t>'</w:t>
      </w:r>
      <w:r w:rsidRPr="00073328">
        <w:t>.</w:t>
      </w:r>
      <w:r>
        <w:rPr>
          <w:rStyle w:val="FootnoteReference"/>
        </w:rPr>
        <w:footnoteReference w:id="85"/>
      </w:r>
      <w:r>
        <w:t xml:space="preserve"> Directlink submits that '</w:t>
      </w:r>
      <w:r w:rsidRPr="00A27A54">
        <w:t>insurance costs are accrued monthly in the EII financial accounts</w:t>
      </w:r>
      <w:r>
        <w:t>'.</w:t>
      </w:r>
      <w:r>
        <w:rPr>
          <w:rStyle w:val="FootnoteReference"/>
        </w:rPr>
        <w:footnoteReference w:id="86"/>
      </w:r>
    </w:p>
    <w:p w:rsidR="002870B5" w:rsidRDefault="002870B5" w:rsidP="002870B5">
      <w:pPr>
        <w:pStyle w:val="AERbulletlistfirststyle"/>
      </w:pPr>
      <w:r w:rsidRPr="00B91EBE">
        <w:t xml:space="preserve">APA Ops (EII) </w:t>
      </w:r>
      <w:r>
        <w:t>stated that it '</w:t>
      </w:r>
      <w:r w:rsidRPr="00B91EBE">
        <w:t>interprets MOMCSA clause 11.11(a) as requiring it to provide a standalone insurance quotation for each asset as part of the EII portfolio, rather than a standalone insurance quotatio</w:t>
      </w:r>
      <w:r>
        <w:t>n for each individual EII asset'.</w:t>
      </w:r>
      <w:r>
        <w:rPr>
          <w:rStyle w:val="FootnoteReference"/>
        </w:rPr>
        <w:footnoteReference w:id="87"/>
      </w:r>
    </w:p>
    <w:p w:rsidR="00D32F77" w:rsidRDefault="00F212F8" w:rsidP="00F212F8">
      <w:pPr>
        <w:pStyle w:val="AERbulletlistfirststyle"/>
        <w:numPr>
          <w:ilvl w:val="0"/>
          <w:numId w:val="0"/>
        </w:numPr>
      </w:pPr>
      <w:r>
        <w:t>As a shared cost, t</w:t>
      </w:r>
      <w:r w:rsidR="00D32F77" w:rsidRPr="007D5F1E">
        <w:t xml:space="preserve">he April 2010 </w:t>
      </w:r>
      <w:r w:rsidR="00694EDB">
        <w:t xml:space="preserve">version of the </w:t>
      </w:r>
      <w:r w:rsidR="00D32F77" w:rsidRPr="007D5F1E">
        <w:t>Directlink CAM requires that:</w:t>
      </w:r>
      <w:r w:rsidR="00407DBA">
        <w:rPr>
          <w:rStyle w:val="FootnoteReference"/>
        </w:rPr>
        <w:footnoteReference w:id="88"/>
      </w:r>
    </w:p>
    <w:p w:rsidR="00EE4349" w:rsidRDefault="00EE4349" w:rsidP="00EE4349">
      <w:pPr>
        <w:pStyle w:val="AERquote"/>
      </w:pPr>
      <w:r>
        <w:t>[t]</w:t>
      </w:r>
      <w:r w:rsidRPr="00EE4349">
        <w:t>hese costs are allocated to an individual asset as a</w:t>
      </w:r>
      <w:r>
        <w:t xml:space="preserve"> </w:t>
      </w:r>
      <w:r w:rsidRPr="00EE4349">
        <w:t>percentage (%) of the revenue the asset contributes to EII’s total revenue.</w:t>
      </w:r>
    </w:p>
    <w:p w:rsidR="004945EB" w:rsidRPr="007D5F1E" w:rsidRDefault="00407DBA" w:rsidP="00393277">
      <w:r>
        <w:t xml:space="preserve">In its revised proposal, </w:t>
      </w:r>
      <w:r w:rsidR="00EE4349">
        <w:t>Directlink submit</w:t>
      </w:r>
      <w:r w:rsidR="008003AF">
        <w:t>ted</w:t>
      </w:r>
      <w:r w:rsidR="00EE4349">
        <w:t xml:space="preserve"> that </w:t>
      </w:r>
      <w:r w:rsidR="00002E79">
        <w:t xml:space="preserve">insurance is not included in the list of costs in </w:t>
      </w:r>
      <w:r w:rsidR="00644A61">
        <w:t>Appendix C</w:t>
      </w:r>
      <w:r w:rsidR="00EE4349">
        <w:t>.</w:t>
      </w:r>
      <w:r w:rsidR="00002E79">
        <w:t xml:space="preserve"> Directlink submit</w:t>
      </w:r>
      <w:r w:rsidR="008003AF">
        <w:t>ted</w:t>
      </w:r>
      <w:r w:rsidR="00002E79">
        <w:t xml:space="preserve"> that insurance is specifically identified in section 2.2 as a 'direct other cost'.</w:t>
      </w:r>
      <w:r w:rsidR="00A27A54">
        <w:t xml:space="preserve"> It states that on this basis its methodology is consistent with the CAM. Directlink stated that historically insurance costs were allocated among various EII assets according to asset value and </w:t>
      </w:r>
      <w:r w:rsidR="00096051">
        <w:t>contribution</w:t>
      </w:r>
      <w:r w:rsidR="00A27A54">
        <w:t xml:space="preserve"> to group revenue. It submit</w:t>
      </w:r>
      <w:r w:rsidR="008003AF">
        <w:t>ted</w:t>
      </w:r>
      <w:r w:rsidR="00A27A54">
        <w:t xml:space="preserve"> that this is consistent with having no sound basis on which to directly attribute insurance costs to any particular asset. It submit</w:t>
      </w:r>
      <w:r w:rsidR="008003AF">
        <w:t>ted</w:t>
      </w:r>
      <w:r w:rsidR="00A27A54">
        <w:t xml:space="preserve"> that</w:t>
      </w:r>
      <w:r w:rsidR="006B0757">
        <w:t xml:space="preserve"> 'the Mullumbimby converter station fire and ensuing increases in Directlink insurance premiums…' provided a foundation for direct attribution of costs.</w:t>
      </w:r>
      <w:r w:rsidR="006B0757">
        <w:rPr>
          <w:rStyle w:val="FootnoteReference"/>
        </w:rPr>
        <w:footnoteReference w:id="89"/>
      </w:r>
    </w:p>
    <w:p w:rsidR="00073328" w:rsidRDefault="00073328" w:rsidP="001978E8">
      <w:r>
        <w:t>The CAM sets out:</w:t>
      </w:r>
      <w:r>
        <w:rPr>
          <w:rStyle w:val="FootnoteReference"/>
        </w:rPr>
        <w:footnoteReference w:id="90"/>
      </w:r>
    </w:p>
    <w:p w:rsidR="00073328" w:rsidRPr="00073328" w:rsidRDefault="00073328" w:rsidP="00073328">
      <w:pPr>
        <w:pStyle w:val="AERbulletlistfirststyle"/>
      </w:pPr>
      <w:r w:rsidRPr="00073328">
        <w:tab/>
        <w:t>costs directly associated with the operation and maintenance of Directlink which are directly attributed to the Directlink Joint Venture; and</w:t>
      </w:r>
    </w:p>
    <w:p w:rsidR="00073328" w:rsidRPr="00073328" w:rsidRDefault="00073328" w:rsidP="00073328">
      <w:pPr>
        <w:pStyle w:val="AERbulletlistfirststyle"/>
      </w:pPr>
      <w:r w:rsidRPr="00073328">
        <w:lastRenderedPageBreak/>
        <w:tab/>
        <w:t>costs associated with the provision of other commercial services under MOMCSA which are allocated by EII to the Directlink Joint Venture using the allocation rules outlined in Appendix C.</w:t>
      </w:r>
    </w:p>
    <w:p w:rsidR="00B95495" w:rsidRDefault="001978E8" w:rsidP="001978E8">
      <w:r>
        <w:t xml:space="preserve">The CAM states that </w:t>
      </w:r>
      <w:r w:rsidRPr="00096051">
        <w:t xml:space="preserve">the direct costs identified </w:t>
      </w:r>
      <w:r>
        <w:t xml:space="preserve">in section 2.2 </w:t>
      </w:r>
      <w:r w:rsidRPr="00096051">
        <w:t xml:space="preserve">are </w:t>
      </w:r>
      <w:r>
        <w:t>'</w:t>
      </w:r>
      <w:r w:rsidRPr="00096051">
        <w:t>incurred by Directlink and attributed to the</w:t>
      </w:r>
      <w:r>
        <w:t xml:space="preserve"> </w:t>
      </w:r>
      <w:r w:rsidRPr="00096051">
        <w:t>prescribed transmission service</w:t>
      </w:r>
      <w:r>
        <w:t>'</w:t>
      </w:r>
      <w:r w:rsidRPr="00096051">
        <w:t>.</w:t>
      </w:r>
      <w:r w:rsidR="00C73264">
        <w:rPr>
          <w:rStyle w:val="FootnoteReference"/>
        </w:rPr>
        <w:footnoteReference w:id="91"/>
      </w:r>
      <w:r>
        <w:t xml:space="preserve"> However, </w:t>
      </w:r>
      <w:r w:rsidR="00B95495">
        <w:t>insurance</w:t>
      </w:r>
      <w:r>
        <w:t xml:space="preserve"> coverage for Directlink is n</w:t>
      </w:r>
      <w:r w:rsidR="00B95495">
        <w:t xml:space="preserve">either: </w:t>
      </w:r>
    </w:p>
    <w:p w:rsidR="00B95495" w:rsidRDefault="00B95495" w:rsidP="00B95495">
      <w:pPr>
        <w:pStyle w:val="AERbulletlistfirststyle"/>
      </w:pPr>
      <w:r>
        <w:t>taken out directly for the Directlink asset (an option which is provided for under cl.11.4.1 of the MOMSCA) as opposed to under the APA Group policy (as per the option provided under cl.</w:t>
      </w:r>
      <w:r w:rsidR="00DA36F1">
        <w:t>11.11(b)</w:t>
      </w:r>
      <w:r>
        <w:t xml:space="preserve"> of the MOMSCA), </w:t>
      </w:r>
    </w:p>
    <w:p w:rsidR="00B95495" w:rsidRDefault="00B95495" w:rsidP="00B95495">
      <w:pPr>
        <w:pStyle w:val="AERbulletlistfirststyle"/>
      </w:pPr>
      <w:r>
        <w:t>directly invoiced to the Directlink Joint Venture</w:t>
      </w:r>
      <w:r w:rsidR="001978E8">
        <w:t>,</w:t>
      </w:r>
      <w:r>
        <w:t xml:space="preserve"> </w:t>
      </w:r>
      <w:r w:rsidR="001978E8">
        <w:t>n</w:t>
      </w:r>
      <w:r>
        <w:t xml:space="preserve">or </w:t>
      </w:r>
    </w:p>
    <w:p w:rsidR="001978E8" w:rsidRDefault="00B95495" w:rsidP="001978E8">
      <w:pPr>
        <w:pStyle w:val="AERbulletlistfirststyle"/>
      </w:pPr>
      <w:r>
        <w:t>specified</w:t>
      </w:r>
      <w:r w:rsidR="00AE7102">
        <w:t xml:space="preserve"> on the invoice</w:t>
      </w:r>
      <w:r>
        <w:t xml:space="preserve"> as the insurance amount </w:t>
      </w:r>
      <w:r w:rsidR="00273FF6">
        <w:t>for</w:t>
      </w:r>
      <w:r>
        <w:t xml:space="preserve"> Directli</w:t>
      </w:r>
      <w:r w:rsidR="001978E8">
        <w:t>nk</w:t>
      </w:r>
      <w:r>
        <w:t xml:space="preserve">. </w:t>
      </w:r>
    </w:p>
    <w:p w:rsidR="003D24FF" w:rsidRDefault="00B95495" w:rsidP="003D24FF">
      <w:r>
        <w:t xml:space="preserve">Accordingly, we consider that insurance would fall under the </w:t>
      </w:r>
      <w:r w:rsidR="00DA36F1">
        <w:t>section 2.2 category of '</w:t>
      </w:r>
      <w:r w:rsidR="00DA36F1" w:rsidRPr="00DA36F1">
        <w:t>an allocation of the costs incurred by EII for other commercial services under the</w:t>
      </w:r>
      <w:r w:rsidR="00DA36F1">
        <w:t xml:space="preserve"> </w:t>
      </w:r>
      <w:r w:rsidR="00DA36F1" w:rsidRPr="00DA36F1">
        <w:t>MOMCSA</w:t>
      </w:r>
      <w:r w:rsidR="00DA36F1">
        <w:t>'.</w:t>
      </w:r>
      <w:r w:rsidR="00DA36F1">
        <w:rPr>
          <w:rStyle w:val="FootnoteReference"/>
        </w:rPr>
        <w:footnoteReference w:id="92"/>
      </w:r>
      <w:r w:rsidR="001D0590">
        <w:t xml:space="preserve"> </w:t>
      </w:r>
      <w:r w:rsidR="003D24FF">
        <w:t>The MOMSCA sets out under 'Schedule 3: Commercial services' the key activities</w:t>
      </w:r>
      <w:r w:rsidR="00073328">
        <w:t xml:space="preserve"> required to be performed</w:t>
      </w:r>
      <w:r w:rsidR="003D24FF">
        <w:t>. This includes to '…. provide services to insure and maintain the Assets (actual insurances being a reimbursed cost to the Operator)</w:t>
      </w:r>
      <w:r w:rsidR="003D428E">
        <w:t>'.</w:t>
      </w:r>
      <w:r w:rsidR="003D24FF">
        <w:rPr>
          <w:rStyle w:val="FootnoteReference"/>
        </w:rPr>
        <w:footnoteReference w:id="93"/>
      </w:r>
    </w:p>
    <w:p w:rsidR="001D0590" w:rsidRDefault="007B7FFE" w:rsidP="007B7FFE">
      <w:r>
        <w:t xml:space="preserve">Appendix C </w:t>
      </w:r>
      <w:r w:rsidR="00044A79">
        <w:t xml:space="preserve">of the CAM </w:t>
      </w:r>
      <w:r w:rsidR="00B34467">
        <w:t xml:space="preserve">includes commercial management and </w:t>
      </w:r>
      <w:r>
        <w:t>provides for the cost of commercial functions to be shared between EII assets in p</w:t>
      </w:r>
      <w:r w:rsidRPr="007B7FFE">
        <w:t>roportion</w:t>
      </w:r>
      <w:r>
        <w:t xml:space="preserve"> to its</w:t>
      </w:r>
      <w:r w:rsidRPr="007B7FFE">
        <w:t xml:space="preserve"> contribution</w:t>
      </w:r>
      <w:r>
        <w:t xml:space="preserve"> </w:t>
      </w:r>
      <w:r w:rsidRPr="007B7FFE">
        <w:t>to group revenue</w:t>
      </w:r>
      <w:r>
        <w:t>.</w:t>
      </w:r>
      <w:r>
        <w:rPr>
          <w:rStyle w:val="FootnoteReference"/>
        </w:rPr>
        <w:footnoteReference w:id="94"/>
      </w:r>
      <w:r w:rsidR="00815306" w:rsidRPr="00815306">
        <w:t xml:space="preserve"> </w:t>
      </w:r>
      <w:r w:rsidR="00815306">
        <w:t>We therefore consider that insurance costs are to be allocated according to the proportion of the EII asset's contribution to group revenue.</w:t>
      </w:r>
    </w:p>
    <w:p w:rsidR="009B571C" w:rsidRDefault="009B571C" w:rsidP="00D32F77">
      <w:r>
        <w:t xml:space="preserve">In its revised proposal, Directlink </w:t>
      </w:r>
      <w:r w:rsidR="00390B79">
        <w:t>appeared</w:t>
      </w:r>
      <w:r>
        <w:t xml:space="preserve"> to be interpreting 'direct attribution' as </w:t>
      </w:r>
      <w:r w:rsidR="007A51C0">
        <w:t xml:space="preserve">the existence of </w:t>
      </w:r>
      <w:r>
        <w:t>differential asset risk</w:t>
      </w:r>
      <w:r w:rsidR="007A51C0">
        <w:t xml:space="preserve"> across the EII asset portfolio</w:t>
      </w:r>
      <w:r>
        <w:t>. However, the CAM provides guidance on the interpretation of 'direct attribution'. The CAM states that:</w:t>
      </w:r>
      <w:r>
        <w:rPr>
          <w:rStyle w:val="FootnoteReference"/>
        </w:rPr>
        <w:footnoteReference w:id="95"/>
      </w:r>
      <w:r>
        <w:t xml:space="preserve"> </w:t>
      </w:r>
    </w:p>
    <w:p w:rsidR="00D32F77" w:rsidRDefault="009B571C" w:rsidP="007A51C0">
      <w:pPr>
        <w:pStyle w:val="AERquote"/>
      </w:pPr>
      <w:r>
        <w:t>'</w:t>
      </w:r>
      <w:r w:rsidR="00D32F77" w:rsidRPr="007D5F1E">
        <w:t>It should be noted that in instances where a service can be directly attributed to the asset, such as a legal cost relating solely to the asset, then this is attributed as a direct other cost as outlined in section 2.2.</w:t>
      </w:r>
      <w:r>
        <w:t>'</w:t>
      </w:r>
      <w:r w:rsidR="00D32F77" w:rsidRPr="007D5F1E">
        <w:t xml:space="preserve"> </w:t>
      </w:r>
    </w:p>
    <w:p w:rsidR="00D32F77" w:rsidRDefault="007A51C0" w:rsidP="00DC0340">
      <w:r>
        <w:t xml:space="preserve">As set out above, </w:t>
      </w:r>
      <w:r w:rsidR="00DC0340">
        <w:t>insurance is not taken out solely for Directlink</w:t>
      </w:r>
      <w:r w:rsidR="00E37FF2">
        <w:t xml:space="preserve"> and</w:t>
      </w:r>
      <w:r w:rsidR="00DC0340">
        <w:t xml:space="preserve"> it is not separately invoiced. We therefore do not consider that the EII group insurance costs are directly attributable to Directlink. </w:t>
      </w:r>
    </w:p>
    <w:p w:rsidR="00134608" w:rsidRDefault="00F72824" w:rsidP="00D765B7">
      <w:pPr>
        <w:pStyle w:val="HeadingBoldBlue"/>
      </w:pPr>
      <w:r>
        <w:t>B</w:t>
      </w:r>
      <w:r w:rsidR="00B26841">
        <w:t>asis to Directlink's insurance forecast</w:t>
      </w:r>
    </w:p>
    <w:p w:rsidR="00D86A62" w:rsidRDefault="00A75733" w:rsidP="00B26841">
      <w:r>
        <w:lastRenderedPageBreak/>
        <w:t xml:space="preserve">In assessing </w:t>
      </w:r>
      <w:r w:rsidR="00D86A62">
        <w:t xml:space="preserve">the </w:t>
      </w:r>
      <w:r>
        <w:t xml:space="preserve">forecast </w:t>
      </w:r>
      <w:r w:rsidR="00D86A62">
        <w:t>of business as usual op</w:t>
      </w:r>
      <w:r>
        <w:t>ex</w:t>
      </w:r>
      <w:r w:rsidR="00D86A62">
        <w:t>, such as insurance,</w:t>
      </w:r>
      <w:r>
        <w:t xml:space="preserve"> our</w:t>
      </w:r>
      <w:r w:rsidR="00D86A62">
        <w:t xml:space="preserve"> starting point is</w:t>
      </w:r>
      <w:r w:rsidR="00390B79">
        <w:t xml:space="preserve"> usually the</w:t>
      </w:r>
      <w:r w:rsidR="00D86A62">
        <w:t xml:space="preserve"> revealed cost</w:t>
      </w:r>
      <w:r w:rsidR="00390B79">
        <w:t xml:space="preserve"> incurred by the business</w:t>
      </w:r>
      <w:r w:rsidR="00D86A62">
        <w:t xml:space="preserve">. We note that this is the basis for the majority of Directlink's bottom up build - the operating and maintenance build-up relies on current period expenditure information, the tax on property and capital and accounting/auditing costs are based on current invoice amounts. </w:t>
      </w:r>
      <w:r>
        <w:t xml:space="preserve"> </w:t>
      </w:r>
    </w:p>
    <w:p w:rsidR="00F96748" w:rsidRDefault="004129D6" w:rsidP="00B26841">
      <w:r>
        <w:t xml:space="preserve">In our draft decision we expressed concern about the </w:t>
      </w:r>
      <w:r w:rsidR="00A75733">
        <w:t xml:space="preserve">magnitude of increase in </w:t>
      </w:r>
      <w:r w:rsidR="00F96748">
        <w:t xml:space="preserve">forecast </w:t>
      </w:r>
      <w:r w:rsidR="00A75733">
        <w:t>insurance premiums</w:t>
      </w:r>
      <w:r w:rsidR="00E45B5C">
        <w:t xml:space="preserve"> </w:t>
      </w:r>
      <w:r w:rsidR="00F96748">
        <w:t>compared with the current period:</w:t>
      </w:r>
      <w:r w:rsidR="007515F2">
        <w:rPr>
          <w:rStyle w:val="FootnoteReference"/>
        </w:rPr>
        <w:footnoteReference w:id="96"/>
      </w:r>
    </w:p>
    <w:p w:rsidR="00B26841" w:rsidRDefault="00F96748" w:rsidP="00F96748">
      <w:pPr>
        <w:pStyle w:val="AERbulletlistfirststyle"/>
      </w:pPr>
      <w:r>
        <w:t>Directlink's property insurance premium was forecast to increase by 76 per cent in 2014-15 compared with 2013-14, notwithstanding that between 2010-11 and 2013-14 EII group property premiums had increased on average 4.6 per cent annually and Directlink's had increased by 5.7 per cent annually over the same period. We note that the Mullumbimby fire, which Directlink attribute as the cause of the premium increase, was in August 2012.</w:t>
      </w:r>
    </w:p>
    <w:p w:rsidR="00F96748" w:rsidRDefault="00F96748" w:rsidP="00F96748">
      <w:pPr>
        <w:pStyle w:val="AERbulletlistfirststyle"/>
      </w:pPr>
      <w:r>
        <w:t>Directlink's public liability insurance was forecast to increase by 1,685 per cent 2014-15 compared with 2013-14, notwithstanding that between 2010-11 and 2013-14 EII group property premiums had decreased on average 10 per cent annually and Directlink's had decreased by 19 per cent annually over the same period. We note that Directlink states that public liability premiums were not impacted by the Mullumbimby fire.</w:t>
      </w:r>
    </w:p>
    <w:p w:rsidR="0041219A" w:rsidRPr="0041219A" w:rsidRDefault="00D9661A" w:rsidP="0041219A">
      <w:r>
        <w:t xml:space="preserve">The </w:t>
      </w:r>
      <w:r w:rsidR="0041219A">
        <w:t>premium</w:t>
      </w:r>
      <w:r>
        <w:t xml:space="preserve"> increases are arrived at on the basis of </w:t>
      </w:r>
      <w:r w:rsidR="008C7606">
        <w:t>estima</w:t>
      </w:r>
      <w:r>
        <w:t xml:space="preserve">tes obtained from Marsh. Marsh </w:t>
      </w:r>
      <w:r w:rsidR="0041219A">
        <w:t xml:space="preserve">attributes the increase in its </w:t>
      </w:r>
      <w:r w:rsidR="008C7606">
        <w:t>estima</w:t>
      </w:r>
      <w:r w:rsidR="0041219A">
        <w:t xml:space="preserve">te </w:t>
      </w:r>
      <w:r w:rsidR="00867C91">
        <w:t xml:space="preserve">to </w:t>
      </w:r>
      <w:r w:rsidR="008C7606">
        <w:t>calcula</w:t>
      </w:r>
      <w:r w:rsidR="00867C91">
        <w:t>ting insurance on a standalone basis and, for property insurance,</w:t>
      </w:r>
      <w:r w:rsidR="0041219A">
        <w:t xml:space="preserve"> to the increase in the risk associated with </w:t>
      </w:r>
      <w:r w:rsidR="0041219A" w:rsidRPr="0041219A">
        <w:t>the Directlink asset and the winding out of the claims history.</w:t>
      </w:r>
    </w:p>
    <w:p w:rsidR="0041219A" w:rsidRDefault="0041219A" w:rsidP="007515F2">
      <w:pPr>
        <w:pStyle w:val="AERbulletlistfirststyle"/>
        <w:numPr>
          <w:ilvl w:val="0"/>
          <w:numId w:val="0"/>
        </w:numPr>
      </w:pPr>
      <w:r>
        <w:t xml:space="preserve">We do not consider that the </w:t>
      </w:r>
      <w:r w:rsidR="000605B4">
        <w:t>Marsh estimates</w:t>
      </w:r>
      <w:r>
        <w:t xml:space="preserve"> </w:t>
      </w:r>
      <w:r w:rsidR="002004BA">
        <w:t>reasonably reflect the efficient costs of a prudent service provider</w:t>
      </w:r>
      <w:r>
        <w:t xml:space="preserve">. As set out in our discussions above, </w:t>
      </w:r>
      <w:r w:rsidR="00C3137F">
        <w:t xml:space="preserve">with respect to property insurance premiums, </w:t>
      </w:r>
      <w:r>
        <w:t xml:space="preserve">we consider that </w:t>
      </w:r>
      <w:r w:rsidR="00C3137F">
        <w:t xml:space="preserve">given the proposed capex and opex, </w:t>
      </w:r>
      <w:r>
        <w:t xml:space="preserve">the Directlink asset </w:t>
      </w:r>
      <w:r w:rsidR="00C3137F">
        <w:t>will have a lower risk level than pre-fire. We consider that the reduction in risk level would more than offset the cost associated with the claims history winding out. This appears to be borne out by FM Global's assessment</w:t>
      </w:r>
      <w:r w:rsidR="00B466FB">
        <w:t xml:space="preserve"> of a 97 per cent decrease in loss exposure </w:t>
      </w:r>
      <w:r w:rsidR="00C3137F">
        <w:t xml:space="preserve">and the EII interim results which show a </w:t>
      </w:r>
      <w:r w:rsidR="00E22340">
        <w:t xml:space="preserve">32.7 </w:t>
      </w:r>
      <w:r w:rsidR="00C3137F">
        <w:t xml:space="preserve">decline in insurance costs (see section </w:t>
      </w:r>
      <w:r w:rsidR="00E22340">
        <w:t>'</w:t>
      </w:r>
      <w:r w:rsidR="00E22340" w:rsidRPr="00E22340">
        <w:t xml:space="preserve"> Returning the Directlink asset to pre-fire risk levels</w:t>
      </w:r>
      <w:r w:rsidR="00E22340">
        <w:t>' above</w:t>
      </w:r>
      <w:r w:rsidR="00C3137F">
        <w:t>).</w:t>
      </w:r>
      <w:r w:rsidR="00B466FB">
        <w:t xml:space="preserve"> If the claims history effect was greater than the reduction in risk level, we would expect to see an increase in EII insurance premiums until such time as the claims history effect was less than the impact of the reduction in risk level. However, as the insurance costs have decreased significantly, this indicates that the reduction in risk level more than offsets the premium increase attributable to the claims history.</w:t>
      </w:r>
    </w:p>
    <w:p w:rsidR="00F96748" w:rsidRDefault="00706A56" w:rsidP="007515F2">
      <w:pPr>
        <w:pStyle w:val="AERbulletlistfirststyle"/>
        <w:numPr>
          <w:ilvl w:val="0"/>
          <w:numId w:val="0"/>
        </w:numPr>
      </w:pPr>
      <w:r>
        <w:t>With respect to Marsh quoting on a standalone basis, w</w:t>
      </w:r>
      <w:r w:rsidR="007515F2">
        <w:t xml:space="preserve">e note that the operating agreement (the MOMCSA) between APA Operations and EII provides for APA Operations to insure the EII assets under its APA Group insurance policies, which it does. It also provides for APA Operations to obtain an independent quote for </w:t>
      </w:r>
      <w:r w:rsidR="007515F2">
        <w:lastRenderedPageBreak/>
        <w:t>standalone insurance for the EII assets. Notwithstanding the costs which APA Group incurs in covering the EII assets under its APA Group policies, the MOMCSA provides for APA Operations to charge up to the amount of the independent quotation.</w:t>
      </w:r>
      <w:r w:rsidR="00536258">
        <w:t xml:space="preserve"> </w:t>
      </w:r>
      <w:r w:rsidR="00CA32DD">
        <w:t>The MOMSCA also provides for APA Operations to earn a 10 per cent margin on the quoted insurance amount.</w:t>
      </w:r>
    </w:p>
    <w:p w:rsidR="00A616FD" w:rsidRDefault="00CA32DD" w:rsidP="00CA32DD">
      <w:r>
        <w:t>Directlink submit</w:t>
      </w:r>
      <w:r w:rsidR="005416FE">
        <w:t>ted</w:t>
      </w:r>
      <w:r>
        <w:t xml:space="preserve"> that</w:t>
      </w:r>
      <w:r w:rsidR="00A616FD">
        <w:t>:</w:t>
      </w:r>
      <w:r w:rsidR="00A616FD">
        <w:rPr>
          <w:rStyle w:val="FootnoteReference"/>
        </w:rPr>
        <w:footnoteReference w:id="97"/>
      </w:r>
      <w:r>
        <w:t xml:space="preserve"> </w:t>
      </w:r>
    </w:p>
    <w:p w:rsidR="00A616FD" w:rsidRDefault="00A616FD" w:rsidP="00A616FD">
      <w:pPr>
        <w:pStyle w:val="AERquote"/>
      </w:pPr>
      <w:r>
        <w:t>"</w:t>
      </w:r>
      <w:r w:rsidRPr="00A616FD">
        <w:t>At the time EII was established, APA was the largest provider of asset management and operating and maintenance services in the Australian energy networks industry. Entry into the MOMCSA was therefore viewed as a means by which EII could access economies of scale, scope and other efficiencies, along with asset management and corporate services expertise, that it would not otherwise be able to obtain on a stand-alone basis.</w:t>
      </w:r>
      <w:r>
        <w:t>"</w:t>
      </w:r>
    </w:p>
    <w:p w:rsidR="00A616FD" w:rsidRDefault="00A616FD" w:rsidP="00A616FD">
      <w:r>
        <w:t>Directlink also state</w:t>
      </w:r>
      <w:r w:rsidR="00862155">
        <w:t>d</w:t>
      </w:r>
      <w:r>
        <w:t xml:space="preserve"> that:</w:t>
      </w:r>
      <w:r>
        <w:rPr>
          <w:rStyle w:val="FootnoteReference"/>
        </w:rPr>
        <w:footnoteReference w:id="98"/>
      </w:r>
    </w:p>
    <w:p w:rsidR="00A616FD" w:rsidRPr="00A616FD" w:rsidRDefault="00A616FD" w:rsidP="00A616FD">
      <w:pPr>
        <w:pStyle w:val="AERquote"/>
      </w:pPr>
      <w:r>
        <w:t>"[n]</w:t>
      </w:r>
      <w:r w:rsidRPr="00A616FD">
        <w:t xml:space="preserve">otable features of </w:t>
      </w:r>
      <w:r>
        <w:t>[the MOMCSA]</w:t>
      </w:r>
      <w:r w:rsidRPr="00A616FD">
        <w:t xml:space="preserve"> pricing mechanism include:</w:t>
      </w:r>
    </w:p>
    <w:p w:rsidR="00A616FD" w:rsidRPr="00A616FD" w:rsidRDefault="00A616FD" w:rsidP="00A616FD">
      <w:pPr>
        <w:pStyle w:val="AERquote"/>
      </w:pPr>
      <w:r w:rsidRPr="00A616FD">
        <w:t>o the cost pass-through component, which ensures that any economies of scale, scope and other efficiencies achieved by APA (or its contractors) are immediately passed through to Directlink and, in turn, are passed through to end-users;</w:t>
      </w:r>
    </w:p>
    <w:p w:rsidR="00A616FD" w:rsidRPr="00A616FD" w:rsidRDefault="00A616FD" w:rsidP="00A616FD">
      <w:pPr>
        <w:pStyle w:val="AERquote"/>
      </w:pPr>
      <w:r w:rsidRPr="00A616FD">
        <w:t>o the requirement that costs and expenses are only passed through if they have been approved in an Approved Operating Plan and Budget or an Authority for Expenditure, which imposes some discipline on the APA; and</w:t>
      </w:r>
    </w:p>
    <w:p w:rsidR="00A616FD" w:rsidRDefault="00A616FD" w:rsidP="00A616FD">
      <w:pPr>
        <w:pStyle w:val="AERquote"/>
      </w:pPr>
      <w:r w:rsidRPr="00A616FD">
        <w:t>o the margin, which is paid to access the economies of scale and scope and other available to APA as well as APA‘s asset management and corporate service expertise, IT systems and business processes.</w:t>
      </w:r>
      <w:r>
        <w:t>"</w:t>
      </w:r>
    </w:p>
    <w:p w:rsidR="00CA32DD" w:rsidRDefault="00A616FD" w:rsidP="002432EF">
      <w:r>
        <w:t xml:space="preserve">Consistent with this, we </w:t>
      </w:r>
      <w:r w:rsidR="002432EF">
        <w:t>consider</w:t>
      </w:r>
      <w:r>
        <w:t xml:space="preserve"> that a </w:t>
      </w:r>
      <w:r w:rsidR="00CA32DD" w:rsidRPr="00CA32DD">
        <w:t>prudent and efficient operator would not pay a stand-alone insurance cost when it is paying APA</w:t>
      </w:r>
      <w:r w:rsidR="002432EF">
        <w:t xml:space="preserve"> </w:t>
      </w:r>
      <w:r w:rsidR="00CA32DD" w:rsidRPr="00CA32DD">
        <w:t>Operations a 10 per cent margin to access economies of scale and market access via the APA Group</w:t>
      </w:r>
      <w:r w:rsidR="002432EF">
        <w:t xml:space="preserve"> </w:t>
      </w:r>
      <w:r w:rsidR="00CA32DD" w:rsidRPr="00CA32DD">
        <w:t>insurance program.</w:t>
      </w:r>
      <w:r w:rsidR="002432EF">
        <w:t xml:space="preserve"> We consider that a prudent and efficient operator would come to the arrangement described by Directlink above, that is, Directlink's revenue share of EII's share of the APA Group insurance premiums.</w:t>
      </w:r>
    </w:p>
    <w:p w:rsidR="00862155" w:rsidRDefault="00862155" w:rsidP="00862155">
      <w:r>
        <w:t>We sought to verify the quotes and assumptions relied upon in forming the quote for the EII asset group insurance.</w:t>
      </w:r>
      <w:r>
        <w:rPr>
          <w:rStyle w:val="FootnoteReference"/>
        </w:rPr>
        <w:footnoteReference w:id="99"/>
      </w:r>
      <w:r>
        <w:t xml:space="preserve"> Directlink did not provide this information.</w:t>
      </w:r>
    </w:p>
    <w:p w:rsidR="00862155" w:rsidRDefault="00862155" w:rsidP="00862155">
      <w:r>
        <w:t>As expressed in our draft decision, we are concerned that the invoice amounts are not the result of a commercial transaction and do not reflect the</w:t>
      </w:r>
      <w:r w:rsidRPr="000605B4">
        <w:rPr>
          <w:rStyle w:val="AERbody"/>
        </w:rPr>
        <w:t xml:space="preserve"> </w:t>
      </w:r>
      <w:r w:rsidR="00C838DD" w:rsidRPr="000605B4">
        <w:rPr>
          <w:rStyle w:val="AERbody"/>
        </w:rPr>
        <w:t xml:space="preserve">actual </w:t>
      </w:r>
      <w:r>
        <w:t xml:space="preserve">costs incurred by </w:t>
      </w:r>
      <w:r>
        <w:lastRenderedPageBreak/>
        <w:t>APA Operations in providing insurance coverage to Directlink under the APA Group insurance policies.</w:t>
      </w:r>
      <w:r>
        <w:rPr>
          <w:rStyle w:val="FootnoteReference"/>
        </w:rPr>
        <w:footnoteReference w:id="100"/>
      </w:r>
    </w:p>
    <w:p w:rsidR="00862155" w:rsidRDefault="00862155" w:rsidP="00862155">
      <w:r w:rsidRPr="009E1A06">
        <w:t>Directlink stated that 'APA Group insurance costs are not relevant to the Directlink revenue</w:t>
      </w:r>
      <w:r>
        <w:t xml:space="preserve"> </w:t>
      </w:r>
      <w:r w:rsidRPr="009E1A06">
        <w:t>proposal'.</w:t>
      </w:r>
      <w:r>
        <w:rPr>
          <w:rStyle w:val="FootnoteReference"/>
        </w:rPr>
        <w:footnoteReference w:id="101"/>
      </w:r>
      <w:r>
        <w:t xml:space="preserve"> It also stated that '[n]</w:t>
      </w:r>
      <w:r w:rsidRPr="00CA30D3">
        <w:t>either Directlink nor EII have visibility of the total APA Group insurance costs</w:t>
      </w:r>
      <w:r>
        <w:t>'</w:t>
      </w:r>
      <w:r w:rsidRPr="00CA30D3">
        <w:t>.</w:t>
      </w:r>
      <w:r>
        <w:rPr>
          <w:rStyle w:val="FootnoteReference"/>
        </w:rPr>
        <w:footnoteReference w:id="102"/>
      </w:r>
      <w:r>
        <w:t xml:space="preserve"> </w:t>
      </w:r>
    </w:p>
    <w:p w:rsidR="00862155" w:rsidRDefault="00862155" w:rsidP="00862155">
      <w:r>
        <w:t>This is despite the MOMCSA requiring that:</w:t>
      </w:r>
    </w:p>
    <w:p w:rsidR="00862155" w:rsidRDefault="00862155" w:rsidP="00862155">
      <w:pPr>
        <w:pStyle w:val="AERbulletlistfirststyle"/>
      </w:pPr>
      <w:r>
        <w:t>'… the Operator [APA Operations] must make available … on request, certified copies of any insurance policies or certificates of currency of any insurance policies which are taken out pursuant to this Agreement'.</w:t>
      </w:r>
      <w:r>
        <w:rPr>
          <w:rStyle w:val="FootnoteReference"/>
        </w:rPr>
        <w:footnoteReference w:id="103"/>
      </w:r>
    </w:p>
    <w:p w:rsidR="00862155" w:rsidRDefault="00862155" w:rsidP="00862155">
      <w:pPr>
        <w:pStyle w:val="AERbulletlistfirststyle"/>
      </w:pPr>
      <w:r>
        <w:t>'… the Operator… must deliver annually to the [owner] a schedule of insurance policies listing the major policies in effect relating to the Owner, the Asset Owners and Lessees, the Assets and the Operator's activities under this Agreement. This schedule shall include the necessary certificates to certify that the insurance is in place and shall include names of the insuring companies, the amounts of insurance, limits on liability, the term of the policies, the policy premiums and a brief description of the risks covered by the policies'.</w:t>
      </w:r>
      <w:r>
        <w:rPr>
          <w:rStyle w:val="FootnoteReference"/>
        </w:rPr>
        <w:footnoteReference w:id="104"/>
      </w:r>
      <w:r>
        <w:t xml:space="preserve"> </w:t>
      </w:r>
    </w:p>
    <w:p w:rsidR="00D32F77" w:rsidRDefault="006A44E3" w:rsidP="00D765B7">
      <w:pPr>
        <w:pStyle w:val="HeadingBoldBlue"/>
      </w:pPr>
      <w:r>
        <w:t xml:space="preserve">AER property </w:t>
      </w:r>
      <w:r w:rsidR="0015723E">
        <w:t xml:space="preserve">(ISR) </w:t>
      </w:r>
      <w:r>
        <w:t>insurance forecast</w:t>
      </w:r>
    </w:p>
    <w:p w:rsidR="00DD2A34" w:rsidRPr="008C12DF" w:rsidRDefault="00DD2A34" w:rsidP="00DD2A34">
      <w:r>
        <w:t xml:space="preserve">On the information available to us and in view of our assessment that the Directlink asset will be returned to lower than pre-fire risk levels, we </w:t>
      </w:r>
      <w:r w:rsidR="00364D92">
        <w:t>have included in our opex forecast $</w:t>
      </w:r>
      <w:r w:rsidR="002B389E">
        <w:t>1.2</w:t>
      </w:r>
      <w:r w:rsidR="006A44E3">
        <w:t xml:space="preserve"> million</w:t>
      </w:r>
      <w:r w:rsidR="00390015">
        <w:t xml:space="preserve"> (real $2014-15)</w:t>
      </w:r>
      <w:r w:rsidR="00952AFB">
        <w:t xml:space="preserve"> for the 2015-20 regulatory </w:t>
      </w:r>
      <w:r w:rsidR="00CD3CA9">
        <w:t xml:space="preserve">control </w:t>
      </w:r>
      <w:r w:rsidR="00952AFB">
        <w:t>period</w:t>
      </w:r>
      <w:r w:rsidR="00364D92">
        <w:t xml:space="preserve"> for ISR insurance</w:t>
      </w:r>
      <w:r w:rsidR="00952AFB">
        <w:t>.</w:t>
      </w:r>
    </w:p>
    <w:p w:rsidR="007F1B79" w:rsidRDefault="003C76B3" w:rsidP="00D32F77">
      <w:r>
        <w:t>We have</w:t>
      </w:r>
      <w:r w:rsidR="00C042C2">
        <w:t xml:space="preserve"> calculated the ISR insurance using the EII ISR insurance amount for 2011-12, in</w:t>
      </w:r>
      <w:r w:rsidR="007F1B79">
        <w:t>dex</w:t>
      </w:r>
      <w:r w:rsidR="00C042C2">
        <w:t xml:space="preserve">ed to 2014-15. This is the most contemporary pre-fire ISR insurance expenditure. </w:t>
      </w:r>
      <w:r w:rsidR="007F1B79">
        <w:t xml:space="preserve">We applied Marsh' forecast market impacts for the 2014-20 period and used the latest audited EII results,  calendar year 2013, to calculate Directlink's revenue share of total EII revenue. We applied this revenue share to calculate the forecast Directlink public liability premium. </w:t>
      </w:r>
      <w:r w:rsidR="00D03308">
        <w:t>This yields a total ISR forecast of $</w:t>
      </w:r>
      <w:r w:rsidR="002B389E">
        <w:t>1.2</w:t>
      </w:r>
      <w:r w:rsidR="00D03308">
        <w:t xml:space="preserve"> million (real $2014-15).</w:t>
      </w:r>
      <w:r>
        <w:t xml:space="preserve"> We consider that this is the best estimate based on the information and evidence available to us.</w:t>
      </w:r>
    </w:p>
    <w:p w:rsidR="006A2E5B" w:rsidRDefault="006A2E5B" w:rsidP="00D765B7">
      <w:pPr>
        <w:pStyle w:val="HeadingBoldBlue"/>
      </w:pPr>
      <w:r>
        <w:t>AER public liability insurance forecast</w:t>
      </w:r>
    </w:p>
    <w:p w:rsidR="006577C4" w:rsidRDefault="006577C4" w:rsidP="006577C4">
      <w:r w:rsidRPr="006577C4">
        <w:t>On the information available to us, we have included $</w:t>
      </w:r>
      <w:r w:rsidR="00C95E9E">
        <w:t>0.1</w:t>
      </w:r>
      <w:r w:rsidRPr="006577C4">
        <w:t xml:space="preserve"> million (real $2014-15) for the 2015-20 regulatory </w:t>
      </w:r>
      <w:r w:rsidR="00CD3CA9">
        <w:t xml:space="preserve">control </w:t>
      </w:r>
      <w:r w:rsidRPr="006577C4">
        <w:t>period</w:t>
      </w:r>
      <w:r w:rsidR="002762C5">
        <w:t xml:space="preserve"> as it reasonably reflects the </w:t>
      </w:r>
      <w:r w:rsidR="00CD3CA9">
        <w:t xml:space="preserve">opex </w:t>
      </w:r>
      <w:r w:rsidR="002762C5">
        <w:t>criteria</w:t>
      </w:r>
      <w:r w:rsidRPr="006577C4">
        <w:t>.</w:t>
      </w:r>
    </w:p>
    <w:p w:rsidR="007F04F4" w:rsidRDefault="001C71DB" w:rsidP="006577C4">
      <w:r>
        <w:lastRenderedPageBreak/>
        <w:t xml:space="preserve">Directlink did not accept </w:t>
      </w:r>
      <w:r w:rsidR="003C76B3">
        <w:t>our</w:t>
      </w:r>
      <w:r>
        <w:t xml:space="preserve"> draft decision for public liability insurance. </w:t>
      </w:r>
      <w:r w:rsidR="00A1660E">
        <w:t xml:space="preserve">In its revised proposal, Directlink </w:t>
      </w:r>
      <w:r w:rsidR="00F74948">
        <w:t>stated that in the draft decision we '</w:t>
      </w:r>
      <w:r w:rsidR="00F74948" w:rsidRPr="00F74948">
        <w:t>considered the forecast limit of $650 million to be excessive relative to the current $300 million limit</w:t>
      </w:r>
      <w:r w:rsidR="00F74948">
        <w:t>'.</w:t>
      </w:r>
      <w:r w:rsidR="00F74948">
        <w:rPr>
          <w:rStyle w:val="FootnoteReference"/>
        </w:rPr>
        <w:footnoteReference w:id="105"/>
      </w:r>
      <w:r w:rsidR="00F74948">
        <w:t xml:space="preserve"> </w:t>
      </w:r>
    </w:p>
    <w:p w:rsidR="00F74948" w:rsidRDefault="00F74948" w:rsidP="006577C4">
      <w:r>
        <w:t>In our draft decision we stated that</w:t>
      </w:r>
      <w:r w:rsidR="00BA629F">
        <w:t>:</w:t>
      </w:r>
      <w:r w:rsidR="00E6476C">
        <w:rPr>
          <w:rStyle w:val="FootnoteReference"/>
        </w:rPr>
        <w:footnoteReference w:id="106"/>
      </w:r>
    </w:p>
    <w:p w:rsidR="00BA629F" w:rsidRPr="00BA629F" w:rsidRDefault="00BA629F" w:rsidP="00BA629F">
      <w:pPr>
        <w:pStyle w:val="AERquote"/>
      </w:pPr>
      <w:r w:rsidRPr="00BA629F">
        <w:t>The maximum claim amounts are lower in the APA Group policies for industrial special risks and</w:t>
      </w:r>
      <w:r>
        <w:t xml:space="preserve"> </w:t>
      </w:r>
      <w:r w:rsidRPr="00BA629F">
        <w:t>public liability and the Marsh certificate of currency than the amounts specified in the Marsh report.</w:t>
      </w:r>
    </w:p>
    <w:p w:rsidR="00BA629F" w:rsidRPr="00BA629F" w:rsidRDefault="00BA629F" w:rsidP="00BA629F">
      <w:pPr>
        <w:pStyle w:val="AERquote"/>
      </w:pPr>
      <w:r w:rsidRPr="00BA629F">
        <w:t>The Marsh report specifies maximum claim amounts for public liability as $650 million. Marsh</w:t>
      </w:r>
      <w:r>
        <w:t xml:space="preserve"> </w:t>
      </w:r>
      <w:r w:rsidRPr="00BA629F">
        <w:t>indicated that it based its public liability premium on $650 million instead of the current $300 million</w:t>
      </w:r>
      <w:r>
        <w:t xml:space="preserve"> </w:t>
      </w:r>
      <w:r w:rsidRPr="00BA629F">
        <w:t>limit as a result of a Maximum Foreseeable Loss study and the potential for liability connected with</w:t>
      </w:r>
      <w:r>
        <w:t xml:space="preserve"> bushfire exposures.</w:t>
      </w:r>
      <w:r w:rsidRPr="00BA629F">
        <w:t xml:space="preserve"> We requested that Directlink justify the proposed increase. In particular we</w:t>
      </w:r>
      <w:r>
        <w:t xml:space="preserve"> </w:t>
      </w:r>
      <w:r w:rsidRPr="00BA629F">
        <w:t>asked Directlink to explain what has changed that has impacted on the expected probability of a fire</w:t>
      </w:r>
      <w:r>
        <w:t xml:space="preserve"> </w:t>
      </w:r>
      <w:r w:rsidRPr="00BA629F">
        <w:t>event and the consequence of a fire event and provide an estimate of the impact of the change(s) on</w:t>
      </w:r>
      <w:r>
        <w:t xml:space="preserve"> </w:t>
      </w:r>
      <w:r w:rsidRPr="00BA629F">
        <w:t>the probability and the consequence. Directlink did not respond to this question.</w:t>
      </w:r>
    </w:p>
    <w:p w:rsidR="004E220D" w:rsidRDefault="00BA629F" w:rsidP="004E220D">
      <w:pPr>
        <w:pStyle w:val="AERquote"/>
      </w:pPr>
      <w:r w:rsidRPr="00BA629F">
        <w:t>Directlink provided extracts of policy wording from the APA Group insurance policy for public liability.</w:t>
      </w:r>
      <w:r>
        <w:t xml:space="preserve"> </w:t>
      </w:r>
      <w:r w:rsidRPr="00BA629F">
        <w:t>The policy wording specifies a significan</w:t>
      </w:r>
      <w:r>
        <w:t>tly lower maximum claim amount.</w:t>
      </w:r>
      <w:r w:rsidRPr="00BA629F">
        <w:t xml:space="preserve"> The Certificate of</w:t>
      </w:r>
      <w:r>
        <w:t xml:space="preserve"> </w:t>
      </w:r>
      <w:r w:rsidRPr="00BA629F">
        <w:t>Currency provided by Marsh indicates a $300</w:t>
      </w:r>
      <w:r>
        <w:t xml:space="preserve"> million maximum claim amount.</w:t>
      </w:r>
      <w:r w:rsidR="004E220D" w:rsidRPr="004E220D">
        <w:t xml:space="preserve"> </w:t>
      </w:r>
    </w:p>
    <w:p w:rsidR="00BA629F" w:rsidRDefault="004E220D" w:rsidP="004E220D">
      <w:r w:rsidRPr="004E220D">
        <w:t>In the</w:t>
      </w:r>
      <w:r>
        <w:t xml:space="preserve"> draft decision </w:t>
      </w:r>
      <w:r w:rsidR="003C76B3">
        <w:t>we</w:t>
      </w:r>
      <w:r w:rsidRPr="004E220D">
        <w:t xml:space="preserve"> estimat</w:t>
      </w:r>
      <w:r w:rsidR="003C76B3">
        <w:t>ed</w:t>
      </w:r>
      <w:r w:rsidRPr="004E220D">
        <w:t xml:space="preserve"> public</w:t>
      </w:r>
      <w:r>
        <w:t xml:space="preserve"> </w:t>
      </w:r>
      <w:r w:rsidRPr="004E220D">
        <w:t>liability insurance by applying the</w:t>
      </w:r>
      <w:r w:rsidR="003C76B3">
        <w:t xml:space="preserve"> Directlink's revenue share of the</w:t>
      </w:r>
      <w:r w:rsidRPr="004E220D">
        <w:t xml:space="preserve"> 2013-14 actual public liability insurance amount charged by APA</w:t>
      </w:r>
      <w:r>
        <w:t xml:space="preserve"> </w:t>
      </w:r>
      <w:r w:rsidRPr="004E220D">
        <w:t>Operations to EII</w:t>
      </w:r>
      <w:r>
        <w:t>.</w:t>
      </w:r>
    </w:p>
    <w:p w:rsidR="00BA629F" w:rsidRDefault="009A2878" w:rsidP="00BA629F">
      <w:r>
        <w:t>Directlink applied the same method described above to arrive at its estimate of public liability insurance. Namely, it calculated standalone insurance shares for each EII asset. It then applied these shares to allocate the EII public liability insurance invoiced by APA Operations to EII for 2014-15</w:t>
      </w:r>
      <w:r w:rsidR="00091E8E">
        <w:t>, after adjusting for market impacts over the 2014-20 period.</w:t>
      </w:r>
      <w:r w:rsidR="00C1531C">
        <w:rPr>
          <w:rStyle w:val="FootnoteReference"/>
        </w:rPr>
        <w:footnoteReference w:id="107"/>
      </w:r>
    </w:p>
    <w:p w:rsidR="00B01CA0" w:rsidRDefault="00C1531C" w:rsidP="00C1531C">
      <w:r>
        <w:t>As discussed above, we consider that Directlink's method of allocating the EII invoice insurance amounts is inconsistent with its CAM</w:t>
      </w:r>
      <w:r w:rsidRPr="00C1531C">
        <w:t>.</w:t>
      </w:r>
      <w:r>
        <w:t xml:space="preserve"> We consider that the most efficient estimate of public liability insurance for Directlink would be Directlink's revenue share of the APA Group policy amount allocated to EII. However, in the absence of this information, we have calculated our forecast of Directlink's public liability insurance by using the 2014-15 EII public liability insurance amount invoiced by APA Operations to EII. We applied Marsh' forecast market impacts</w:t>
      </w:r>
      <w:r w:rsidR="00A63E33">
        <w:t xml:space="preserve"> for the 2014-20 period</w:t>
      </w:r>
      <w:r>
        <w:t xml:space="preserve"> and used the latest audited EII results</w:t>
      </w:r>
      <w:r w:rsidR="0030141D">
        <w:t xml:space="preserve">,  calendar year 2013, to calculate Directlink's </w:t>
      </w:r>
      <w:r>
        <w:t>revenue share</w:t>
      </w:r>
      <w:r w:rsidR="0030141D">
        <w:t xml:space="preserve"> </w:t>
      </w:r>
      <w:r w:rsidR="0030141D">
        <w:lastRenderedPageBreak/>
        <w:t>of total EII revenue. We applied this revenue share to calculate the forecast Directlink public liability premium.</w:t>
      </w:r>
      <w:r w:rsidR="00D6194D">
        <w:t xml:space="preserve"> This yields a total public liability insurance forecast of $0.1 million (real $2014-15) for the 2015-20 period.</w:t>
      </w:r>
    </w:p>
    <w:p w:rsidR="00E95D20" w:rsidRPr="006577C4" w:rsidRDefault="006577C4" w:rsidP="00D765B7">
      <w:pPr>
        <w:pStyle w:val="HeadingBoldBlue"/>
        <w:keepNext/>
        <w:rPr>
          <w:rStyle w:val="AERtextbolditalics"/>
          <w:rFonts w:eastAsiaTheme="minorHAnsi" w:cstheme="minorBidi"/>
          <w:b/>
          <w:bCs/>
          <w:color w:val="auto"/>
          <w:sz w:val="22"/>
        </w:rPr>
      </w:pPr>
      <w:r w:rsidRPr="006577C4">
        <w:rPr>
          <w:rStyle w:val="AERtextbolditalics"/>
          <w:b/>
          <w:bCs/>
          <w:i w:val="0"/>
          <w:iCs w:val="0"/>
        </w:rPr>
        <w:t>AER self insurance forecast</w:t>
      </w:r>
    </w:p>
    <w:p w:rsidR="00660B48" w:rsidRDefault="00660B48" w:rsidP="00D765B7">
      <w:pPr>
        <w:keepNext/>
      </w:pPr>
      <w:r>
        <w:t>We have</w:t>
      </w:r>
      <w:r w:rsidR="00D142DF">
        <w:t xml:space="preserve"> accepted Directlink's revised proposal of</w:t>
      </w:r>
      <w:r>
        <w:t xml:space="preserve"> $</w:t>
      </w:r>
      <w:r w:rsidR="00606C74">
        <w:t>0.</w:t>
      </w:r>
      <w:r w:rsidR="00D142DF">
        <w:t>6</w:t>
      </w:r>
      <w:r>
        <w:t xml:space="preserve"> million (real $2014-15) over the 2015-20 </w:t>
      </w:r>
      <w:r w:rsidR="00CD3CA9">
        <w:t xml:space="preserve">regulatory control </w:t>
      </w:r>
      <w:r>
        <w:t xml:space="preserve">period for self insurance in our </w:t>
      </w:r>
      <w:r w:rsidR="003C76B3">
        <w:t xml:space="preserve">alternative </w:t>
      </w:r>
      <w:r>
        <w:t>opex forecast</w:t>
      </w:r>
      <w:r w:rsidR="002762C5">
        <w:t xml:space="preserve"> as we consider this reasonably reflects the efficient costs of a prudent service provider on the basis of the information before us</w:t>
      </w:r>
      <w:r>
        <w:t xml:space="preserve">. </w:t>
      </w:r>
    </w:p>
    <w:p w:rsidR="00660B48" w:rsidRDefault="00660B48" w:rsidP="007D5F1E">
      <w:r>
        <w:t>Directlink did not accept our draft decision</w:t>
      </w:r>
      <w:r w:rsidR="003415AB">
        <w:t xml:space="preserve"> of $0.3 million for self insurance</w:t>
      </w:r>
      <w:r w:rsidR="003C76B3">
        <w:t>. It</w:t>
      </w:r>
      <w:r w:rsidR="00CC4CDA">
        <w:t xml:space="preserve"> propos</w:t>
      </w:r>
      <w:r w:rsidR="003C76B3">
        <w:t>ed</w:t>
      </w:r>
      <w:r w:rsidR="00CC4CDA">
        <w:t xml:space="preserve"> $0.6 million in self insurance</w:t>
      </w:r>
      <w:r>
        <w:t>.</w:t>
      </w:r>
      <w:r w:rsidR="0046026D">
        <w:t xml:space="preserve"> Directlink proposed self-insurance for working losses, major property loss, decontamination event, catastrophic property loss, and liability event.</w:t>
      </w:r>
      <w:r w:rsidR="0046026D">
        <w:rPr>
          <w:rStyle w:val="FootnoteReference"/>
        </w:rPr>
        <w:footnoteReference w:id="108"/>
      </w:r>
      <w:r w:rsidR="0046026D">
        <w:t xml:space="preserve"> </w:t>
      </w:r>
    </w:p>
    <w:p w:rsidR="00E91FAC" w:rsidRPr="007D5F1E" w:rsidRDefault="00E91FAC" w:rsidP="00D765B7">
      <w:pPr>
        <w:pStyle w:val="HeadingBoldBlue"/>
      </w:pPr>
      <w:r>
        <w:t xml:space="preserve">Inflation </w:t>
      </w:r>
    </w:p>
    <w:p w:rsidR="00EF042E" w:rsidRDefault="001405B4" w:rsidP="00EF042E">
      <w:r>
        <w:t>Notwithstanding that the invoiced insurance amounts relate to 2014-15</w:t>
      </w:r>
      <w:r w:rsidR="00470C4A">
        <w:t xml:space="preserve"> expenditure</w:t>
      </w:r>
      <w:r>
        <w:t xml:space="preserve">, </w:t>
      </w:r>
      <w:r w:rsidR="00EF042E">
        <w:t xml:space="preserve">Directlink </w:t>
      </w:r>
      <w:r>
        <w:t>applied 2.5</w:t>
      </w:r>
      <w:r w:rsidR="00B460E3">
        <w:t>5</w:t>
      </w:r>
      <w:r>
        <w:t xml:space="preserve"> per cent inflation to the invoiced amounts in its </w:t>
      </w:r>
      <w:r w:rsidR="00B460E3">
        <w:t xml:space="preserve">opex </w:t>
      </w:r>
      <w:r>
        <w:t xml:space="preserve">build-up. The AER has </w:t>
      </w:r>
      <w:r w:rsidR="00470C4A">
        <w:t xml:space="preserve">not applied </w:t>
      </w:r>
      <w:r>
        <w:t>this inflation</w:t>
      </w:r>
      <w:r w:rsidR="00AD3394">
        <w:t xml:space="preserve"> as it is not required as the amounts are already in </w:t>
      </w:r>
      <w:r w:rsidR="00911A37">
        <w:t xml:space="preserve">real </w:t>
      </w:r>
      <w:r w:rsidR="00AD3394">
        <w:t>2014-15</w:t>
      </w:r>
      <w:r w:rsidR="00911A37">
        <w:t xml:space="preserve"> dollars</w:t>
      </w:r>
      <w:r>
        <w:t>.</w:t>
      </w:r>
    </w:p>
    <w:p w:rsidR="004E772D" w:rsidRDefault="0085545D" w:rsidP="004E772D">
      <w:pPr>
        <w:pStyle w:val="Heading3"/>
      </w:pPr>
      <w:bookmarkStart w:id="42" w:name="_Toc404192668"/>
      <w:bookmarkStart w:id="43" w:name="_Toc417745450"/>
      <w:r>
        <w:t>Commercial services fee (also referred to as management fees and expenses)</w:t>
      </w:r>
      <w:bookmarkEnd w:id="42"/>
      <w:bookmarkEnd w:id="43"/>
    </w:p>
    <w:p w:rsidR="00EC4117" w:rsidRDefault="00EC4117" w:rsidP="00AC79F1">
      <w:pPr>
        <w:numPr>
          <w:ilvl w:val="0"/>
          <w:numId w:val="25"/>
        </w:numPr>
      </w:pPr>
      <w:r>
        <w:t>We have included $</w:t>
      </w:r>
      <w:r w:rsidR="008115B6">
        <w:t>1.8 million</w:t>
      </w:r>
      <w:r>
        <w:t xml:space="preserve"> (</w:t>
      </w:r>
      <w:r w:rsidR="008115B6">
        <w:t xml:space="preserve">real </w:t>
      </w:r>
      <w:r>
        <w:t xml:space="preserve">$2014-15) </w:t>
      </w:r>
      <w:r w:rsidR="008115B6">
        <w:t>for the 201</w:t>
      </w:r>
      <w:r w:rsidR="00CD3CA9">
        <w:t>5</w:t>
      </w:r>
      <w:r w:rsidR="008115B6">
        <w:t>-20 regulatory control period</w:t>
      </w:r>
      <w:r>
        <w:t xml:space="preserve"> for the commercial services fee in our alternative opex estimate</w:t>
      </w:r>
      <w:r w:rsidR="002762C5">
        <w:t xml:space="preserve"> as this reasonably reflects the capex criteria</w:t>
      </w:r>
      <w:r>
        <w:t>. This is lower than Directlink's proposed amount of $</w:t>
      </w:r>
      <w:r w:rsidR="008115B6">
        <w:t>2.1</w:t>
      </w:r>
      <w:r w:rsidR="00AC79F1">
        <w:t xml:space="preserve"> million</w:t>
      </w:r>
      <w:r>
        <w:t xml:space="preserve"> </w:t>
      </w:r>
      <w:r w:rsidR="00AC79F1">
        <w:t>(</w:t>
      </w:r>
      <w:r w:rsidR="00AC79F1" w:rsidRPr="00AC79F1">
        <w:t>2014-15)</w:t>
      </w:r>
      <w:r w:rsidR="00AC79F1">
        <w:t xml:space="preserve"> </w:t>
      </w:r>
      <w:r>
        <w:t xml:space="preserve">per year. This is because we are not satisfied that the assumptions made in allocating a proportion of the total EII commercial services fee to Directlink are robust. </w:t>
      </w:r>
    </w:p>
    <w:p w:rsidR="008115B6" w:rsidRPr="00A44654" w:rsidRDefault="00CD3CA9" w:rsidP="00CD3CA9">
      <w:pPr>
        <w:pStyle w:val="Caption"/>
      </w:pPr>
      <w:r>
        <w:t xml:space="preserve">Table </w:t>
      </w:r>
      <w:r w:rsidR="00053B26">
        <w:fldChar w:fldCharType="begin"/>
      </w:r>
      <w:r w:rsidR="00053B26">
        <w:instrText xml:space="preserve"> STYLEREF 1 \s </w:instrText>
      </w:r>
      <w:r w:rsidR="00053B26">
        <w:fldChar w:fldCharType="separate"/>
      </w:r>
      <w:r w:rsidR="00020BF5">
        <w:rPr>
          <w:noProof/>
        </w:rPr>
        <w:t>7</w:t>
      </w:r>
      <w:r w:rsidR="00053B26">
        <w:rPr>
          <w:noProof/>
        </w:rPr>
        <w:fldChar w:fldCharType="end"/>
      </w:r>
      <w:r w:rsidR="00337764">
        <w:noBreakHyphen/>
      </w:r>
      <w:r w:rsidR="00053B26">
        <w:fldChar w:fldCharType="begin"/>
      </w:r>
      <w:r w:rsidR="00053B26">
        <w:instrText xml:space="preserve"> SEQ Table \* ARABIC \s 1 </w:instrText>
      </w:r>
      <w:r w:rsidR="00053B26">
        <w:fldChar w:fldCharType="separate"/>
      </w:r>
      <w:r w:rsidR="00020BF5">
        <w:rPr>
          <w:noProof/>
        </w:rPr>
        <w:t>10</w:t>
      </w:r>
      <w:r w:rsidR="00053B26">
        <w:rPr>
          <w:noProof/>
        </w:rPr>
        <w:fldChar w:fldCharType="end"/>
      </w:r>
      <w:r>
        <w:t xml:space="preserve"> </w:t>
      </w:r>
      <w:r w:rsidR="008115B6" w:rsidRPr="008115B6">
        <w:t>AER forecast of commercial services fee (management fees and expenses) ($000s, real 2014-15)</w:t>
      </w:r>
    </w:p>
    <w:tbl>
      <w:tblPr>
        <w:tblStyle w:val="AERtable-numbers"/>
        <w:tblW w:w="0" w:type="auto"/>
        <w:tblLook w:val="04A0" w:firstRow="1" w:lastRow="0" w:firstColumn="1" w:lastColumn="0" w:noHBand="0" w:noVBand="1"/>
      </w:tblPr>
      <w:tblGrid>
        <w:gridCol w:w="1951"/>
        <w:gridCol w:w="1123"/>
        <w:gridCol w:w="1124"/>
        <w:gridCol w:w="1124"/>
        <w:gridCol w:w="1123"/>
        <w:gridCol w:w="1124"/>
        <w:gridCol w:w="1124"/>
      </w:tblGrid>
      <w:tr w:rsidR="008115B6" w:rsidTr="004B22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115B6" w:rsidRPr="00A44654" w:rsidRDefault="008115B6" w:rsidP="008115B6">
            <w:pPr>
              <w:numPr>
                <w:ilvl w:val="0"/>
                <w:numId w:val="25"/>
              </w:numPr>
            </w:pPr>
          </w:p>
        </w:tc>
        <w:tc>
          <w:tcPr>
            <w:tcW w:w="1123" w:type="dxa"/>
          </w:tcPr>
          <w:p w:rsidR="008115B6" w:rsidRPr="00A44654" w:rsidRDefault="008115B6" w:rsidP="008115B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2015-16</w:t>
            </w:r>
          </w:p>
        </w:tc>
        <w:tc>
          <w:tcPr>
            <w:tcW w:w="1124" w:type="dxa"/>
          </w:tcPr>
          <w:p w:rsidR="008115B6" w:rsidRPr="00A44654" w:rsidRDefault="008115B6" w:rsidP="008115B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2016-17</w:t>
            </w:r>
          </w:p>
        </w:tc>
        <w:tc>
          <w:tcPr>
            <w:tcW w:w="1124" w:type="dxa"/>
          </w:tcPr>
          <w:p w:rsidR="008115B6" w:rsidRPr="00A44654" w:rsidRDefault="008115B6" w:rsidP="008115B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2017-18</w:t>
            </w:r>
          </w:p>
        </w:tc>
        <w:tc>
          <w:tcPr>
            <w:tcW w:w="1123" w:type="dxa"/>
          </w:tcPr>
          <w:p w:rsidR="008115B6" w:rsidRPr="00A44654" w:rsidRDefault="008115B6" w:rsidP="008115B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2018-19</w:t>
            </w:r>
          </w:p>
        </w:tc>
        <w:tc>
          <w:tcPr>
            <w:tcW w:w="1124" w:type="dxa"/>
          </w:tcPr>
          <w:p w:rsidR="008115B6" w:rsidRPr="00A44654" w:rsidRDefault="008115B6" w:rsidP="008115B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2019-20</w:t>
            </w:r>
          </w:p>
        </w:tc>
        <w:tc>
          <w:tcPr>
            <w:tcW w:w="1124" w:type="dxa"/>
          </w:tcPr>
          <w:p w:rsidR="008115B6" w:rsidRPr="00A44654" w:rsidRDefault="008115B6" w:rsidP="008115B6">
            <w:pPr>
              <w:numPr>
                <w:ilvl w:val="0"/>
                <w:numId w:val="25"/>
              </w:numPr>
              <w:cnfStyle w:val="100000000000" w:firstRow="1" w:lastRow="0" w:firstColumn="0" w:lastColumn="0" w:oddVBand="0" w:evenVBand="0" w:oddHBand="0" w:evenHBand="0" w:firstRowFirstColumn="0" w:firstRowLastColumn="0" w:lastRowFirstColumn="0" w:lastRowLastColumn="0"/>
            </w:pPr>
            <w:r w:rsidRPr="00A44654">
              <w:t>Total</w:t>
            </w:r>
          </w:p>
        </w:tc>
      </w:tr>
      <w:tr w:rsidR="002B389E" w:rsidTr="004B2286">
        <w:tc>
          <w:tcPr>
            <w:cnfStyle w:val="001000000000" w:firstRow="0" w:lastRow="0" w:firstColumn="1" w:lastColumn="0" w:oddVBand="0" w:evenVBand="0" w:oddHBand="0" w:evenHBand="0" w:firstRowFirstColumn="0" w:firstRowLastColumn="0" w:lastRowFirstColumn="0" w:lastRowLastColumn="0"/>
            <w:tcW w:w="1951" w:type="dxa"/>
          </w:tcPr>
          <w:p w:rsidR="002B389E" w:rsidRPr="002B389E" w:rsidRDefault="002B389E" w:rsidP="002B389E">
            <w:pPr>
              <w:numPr>
                <w:ilvl w:val="0"/>
                <w:numId w:val="25"/>
              </w:numPr>
            </w:pPr>
            <w:r w:rsidRPr="002B389E">
              <w:t>AER forecast of commercial services fee</w:t>
            </w:r>
          </w:p>
        </w:tc>
        <w:tc>
          <w:tcPr>
            <w:tcW w:w="112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353.6</w:t>
            </w:r>
          </w:p>
        </w:tc>
        <w:tc>
          <w:tcPr>
            <w:tcW w:w="112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353.6</w:t>
            </w:r>
          </w:p>
        </w:tc>
        <w:tc>
          <w:tcPr>
            <w:tcW w:w="112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353.6</w:t>
            </w:r>
          </w:p>
        </w:tc>
        <w:tc>
          <w:tcPr>
            <w:tcW w:w="1123"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353.6</w:t>
            </w:r>
          </w:p>
        </w:tc>
        <w:tc>
          <w:tcPr>
            <w:tcW w:w="112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353.6</w:t>
            </w:r>
          </w:p>
        </w:tc>
        <w:tc>
          <w:tcPr>
            <w:tcW w:w="1124" w:type="dxa"/>
            <w:vAlign w:val="top"/>
          </w:tcPr>
          <w:p w:rsidR="002B389E" w:rsidRPr="002B389E" w:rsidRDefault="002B389E" w:rsidP="0045479C">
            <w:pPr>
              <w:cnfStyle w:val="000000000000" w:firstRow="0" w:lastRow="0" w:firstColumn="0" w:lastColumn="0" w:oddVBand="0" w:evenVBand="0" w:oddHBand="0" w:evenHBand="0" w:firstRowFirstColumn="0" w:firstRowLastColumn="0" w:lastRowFirstColumn="0" w:lastRowLastColumn="0"/>
            </w:pPr>
            <w:r w:rsidRPr="002B389E">
              <w:t xml:space="preserve"> 1,768.0 </w:t>
            </w:r>
          </w:p>
        </w:tc>
      </w:tr>
    </w:tbl>
    <w:p w:rsidR="008115B6" w:rsidRDefault="008115B6" w:rsidP="008115B6">
      <w:pPr>
        <w:pStyle w:val="AERtablesource"/>
      </w:pPr>
      <w:r w:rsidRPr="00A44654">
        <w:t xml:space="preserve">Source: </w:t>
      </w:r>
      <w:r>
        <w:tab/>
        <w:t>AER analysis.</w:t>
      </w:r>
    </w:p>
    <w:p w:rsidR="00EC4117" w:rsidRDefault="00EC4117" w:rsidP="00EC4117">
      <w:pPr>
        <w:numPr>
          <w:ilvl w:val="0"/>
          <w:numId w:val="25"/>
        </w:numPr>
      </w:pPr>
      <w:r>
        <w:lastRenderedPageBreak/>
        <w:t xml:space="preserve">Directlink </w:t>
      </w:r>
      <w:r w:rsidRPr="0085296E">
        <w:t xml:space="preserve">proposed </w:t>
      </w:r>
      <w:r>
        <w:t>$2.</w:t>
      </w:r>
      <w:r w:rsidR="00CF0F50">
        <w:t>1</w:t>
      </w:r>
      <w:r>
        <w:t xml:space="preserve"> million for the commercial services fee for the 2015-20 </w:t>
      </w:r>
      <w:r w:rsidR="00337764">
        <w:t xml:space="preserve">regulatory control </w:t>
      </w:r>
      <w:r>
        <w:t xml:space="preserve">period. This is </w:t>
      </w:r>
      <w:r w:rsidRPr="0085296E">
        <w:t xml:space="preserve">a </w:t>
      </w:r>
      <w:r w:rsidR="00AC79F1">
        <w:t>16.0</w:t>
      </w:r>
      <w:r w:rsidRPr="0085296E">
        <w:t xml:space="preserve"> per cent </w:t>
      </w:r>
      <w:r w:rsidR="00AC79F1">
        <w:t>de</w:t>
      </w:r>
      <w:r w:rsidRPr="0085296E">
        <w:t xml:space="preserve">crease </w:t>
      </w:r>
      <w:r>
        <w:t>on the cost</w:t>
      </w:r>
      <w:r w:rsidR="00AC79F1">
        <w:t>s</w:t>
      </w:r>
      <w:r>
        <w:t xml:space="preserve"> in</w:t>
      </w:r>
      <w:r w:rsidR="00AC79F1">
        <w:t>itially proposed</w:t>
      </w:r>
      <w:r w:rsidR="00CF30CD">
        <w:t xml:space="preserve"> by Directlink</w:t>
      </w:r>
      <w:r w:rsidRPr="0085296E">
        <w:t>.</w:t>
      </w:r>
      <w:r w:rsidRPr="0085296E">
        <w:rPr>
          <w:rStyle w:val="FootnoteReference"/>
        </w:rPr>
        <w:footnoteReference w:id="109"/>
      </w:r>
      <w:r>
        <w:t xml:space="preserve"> </w:t>
      </w:r>
    </w:p>
    <w:p w:rsidR="00EC4117" w:rsidRPr="00A44654" w:rsidRDefault="006E0382" w:rsidP="006E0382">
      <w:pPr>
        <w:pStyle w:val="Caption"/>
      </w:pPr>
      <w:r>
        <w:t xml:space="preserve">Table </w:t>
      </w:r>
      <w:r w:rsidR="00053B26">
        <w:fldChar w:fldCharType="begin"/>
      </w:r>
      <w:r w:rsidR="00053B26">
        <w:instrText xml:space="preserve"> STYLEREF 1 \s </w:instrText>
      </w:r>
      <w:r w:rsidR="00053B26">
        <w:fldChar w:fldCharType="separate"/>
      </w:r>
      <w:r w:rsidR="00020BF5">
        <w:rPr>
          <w:noProof/>
        </w:rPr>
        <w:t>7</w:t>
      </w:r>
      <w:r w:rsidR="00053B26">
        <w:rPr>
          <w:noProof/>
        </w:rPr>
        <w:fldChar w:fldCharType="end"/>
      </w:r>
      <w:r w:rsidR="00337764">
        <w:noBreakHyphen/>
      </w:r>
      <w:r w:rsidR="00053B26">
        <w:fldChar w:fldCharType="begin"/>
      </w:r>
      <w:r w:rsidR="00053B26">
        <w:instrText xml:space="preserve"> SEQ Table \* ARABIC \s 1 </w:instrText>
      </w:r>
      <w:r w:rsidR="00053B26">
        <w:fldChar w:fldCharType="separate"/>
      </w:r>
      <w:r w:rsidR="00020BF5">
        <w:rPr>
          <w:noProof/>
        </w:rPr>
        <w:t>11</w:t>
      </w:r>
      <w:r w:rsidR="00053B26">
        <w:rPr>
          <w:noProof/>
        </w:rPr>
        <w:fldChar w:fldCharType="end"/>
      </w:r>
      <w:r>
        <w:t xml:space="preserve"> </w:t>
      </w:r>
      <w:r w:rsidR="00EC4117" w:rsidRPr="00A44654">
        <w:t xml:space="preserve">Directlink proposed </w:t>
      </w:r>
      <w:r w:rsidR="00EC4117">
        <w:t>commercial services fee (</w:t>
      </w:r>
      <w:r w:rsidR="00EC4117" w:rsidRPr="00A44654">
        <w:t>management fees and expenses</w:t>
      </w:r>
      <w:r w:rsidR="00EC4117">
        <w:t>)</w:t>
      </w:r>
      <w:r w:rsidR="00EC4117" w:rsidRPr="00A44654">
        <w:t xml:space="preserve"> ($000s, real 2014-15)</w:t>
      </w:r>
    </w:p>
    <w:tbl>
      <w:tblPr>
        <w:tblStyle w:val="AERtable-numbers"/>
        <w:tblW w:w="0" w:type="auto"/>
        <w:tblLook w:val="04A0" w:firstRow="1" w:lastRow="0" w:firstColumn="1" w:lastColumn="0" w:noHBand="0" w:noVBand="1"/>
      </w:tblPr>
      <w:tblGrid>
        <w:gridCol w:w="1951"/>
        <w:gridCol w:w="1123"/>
        <w:gridCol w:w="1124"/>
        <w:gridCol w:w="1124"/>
        <w:gridCol w:w="1123"/>
        <w:gridCol w:w="1124"/>
        <w:gridCol w:w="1124"/>
      </w:tblGrid>
      <w:tr w:rsidR="00EC4117" w:rsidTr="001C0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EC4117" w:rsidRPr="00A44654" w:rsidRDefault="00EC4117" w:rsidP="00EC4117">
            <w:pPr>
              <w:numPr>
                <w:ilvl w:val="0"/>
                <w:numId w:val="25"/>
              </w:numPr>
            </w:pPr>
          </w:p>
        </w:tc>
        <w:tc>
          <w:tcPr>
            <w:tcW w:w="1123" w:type="dxa"/>
          </w:tcPr>
          <w:p w:rsidR="00EC4117" w:rsidRPr="00A44654" w:rsidRDefault="00EC4117" w:rsidP="00EC4117">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2015-16</w:t>
            </w:r>
          </w:p>
        </w:tc>
        <w:tc>
          <w:tcPr>
            <w:tcW w:w="1124" w:type="dxa"/>
          </w:tcPr>
          <w:p w:rsidR="00EC4117" w:rsidRPr="00A44654" w:rsidRDefault="00EC4117" w:rsidP="00EC4117">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2016-17</w:t>
            </w:r>
          </w:p>
        </w:tc>
        <w:tc>
          <w:tcPr>
            <w:tcW w:w="1124" w:type="dxa"/>
          </w:tcPr>
          <w:p w:rsidR="00EC4117" w:rsidRPr="00A44654" w:rsidRDefault="00EC4117" w:rsidP="00EC4117">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2017-18</w:t>
            </w:r>
          </w:p>
        </w:tc>
        <w:tc>
          <w:tcPr>
            <w:tcW w:w="1123" w:type="dxa"/>
          </w:tcPr>
          <w:p w:rsidR="00EC4117" w:rsidRPr="00A44654" w:rsidRDefault="00EC4117" w:rsidP="00EC4117">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2018-19</w:t>
            </w:r>
          </w:p>
        </w:tc>
        <w:tc>
          <w:tcPr>
            <w:tcW w:w="1124" w:type="dxa"/>
          </w:tcPr>
          <w:p w:rsidR="00EC4117" w:rsidRPr="00A44654" w:rsidRDefault="00EC4117" w:rsidP="00EC4117">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2019-20</w:t>
            </w:r>
          </w:p>
        </w:tc>
        <w:tc>
          <w:tcPr>
            <w:tcW w:w="1124" w:type="dxa"/>
          </w:tcPr>
          <w:p w:rsidR="00EC4117" w:rsidRPr="00A44654" w:rsidRDefault="00EC4117" w:rsidP="00EC4117">
            <w:pPr>
              <w:numPr>
                <w:ilvl w:val="0"/>
                <w:numId w:val="25"/>
              </w:numPr>
              <w:cnfStyle w:val="100000000000" w:firstRow="1" w:lastRow="0" w:firstColumn="0" w:lastColumn="0" w:oddVBand="0" w:evenVBand="0" w:oddHBand="0" w:evenHBand="0" w:firstRowFirstColumn="0" w:firstRowLastColumn="0" w:lastRowFirstColumn="0" w:lastRowLastColumn="0"/>
            </w:pPr>
            <w:r w:rsidRPr="00A44654">
              <w:t>Total</w:t>
            </w:r>
          </w:p>
        </w:tc>
      </w:tr>
      <w:tr w:rsidR="000D29C0" w:rsidTr="001C06DA">
        <w:tc>
          <w:tcPr>
            <w:cnfStyle w:val="001000000000" w:firstRow="0" w:lastRow="0" w:firstColumn="1" w:lastColumn="0" w:oddVBand="0" w:evenVBand="0" w:oddHBand="0" w:evenHBand="0" w:firstRowFirstColumn="0" w:firstRowLastColumn="0" w:lastRowFirstColumn="0" w:lastRowLastColumn="0"/>
            <w:tcW w:w="1951" w:type="dxa"/>
          </w:tcPr>
          <w:p w:rsidR="000D29C0" w:rsidRPr="000D29C0" w:rsidRDefault="000D29C0" w:rsidP="000D29C0">
            <w:pPr>
              <w:numPr>
                <w:ilvl w:val="0"/>
                <w:numId w:val="25"/>
              </w:numPr>
            </w:pPr>
            <w:r w:rsidRPr="000D29C0">
              <w:t>Proposed commercial services fee</w:t>
            </w:r>
          </w:p>
        </w:tc>
        <w:tc>
          <w:tcPr>
            <w:tcW w:w="1123" w:type="dxa"/>
            <w:vAlign w:val="top"/>
          </w:tcPr>
          <w:p w:rsidR="000D29C0" w:rsidRPr="000D29C0" w:rsidRDefault="000D29C0" w:rsidP="006A5C19">
            <w:pPr>
              <w:cnfStyle w:val="000000000000" w:firstRow="0" w:lastRow="0" w:firstColumn="0" w:lastColumn="0" w:oddVBand="0" w:evenVBand="0" w:oddHBand="0" w:evenHBand="0" w:firstRowFirstColumn="0" w:firstRowLastColumn="0" w:lastRowFirstColumn="0" w:lastRowLastColumn="0"/>
            </w:pPr>
            <w:r w:rsidRPr="000D29C0">
              <w:t>428.2</w:t>
            </w:r>
          </w:p>
        </w:tc>
        <w:tc>
          <w:tcPr>
            <w:tcW w:w="1124" w:type="dxa"/>
            <w:vAlign w:val="top"/>
          </w:tcPr>
          <w:p w:rsidR="000D29C0" w:rsidRPr="000D29C0" w:rsidRDefault="000D29C0" w:rsidP="006A5C19">
            <w:pPr>
              <w:cnfStyle w:val="000000000000" w:firstRow="0" w:lastRow="0" w:firstColumn="0" w:lastColumn="0" w:oddVBand="0" w:evenVBand="0" w:oddHBand="0" w:evenHBand="0" w:firstRowFirstColumn="0" w:firstRowLastColumn="0" w:lastRowFirstColumn="0" w:lastRowLastColumn="0"/>
            </w:pPr>
            <w:r w:rsidRPr="000D29C0">
              <w:t>428.2</w:t>
            </w:r>
          </w:p>
        </w:tc>
        <w:tc>
          <w:tcPr>
            <w:tcW w:w="1124" w:type="dxa"/>
            <w:vAlign w:val="top"/>
          </w:tcPr>
          <w:p w:rsidR="000D29C0" w:rsidRPr="000D29C0" w:rsidRDefault="000D29C0" w:rsidP="006A5C19">
            <w:pPr>
              <w:cnfStyle w:val="000000000000" w:firstRow="0" w:lastRow="0" w:firstColumn="0" w:lastColumn="0" w:oddVBand="0" w:evenVBand="0" w:oddHBand="0" w:evenHBand="0" w:firstRowFirstColumn="0" w:firstRowLastColumn="0" w:lastRowFirstColumn="0" w:lastRowLastColumn="0"/>
            </w:pPr>
            <w:r w:rsidRPr="000D29C0">
              <w:t>428.2</w:t>
            </w:r>
          </w:p>
        </w:tc>
        <w:tc>
          <w:tcPr>
            <w:tcW w:w="1123" w:type="dxa"/>
            <w:vAlign w:val="top"/>
          </w:tcPr>
          <w:p w:rsidR="000D29C0" w:rsidRPr="000D29C0" w:rsidRDefault="000D29C0" w:rsidP="006A5C19">
            <w:pPr>
              <w:cnfStyle w:val="000000000000" w:firstRow="0" w:lastRow="0" w:firstColumn="0" w:lastColumn="0" w:oddVBand="0" w:evenVBand="0" w:oddHBand="0" w:evenHBand="0" w:firstRowFirstColumn="0" w:firstRowLastColumn="0" w:lastRowFirstColumn="0" w:lastRowLastColumn="0"/>
            </w:pPr>
            <w:r w:rsidRPr="000D29C0">
              <w:t>428.2</w:t>
            </w:r>
          </w:p>
        </w:tc>
        <w:tc>
          <w:tcPr>
            <w:tcW w:w="1124" w:type="dxa"/>
            <w:vAlign w:val="top"/>
          </w:tcPr>
          <w:p w:rsidR="000D29C0" w:rsidRPr="000D29C0" w:rsidRDefault="000D29C0" w:rsidP="006A5C19">
            <w:pPr>
              <w:cnfStyle w:val="000000000000" w:firstRow="0" w:lastRow="0" w:firstColumn="0" w:lastColumn="0" w:oddVBand="0" w:evenVBand="0" w:oddHBand="0" w:evenHBand="0" w:firstRowFirstColumn="0" w:firstRowLastColumn="0" w:lastRowFirstColumn="0" w:lastRowLastColumn="0"/>
            </w:pPr>
            <w:r w:rsidRPr="000D29C0">
              <w:t>428.2</w:t>
            </w:r>
          </w:p>
        </w:tc>
        <w:tc>
          <w:tcPr>
            <w:tcW w:w="1124" w:type="dxa"/>
            <w:vAlign w:val="top"/>
          </w:tcPr>
          <w:p w:rsidR="000D29C0" w:rsidRPr="000D29C0" w:rsidRDefault="000D29C0" w:rsidP="006A5C19">
            <w:pPr>
              <w:cnfStyle w:val="000000000000" w:firstRow="0" w:lastRow="0" w:firstColumn="0" w:lastColumn="0" w:oddVBand="0" w:evenVBand="0" w:oddHBand="0" w:evenHBand="0" w:firstRowFirstColumn="0" w:firstRowLastColumn="0" w:lastRowFirstColumn="0" w:lastRowLastColumn="0"/>
            </w:pPr>
            <w:r w:rsidRPr="000D29C0">
              <w:t xml:space="preserve"> 2,141.2 </w:t>
            </w:r>
          </w:p>
        </w:tc>
      </w:tr>
    </w:tbl>
    <w:p w:rsidR="00EC4117" w:rsidRPr="00A44654" w:rsidRDefault="00EC4117" w:rsidP="00EC4117">
      <w:pPr>
        <w:pStyle w:val="AERtablesource"/>
      </w:pPr>
      <w:r w:rsidRPr="00A44654">
        <w:t xml:space="preserve">Source: </w:t>
      </w:r>
      <w:r w:rsidR="002917AF">
        <w:tab/>
      </w:r>
      <w:r w:rsidRPr="00A44654">
        <w:t xml:space="preserve">Directlink, </w:t>
      </w:r>
      <w:r>
        <w:t xml:space="preserve">Revised revenue proposal, January 2015, </w:t>
      </w:r>
      <w:r w:rsidRPr="00A94CA1">
        <w:t xml:space="preserve">Directlink </w:t>
      </w:r>
      <w:r>
        <w:t xml:space="preserve">2015 </w:t>
      </w:r>
      <w:r w:rsidRPr="00A94CA1">
        <w:t>- Re</w:t>
      </w:r>
      <w:r>
        <w:t xml:space="preserve">vised proposal PTRM - Jan </w:t>
      </w:r>
      <w:r w:rsidRPr="00A94CA1">
        <w:t>201</w:t>
      </w:r>
      <w:r>
        <w:t>5</w:t>
      </w:r>
      <w:r w:rsidRPr="00A94CA1">
        <w:t>.xlsx, tab '</w:t>
      </w:r>
      <w:r>
        <w:t>Input</w:t>
      </w:r>
      <w:r w:rsidRPr="00A94CA1">
        <w:t>'</w:t>
      </w:r>
      <w:r>
        <w:t>; AER analysis to remove 10 per cent margin</w:t>
      </w:r>
      <w:r w:rsidRPr="00A44654">
        <w:t>.</w:t>
      </w:r>
    </w:p>
    <w:p w:rsidR="00A245B9" w:rsidRDefault="00702275" w:rsidP="00FB34E0">
      <w:r>
        <w:t>In its revised proposal Directlink submitted that it agreed with the AER that the Directlink methodology has a circularity flaw which requires 'a rough estimate of the forecast Directlink revenue'.</w:t>
      </w:r>
      <w:r w:rsidR="009726BF">
        <w:rPr>
          <w:rStyle w:val="FootnoteReference"/>
        </w:rPr>
        <w:footnoteReference w:id="110"/>
      </w:r>
      <w:r>
        <w:t xml:space="preserve"> Directlink submitted that the 'degree of imprecision is expedient'.</w:t>
      </w:r>
      <w:r w:rsidR="00175987">
        <w:rPr>
          <w:rStyle w:val="FootnoteReference"/>
        </w:rPr>
        <w:footnoteReference w:id="111"/>
      </w:r>
    </w:p>
    <w:p w:rsidR="00FB34E0" w:rsidRDefault="00A245B9" w:rsidP="00656B38">
      <w:r>
        <w:t xml:space="preserve">In its confidential version, Directlink described </w:t>
      </w:r>
      <w:r w:rsidR="00195A72">
        <w:t xml:space="preserve">the nature of the unregulated EII assets. On the basis of this description </w:t>
      </w:r>
      <w:r>
        <w:t xml:space="preserve">Directlink </w:t>
      </w:r>
      <w:r w:rsidR="00D91E20">
        <w:t>submi</w:t>
      </w:r>
      <w:r>
        <w:t>t</w:t>
      </w:r>
      <w:r w:rsidR="00D91E20">
        <w:t>ted</w:t>
      </w:r>
      <w:r>
        <w:t xml:space="preserve"> that </w:t>
      </w:r>
      <w:r w:rsidR="00195A72">
        <w:t>the unregulated EII assets have</w:t>
      </w:r>
      <w:r w:rsidR="00D94EF7">
        <w:t xml:space="preserve"> a stable revenue stream.</w:t>
      </w:r>
      <w:r w:rsidR="00AA5088">
        <w:rPr>
          <w:rStyle w:val="FootnoteReference"/>
        </w:rPr>
        <w:footnoteReference w:id="112"/>
      </w:r>
      <w:r w:rsidR="00885B52">
        <w:t xml:space="preserve"> </w:t>
      </w:r>
    </w:p>
    <w:p w:rsidR="00150AD3" w:rsidRDefault="00150AD3" w:rsidP="00FB34E0">
      <w:r>
        <w:t xml:space="preserve">Directlink </w:t>
      </w:r>
      <w:r w:rsidR="00D7359A">
        <w:t xml:space="preserve">applies the following assumptions in </w:t>
      </w:r>
      <w:r>
        <w:t>calculatin</w:t>
      </w:r>
      <w:r w:rsidR="00D7359A">
        <w:t>g</w:t>
      </w:r>
      <w:r>
        <w:t xml:space="preserve"> the commercial services fee:</w:t>
      </w:r>
      <w:r w:rsidR="00D7359A">
        <w:rPr>
          <w:rStyle w:val="FootnoteReference"/>
        </w:rPr>
        <w:footnoteReference w:id="113"/>
      </w:r>
    </w:p>
    <w:p w:rsidR="00280452" w:rsidRDefault="00280452" w:rsidP="00150AD3">
      <w:pPr>
        <w:pStyle w:val="AERbulletlistfirststyle"/>
      </w:pPr>
      <w:r>
        <w:t>Revenue shares for allocating the commercial services fee are calculated using:</w:t>
      </w:r>
    </w:p>
    <w:p w:rsidR="00150AD3" w:rsidRDefault="00150AD3" w:rsidP="00280452">
      <w:pPr>
        <w:pStyle w:val="AERbulletlistsecondstyle"/>
      </w:pPr>
      <w:r>
        <w:t xml:space="preserve">Directlink forecast </w:t>
      </w:r>
      <w:r w:rsidR="00280452">
        <w:t xml:space="preserve">2015-16 </w:t>
      </w:r>
      <w:r>
        <w:t>revenue of $15.0 million</w:t>
      </w:r>
      <w:r w:rsidR="00280452">
        <w:t xml:space="preserve"> </w:t>
      </w:r>
    </w:p>
    <w:p w:rsidR="00280452" w:rsidRDefault="00280452" w:rsidP="00280452">
      <w:pPr>
        <w:pStyle w:val="AERbulletlistsecondstyle"/>
      </w:pPr>
      <w:r>
        <w:t xml:space="preserve">AER approved 2015-16 revenue </w:t>
      </w:r>
      <w:r w:rsidR="00930397">
        <w:t xml:space="preserve">forecast </w:t>
      </w:r>
      <w:r>
        <w:t xml:space="preserve">for </w:t>
      </w:r>
      <w:r w:rsidR="00150AD3">
        <w:t>Murraylink</w:t>
      </w:r>
      <w:r>
        <w:t xml:space="preserve"> of $13.5 million</w:t>
      </w:r>
    </w:p>
    <w:p w:rsidR="00280452" w:rsidRDefault="00280452" w:rsidP="00280452">
      <w:pPr>
        <w:pStyle w:val="AERbulletlistsecondstyle"/>
      </w:pPr>
      <w:r>
        <w:t>Other EII asset 2012-13 revenue of $66.0 million</w:t>
      </w:r>
      <w:r w:rsidR="00E72F96">
        <w:t>.</w:t>
      </w:r>
    </w:p>
    <w:p w:rsidR="00885B52" w:rsidRDefault="00E72F96" w:rsidP="00150AD3">
      <w:pPr>
        <w:pStyle w:val="AERbulletlistfirststyle"/>
      </w:pPr>
      <w:r>
        <w:t>A total commercial services fee of $2.5 million</w:t>
      </w:r>
      <w:r>
        <w:rPr>
          <w:rStyle w:val="FootnoteReference"/>
        </w:rPr>
        <w:footnoteReference w:id="114"/>
      </w:r>
      <w:r>
        <w:t xml:space="preserve"> with</w:t>
      </w:r>
      <w:r w:rsidR="00150AD3">
        <w:t xml:space="preserve"> two years escalation </w:t>
      </w:r>
      <w:r>
        <w:t xml:space="preserve">applied plus a further 2.55 per cent escalation applied within the PTRM model, yielding a proposed escalated commercial services fee of </w:t>
      </w:r>
      <w:r w:rsidR="00150AD3">
        <w:t>$2.</w:t>
      </w:r>
      <w:r>
        <w:t xml:space="preserve">7 </w:t>
      </w:r>
      <w:r w:rsidR="00150AD3">
        <w:t>million</w:t>
      </w:r>
      <w:r w:rsidR="00D7359A">
        <w:t xml:space="preserve"> before allocation</w:t>
      </w:r>
      <w:r>
        <w:t>.</w:t>
      </w:r>
    </w:p>
    <w:p w:rsidR="002F25FB" w:rsidRDefault="00016C77" w:rsidP="00BF3E67">
      <w:r>
        <w:t>We</w:t>
      </w:r>
      <w:r w:rsidR="006A5C19">
        <w:t xml:space="preserve"> do not consider </w:t>
      </w:r>
      <w:r w:rsidR="006C5264">
        <w:t xml:space="preserve">that </w:t>
      </w:r>
      <w:r w:rsidR="006A5C19">
        <w:t>Directink's assumptions re</w:t>
      </w:r>
      <w:r w:rsidR="00AE2733">
        <w:t>sult in</w:t>
      </w:r>
      <w:r w:rsidR="00FF0543">
        <w:t xml:space="preserve"> the efficient </w:t>
      </w:r>
      <w:r w:rsidR="00424B74">
        <w:t>allocation</w:t>
      </w:r>
      <w:r w:rsidR="006C5264">
        <w:t>, and so cost,</w:t>
      </w:r>
      <w:r w:rsidR="00424B74">
        <w:t xml:space="preserve"> of the commercial service</w:t>
      </w:r>
      <w:r w:rsidR="00FF0543">
        <w:t>s</w:t>
      </w:r>
      <w:r w:rsidR="00424B74">
        <w:t xml:space="preserve"> fee</w:t>
      </w:r>
      <w:r w:rsidR="00AE2733">
        <w:t xml:space="preserve"> to Directlink</w:t>
      </w:r>
      <w:r w:rsidR="00424B74">
        <w:t>.</w:t>
      </w:r>
      <w:r w:rsidR="00424B74">
        <w:rPr>
          <w:rStyle w:val="FootnoteReference"/>
        </w:rPr>
        <w:footnoteReference w:id="115"/>
      </w:r>
      <w:r w:rsidR="00FF0543">
        <w:t xml:space="preserve"> </w:t>
      </w:r>
    </w:p>
    <w:p w:rsidR="00062285" w:rsidRDefault="00575ADD" w:rsidP="00062285">
      <w:r>
        <w:lastRenderedPageBreak/>
        <w:t xml:space="preserve">As raised in the draft decision, </w:t>
      </w:r>
      <w:r w:rsidR="00016C77">
        <w:t>we</w:t>
      </w:r>
      <w:r w:rsidR="00FA04CD">
        <w:t xml:space="preserve"> </w:t>
      </w:r>
      <w:r w:rsidR="00625DA0">
        <w:t xml:space="preserve">consider that Directlink's proposed method </w:t>
      </w:r>
      <w:r>
        <w:t>of u</w:t>
      </w:r>
      <w:r w:rsidRPr="00575ADD">
        <w:t>s</w:t>
      </w:r>
      <w:r>
        <w:t>ing</w:t>
      </w:r>
      <w:r w:rsidRPr="00575ADD">
        <w:t xml:space="preserve"> forecast revenue for the regulated assets but us</w:t>
      </w:r>
      <w:r>
        <w:t>ing</w:t>
      </w:r>
      <w:r w:rsidRPr="00575ADD">
        <w:t xml:space="preserve"> historical revenue</w:t>
      </w:r>
      <w:r>
        <w:rPr>
          <w:rStyle w:val="FootnoteReference"/>
        </w:rPr>
        <w:footnoteReference w:id="116"/>
      </w:r>
      <w:r w:rsidRPr="00575ADD">
        <w:t xml:space="preserve"> for the non-regulated assets</w:t>
      </w:r>
      <w:r>
        <w:t xml:space="preserve"> in order to</w:t>
      </w:r>
      <w:r w:rsidR="00625DA0">
        <w:t xml:space="preserve"> arriv</w:t>
      </w:r>
      <w:r>
        <w:t>e</w:t>
      </w:r>
      <w:r w:rsidR="00625DA0">
        <w:t xml:space="preserve"> at the revenue shares for allocating the commercial services fee </w:t>
      </w:r>
      <w:r w:rsidR="006D7E03">
        <w:t xml:space="preserve">is likely to </w:t>
      </w:r>
      <w:r w:rsidR="00BF2A29">
        <w:t xml:space="preserve">result in </w:t>
      </w:r>
      <w:r w:rsidR="003B3B52">
        <w:t>a</w:t>
      </w:r>
      <w:r>
        <w:t xml:space="preserve"> </w:t>
      </w:r>
      <w:r w:rsidR="003B3B52">
        <w:t>biased allocation.</w:t>
      </w:r>
      <w:r w:rsidR="006D7E03">
        <w:rPr>
          <w:rStyle w:val="FootnoteReference"/>
        </w:rPr>
        <w:footnoteReference w:id="117"/>
      </w:r>
      <w:r w:rsidR="003B3B52">
        <w:t xml:space="preserve"> </w:t>
      </w:r>
      <w:r w:rsidR="00062285">
        <w:t xml:space="preserve">This is because </w:t>
      </w:r>
      <w:r w:rsidR="00062285" w:rsidRPr="006D7E03">
        <w:t xml:space="preserve">Directlink has forecast </w:t>
      </w:r>
      <w:r w:rsidR="00062285">
        <w:t xml:space="preserve">negative </w:t>
      </w:r>
      <w:r w:rsidR="00062285" w:rsidRPr="006D7E03">
        <w:t xml:space="preserve">real </w:t>
      </w:r>
      <w:r w:rsidR="00062285">
        <w:t>r</w:t>
      </w:r>
      <w:r w:rsidR="00062285" w:rsidRPr="006D7E03">
        <w:t xml:space="preserve">evenue growth </w:t>
      </w:r>
      <w:r w:rsidR="00062285">
        <w:t xml:space="preserve">in the </w:t>
      </w:r>
      <w:r w:rsidR="00062285" w:rsidRPr="006D7E03">
        <w:t xml:space="preserve">unregulated EII assets while it has captured the upwards growth in the proposed revenue requirement for Directlink and the AER approved regulatory </w:t>
      </w:r>
      <w:r w:rsidR="00930397">
        <w:t>forecast</w:t>
      </w:r>
      <w:r w:rsidR="00062285" w:rsidRPr="006D7E03">
        <w:t xml:space="preserve"> for Murraylink. It is inconsistent to account for changes in Directlink's revenue without also accounting for the expected changes in revenue of the other assets.</w:t>
      </w:r>
    </w:p>
    <w:p w:rsidR="00575ADD" w:rsidRDefault="00736E71" w:rsidP="00BF3E67">
      <w:r>
        <w:t>We do</w:t>
      </w:r>
      <w:r w:rsidR="007500A7">
        <w:t xml:space="preserve"> </w:t>
      </w:r>
      <w:r>
        <w:t>n</w:t>
      </w:r>
      <w:r w:rsidR="007500A7">
        <w:t>o</w:t>
      </w:r>
      <w:r>
        <w:t xml:space="preserve">t </w:t>
      </w:r>
      <w:r w:rsidR="007500A7">
        <w:t>consider</w:t>
      </w:r>
      <w:r>
        <w:t xml:space="preserve"> that the unregulated </w:t>
      </w:r>
      <w:r w:rsidR="00163746">
        <w:t xml:space="preserve">EII </w:t>
      </w:r>
      <w:r>
        <w:t xml:space="preserve">assets have a more stable revenue stream than the regulated </w:t>
      </w:r>
      <w:r w:rsidR="00163746">
        <w:t xml:space="preserve">EII </w:t>
      </w:r>
      <w:r>
        <w:t xml:space="preserve">assets. </w:t>
      </w:r>
      <w:r w:rsidR="007F3928">
        <w:t>T</w:t>
      </w:r>
      <w:r w:rsidR="003B3B52">
        <w:t xml:space="preserve">he EII asset portfolio consists of </w:t>
      </w:r>
      <w:r w:rsidR="003B3B52" w:rsidRPr="00656B38">
        <w:t>Gas pipelines: T</w:t>
      </w:r>
      <w:r w:rsidR="003B3B52">
        <w:t xml:space="preserve">elfer Gas Pipeline and lateral, </w:t>
      </w:r>
      <w:r w:rsidR="003B3B52" w:rsidRPr="00656B38">
        <w:t>Bonaparte Gas Pipeline</w:t>
      </w:r>
      <w:r w:rsidR="003B3B52">
        <w:t xml:space="preserve"> and</w:t>
      </w:r>
      <w:r w:rsidR="003B3B52" w:rsidRPr="00656B38">
        <w:t xml:space="preserve"> Wickham Point</w:t>
      </w:r>
      <w:r w:rsidR="003B3B52">
        <w:t xml:space="preserve"> </w:t>
      </w:r>
      <w:r w:rsidR="003B3B52" w:rsidRPr="00656B38">
        <w:t>Pipeline</w:t>
      </w:r>
      <w:r w:rsidR="003B3B52">
        <w:t xml:space="preserve">; </w:t>
      </w:r>
      <w:r w:rsidR="003B3B52" w:rsidRPr="00656B38">
        <w:t>Electricity transmission cables: Murraylink and Directlink</w:t>
      </w:r>
      <w:r w:rsidR="003B3B52">
        <w:t xml:space="preserve">; </w:t>
      </w:r>
      <w:r w:rsidR="003B3B52" w:rsidRPr="00656B38">
        <w:t>Gas-fired power stations: Daandine power station</w:t>
      </w:r>
      <w:r w:rsidR="003B3B52">
        <w:t xml:space="preserve"> </w:t>
      </w:r>
      <w:r w:rsidR="003B3B52" w:rsidRPr="00656B38">
        <w:t>and X41 power station</w:t>
      </w:r>
      <w:r w:rsidR="003B3B52">
        <w:t xml:space="preserve">; and </w:t>
      </w:r>
      <w:r w:rsidR="003B3B52" w:rsidRPr="00656B38">
        <w:t xml:space="preserve">Gas processing facilities: Kogan North </w:t>
      </w:r>
      <w:r w:rsidR="003B3B52">
        <w:t>and Tipton West.</w:t>
      </w:r>
      <w:r w:rsidR="003B3B52">
        <w:rPr>
          <w:rStyle w:val="FootnoteReference"/>
        </w:rPr>
        <w:footnoteReference w:id="118"/>
      </w:r>
      <w:r w:rsidR="003B3B52">
        <w:t xml:space="preserve"> </w:t>
      </w:r>
      <w:r w:rsidR="006D7E03">
        <w:t>We consider th</w:t>
      </w:r>
      <w:r w:rsidR="00F70769">
        <w:t xml:space="preserve">at assets which are part of a supply chain </w:t>
      </w:r>
      <w:r w:rsidR="006D7E03">
        <w:t xml:space="preserve">are likely to be </w:t>
      </w:r>
      <w:r w:rsidR="00F70769">
        <w:t>impacted by changing economic circumstances. These include changing commodity prices</w:t>
      </w:r>
      <w:r w:rsidR="00470C4A">
        <w:t>, supply conditions</w:t>
      </w:r>
      <w:r w:rsidR="00F70769">
        <w:t xml:space="preserve"> and changing electricity demand. Furthermore, </w:t>
      </w:r>
      <w:r w:rsidR="00CA771C">
        <w:t xml:space="preserve">separate from changes driven by altering macroeconomic or industry-level conditions, </w:t>
      </w:r>
      <w:r w:rsidR="00F70769">
        <w:t xml:space="preserve">we consider that there is </w:t>
      </w:r>
      <w:r w:rsidR="00CA771C">
        <w:t xml:space="preserve">specific </w:t>
      </w:r>
      <w:r w:rsidR="00F70769">
        <w:t xml:space="preserve">company intelligence, which is not </w:t>
      </w:r>
      <w:r w:rsidR="00D273EF">
        <w:t xml:space="preserve">generally </w:t>
      </w:r>
      <w:r w:rsidR="00062285">
        <w:t>available</w:t>
      </w:r>
      <w:r w:rsidR="00F70769">
        <w:t xml:space="preserve"> to </w:t>
      </w:r>
      <w:r w:rsidR="00C838DD">
        <w:t>us</w:t>
      </w:r>
      <w:r w:rsidR="00062285">
        <w:t xml:space="preserve">, which </w:t>
      </w:r>
      <w:r w:rsidR="008B6D72">
        <w:t>would indicate</w:t>
      </w:r>
      <w:r w:rsidR="00062285">
        <w:t xml:space="preserve"> </w:t>
      </w:r>
      <w:r w:rsidR="008B6D72">
        <w:t>likely changes in</w:t>
      </w:r>
      <w:r w:rsidR="00062285">
        <w:t xml:space="preserve"> revenue growth</w:t>
      </w:r>
      <w:r w:rsidR="002B0820">
        <w:t xml:space="preserve">. An example of such company intelligence </w:t>
      </w:r>
      <w:r w:rsidR="00C16D7B">
        <w:t xml:space="preserve">was that </w:t>
      </w:r>
      <w:r w:rsidR="001C7E7D">
        <w:t xml:space="preserve">Directlink revealed that </w:t>
      </w:r>
      <w:r w:rsidR="002B0820">
        <w:t xml:space="preserve">the </w:t>
      </w:r>
      <w:r w:rsidR="00F70769">
        <w:t>X41 power station</w:t>
      </w:r>
      <w:r w:rsidR="00062285">
        <w:t xml:space="preserve"> is being expanded from 11 generator sets to 14</w:t>
      </w:r>
      <w:r w:rsidR="001C7E7D">
        <w:t xml:space="preserve"> </w:t>
      </w:r>
      <w:r w:rsidR="001D2541">
        <w:t xml:space="preserve">in 2014 </w:t>
      </w:r>
      <w:r w:rsidR="001C7E7D">
        <w:t xml:space="preserve">and so it expects that the X41 power station revenue will increase </w:t>
      </w:r>
      <w:r w:rsidR="001D2541">
        <w:t xml:space="preserve">in direct </w:t>
      </w:r>
      <w:r w:rsidR="001C7E7D">
        <w:t>proportion</w:t>
      </w:r>
      <w:r w:rsidR="001D2541">
        <w:t xml:space="preserve"> in 2014</w:t>
      </w:r>
      <w:r w:rsidR="00F70769">
        <w:t>.</w:t>
      </w:r>
      <w:r w:rsidR="001C7E7D">
        <w:rPr>
          <w:rStyle w:val="FootnoteReference"/>
        </w:rPr>
        <w:footnoteReference w:id="119"/>
      </w:r>
      <w:r w:rsidR="00F70769" w:rsidRPr="00F70769">
        <w:t xml:space="preserve"> </w:t>
      </w:r>
    </w:p>
    <w:p w:rsidR="00212B78" w:rsidRDefault="00B74122" w:rsidP="00351ED5">
      <w:r>
        <w:t xml:space="preserve">Prior to the draft decision </w:t>
      </w:r>
      <w:r w:rsidR="00C838DD">
        <w:t xml:space="preserve">we </w:t>
      </w:r>
      <w:r>
        <w:t xml:space="preserve">requested the revenue stream data for the individual EII assets to be able to test the Directlink </w:t>
      </w:r>
      <w:r w:rsidR="00B9434F">
        <w:t>claim</w:t>
      </w:r>
      <w:r>
        <w:t xml:space="preserve">. </w:t>
      </w:r>
      <w:r w:rsidR="00212B78">
        <w:t xml:space="preserve">Directlink </w:t>
      </w:r>
      <w:r>
        <w:t>respond</w:t>
      </w:r>
      <w:r w:rsidR="00212B78">
        <w:t>ed that it does not have forecasts of the revenue for the other, unregulated EII assets.</w:t>
      </w:r>
      <w:r w:rsidR="00212B78">
        <w:rPr>
          <w:rStyle w:val="FootnoteReference"/>
        </w:rPr>
        <w:footnoteReference w:id="120"/>
      </w:r>
      <w:r w:rsidR="00212B78">
        <w:t xml:space="preserve"> </w:t>
      </w:r>
    </w:p>
    <w:p w:rsidR="00BF3E67" w:rsidRDefault="00257A5C" w:rsidP="00BF3E67">
      <w:r>
        <w:t>Based on the available evidence we</w:t>
      </w:r>
      <w:r w:rsidR="002F25FB">
        <w:t xml:space="preserve"> </w:t>
      </w:r>
      <w:r w:rsidR="000B654C">
        <w:t>assess</w:t>
      </w:r>
      <w:r w:rsidR="002F25FB">
        <w:t xml:space="preserve"> that the amount of the total commercial services fee to be allocated across EII assets is $2.5 million. This is because i</w:t>
      </w:r>
      <w:r w:rsidR="00BF3E67" w:rsidRPr="00BF3E67">
        <w:t>n response to information request Opex 03, question 8, Directlink stated that:</w:t>
      </w:r>
      <w:r w:rsidR="00BF3E67">
        <w:rPr>
          <w:rStyle w:val="FootnoteReference"/>
        </w:rPr>
        <w:footnoteReference w:id="121"/>
      </w:r>
      <w:r w:rsidR="00BF3E67" w:rsidRPr="00BF3E67">
        <w:t xml:space="preserve"> </w:t>
      </w:r>
    </w:p>
    <w:p w:rsidR="00BF3E67" w:rsidRDefault="00BF3E67" w:rsidP="00BF3E67">
      <w:pPr>
        <w:pStyle w:val="AERquote"/>
      </w:pPr>
      <w:r w:rsidRPr="00BF3E67">
        <w:t>“APA Operations manages all EII assets under the fixed commercial services agreement for a fixed fee of $2.5 million per year (plus margin)…”</w:t>
      </w:r>
      <w:r>
        <w:t xml:space="preserve">. </w:t>
      </w:r>
    </w:p>
    <w:p w:rsidR="008B364F" w:rsidRDefault="00BF3E67" w:rsidP="00BF3E67">
      <w:r>
        <w:t>In a follow-up information request, Opex 05 Directlink stated that:</w:t>
      </w:r>
      <w:r w:rsidR="008B364F">
        <w:rPr>
          <w:rStyle w:val="FootnoteReference"/>
        </w:rPr>
        <w:footnoteReference w:id="122"/>
      </w:r>
      <w:r>
        <w:t xml:space="preserve"> </w:t>
      </w:r>
    </w:p>
    <w:p w:rsidR="00BF3E67" w:rsidRDefault="00BF3E67" w:rsidP="00E22A3B">
      <w:pPr>
        <w:pStyle w:val="AERquote"/>
      </w:pPr>
      <w:r>
        <w:lastRenderedPageBreak/>
        <w:t>"</w:t>
      </w:r>
      <w:r w:rsidRPr="00BF3E67">
        <w:t>The commercial services fee is reviewed annually through the EII budget process. It is not subject to automatic inflation escalation.</w:t>
      </w:r>
      <w:r w:rsidR="008B364F">
        <w:t>"</w:t>
      </w:r>
    </w:p>
    <w:p w:rsidR="004D567B" w:rsidRDefault="008A046C" w:rsidP="007C4BE1">
      <w:r>
        <w:t xml:space="preserve">In the absence of EII asset forecast information, </w:t>
      </w:r>
      <w:r w:rsidR="001A7733">
        <w:t>we</w:t>
      </w:r>
      <w:r>
        <w:t xml:space="preserve"> consider that the most reliable indication of future revenue shares is revealed </w:t>
      </w:r>
      <w:r w:rsidR="004D567B">
        <w:t xml:space="preserve">actual </w:t>
      </w:r>
      <w:r>
        <w:t xml:space="preserve">revenue shares. </w:t>
      </w:r>
    </w:p>
    <w:p w:rsidR="004D567B" w:rsidRDefault="001A7733" w:rsidP="007C4BE1">
      <w:r>
        <w:t>We have</w:t>
      </w:r>
      <w:r w:rsidR="008A046C">
        <w:t xml:space="preserve"> used the latest audited financial results</w:t>
      </w:r>
      <w:r w:rsidR="000426A8">
        <w:t xml:space="preserve">, </w:t>
      </w:r>
      <w:r w:rsidR="00470C4A">
        <w:t>calendar</w:t>
      </w:r>
      <w:r w:rsidR="000426A8">
        <w:t xml:space="preserve"> year 2013,</w:t>
      </w:r>
      <w:r w:rsidR="008A046C">
        <w:t xml:space="preserve"> as the basis for determining the EII asset</w:t>
      </w:r>
      <w:r w:rsidR="00C1507A">
        <w:t>'s</w:t>
      </w:r>
      <w:r w:rsidR="008A046C">
        <w:t xml:space="preserve"> share of </w:t>
      </w:r>
      <w:r w:rsidR="00AB7DE7">
        <w:t>revenue.</w:t>
      </w:r>
    </w:p>
    <w:p w:rsidR="000426A8" w:rsidRDefault="006E0382" w:rsidP="006E0382">
      <w:pPr>
        <w:pStyle w:val="Caption"/>
      </w:pPr>
      <w:bookmarkStart w:id="44" w:name="_Ref401649231"/>
      <w:r>
        <w:t xml:space="preserve">Table </w:t>
      </w:r>
      <w:r w:rsidR="00053B26">
        <w:fldChar w:fldCharType="begin"/>
      </w:r>
      <w:r w:rsidR="00053B26">
        <w:instrText xml:space="preserve"> STYLEREF 1 \s </w:instrText>
      </w:r>
      <w:r w:rsidR="00053B26">
        <w:fldChar w:fldCharType="separate"/>
      </w:r>
      <w:r w:rsidR="00020BF5">
        <w:rPr>
          <w:noProof/>
        </w:rPr>
        <w:t>7</w:t>
      </w:r>
      <w:r w:rsidR="00053B26">
        <w:rPr>
          <w:noProof/>
        </w:rPr>
        <w:fldChar w:fldCharType="end"/>
      </w:r>
      <w:r w:rsidR="00337764">
        <w:noBreakHyphen/>
      </w:r>
      <w:r w:rsidR="00053B26">
        <w:fldChar w:fldCharType="begin"/>
      </w:r>
      <w:r w:rsidR="00053B26">
        <w:instrText xml:space="preserve"> SEQ Table \* ARABIC \s 1 </w:instrText>
      </w:r>
      <w:r w:rsidR="00053B26">
        <w:fldChar w:fldCharType="separate"/>
      </w:r>
      <w:r w:rsidR="00020BF5">
        <w:rPr>
          <w:noProof/>
        </w:rPr>
        <w:t>12</w:t>
      </w:r>
      <w:r w:rsidR="00053B26">
        <w:rPr>
          <w:noProof/>
        </w:rPr>
        <w:fldChar w:fldCharType="end"/>
      </w:r>
      <w:r>
        <w:t xml:space="preserve"> </w:t>
      </w:r>
      <w:bookmarkEnd w:id="44"/>
      <w:r w:rsidR="000426A8">
        <w:tab/>
        <w:t>AER's allocation of commercial services fees</w:t>
      </w:r>
      <w:r w:rsidR="000D7257">
        <w:t xml:space="preserve"> ($2014-15)</w:t>
      </w:r>
    </w:p>
    <w:tbl>
      <w:tblPr>
        <w:tblStyle w:val="AERtable-numbers"/>
        <w:tblW w:w="0" w:type="auto"/>
        <w:tblLook w:val="04A0" w:firstRow="1" w:lastRow="0" w:firstColumn="1" w:lastColumn="0" w:noHBand="0" w:noVBand="1"/>
      </w:tblPr>
      <w:tblGrid>
        <w:gridCol w:w="2699"/>
        <w:gridCol w:w="1986"/>
        <w:gridCol w:w="2001"/>
        <w:gridCol w:w="2007"/>
      </w:tblGrid>
      <w:tr w:rsidR="000426A8" w:rsidTr="00CB6803">
        <w:trPr>
          <w:cnfStyle w:val="100000000000" w:firstRow="1" w:lastRow="0" w:firstColumn="0" w:lastColumn="0" w:oddVBand="0" w:evenVBand="0" w:oddHBand="0" w:evenHBand="0" w:firstRowFirstColumn="0" w:firstRowLastColumn="0" w:lastRowFirstColumn="0" w:lastRowLastColumn="0"/>
          <w:trHeight w:val="1237"/>
          <w:tblHeader/>
        </w:trPr>
        <w:tc>
          <w:tcPr>
            <w:cnfStyle w:val="001000000000" w:firstRow="0" w:lastRow="0" w:firstColumn="1" w:lastColumn="0" w:oddVBand="0" w:evenVBand="0" w:oddHBand="0" w:evenHBand="0" w:firstRowFirstColumn="0" w:firstRowLastColumn="0" w:lastRowFirstColumn="0" w:lastRowLastColumn="0"/>
            <w:tcW w:w="2699" w:type="dxa"/>
          </w:tcPr>
          <w:p w:rsidR="000426A8" w:rsidRDefault="000426A8" w:rsidP="000426A8">
            <w:pPr>
              <w:numPr>
                <w:ilvl w:val="0"/>
                <w:numId w:val="25"/>
              </w:numPr>
            </w:pPr>
          </w:p>
        </w:tc>
        <w:tc>
          <w:tcPr>
            <w:tcW w:w="1986" w:type="dxa"/>
          </w:tcPr>
          <w:p w:rsidR="000426A8" w:rsidRPr="000426A8" w:rsidRDefault="000426A8" w:rsidP="00C1507A">
            <w:pPr>
              <w:pStyle w:val="AERtabletextright"/>
              <w:cnfStyle w:val="100000000000" w:firstRow="1" w:lastRow="0" w:firstColumn="0" w:lastColumn="0" w:oddVBand="0" w:evenVBand="0" w:oddHBand="0" w:evenHBand="0" w:firstRowFirstColumn="0" w:firstRowLastColumn="0" w:lastRowFirstColumn="0" w:lastRowLastColumn="0"/>
            </w:pPr>
            <w:r>
              <w:t>2013 revenue ($000s)</w:t>
            </w:r>
          </w:p>
        </w:tc>
        <w:tc>
          <w:tcPr>
            <w:tcW w:w="2001" w:type="dxa"/>
          </w:tcPr>
          <w:p w:rsidR="000426A8" w:rsidRPr="000426A8" w:rsidRDefault="000426A8" w:rsidP="000426A8">
            <w:pPr>
              <w:pStyle w:val="AERtabletextright"/>
              <w:cnfStyle w:val="100000000000" w:firstRow="1" w:lastRow="0" w:firstColumn="0" w:lastColumn="0" w:oddVBand="0" w:evenVBand="0" w:oddHBand="0" w:evenHBand="0" w:firstRowFirstColumn="0" w:firstRowLastColumn="0" w:lastRowFirstColumn="0" w:lastRowLastColumn="0"/>
            </w:pPr>
            <w:r>
              <w:t>Proportion (%)</w:t>
            </w:r>
          </w:p>
        </w:tc>
        <w:tc>
          <w:tcPr>
            <w:tcW w:w="2007" w:type="dxa"/>
          </w:tcPr>
          <w:p w:rsidR="000426A8" w:rsidRPr="000426A8" w:rsidRDefault="000426A8" w:rsidP="000426A8">
            <w:pPr>
              <w:pStyle w:val="AERtabletextright"/>
              <w:cnfStyle w:val="100000000000" w:firstRow="1" w:lastRow="0" w:firstColumn="0" w:lastColumn="0" w:oddVBand="0" w:evenVBand="0" w:oddHBand="0" w:evenHBand="0" w:firstRowFirstColumn="0" w:firstRowLastColumn="0" w:lastRowFirstColumn="0" w:lastRowLastColumn="0"/>
            </w:pPr>
            <w:r>
              <w:t xml:space="preserve">Allocation of commercial services fee </w:t>
            </w:r>
            <w:r w:rsidRPr="000426A8">
              <w:t>($000s)</w:t>
            </w:r>
          </w:p>
        </w:tc>
      </w:tr>
      <w:tr w:rsidR="00CB6803" w:rsidTr="00CB6803">
        <w:trPr>
          <w:trHeight w:val="469"/>
        </w:trPr>
        <w:tc>
          <w:tcPr>
            <w:cnfStyle w:val="001000000000" w:firstRow="0" w:lastRow="0" w:firstColumn="1" w:lastColumn="0" w:oddVBand="0" w:evenVBand="0" w:oddHBand="0" w:evenHBand="0" w:firstRowFirstColumn="0" w:firstRowLastColumn="0" w:lastRowFirstColumn="0" w:lastRowLastColumn="0"/>
            <w:tcW w:w="2699" w:type="dxa"/>
          </w:tcPr>
          <w:p w:rsidR="00CB6803" w:rsidRPr="00CB6803" w:rsidRDefault="00CB6803" w:rsidP="00CB6803">
            <w:pPr>
              <w:numPr>
                <w:ilvl w:val="0"/>
                <w:numId w:val="25"/>
              </w:numPr>
            </w:pPr>
            <w:r w:rsidRPr="00CB6803">
              <w:t>Fixed commercial services fee</w:t>
            </w:r>
          </w:p>
        </w:tc>
        <w:tc>
          <w:tcPr>
            <w:tcW w:w="1986"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p>
        </w:tc>
        <w:tc>
          <w:tcPr>
            <w:tcW w:w="2001"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p>
        </w:tc>
        <w:tc>
          <w:tcPr>
            <w:tcW w:w="2007"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2,500.0</w:t>
            </w:r>
          </w:p>
        </w:tc>
      </w:tr>
      <w:tr w:rsidR="00CB6803" w:rsidTr="00CB6803">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699" w:type="dxa"/>
          </w:tcPr>
          <w:p w:rsidR="00CB6803" w:rsidRPr="00CB6803" w:rsidRDefault="00CB6803" w:rsidP="00CB6803">
            <w:pPr>
              <w:numPr>
                <w:ilvl w:val="0"/>
                <w:numId w:val="25"/>
              </w:numPr>
            </w:pPr>
            <w:r w:rsidRPr="00CB6803">
              <w:t>Directlink</w:t>
            </w:r>
          </w:p>
        </w:tc>
        <w:tc>
          <w:tcPr>
            <w:tcW w:w="1986" w:type="dxa"/>
            <w:vAlign w:val="top"/>
          </w:tcPr>
          <w:p w:rsidR="00CB6803" w:rsidRPr="00CB6803" w:rsidRDefault="00CB6803" w:rsidP="004B2286">
            <w:pPr>
              <w:cnfStyle w:val="000000010000" w:firstRow="0" w:lastRow="0" w:firstColumn="0" w:lastColumn="0" w:oddVBand="0" w:evenVBand="0" w:oddHBand="0" w:evenHBand="1" w:firstRowFirstColumn="0" w:firstRowLastColumn="0" w:lastRowFirstColumn="0" w:lastRowLastColumn="0"/>
            </w:pPr>
            <w:r w:rsidRPr="00CB6803">
              <w:t>12,993</w:t>
            </w:r>
          </w:p>
        </w:tc>
        <w:tc>
          <w:tcPr>
            <w:tcW w:w="2001" w:type="dxa"/>
            <w:vAlign w:val="top"/>
          </w:tcPr>
          <w:p w:rsidR="00CB6803" w:rsidRPr="00CB6803" w:rsidRDefault="00CB6803" w:rsidP="004B2286">
            <w:pPr>
              <w:cnfStyle w:val="000000010000" w:firstRow="0" w:lastRow="0" w:firstColumn="0" w:lastColumn="0" w:oddVBand="0" w:evenVBand="0" w:oddHBand="0" w:evenHBand="1" w:firstRowFirstColumn="0" w:firstRowLastColumn="0" w:lastRowFirstColumn="0" w:lastRowLastColumn="0"/>
            </w:pPr>
            <w:r w:rsidRPr="00CB6803">
              <w:t xml:space="preserve"> 14.1 </w:t>
            </w:r>
          </w:p>
        </w:tc>
        <w:tc>
          <w:tcPr>
            <w:tcW w:w="2007" w:type="dxa"/>
            <w:vAlign w:val="top"/>
          </w:tcPr>
          <w:p w:rsidR="00CB6803" w:rsidRPr="00CB6803" w:rsidRDefault="00CB6803" w:rsidP="004B2286">
            <w:pPr>
              <w:cnfStyle w:val="000000010000" w:firstRow="0" w:lastRow="0" w:firstColumn="0" w:lastColumn="0" w:oddVBand="0" w:evenVBand="0" w:oddHBand="0" w:evenHBand="1" w:firstRowFirstColumn="0" w:firstRowLastColumn="0" w:lastRowFirstColumn="0" w:lastRowLastColumn="0"/>
            </w:pPr>
            <w:r w:rsidRPr="00CB6803">
              <w:t>353.6</w:t>
            </w:r>
          </w:p>
        </w:tc>
      </w:tr>
      <w:tr w:rsidR="00CB6803" w:rsidTr="00CB6803">
        <w:trPr>
          <w:trHeight w:val="581"/>
        </w:trPr>
        <w:tc>
          <w:tcPr>
            <w:cnfStyle w:val="001000000000" w:firstRow="0" w:lastRow="0" w:firstColumn="1" w:lastColumn="0" w:oddVBand="0" w:evenVBand="0" w:oddHBand="0" w:evenHBand="0" w:firstRowFirstColumn="0" w:firstRowLastColumn="0" w:lastRowFirstColumn="0" w:lastRowLastColumn="0"/>
            <w:tcW w:w="2699" w:type="dxa"/>
          </w:tcPr>
          <w:p w:rsidR="00CB6803" w:rsidRPr="00CB6803" w:rsidRDefault="00CB6803" w:rsidP="00CB6803">
            <w:pPr>
              <w:numPr>
                <w:ilvl w:val="0"/>
                <w:numId w:val="25"/>
              </w:numPr>
            </w:pPr>
            <w:r w:rsidRPr="00CB6803">
              <w:t>Murraylink</w:t>
            </w:r>
          </w:p>
        </w:tc>
        <w:tc>
          <w:tcPr>
            <w:tcW w:w="1986"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13,773</w:t>
            </w:r>
          </w:p>
        </w:tc>
        <w:tc>
          <w:tcPr>
            <w:tcW w:w="2001"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 xml:space="preserve"> 15.0 </w:t>
            </w:r>
          </w:p>
        </w:tc>
        <w:tc>
          <w:tcPr>
            <w:tcW w:w="2007"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374.8</w:t>
            </w:r>
          </w:p>
        </w:tc>
      </w:tr>
      <w:tr w:rsidR="00CB6803" w:rsidTr="00CB6803">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699" w:type="dxa"/>
          </w:tcPr>
          <w:p w:rsidR="00CB6803" w:rsidRPr="00CB6803" w:rsidRDefault="00CB6803" w:rsidP="00CB6803">
            <w:pPr>
              <w:numPr>
                <w:ilvl w:val="0"/>
                <w:numId w:val="25"/>
              </w:numPr>
            </w:pPr>
            <w:r w:rsidRPr="00CB6803">
              <w:t>Other EII assets</w:t>
            </w:r>
          </w:p>
        </w:tc>
        <w:tc>
          <w:tcPr>
            <w:tcW w:w="1986" w:type="dxa"/>
            <w:vAlign w:val="top"/>
          </w:tcPr>
          <w:p w:rsidR="00CB6803" w:rsidRPr="00CB6803" w:rsidRDefault="00CB6803" w:rsidP="004B2286">
            <w:pPr>
              <w:cnfStyle w:val="000000010000" w:firstRow="0" w:lastRow="0" w:firstColumn="0" w:lastColumn="0" w:oddVBand="0" w:evenVBand="0" w:oddHBand="0" w:evenHBand="1" w:firstRowFirstColumn="0" w:firstRowLastColumn="0" w:lastRowFirstColumn="0" w:lastRowLastColumn="0"/>
            </w:pPr>
            <w:r w:rsidRPr="00CB6803">
              <w:t xml:space="preserve"> 65,094 </w:t>
            </w:r>
          </w:p>
        </w:tc>
        <w:tc>
          <w:tcPr>
            <w:tcW w:w="2001" w:type="dxa"/>
            <w:vAlign w:val="top"/>
          </w:tcPr>
          <w:p w:rsidR="00CB6803" w:rsidRPr="00CB6803" w:rsidRDefault="00CB6803" w:rsidP="004B2286">
            <w:pPr>
              <w:cnfStyle w:val="000000010000" w:firstRow="0" w:lastRow="0" w:firstColumn="0" w:lastColumn="0" w:oddVBand="0" w:evenVBand="0" w:oddHBand="0" w:evenHBand="1" w:firstRowFirstColumn="0" w:firstRowLastColumn="0" w:lastRowFirstColumn="0" w:lastRowLastColumn="0"/>
            </w:pPr>
            <w:r w:rsidRPr="00CB6803">
              <w:t xml:space="preserve"> 70.9 </w:t>
            </w:r>
          </w:p>
        </w:tc>
        <w:tc>
          <w:tcPr>
            <w:tcW w:w="2007" w:type="dxa"/>
            <w:vAlign w:val="top"/>
          </w:tcPr>
          <w:p w:rsidR="00CB6803" w:rsidRPr="00CB6803" w:rsidRDefault="00CB6803" w:rsidP="004B2286">
            <w:pPr>
              <w:cnfStyle w:val="000000010000" w:firstRow="0" w:lastRow="0" w:firstColumn="0" w:lastColumn="0" w:oddVBand="0" w:evenVBand="0" w:oddHBand="0" w:evenHBand="1" w:firstRowFirstColumn="0" w:firstRowLastColumn="0" w:lastRowFirstColumn="0" w:lastRowLastColumn="0"/>
            </w:pPr>
            <w:r w:rsidRPr="00CB6803">
              <w:t>1,771.6</w:t>
            </w:r>
          </w:p>
        </w:tc>
      </w:tr>
      <w:tr w:rsidR="00CB6803" w:rsidTr="00CB6803">
        <w:trPr>
          <w:trHeight w:val="581"/>
        </w:trPr>
        <w:tc>
          <w:tcPr>
            <w:cnfStyle w:val="001000000000" w:firstRow="0" w:lastRow="0" w:firstColumn="1" w:lastColumn="0" w:oddVBand="0" w:evenVBand="0" w:oddHBand="0" w:evenHBand="0" w:firstRowFirstColumn="0" w:firstRowLastColumn="0" w:lastRowFirstColumn="0" w:lastRowLastColumn="0"/>
            <w:tcW w:w="2699" w:type="dxa"/>
          </w:tcPr>
          <w:p w:rsidR="00CB6803" w:rsidRPr="00CB6803" w:rsidRDefault="00CB6803" w:rsidP="00CB6803">
            <w:pPr>
              <w:numPr>
                <w:ilvl w:val="0"/>
                <w:numId w:val="25"/>
              </w:numPr>
            </w:pPr>
            <w:r w:rsidRPr="00CB6803">
              <w:t>Total</w:t>
            </w:r>
          </w:p>
        </w:tc>
        <w:tc>
          <w:tcPr>
            <w:tcW w:w="1986"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91,859</w:t>
            </w:r>
          </w:p>
        </w:tc>
        <w:tc>
          <w:tcPr>
            <w:tcW w:w="2001"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 xml:space="preserve"> 100.0 </w:t>
            </w:r>
          </w:p>
        </w:tc>
        <w:tc>
          <w:tcPr>
            <w:tcW w:w="2007" w:type="dxa"/>
            <w:vAlign w:val="top"/>
          </w:tcPr>
          <w:p w:rsidR="00CB6803" w:rsidRPr="00CB6803" w:rsidRDefault="00CB6803" w:rsidP="004B2286">
            <w:pPr>
              <w:cnfStyle w:val="000000000000" w:firstRow="0" w:lastRow="0" w:firstColumn="0" w:lastColumn="0" w:oddVBand="0" w:evenVBand="0" w:oddHBand="0" w:evenHBand="0" w:firstRowFirstColumn="0" w:firstRowLastColumn="0" w:lastRowFirstColumn="0" w:lastRowLastColumn="0"/>
            </w:pPr>
            <w:r w:rsidRPr="00CB6803">
              <w:t>2,500.0</w:t>
            </w:r>
          </w:p>
        </w:tc>
      </w:tr>
    </w:tbl>
    <w:p w:rsidR="000426A8" w:rsidRPr="00323534" w:rsidRDefault="000426A8" w:rsidP="000426A8">
      <w:pPr>
        <w:pStyle w:val="AERtablesource"/>
      </w:pPr>
      <w:r>
        <w:t xml:space="preserve">Source: </w:t>
      </w:r>
      <w:r>
        <w:tab/>
        <w:t xml:space="preserve">AER, </w:t>
      </w:r>
      <w:r w:rsidRPr="005749A4">
        <w:t>Directlink 2006-15 - PTRM - Final decision</w:t>
      </w:r>
      <w:r>
        <w:t xml:space="preserve">.xls; AER, </w:t>
      </w:r>
      <w:r w:rsidRPr="005749A4">
        <w:t>Murraylink - PTRM - amended - final decision.xls</w:t>
      </w:r>
      <w:r>
        <w:t xml:space="preserve">; </w:t>
      </w:r>
      <w:r w:rsidR="00D765B7">
        <w:t>Directlink</w:t>
      </w:r>
      <w:r>
        <w:t>, Response to information request OPEX 01, 20140829 Response to 140806 Information request.xlsx; AER analysis</w:t>
      </w:r>
      <w:r w:rsidRPr="006E47CA">
        <w:t>.</w:t>
      </w:r>
    </w:p>
    <w:p w:rsidR="00B53DDA" w:rsidRDefault="000C513E" w:rsidP="00B53DDA">
      <w:pPr>
        <w:pStyle w:val="Heading3"/>
      </w:pPr>
      <w:bookmarkStart w:id="45" w:name="_Toc404192669"/>
      <w:bookmarkStart w:id="46" w:name="_Toc417745451"/>
      <w:r>
        <w:t>Margin on expenditure</w:t>
      </w:r>
      <w:bookmarkEnd w:id="45"/>
      <w:bookmarkEnd w:id="46"/>
    </w:p>
    <w:p w:rsidR="00042B2A" w:rsidRPr="00042B2A" w:rsidRDefault="00042B2A" w:rsidP="00042B2A">
      <w:r w:rsidRPr="00042B2A">
        <w:t>We have included a margin amount of $</w:t>
      </w:r>
      <w:r w:rsidR="007B65A4">
        <w:t>1.</w:t>
      </w:r>
      <w:r w:rsidR="00E7296C">
        <w:t>5</w:t>
      </w:r>
      <w:r w:rsidR="002B389E">
        <w:t>6</w:t>
      </w:r>
      <w:r w:rsidRPr="00042B2A">
        <w:t xml:space="preserve"> million in our alternative opex estimate. This reflects our</w:t>
      </w:r>
      <w:r>
        <w:t xml:space="preserve"> </w:t>
      </w:r>
      <w:r w:rsidRPr="00042B2A">
        <w:t>acceptance of Directlink's reasoning for inclusion of a margin, in particular that it allows Directlink to</w:t>
      </w:r>
      <w:r>
        <w:t xml:space="preserve"> </w:t>
      </w:r>
      <w:r w:rsidRPr="00042B2A">
        <w:t>access economies of scale and scope.</w:t>
      </w:r>
      <w:r w:rsidR="00D273EF">
        <w:t xml:space="preserve">  We consider this reasonably reflects the efficient costs of a prudent service provider.</w:t>
      </w:r>
    </w:p>
    <w:p w:rsidR="00FE0E6A" w:rsidRDefault="00042B2A" w:rsidP="00042B2A">
      <w:r w:rsidRPr="00042B2A">
        <w:t>Directlink proposed $</w:t>
      </w:r>
      <w:r w:rsidR="00FE0E6A">
        <w:t>1.6</w:t>
      </w:r>
      <w:r w:rsidR="00E7296C">
        <w:t>3</w:t>
      </w:r>
      <w:r w:rsidRPr="00042B2A">
        <w:t xml:space="preserve"> million in margin expenditure</w:t>
      </w:r>
      <w:r w:rsidR="00FE0E6A">
        <w:t xml:space="preserve"> over the 2015-20 regulatory</w:t>
      </w:r>
      <w:r w:rsidR="006E0382">
        <w:t xml:space="preserve"> control</w:t>
      </w:r>
      <w:r w:rsidR="00FE0E6A">
        <w:t xml:space="preserve"> period</w:t>
      </w:r>
      <w:r w:rsidRPr="00042B2A">
        <w:t xml:space="preserve">. </w:t>
      </w:r>
    </w:p>
    <w:p w:rsidR="00042B2A" w:rsidRPr="00AF1F9E" w:rsidRDefault="00042B2A" w:rsidP="00042B2A">
      <w:r w:rsidRPr="00042B2A">
        <w:t>Our forecast of the margin reflects the lower</w:t>
      </w:r>
      <w:r>
        <w:t xml:space="preserve"> </w:t>
      </w:r>
      <w:r w:rsidRPr="00042B2A">
        <w:t>amounts of operating and maintenance, insurance</w:t>
      </w:r>
      <w:r>
        <w:t xml:space="preserve"> and</w:t>
      </w:r>
      <w:r w:rsidRPr="00042B2A">
        <w:t xml:space="preserve"> commercial services fee included</w:t>
      </w:r>
      <w:r>
        <w:t xml:space="preserve"> in our opex estimate.</w:t>
      </w:r>
    </w:p>
    <w:p w:rsidR="00B53DDA" w:rsidRDefault="000C513E" w:rsidP="00B53DDA">
      <w:pPr>
        <w:pStyle w:val="Heading3"/>
      </w:pPr>
      <w:bookmarkStart w:id="47" w:name="_Toc404192670"/>
      <w:bookmarkStart w:id="48" w:name="_Toc417745452"/>
      <w:r>
        <w:t>Other expenditure</w:t>
      </w:r>
      <w:bookmarkEnd w:id="47"/>
      <w:bookmarkEnd w:id="48"/>
    </w:p>
    <w:p w:rsidR="00054BAF" w:rsidRPr="00054BAF" w:rsidRDefault="00054BAF" w:rsidP="00054BAF">
      <w:r>
        <w:t>As per our draft decision, i</w:t>
      </w:r>
      <w:r w:rsidRPr="00054BAF">
        <w:t xml:space="preserve">n relation to the other expenditure elements we have </w:t>
      </w:r>
      <w:r w:rsidR="00D273EF">
        <w:t>included the following</w:t>
      </w:r>
      <w:r w:rsidRPr="00054BAF">
        <w:t xml:space="preserve"> in our alternative</w:t>
      </w:r>
      <w:r>
        <w:t xml:space="preserve"> </w:t>
      </w:r>
      <w:r w:rsidRPr="00054BAF">
        <w:t>opex estimate</w:t>
      </w:r>
      <w:r w:rsidR="00D273EF">
        <w:t xml:space="preserve"> as it reasonably reflects the </w:t>
      </w:r>
      <w:r w:rsidR="00C838DD">
        <w:t>o</w:t>
      </w:r>
      <w:r w:rsidR="00D273EF">
        <w:t>pex criteria</w:t>
      </w:r>
      <w:r w:rsidRPr="00054BAF">
        <w:t>:</w:t>
      </w:r>
    </w:p>
    <w:p w:rsidR="00054BAF" w:rsidRDefault="00054BAF" w:rsidP="00054BAF">
      <w:pPr>
        <w:pStyle w:val="AERbulletlistfirststyle"/>
      </w:pPr>
      <w:r w:rsidRPr="00054BAF">
        <w:t>For tax on property and capital we have included $8,427</w:t>
      </w:r>
      <w:r w:rsidR="004D65DB">
        <w:t xml:space="preserve"> (real $2014-15)</w:t>
      </w:r>
      <w:r w:rsidRPr="00054BAF">
        <w:t xml:space="preserve">. </w:t>
      </w:r>
    </w:p>
    <w:p w:rsidR="00054BAF" w:rsidRDefault="00054BAF" w:rsidP="00054BAF">
      <w:pPr>
        <w:pStyle w:val="AERbulletlistfirststyle"/>
      </w:pPr>
      <w:r w:rsidRPr="00054BAF">
        <w:lastRenderedPageBreak/>
        <w:t>For accounting/audit fees we have included $8,887</w:t>
      </w:r>
      <w:r w:rsidR="004D65DB">
        <w:t xml:space="preserve"> (real $2014-15)</w:t>
      </w:r>
      <w:r w:rsidRPr="00054BAF">
        <w:t xml:space="preserve">. </w:t>
      </w:r>
    </w:p>
    <w:p w:rsidR="00054BAF" w:rsidRDefault="00054BAF" w:rsidP="00054BAF">
      <w:pPr>
        <w:pStyle w:val="AERbulletlistfirststyle"/>
      </w:pPr>
      <w:r>
        <w:t>For 'other' we have not included any amount.</w:t>
      </w:r>
    </w:p>
    <w:p w:rsidR="000E5C1E" w:rsidRDefault="00054BAF" w:rsidP="00054BAF">
      <w:r>
        <w:t>Directlink indicated in its revised PTRM that it accepted the draft decision amounts for 'tax on property and capital' and 'accounting/audit fees' but applied 2.55 per cent escalation to the amounts we included in the draft decision.</w:t>
      </w:r>
      <w:r w:rsidR="004D65DB">
        <w:rPr>
          <w:rStyle w:val="FootnoteReference"/>
        </w:rPr>
        <w:footnoteReference w:id="123"/>
      </w:r>
      <w:r>
        <w:t xml:space="preserve"> </w:t>
      </w:r>
      <w:r w:rsidR="00E77388">
        <w:t xml:space="preserve">The amounts included in the draft decision were in real $2014-15. </w:t>
      </w:r>
      <w:r>
        <w:t xml:space="preserve">Directlink did not justify the </w:t>
      </w:r>
      <w:r w:rsidR="004D65DB">
        <w:t xml:space="preserve">additional </w:t>
      </w:r>
      <w:r>
        <w:t>escalation</w:t>
      </w:r>
      <w:r w:rsidR="004D65DB">
        <w:t xml:space="preserve"> amount</w:t>
      </w:r>
      <w:r>
        <w:t xml:space="preserve">. </w:t>
      </w:r>
    </w:p>
    <w:p w:rsidR="000E5C1E" w:rsidRDefault="00C838DD" w:rsidP="00054BAF">
      <w:r>
        <w:t>We</w:t>
      </w:r>
      <w:r w:rsidR="0098422E">
        <w:t xml:space="preserve"> have </w:t>
      </w:r>
      <w:r w:rsidR="000E5C1E">
        <w:t xml:space="preserve">not added escalation as the amounts </w:t>
      </w:r>
      <w:r>
        <w:t>we</w:t>
      </w:r>
      <w:r w:rsidR="0098422E">
        <w:t xml:space="preserve"> have </w:t>
      </w:r>
      <w:r w:rsidR="000E5C1E">
        <w:t xml:space="preserve">included </w:t>
      </w:r>
      <w:r w:rsidR="00D539D1">
        <w:t xml:space="preserve">in </w:t>
      </w:r>
      <w:r>
        <w:t>our</w:t>
      </w:r>
      <w:r w:rsidR="0098422E">
        <w:t xml:space="preserve"> </w:t>
      </w:r>
      <w:r w:rsidR="00D539D1">
        <w:t xml:space="preserve">alternative opex forecast </w:t>
      </w:r>
      <w:r w:rsidR="000E5C1E">
        <w:t>are based on:</w:t>
      </w:r>
      <w:r w:rsidR="000E5C1E">
        <w:rPr>
          <w:rStyle w:val="FootnoteReference"/>
        </w:rPr>
        <w:footnoteReference w:id="124"/>
      </w:r>
    </w:p>
    <w:p w:rsidR="00B846C8" w:rsidRDefault="000E5C1E" w:rsidP="000E5C1E">
      <w:pPr>
        <w:pStyle w:val="AERbulletlistfirststyle"/>
      </w:pPr>
      <w:r>
        <w:t xml:space="preserve">the accounting/audit fees for the </w:t>
      </w:r>
      <w:r w:rsidR="008B75CF">
        <w:t xml:space="preserve">calendar </w:t>
      </w:r>
      <w:r>
        <w:t>year ended 2014 and relate to work to be carried out over both 2014 and 2015.</w:t>
      </w:r>
      <w:r w:rsidR="00D539D1">
        <w:t xml:space="preserve"> Furthermore the regulatory account amounts provided for accounting/audit fees do not indicate an</w:t>
      </w:r>
      <w:r w:rsidR="00B846C8">
        <w:t xml:space="preserve"> increasing trend in costs. In nominal terms the following amounts were reported:</w:t>
      </w:r>
      <w:r w:rsidR="00B846C8">
        <w:rPr>
          <w:rStyle w:val="FootnoteReference"/>
        </w:rPr>
        <w:footnoteReference w:id="125"/>
      </w:r>
    </w:p>
    <w:p w:rsidR="00054BAF" w:rsidRDefault="00B846C8" w:rsidP="00B846C8">
      <w:pPr>
        <w:pStyle w:val="AERbulletlistsecondstyle"/>
      </w:pPr>
      <w:r>
        <w:t>in 2011 - $8,000</w:t>
      </w:r>
    </w:p>
    <w:p w:rsidR="00B846C8" w:rsidRDefault="00B846C8" w:rsidP="00B846C8">
      <w:pPr>
        <w:pStyle w:val="AERbulletlistsecondstyle"/>
      </w:pPr>
      <w:r>
        <w:t>in 2012 - $9,000</w:t>
      </w:r>
    </w:p>
    <w:p w:rsidR="00B846C8" w:rsidRDefault="00B846C8" w:rsidP="00B846C8">
      <w:pPr>
        <w:pStyle w:val="AERbulletlistsecondstyle"/>
      </w:pPr>
      <w:r>
        <w:t>in</w:t>
      </w:r>
      <w:r w:rsidR="008B75CF">
        <w:t xml:space="preserve"> the</w:t>
      </w:r>
      <w:r>
        <w:t xml:space="preserve"> 6 months to 31 December 2013 - $0.</w:t>
      </w:r>
    </w:p>
    <w:p w:rsidR="000E5C1E" w:rsidRDefault="008B75CF" w:rsidP="000E5C1E">
      <w:pPr>
        <w:pStyle w:val="AERbulletlistfirststyle"/>
      </w:pPr>
      <w:r>
        <w:t>t</w:t>
      </w:r>
      <w:r w:rsidR="000E5C1E">
        <w:t xml:space="preserve">he tax on property and capital </w:t>
      </w:r>
      <w:r>
        <w:t>for 2013-14. The regulatory account amounts provided for tax on property and capital do not indicate an increasing trend in costs. In nominal terms the following amounts were reported:</w:t>
      </w:r>
      <w:r w:rsidR="00E77388">
        <w:rPr>
          <w:rStyle w:val="FootnoteReference"/>
        </w:rPr>
        <w:footnoteReference w:id="126"/>
      </w:r>
    </w:p>
    <w:p w:rsidR="008B75CF" w:rsidRDefault="008B75CF" w:rsidP="008B75CF">
      <w:pPr>
        <w:pStyle w:val="AERbulletlistsecondstyle"/>
      </w:pPr>
      <w:r>
        <w:t>in 2011 - $8,000</w:t>
      </w:r>
    </w:p>
    <w:p w:rsidR="008B75CF" w:rsidRDefault="008B75CF" w:rsidP="008B75CF">
      <w:pPr>
        <w:pStyle w:val="AERbulletlistsecondstyle"/>
      </w:pPr>
      <w:r>
        <w:t>in 2012 - $5,000</w:t>
      </w:r>
    </w:p>
    <w:p w:rsidR="008B75CF" w:rsidRDefault="008B75CF" w:rsidP="008B75CF">
      <w:pPr>
        <w:pStyle w:val="AERbulletlistsecondstyle"/>
      </w:pPr>
      <w:r>
        <w:t>in the 6 months to 31 December 2013 - $7,000.</w:t>
      </w:r>
    </w:p>
    <w:p w:rsidR="00942359" w:rsidRDefault="00054BAF" w:rsidP="00054BAF">
      <w:r w:rsidRPr="00054BAF">
        <w:t xml:space="preserve">Directlink </w:t>
      </w:r>
      <w:r w:rsidR="00942359">
        <w:t xml:space="preserve">did not respond to </w:t>
      </w:r>
      <w:r w:rsidR="00D273EF">
        <w:t>our</w:t>
      </w:r>
      <w:r w:rsidR="00942359">
        <w:t xml:space="preserve"> draft decision to </w:t>
      </w:r>
      <w:r w:rsidR="00B03D49">
        <w:t xml:space="preserve">not </w:t>
      </w:r>
      <w:r w:rsidR="00942359">
        <w:t xml:space="preserve">include any amount for 'other'. It did not explain why it continued to include the amount. As set out in </w:t>
      </w:r>
      <w:r w:rsidR="00D273EF">
        <w:t>our</w:t>
      </w:r>
      <w:r w:rsidR="00942359">
        <w:t xml:space="preserve"> draft decision, Directlink's basis for including the amount was as a provision for charges that TransGrid may charge for administration charges associated with discharging its functions as Coordinating NSP.</w:t>
      </w:r>
      <w:r w:rsidR="002D1C5C">
        <w:rPr>
          <w:rStyle w:val="FootnoteReference"/>
        </w:rPr>
        <w:footnoteReference w:id="127"/>
      </w:r>
      <w:r w:rsidR="00942359">
        <w:t xml:space="preserve"> However, TransGrid confirmed in writing that it does not currently charge and will continue not to charge any costs for carrying out this function. </w:t>
      </w:r>
      <w:r w:rsidR="00D273EF">
        <w:t>In this final decision, w</w:t>
      </w:r>
      <w:r w:rsidR="00942359">
        <w:t xml:space="preserve">e therefore </w:t>
      </w:r>
      <w:r w:rsidR="00D273EF">
        <w:t>maintain our draft decision</w:t>
      </w:r>
      <w:r w:rsidR="00942359">
        <w:t xml:space="preserve"> position of not </w:t>
      </w:r>
      <w:r w:rsidR="00D7757E">
        <w:t>including</w:t>
      </w:r>
      <w:r w:rsidR="00942359">
        <w:t xml:space="preserve"> any amount for 'other'.</w:t>
      </w:r>
      <w:r w:rsidR="00B246E2">
        <w:rPr>
          <w:rStyle w:val="FootnoteReference"/>
        </w:rPr>
        <w:footnoteReference w:id="128"/>
      </w:r>
      <w:r w:rsidR="00942359">
        <w:t xml:space="preserve"> </w:t>
      </w:r>
    </w:p>
    <w:p w:rsidR="00B53DDA" w:rsidRDefault="000C513E" w:rsidP="00B53DDA">
      <w:pPr>
        <w:pStyle w:val="Heading3"/>
      </w:pPr>
      <w:bookmarkStart w:id="49" w:name="_Toc404192671"/>
      <w:bookmarkStart w:id="50" w:name="_Toc417745453"/>
      <w:r>
        <w:lastRenderedPageBreak/>
        <w:t>Rate of change</w:t>
      </w:r>
      <w:bookmarkEnd w:id="49"/>
      <w:bookmarkEnd w:id="50"/>
    </w:p>
    <w:p w:rsidR="004F0BF8" w:rsidRDefault="00C01D69" w:rsidP="004F0BF8">
      <w:r>
        <w:t xml:space="preserve">For our final decision we have applied zero real material and labour escalation. This </w:t>
      </w:r>
      <w:r w:rsidR="00D273EF">
        <w:t>reflects that</w:t>
      </w:r>
      <w:r>
        <w:t xml:space="preserve"> Directlink accepted our draft decision in relation to labour and material escalation. </w:t>
      </w:r>
      <w:r w:rsidR="004F0BF8">
        <w:t>In our draft decision, t</w:t>
      </w:r>
      <w:r w:rsidR="004F0BF8" w:rsidRPr="00C01D69">
        <w:t>o forecast Directlink's annual change in opex, we applied forecast CPI to account for changes</w:t>
      </w:r>
      <w:r w:rsidR="004F0BF8">
        <w:t xml:space="preserve"> </w:t>
      </w:r>
      <w:r w:rsidR="004F0BF8" w:rsidRPr="00C01D69">
        <w:t>to efficient opex for each year of the regulatory control period.</w:t>
      </w:r>
      <w:r w:rsidR="004F0BF8">
        <w:rPr>
          <w:rStyle w:val="FootnoteReference"/>
        </w:rPr>
        <w:footnoteReference w:id="129"/>
      </w:r>
      <w:r w:rsidR="004F0BF8">
        <w:t xml:space="preserve"> That is, we applied zero real material and labour escalation.</w:t>
      </w:r>
    </w:p>
    <w:p w:rsidR="004B2286" w:rsidRDefault="004B2286" w:rsidP="008734CB">
      <w:r>
        <w:t xml:space="preserve">In its initial proposal, the only driver category to which </w:t>
      </w:r>
      <w:r w:rsidR="00D273EF">
        <w:t xml:space="preserve">Directlink </w:t>
      </w:r>
      <w:r>
        <w:t>applied real labour and material escalation was operating and maintenance</w:t>
      </w:r>
      <w:r w:rsidR="00007F2F">
        <w:t>, where it was applied in the Phacelift</w:t>
      </w:r>
      <w:r>
        <w:t xml:space="preserve"> bottom-up build.</w:t>
      </w:r>
      <w:r w:rsidR="00007F2F">
        <w:rPr>
          <w:rStyle w:val="FootnoteReference"/>
        </w:rPr>
        <w:footnoteReference w:id="130"/>
      </w:r>
      <w:r>
        <w:t xml:space="preserve"> </w:t>
      </w:r>
      <w:r w:rsidR="004F0BF8">
        <w:t xml:space="preserve">This bottom-up build consisted of opex </w:t>
      </w:r>
      <w:r w:rsidR="00007F2F">
        <w:t>and</w:t>
      </w:r>
      <w:r w:rsidR="004F0BF8">
        <w:t xml:space="preserve"> capex. </w:t>
      </w:r>
      <w:r>
        <w:t>The real labour and material escalation it applied is set out in</w:t>
      </w:r>
      <w:r w:rsidR="00D7757E">
        <w:t xml:space="preserve"> </w:t>
      </w:r>
      <w:r w:rsidR="00D7757E">
        <w:fldChar w:fldCharType="begin"/>
      </w:r>
      <w:r w:rsidR="00D7757E">
        <w:instrText xml:space="preserve"> REF _Ref417745212 \h </w:instrText>
      </w:r>
      <w:r w:rsidR="00D7757E">
        <w:fldChar w:fldCharType="separate"/>
      </w:r>
      <w:r w:rsidR="00020BF5">
        <w:t xml:space="preserve">Table </w:t>
      </w:r>
      <w:r w:rsidR="00020BF5">
        <w:rPr>
          <w:noProof/>
        </w:rPr>
        <w:t>7</w:t>
      </w:r>
      <w:r w:rsidR="00020BF5">
        <w:noBreakHyphen/>
      </w:r>
      <w:r w:rsidR="00020BF5">
        <w:rPr>
          <w:noProof/>
        </w:rPr>
        <w:t>13</w:t>
      </w:r>
      <w:r w:rsidR="00D7757E">
        <w:fldChar w:fldCharType="end"/>
      </w:r>
      <w:r>
        <w:t>.</w:t>
      </w:r>
    </w:p>
    <w:p w:rsidR="004B2286" w:rsidRPr="00A44654" w:rsidRDefault="00D7757E" w:rsidP="00D7757E">
      <w:pPr>
        <w:pStyle w:val="Caption"/>
      </w:pPr>
      <w:bookmarkStart w:id="51" w:name="_Ref417745212"/>
      <w:r>
        <w:t xml:space="preserve">Table </w:t>
      </w:r>
      <w:r w:rsidR="00053B26">
        <w:fldChar w:fldCharType="begin"/>
      </w:r>
      <w:r w:rsidR="00053B26">
        <w:instrText xml:space="preserve"> STYLEREF 1 \s </w:instrText>
      </w:r>
      <w:r w:rsidR="00053B26">
        <w:fldChar w:fldCharType="separate"/>
      </w:r>
      <w:r w:rsidR="00020BF5">
        <w:rPr>
          <w:noProof/>
        </w:rPr>
        <w:t>7</w:t>
      </w:r>
      <w:r w:rsidR="00053B26">
        <w:rPr>
          <w:noProof/>
        </w:rPr>
        <w:fldChar w:fldCharType="end"/>
      </w:r>
      <w:r w:rsidR="00337764">
        <w:noBreakHyphen/>
      </w:r>
      <w:r w:rsidR="00053B26">
        <w:fldChar w:fldCharType="begin"/>
      </w:r>
      <w:r w:rsidR="00053B26">
        <w:instrText xml:space="preserve"> SEQ Table \* ARABIC \s 1 </w:instrText>
      </w:r>
      <w:r w:rsidR="00053B26">
        <w:fldChar w:fldCharType="separate"/>
      </w:r>
      <w:r w:rsidR="00020BF5">
        <w:rPr>
          <w:noProof/>
        </w:rPr>
        <w:t>13</w:t>
      </w:r>
      <w:r w:rsidR="00053B26">
        <w:rPr>
          <w:noProof/>
        </w:rPr>
        <w:fldChar w:fldCharType="end"/>
      </w:r>
      <w:bookmarkEnd w:id="51"/>
      <w:r w:rsidR="004B2286" w:rsidRPr="00A44654">
        <w:tab/>
        <w:t>Directlink</w:t>
      </w:r>
      <w:r w:rsidR="004B2286">
        <w:t>'s initial</w:t>
      </w:r>
      <w:r w:rsidR="004B2286" w:rsidRPr="00A44654">
        <w:t xml:space="preserve"> propos</w:t>
      </w:r>
      <w:r w:rsidR="004B2286">
        <w:t>al for</w:t>
      </w:r>
      <w:r w:rsidR="004B2286" w:rsidRPr="00A44654">
        <w:t xml:space="preserve"> </w:t>
      </w:r>
      <w:r w:rsidR="004B2286">
        <w:t>real labour and material escalation</w:t>
      </w:r>
      <w:r w:rsidR="004B2286" w:rsidRPr="00A44654">
        <w:t xml:space="preserve"> ($000s, real 2014-15)</w:t>
      </w:r>
    </w:p>
    <w:tbl>
      <w:tblPr>
        <w:tblStyle w:val="AERtable-numbers"/>
        <w:tblW w:w="5000" w:type="pct"/>
        <w:tblLook w:val="04A0" w:firstRow="1" w:lastRow="0" w:firstColumn="1" w:lastColumn="0" w:noHBand="0" w:noVBand="1"/>
      </w:tblPr>
      <w:tblGrid>
        <w:gridCol w:w="2241"/>
        <w:gridCol w:w="1290"/>
        <w:gridCol w:w="1292"/>
        <w:gridCol w:w="1292"/>
        <w:gridCol w:w="1290"/>
        <w:gridCol w:w="1288"/>
      </w:tblGrid>
      <w:tr w:rsidR="004B2286" w:rsidTr="00D76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pct"/>
          </w:tcPr>
          <w:p w:rsidR="004B2286" w:rsidRPr="00A44654" w:rsidRDefault="004B2286" w:rsidP="004B2286">
            <w:pPr>
              <w:numPr>
                <w:ilvl w:val="0"/>
                <w:numId w:val="25"/>
              </w:numPr>
            </w:pPr>
          </w:p>
        </w:tc>
        <w:tc>
          <w:tcPr>
            <w:tcW w:w="742" w:type="pct"/>
          </w:tcPr>
          <w:p w:rsidR="004B2286" w:rsidRPr="00A44654" w:rsidRDefault="004B2286" w:rsidP="004B228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2015-16</w:t>
            </w:r>
          </w:p>
        </w:tc>
        <w:tc>
          <w:tcPr>
            <w:tcW w:w="743" w:type="pct"/>
          </w:tcPr>
          <w:p w:rsidR="004B2286" w:rsidRPr="00A44654" w:rsidRDefault="004B2286" w:rsidP="004B228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2016-17</w:t>
            </w:r>
          </w:p>
        </w:tc>
        <w:tc>
          <w:tcPr>
            <w:tcW w:w="743" w:type="pct"/>
          </w:tcPr>
          <w:p w:rsidR="004B2286" w:rsidRPr="00A44654" w:rsidRDefault="004B2286" w:rsidP="004B228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2017-18</w:t>
            </w:r>
          </w:p>
        </w:tc>
        <w:tc>
          <w:tcPr>
            <w:tcW w:w="742" w:type="pct"/>
          </w:tcPr>
          <w:p w:rsidR="004B2286" w:rsidRPr="00A44654" w:rsidRDefault="004B2286" w:rsidP="004B228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2018-19</w:t>
            </w:r>
          </w:p>
        </w:tc>
        <w:tc>
          <w:tcPr>
            <w:tcW w:w="743" w:type="pct"/>
          </w:tcPr>
          <w:p w:rsidR="004B2286" w:rsidRPr="00A44654" w:rsidRDefault="004B2286" w:rsidP="004B2286">
            <w:pPr>
              <w:numPr>
                <w:ilvl w:val="0"/>
                <w:numId w:val="25"/>
              </w:numPr>
              <w:cnfStyle w:val="100000000000" w:firstRow="1" w:lastRow="0" w:firstColumn="0" w:lastColumn="0" w:oddVBand="0" w:evenVBand="0" w:oddHBand="0" w:evenHBand="0" w:firstRowFirstColumn="0" w:firstRowLastColumn="0" w:lastRowFirstColumn="0" w:lastRowLastColumn="0"/>
            </w:pPr>
            <w:r w:rsidRPr="00A44654">
              <w:t>2019-20</w:t>
            </w:r>
          </w:p>
        </w:tc>
      </w:tr>
      <w:tr w:rsidR="004B2286" w:rsidTr="00D765B7">
        <w:tc>
          <w:tcPr>
            <w:cnfStyle w:val="001000000000" w:firstRow="0" w:lastRow="0" w:firstColumn="1" w:lastColumn="0" w:oddVBand="0" w:evenVBand="0" w:oddHBand="0" w:evenHBand="0" w:firstRowFirstColumn="0" w:firstRowLastColumn="0" w:lastRowFirstColumn="0" w:lastRowLastColumn="0"/>
            <w:tcW w:w="1289" w:type="pct"/>
            <w:vAlign w:val="top"/>
          </w:tcPr>
          <w:p w:rsidR="004B2286" w:rsidRPr="004B2286" w:rsidRDefault="004B2286" w:rsidP="004B2286">
            <w:r w:rsidRPr="004B2286">
              <w:t>Adjustment factor Labour</w:t>
            </w:r>
          </w:p>
        </w:tc>
        <w:tc>
          <w:tcPr>
            <w:tcW w:w="742" w:type="pct"/>
            <w:vAlign w:val="top"/>
          </w:tcPr>
          <w:p w:rsidR="004B2286" w:rsidRPr="004B2286" w:rsidRDefault="004B2286" w:rsidP="004B2286">
            <w:pPr>
              <w:cnfStyle w:val="000000000000" w:firstRow="0" w:lastRow="0" w:firstColumn="0" w:lastColumn="0" w:oddVBand="0" w:evenVBand="0" w:oddHBand="0" w:evenHBand="0" w:firstRowFirstColumn="0" w:firstRowLastColumn="0" w:lastRowFirstColumn="0" w:lastRowLastColumn="0"/>
            </w:pPr>
            <w:r w:rsidRPr="004B2286">
              <w:t>1.03</w:t>
            </w:r>
          </w:p>
        </w:tc>
        <w:tc>
          <w:tcPr>
            <w:tcW w:w="743" w:type="pct"/>
            <w:vAlign w:val="top"/>
          </w:tcPr>
          <w:p w:rsidR="004B2286" w:rsidRPr="004B2286" w:rsidRDefault="004B2286" w:rsidP="004B2286">
            <w:pPr>
              <w:cnfStyle w:val="000000000000" w:firstRow="0" w:lastRow="0" w:firstColumn="0" w:lastColumn="0" w:oddVBand="0" w:evenVBand="0" w:oddHBand="0" w:evenHBand="0" w:firstRowFirstColumn="0" w:firstRowLastColumn="0" w:lastRowFirstColumn="0" w:lastRowLastColumn="0"/>
            </w:pPr>
            <w:r w:rsidRPr="004B2286">
              <w:t>1.05</w:t>
            </w:r>
          </w:p>
        </w:tc>
        <w:tc>
          <w:tcPr>
            <w:tcW w:w="743" w:type="pct"/>
            <w:vAlign w:val="top"/>
          </w:tcPr>
          <w:p w:rsidR="004B2286" w:rsidRPr="004B2286" w:rsidRDefault="004B2286" w:rsidP="004B2286">
            <w:pPr>
              <w:cnfStyle w:val="000000000000" w:firstRow="0" w:lastRow="0" w:firstColumn="0" w:lastColumn="0" w:oddVBand="0" w:evenVBand="0" w:oddHBand="0" w:evenHBand="0" w:firstRowFirstColumn="0" w:firstRowLastColumn="0" w:lastRowFirstColumn="0" w:lastRowLastColumn="0"/>
            </w:pPr>
            <w:r w:rsidRPr="004B2286">
              <w:t>1.08</w:t>
            </w:r>
          </w:p>
        </w:tc>
        <w:tc>
          <w:tcPr>
            <w:tcW w:w="742" w:type="pct"/>
            <w:vAlign w:val="top"/>
          </w:tcPr>
          <w:p w:rsidR="004B2286" w:rsidRPr="004B2286" w:rsidRDefault="004B2286" w:rsidP="004B2286">
            <w:pPr>
              <w:cnfStyle w:val="000000000000" w:firstRow="0" w:lastRow="0" w:firstColumn="0" w:lastColumn="0" w:oddVBand="0" w:evenVBand="0" w:oddHBand="0" w:evenHBand="0" w:firstRowFirstColumn="0" w:firstRowLastColumn="0" w:lastRowFirstColumn="0" w:lastRowLastColumn="0"/>
            </w:pPr>
            <w:r w:rsidRPr="004B2286">
              <w:t>1.10</w:t>
            </w:r>
          </w:p>
        </w:tc>
        <w:tc>
          <w:tcPr>
            <w:tcW w:w="743" w:type="pct"/>
            <w:vAlign w:val="top"/>
          </w:tcPr>
          <w:p w:rsidR="004B2286" w:rsidRPr="004B2286" w:rsidRDefault="004B2286" w:rsidP="004B2286">
            <w:pPr>
              <w:cnfStyle w:val="000000000000" w:firstRow="0" w:lastRow="0" w:firstColumn="0" w:lastColumn="0" w:oddVBand="0" w:evenVBand="0" w:oddHBand="0" w:evenHBand="0" w:firstRowFirstColumn="0" w:firstRowLastColumn="0" w:lastRowFirstColumn="0" w:lastRowLastColumn="0"/>
            </w:pPr>
            <w:r w:rsidRPr="004B2286">
              <w:t>1.13</w:t>
            </w:r>
          </w:p>
        </w:tc>
      </w:tr>
      <w:tr w:rsidR="004B2286" w:rsidTr="00D765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pct"/>
            <w:vAlign w:val="top"/>
          </w:tcPr>
          <w:p w:rsidR="004B2286" w:rsidRPr="004B2286" w:rsidRDefault="004B2286" w:rsidP="004B2286">
            <w:r w:rsidRPr="004B2286">
              <w:t>Adjustment factor materials</w:t>
            </w:r>
          </w:p>
        </w:tc>
        <w:tc>
          <w:tcPr>
            <w:tcW w:w="742" w:type="pct"/>
            <w:vAlign w:val="top"/>
          </w:tcPr>
          <w:p w:rsidR="004B2286" w:rsidRPr="004B2286" w:rsidRDefault="004B2286" w:rsidP="004B2286">
            <w:pPr>
              <w:cnfStyle w:val="000000010000" w:firstRow="0" w:lastRow="0" w:firstColumn="0" w:lastColumn="0" w:oddVBand="0" w:evenVBand="0" w:oddHBand="0" w:evenHBand="1" w:firstRowFirstColumn="0" w:firstRowLastColumn="0" w:lastRowFirstColumn="0" w:lastRowLastColumn="0"/>
            </w:pPr>
            <w:r w:rsidRPr="004B2286">
              <w:t>1.03</w:t>
            </w:r>
          </w:p>
        </w:tc>
        <w:tc>
          <w:tcPr>
            <w:tcW w:w="743" w:type="pct"/>
            <w:vAlign w:val="top"/>
          </w:tcPr>
          <w:p w:rsidR="004B2286" w:rsidRPr="004B2286" w:rsidRDefault="004B2286" w:rsidP="004B2286">
            <w:pPr>
              <w:cnfStyle w:val="000000010000" w:firstRow="0" w:lastRow="0" w:firstColumn="0" w:lastColumn="0" w:oddVBand="0" w:evenVBand="0" w:oddHBand="0" w:evenHBand="1" w:firstRowFirstColumn="0" w:firstRowLastColumn="0" w:lastRowFirstColumn="0" w:lastRowLastColumn="0"/>
            </w:pPr>
            <w:r w:rsidRPr="004B2286">
              <w:t>1.06</w:t>
            </w:r>
          </w:p>
        </w:tc>
        <w:tc>
          <w:tcPr>
            <w:tcW w:w="743" w:type="pct"/>
            <w:vAlign w:val="top"/>
          </w:tcPr>
          <w:p w:rsidR="004B2286" w:rsidRPr="004B2286" w:rsidRDefault="004B2286" w:rsidP="004B2286">
            <w:pPr>
              <w:cnfStyle w:val="000000010000" w:firstRow="0" w:lastRow="0" w:firstColumn="0" w:lastColumn="0" w:oddVBand="0" w:evenVBand="0" w:oddHBand="0" w:evenHBand="1" w:firstRowFirstColumn="0" w:firstRowLastColumn="0" w:lastRowFirstColumn="0" w:lastRowLastColumn="0"/>
            </w:pPr>
            <w:r w:rsidRPr="004B2286">
              <w:t>1.09</w:t>
            </w:r>
          </w:p>
        </w:tc>
        <w:tc>
          <w:tcPr>
            <w:tcW w:w="742" w:type="pct"/>
            <w:vAlign w:val="top"/>
          </w:tcPr>
          <w:p w:rsidR="004B2286" w:rsidRPr="004B2286" w:rsidRDefault="004B2286" w:rsidP="004B2286">
            <w:pPr>
              <w:cnfStyle w:val="000000010000" w:firstRow="0" w:lastRow="0" w:firstColumn="0" w:lastColumn="0" w:oddVBand="0" w:evenVBand="0" w:oddHBand="0" w:evenHBand="1" w:firstRowFirstColumn="0" w:firstRowLastColumn="0" w:lastRowFirstColumn="0" w:lastRowLastColumn="0"/>
            </w:pPr>
            <w:r w:rsidRPr="004B2286">
              <w:t>1.13</w:t>
            </w:r>
          </w:p>
        </w:tc>
        <w:tc>
          <w:tcPr>
            <w:tcW w:w="743" w:type="pct"/>
            <w:vAlign w:val="top"/>
          </w:tcPr>
          <w:p w:rsidR="004B2286" w:rsidRPr="004B2286" w:rsidRDefault="004B2286" w:rsidP="004B2286">
            <w:pPr>
              <w:cnfStyle w:val="000000010000" w:firstRow="0" w:lastRow="0" w:firstColumn="0" w:lastColumn="0" w:oddVBand="0" w:evenVBand="0" w:oddHBand="0" w:evenHBand="1" w:firstRowFirstColumn="0" w:firstRowLastColumn="0" w:lastRowFirstColumn="0" w:lastRowLastColumn="0"/>
            </w:pPr>
            <w:r w:rsidRPr="004B2286">
              <w:t>1.16</w:t>
            </w:r>
          </w:p>
        </w:tc>
      </w:tr>
    </w:tbl>
    <w:p w:rsidR="004B2286" w:rsidRPr="00A44654" w:rsidRDefault="004B2286" w:rsidP="004B2286">
      <w:pPr>
        <w:pStyle w:val="AERtablesource"/>
      </w:pPr>
      <w:r w:rsidRPr="00A44654">
        <w:t xml:space="preserve">Source: </w:t>
      </w:r>
      <w:r>
        <w:tab/>
      </w:r>
      <w:r w:rsidRPr="00A44654">
        <w:t xml:space="preserve">Directlink, </w:t>
      </w:r>
      <w:r>
        <w:t>Revenue proposal, May 2014: Attachment</w:t>
      </w:r>
      <w:r w:rsidRPr="004B2286">
        <w:t xml:space="preserve"> 09 3 Phacelift O&amp;M Model (final)</w:t>
      </w:r>
      <w:r>
        <w:t>.xlsx, tab 'Modelling Assumptions'.</w:t>
      </w:r>
    </w:p>
    <w:p w:rsidR="00CE44CD" w:rsidRDefault="004B2286" w:rsidP="008734CB">
      <w:r>
        <w:t>In its revised proposal, Directlink removed the real labour and material escalation applied in its bottom-up build of forecast operating and maintenance</w:t>
      </w:r>
      <w:r w:rsidR="004F0BF8">
        <w:t xml:space="preserve"> expenditure</w:t>
      </w:r>
      <w:r>
        <w:t>.</w:t>
      </w:r>
      <w:r w:rsidR="004F0BF8">
        <w:t xml:space="preserve"> Directlink stated that one of the updates of the Phacelift bottom-up build was</w:t>
      </w:r>
      <w:r w:rsidR="00007F2F">
        <w:t xml:space="preserve"> the</w:t>
      </w:r>
      <w:r w:rsidR="004F0BF8">
        <w:t xml:space="preserve"> '[r]</w:t>
      </w:r>
      <w:r w:rsidR="004F0BF8" w:rsidRPr="004F0BF8">
        <w:t>emoval of the forecast inflation adjustment</w:t>
      </w:r>
      <w:r w:rsidR="004F0BF8">
        <w:t>'.</w:t>
      </w:r>
      <w:r w:rsidR="004F0BF8">
        <w:rPr>
          <w:rStyle w:val="FootnoteReference"/>
        </w:rPr>
        <w:footnoteReference w:id="131"/>
      </w:r>
      <w:r w:rsidR="004F0BF8">
        <w:t xml:space="preserve"> More specifically the PSC report regarding the updated bottom-up build noted</w:t>
      </w:r>
      <w:r w:rsidR="00CE44CD">
        <w:t xml:space="preserve"> that for APA and contractor labour and material costs:</w:t>
      </w:r>
    </w:p>
    <w:p w:rsidR="004B2286" w:rsidRDefault="00CE44CD" w:rsidP="00CE44CD">
      <w:pPr>
        <w:pStyle w:val="AERbulletlistfirststyle"/>
      </w:pPr>
      <w:r>
        <w:t>in relation to capex that it</w:t>
      </w:r>
      <w:r w:rsidR="004F0BF8">
        <w:t>:</w:t>
      </w:r>
    </w:p>
    <w:p w:rsidR="005D7BA2" w:rsidRDefault="008734CB" w:rsidP="00CE44CD">
      <w:pPr>
        <w:pStyle w:val="AERquote"/>
      </w:pPr>
      <w:r>
        <w:t>"</w:t>
      </w:r>
      <w:r w:rsidRPr="008734CB">
        <w:t>has set the rates of escalation for labour and material to 0%</w:t>
      </w:r>
      <w:r>
        <w:t xml:space="preserve"> </w:t>
      </w:r>
      <w:r w:rsidRPr="008734CB">
        <w:t>(the original modelling assumed an annual rate of 2.5% and 3% respectively), and the MOMSCA</w:t>
      </w:r>
      <w:r>
        <w:t xml:space="preserve"> </w:t>
      </w:r>
      <w:r w:rsidRPr="008734CB">
        <w:t>percentage to 10% in accordance with instructions from the Company.</w:t>
      </w:r>
      <w:r>
        <w:t>"</w:t>
      </w:r>
      <w:r>
        <w:rPr>
          <w:rStyle w:val="FootnoteReference"/>
        </w:rPr>
        <w:footnoteReference w:id="132"/>
      </w:r>
    </w:p>
    <w:p w:rsidR="00CE44CD" w:rsidRDefault="00CE44CD" w:rsidP="00CE44CD">
      <w:pPr>
        <w:pStyle w:val="AERbulletlistfirststyle"/>
      </w:pPr>
      <w:r>
        <w:t>In relation to opex that:</w:t>
      </w:r>
    </w:p>
    <w:p w:rsidR="00AF1F9E" w:rsidRPr="00290C63" w:rsidRDefault="006F1EEA" w:rsidP="00C40F52">
      <w:pPr>
        <w:pStyle w:val="AERquote"/>
      </w:pPr>
      <w:r>
        <w:lastRenderedPageBreak/>
        <w:t xml:space="preserve">"…. </w:t>
      </w:r>
      <w:r w:rsidRPr="006F1EEA">
        <w:t xml:space="preserve">In addition to the rates of escalation being set </w:t>
      </w:r>
      <w:r>
        <w:t>to 0% and the MOMSCA set to 10%..."</w:t>
      </w:r>
      <w:r>
        <w:rPr>
          <w:rStyle w:val="FootnoteReference"/>
        </w:rPr>
        <w:footnoteReference w:id="133"/>
      </w:r>
    </w:p>
    <w:sectPr w:rsidR="00AF1F9E" w:rsidRPr="00290C63"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74" w:rsidRPr="00290C63" w:rsidRDefault="006C6574" w:rsidP="00290C63">
      <w:r>
        <w:separator/>
      </w:r>
    </w:p>
    <w:p w:rsidR="006C6574" w:rsidRDefault="006C6574"/>
  </w:endnote>
  <w:endnote w:type="continuationSeparator" w:id="0">
    <w:p w:rsidR="006C6574" w:rsidRPr="00290C63" w:rsidRDefault="006C6574" w:rsidP="00290C63">
      <w:r>
        <w:continuationSeparator/>
      </w:r>
    </w:p>
    <w:p w:rsidR="006C6574" w:rsidRDefault="006C6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74" w:rsidRPr="00290C63" w:rsidRDefault="006C657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C6574" w:rsidRDefault="006C6574"/>
  <w:p w:rsidR="006C6574" w:rsidRDefault="006C6574"/>
  <w:p w:rsidR="006C6574" w:rsidRDefault="006C6574"/>
  <w:p w:rsidR="006C6574" w:rsidRDefault="006C6574"/>
  <w:p w:rsidR="006C6574" w:rsidRDefault="006C6574"/>
  <w:p w:rsidR="006C6574" w:rsidRDefault="006C6574"/>
  <w:p w:rsidR="006C6574" w:rsidRDefault="006C65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6C6574" w:rsidRDefault="006C6574">
        <w:pPr>
          <w:pStyle w:val="Footer"/>
        </w:pPr>
        <w:r>
          <w:fldChar w:fldCharType="begin"/>
        </w:r>
        <w:r>
          <w:instrText xml:space="preserve"> PAGE   \* MERGEFORMAT </w:instrText>
        </w:r>
        <w:r>
          <w:fldChar w:fldCharType="separate"/>
        </w:r>
        <w:r w:rsidR="00053B26">
          <w:rPr>
            <w:noProof/>
          </w:rPr>
          <w:t>7-42</w:t>
        </w:r>
        <w:r>
          <w:rPr>
            <w:noProof/>
          </w:rPr>
          <w:fldChar w:fldCharType="end"/>
        </w:r>
        <w:r>
          <w:rPr>
            <w:noProof/>
          </w:rPr>
          <w:t xml:space="preserve">  Attachment </w:t>
        </w:r>
        <w:r>
          <w:t>7</w:t>
        </w:r>
        <w:r>
          <w:rPr>
            <w:noProof/>
          </w:rPr>
          <w:t xml:space="preserve"> </w:t>
        </w:r>
        <w:r>
          <w:rPr>
            <w:rFonts w:cs="Gautami"/>
            <w:noProof/>
          </w:rPr>
          <w:t>–</w:t>
        </w:r>
        <w:r>
          <w:t xml:space="preserve"> Operating expenditure</w:t>
        </w:r>
        <w:r>
          <w:rPr>
            <w:rFonts w:cs="Gautami"/>
            <w:noProof/>
          </w:rPr>
          <w:t xml:space="preserve"> | </w:t>
        </w:r>
        <w:r>
          <w:t xml:space="preserve">Final decision: Directlink transmission </w:t>
        </w:r>
        <w:r>
          <w:rPr>
            <w:rFonts w:cs="Gautami"/>
            <w:noProof/>
          </w:rPr>
          <w:t>determination 2015–20</w:t>
        </w:r>
      </w:p>
    </w:sdtContent>
  </w:sdt>
  <w:p w:rsidR="006C6574" w:rsidRDefault="006C6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74" w:rsidRPr="00290C63" w:rsidRDefault="006C657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C6574" w:rsidRDefault="006C6574">
    <w:pPr>
      <w:pStyle w:val="Footer"/>
    </w:pPr>
  </w:p>
  <w:p w:rsidR="006C6574" w:rsidRDefault="006C6574"/>
  <w:p w:rsidR="006C6574" w:rsidRDefault="006C6574"/>
  <w:p w:rsidR="006C6574" w:rsidRDefault="006C6574"/>
  <w:p w:rsidR="006C6574" w:rsidRDefault="006C6574"/>
  <w:p w:rsidR="006C6574" w:rsidRDefault="006C6574"/>
  <w:p w:rsidR="006C6574" w:rsidRDefault="006C6574"/>
  <w:p w:rsidR="006C6574" w:rsidRDefault="006C6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74" w:rsidRPr="00290C63" w:rsidRDefault="006C6574" w:rsidP="00290C63">
      <w:r>
        <w:separator/>
      </w:r>
    </w:p>
    <w:p w:rsidR="006C6574" w:rsidRDefault="006C6574"/>
  </w:footnote>
  <w:footnote w:type="continuationSeparator" w:id="0">
    <w:p w:rsidR="006C6574" w:rsidRPr="00290C63" w:rsidRDefault="006C6574" w:rsidP="00290C63">
      <w:r>
        <w:continuationSeparator/>
      </w:r>
    </w:p>
    <w:p w:rsidR="006C6574" w:rsidRDefault="006C6574"/>
  </w:footnote>
  <w:footnote w:id="1">
    <w:p w:rsidR="006C6574" w:rsidRDefault="006C6574" w:rsidP="00587431">
      <w:pPr>
        <w:pStyle w:val="FootnoteText"/>
      </w:pPr>
      <w:r>
        <w:rPr>
          <w:rStyle w:val="FootnoteReference"/>
        </w:rPr>
        <w:footnoteRef/>
      </w:r>
      <w:r>
        <w:t xml:space="preserve"> </w:t>
      </w:r>
      <w:r>
        <w:tab/>
        <w:t>Excludes Directlink's proposed debt raising costs of $0.4 million ($2014-15).</w:t>
      </w:r>
    </w:p>
  </w:footnote>
  <w:footnote w:id="2">
    <w:p w:rsidR="006C6574" w:rsidRDefault="006C6574" w:rsidP="00F665D1">
      <w:pPr>
        <w:pStyle w:val="FootnoteText"/>
      </w:pPr>
      <w:r>
        <w:rPr>
          <w:rStyle w:val="FootnoteReference"/>
        </w:rPr>
        <w:footnoteRef/>
      </w:r>
      <w:r>
        <w:t xml:space="preserve"> </w:t>
      </w:r>
      <w:r>
        <w:tab/>
        <w:t xml:space="preserve">NER, cl </w:t>
      </w:r>
      <w:r w:rsidR="00502930">
        <w:t>6A.6.6(c)</w:t>
      </w:r>
    </w:p>
  </w:footnote>
  <w:footnote w:id="3">
    <w:p w:rsidR="006C6574" w:rsidRDefault="006C6574" w:rsidP="00F665D1">
      <w:pPr>
        <w:pStyle w:val="FootnoteText"/>
      </w:pPr>
      <w:r>
        <w:rPr>
          <w:rStyle w:val="FootnoteReference"/>
        </w:rPr>
        <w:footnoteRef/>
      </w:r>
      <w:r>
        <w:t xml:space="preserve"> </w:t>
      </w:r>
      <w:r>
        <w:tab/>
        <w:t>NER, cl 6</w:t>
      </w:r>
      <w:r w:rsidR="00502930">
        <w:t>A.6</w:t>
      </w:r>
      <w:r>
        <w:t>.6(d)</w:t>
      </w:r>
    </w:p>
  </w:footnote>
  <w:footnote w:id="4">
    <w:p w:rsidR="006C6574" w:rsidRDefault="006C6574" w:rsidP="00F665D1">
      <w:pPr>
        <w:pStyle w:val="FootnoteText"/>
      </w:pPr>
      <w:r>
        <w:rPr>
          <w:rStyle w:val="FootnoteReference"/>
        </w:rPr>
        <w:footnoteRef/>
      </w:r>
      <w:r>
        <w:t xml:space="preserve"> </w:t>
      </w:r>
      <w:r>
        <w:tab/>
        <w:t>NER, cl 6</w:t>
      </w:r>
      <w:r w:rsidR="00502930">
        <w:t>A.14.1(3)</w:t>
      </w:r>
      <w:r>
        <w:t>(ii)</w:t>
      </w:r>
    </w:p>
  </w:footnote>
  <w:footnote w:id="5">
    <w:p w:rsidR="006C6574" w:rsidRPr="00E32E56" w:rsidRDefault="006C6574" w:rsidP="00116B17">
      <w:pPr>
        <w:pStyle w:val="FootnoteText"/>
      </w:pPr>
      <w:r>
        <w:rPr>
          <w:rStyle w:val="FootnoteReference"/>
        </w:rPr>
        <w:footnoteRef/>
      </w:r>
      <w:r>
        <w:t xml:space="preserve"> </w:t>
      </w:r>
      <w:r>
        <w:tab/>
      </w:r>
      <w:r w:rsidR="00F10BBC" w:rsidRPr="00F10BBC">
        <w:t>Directlink’s initial proposal included amounts for cable repairs and three labour positions. In Directlink’s revised proposal these amounts were shifted from opex to capex. The majority of the $7.6 million difference is attributable to this classification change.</w:t>
      </w:r>
    </w:p>
  </w:footnote>
  <w:footnote w:id="6">
    <w:p w:rsidR="006C6574" w:rsidRDefault="006C6574" w:rsidP="007B2A34">
      <w:pPr>
        <w:pStyle w:val="FootnoteText"/>
      </w:pPr>
      <w:r>
        <w:rPr>
          <w:rStyle w:val="FootnoteReference"/>
        </w:rPr>
        <w:footnoteRef/>
      </w:r>
      <w:r>
        <w:t xml:space="preserve"> </w:t>
      </w:r>
      <w:r>
        <w:tab/>
      </w:r>
      <w:proofErr w:type="gramStart"/>
      <w:r>
        <w:t>NER, cll.</w:t>
      </w:r>
      <w:proofErr w:type="gramEnd"/>
      <w:r w:rsidRPr="00AC4977">
        <w:t xml:space="preserve"> 6A.6.6(c), 6A.14.1(3)</w:t>
      </w:r>
    </w:p>
  </w:footnote>
  <w:footnote w:id="7">
    <w:p w:rsidR="006C6574" w:rsidRDefault="006C6574" w:rsidP="007B2A34">
      <w:pPr>
        <w:pStyle w:val="FootnoteText"/>
      </w:pPr>
      <w:r>
        <w:rPr>
          <w:rStyle w:val="FootnoteReference"/>
        </w:rPr>
        <w:footnoteRef/>
      </w:r>
      <w:r>
        <w:t xml:space="preserve"> </w:t>
      </w:r>
      <w:r>
        <w:tab/>
        <w:t xml:space="preserve">NER, cll. </w:t>
      </w:r>
      <w:r w:rsidRPr="00AC4977">
        <w:t>6A.6.6(d)</w:t>
      </w:r>
      <w:r>
        <w:t xml:space="preserve">, </w:t>
      </w:r>
      <w:r w:rsidRPr="00AC4977">
        <w:t>6A.13.2(b)(3), 6A.14.1(3)(ii</w:t>
      </w:r>
      <w:r w:rsidR="00E61E1F">
        <w:t>)</w:t>
      </w:r>
    </w:p>
  </w:footnote>
  <w:footnote w:id="8">
    <w:p w:rsidR="006C6574" w:rsidRDefault="006C6574" w:rsidP="007B2A34">
      <w:pPr>
        <w:pStyle w:val="FootnoteText"/>
      </w:pPr>
      <w:r>
        <w:rPr>
          <w:rStyle w:val="FootnoteReference"/>
        </w:rPr>
        <w:footnoteRef/>
      </w:r>
      <w:r>
        <w:t xml:space="preserve"> </w:t>
      </w:r>
      <w:r>
        <w:tab/>
        <w:t xml:space="preserve">NER, cl. </w:t>
      </w:r>
      <w:r w:rsidRPr="00AC4977">
        <w:t xml:space="preserve"> 6A.6.6</w:t>
      </w:r>
      <w:r>
        <w:t>(e)</w:t>
      </w:r>
      <w:r w:rsidRPr="00AC4977">
        <w:t>, 6A.14.1(3)(ii)</w:t>
      </w:r>
      <w:r>
        <w:t>.</w:t>
      </w:r>
    </w:p>
  </w:footnote>
  <w:footnote w:id="9">
    <w:p w:rsidR="006C6574" w:rsidRDefault="006C6574" w:rsidP="007B2A34">
      <w:pPr>
        <w:pStyle w:val="FootnoteText"/>
      </w:pPr>
      <w:r>
        <w:rPr>
          <w:rStyle w:val="FootnoteReference"/>
        </w:rPr>
        <w:footnoteRef/>
      </w:r>
      <w:r>
        <w:t xml:space="preserve"> </w:t>
      </w:r>
      <w:r>
        <w:tab/>
        <w:t xml:space="preserve">NER, cl. </w:t>
      </w:r>
      <w:r w:rsidRPr="00AC4977">
        <w:t>6A.6.6(c),</w:t>
      </w:r>
    </w:p>
  </w:footnote>
  <w:footnote w:id="10">
    <w:p w:rsidR="006C6574" w:rsidRDefault="006C6574" w:rsidP="007B2A34">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113.</w:t>
      </w:r>
    </w:p>
  </w:footnote>
  <w:footnote w:id="11">
    <w:p w:rsidR="006C6574" w:rsidRDefault="006C6574" w:rsidP="007B2A34">
      <w:pPr>
        <w:pStyle w:val="FootnoteText"/>
      </w:pPr>
      <w:r>
        <w:rPr>
          <w:rStyle w:val="FootnoteReference"/>
        </w:rPr>
        <w:footnoteRef/>
      </w:r>
      <w:r>
        <w:t xml:space="preserve"> </w:t>
      </w:r>
      <w:r>
        <w:tab/>
        <w:t>NER, cl. 6A.6.6(e), 6A.14.1(3)(ii).</w:t>
      </w:r>
    </w:p>
  </w:footnote>
  <w:footnote w:id="12">
    <w:p w:rsidR="006C6574" w:rsidRDefault="006C6574" w:rsidP="007B2A34">
      <w:pPr>
        <w:pStyle w:val="FootnoteText"/>
      </w:pPr>
      <w:r>
        <w:rPr>
          <w:rStyle w:val="FootnoteReference"/>
        </w:rPr>
        <w:footnoteRef/>
      </w:r>
      <w:r>
        <w:t xml:space="preserve"> </w:t>
      </w:r>
      <w:r>
        <w:tab/>
        <w:t>NER cl. 6A.5.6</w:t>
      </w:r>
    </w:p>
  </w:footnote>
  <w:footnote w:id="13">
    <w:p w:rsidR="006C6574" w:rsidRDefault="006C6574" w:rsidP="007B2A34">
      <w:pPr>
        <w:pStyle w:val="FootnoteText"/>
      </w:pPr>
      <w:r>
        <w:rPr>
          <w:rStyle w:val="FootnoteReference"/>
        </w:rPr>
        <w:footnoteRef/>
      </w:r>
      <w:r>
        <w:t xml:space="preserve"> </w:t>
      </w:r>
      <w:r>
        <w:tab/>
        <w:t xml:space="preserve">AER, </w:t>
      </w:r>
      <w:r w:rsidRPr="007D2785">
        <w:rPr>
          <w:rStyle w:val="AERtextitalic"/>
        </w:rPr>
        <w:t>Expenditure forecasting assessment guideline - explanatory statement</w:t>
      </w:r>
      <w:r>
        <w:t>, November 2013</w:t>
      </w:r>
    </w:p>
  </w:footnote>
  <w:footnote w:id="14">
    <w:p w:rsidR="006C6574" w:rsidRDefault="006C6574" w:rsidP="007B2A34">
      <w:pPr>
        <w:pStyle w:val="FootnoteText"/>
      </w:pPr>
      <w:r>
        <w:rPr>
          <w:rStyle w:val="FootnoteReference"/>
        </w:rPr>
        <w:footnoteRef/>
      </w:r>
      <w:r>
        <w:t xml:space="preserve"> </w:t>
      </w:r>
      <w:r>
        <w:tab/>
        <w:t xml:space="preserve">AER, </w:t>
      </w:r>
      <w:r w:rsidRPr="00DE75D2">
        <w:t>Framework and approach paper</w:t>
      </w:r>
      <w:r>
        <w:t xml:space="preserve"> - </w:t>
      </w:r>
      <w:r w:rsidRPr="00DE75D2">
        <w:t>Directlink</w:t>
      </w:r>
      <w:r>
        <w:t xml:space="preserve">, </w:t>
      </w:r>
      <w:r w:rsidRPr="00DE75D2">
        <w:t>Regulatory</w:t>
      </w:r>
      <w:r>
        <w:t xml:space="preserve"> </w:t>
      </w:r>
      <w:r w:rsidRPr="00DE75D2">
        <w:t>control period commencing 1 July 2015</w:t>
      </w:r>
      <w:r>
        <w:t xml:space="preserve">, </w:t>
      </w:r>
      <w:r w:rsidRPr="00DE75D2">
        <w:t>January 2014</w:t>
      </w:r>
      <w:r>
        <w:t>.</w:t>
      </w:r>
    </w:p>
  </w:footnote>
  <w:footnote w:id="15">
    <w:p w:rsidR="006C6574" w:rsidRDefault="006C6574" w:rsidP="007B2A34">
      <w:pPr>
        <w:pStyle w:val="FootnoteText"/>
      </w:pPr>
      <w:r>
        <w:rPr>
          <w:rStyle w:val="FootnoteReference"/>
        </w:rPr>
        <w:footnoteRef/>
      </w:r>
      <w:r>
        <w:t xml:space="preserve"> </w:t>
      </w:r>
      <w:r>
        <w:tab/>
        <w:t>AER, Expenditure forecast assessment guideline, November 2013, p. 7.</w:t>
      </w:r>
    </w:p>
  </w:footnote>
  <w:footnote w:id="16">
    <w:p w:rsidR="006C6574" w:rsidRDefault="006C6574" w:rsidP="007B2A34">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112.</w:t>
      </w:r>
    </w:p>
  </w:footnote>
  <w:footnote w:id="17">
    <w:p w:rsidR="006C6574" w:rsidRDefault="006C6574" w:rsidP="007B2A34">
      <w:pPr>
        <w:pStyle w:val="FootnoteText"/>
      </w:pPr>
      <w:r>
        <w:rPr>
          <w:rStyle w:val="FootnoteReference"/>
        </w:rPr>
        <w:footnoteRef/>
      </w:r>
      <w:r>
        <w:t xml:space="preserve"> </w:t>
      </w:r>
      <w:r>
        <w:tab/>
        <w:t>NER, cl. 6A.6.6(c)</w:t>
      </w:r>
    </w:p>
  </w:footnote>
  <w:footnote w:id="18">
    <w:p w:rsidR="006C6574" w:rsidRDefault="006C6574" w:rsidP="007B2A34">
      <w:pPr>
        <w:pStyle w:val="FootnoteText"/>
      </w:pPr>
      <w:r>
        <w:rPr>
          <w:rStyle w:val="FootnoteReference"/>
        </w:rPr>
        <w:footnoteRef/>
      </w:r>
      <w:r>
        <w:t xml:space="preserve"> </w:t>
      </w:r>
      <w:r>
        <w:tab/>
        <w:t>NER, cl.</w:t>
      </w:r>
      <w:r w:rsidRPr="00163BAF">
        <w:t xml:space="preserve"> 6</w:t>
      </w:r>
      <w:r>
        <w:t>A</w:t>
      </w:r>
      <w:r w:rsidRPr="00163BAF">
        <w:t>.1</w:t>
      </w:r>
      <w:r>
        <w:t>4.2</w:t>
      </w:r>
    </w:p>
  </w:footnote>
  <w:footnote w:id="19">
    <w:p w:rsidR="006C6574" w:rsidRDefault="006C6574" w:rsidP="007B2A34">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p.112.</w:t>
      </w:r>
    </w:p>
  </w:footnote>
  <w:footnote w:id="20">
    <w:p w:rsidR="006C6574" w:rsidRDefault="006C6574" w:rsidP="007B2A34">
      <w:pPr>
        <w:pStyle w:val="FootnoteText"/>
      </w:pPr>
      <w:r>
        <w:rPr>
          <w:rStyle w:val="FootnoteReference"/>
        </w:rPr>
        <w:footnoteRef/>
      </w:r>
      <w:r>
        <w:t xml:space="preserve"> </w:t>
      </w:r>
      <w:r>
        <w:tab/>
        <w:t xml:space="preserve">AEMC, Final Rule Determination: </w:t>
      </w:r>
      <w:r w:rsidRPr="00575528">
        <w:t>National Electricity Amendment (Economic</w:t>
      </w:r>
      <w:r>
        <w:t xml:space="preserve"> </w:t>
      </w:r>
      <w:r w:rsidRPr="00575528">
        <w:t>Regulation of Network Service Providers) Rule</w:t>
      </w:r>
      <w:r>
        <w:t xml:space="preserve"> </w:t>
      </w:r>
      <w:r w:rsidRPr="00575528">
        <w:t>2012</w:t>
      </w:r>
      <w:r>
        <w:t>, 29 November 2012, p. 115.</w:t>
      </w:r>
    </w:p>
  </w:footnote>
  <w:footnote w:id="21">
    <w:p w:rsidR="006C6574" w:rsidRDefault="006C6574" w:rsidP="00E72765">
      <w:pPr>
        <w:pStyle w:val="FootnoteText"/>
      </w:pPr>
      <w:r>
        <w:rPr>
          <w:rStyle w:val="FootnoteReference"/>
        </w:rPr>
        <w:footnoteRef/>
      </w:r>
      <w:r>
        <w:t xml:space="preserve"> </w:t>
      </w:r>
      <w:r>
        <w:tab/>
        <w:t>AER, Draft decision Directlink transmission determination - Attachment 7 - Operating expenditure - November 2014, pp. 15-17.</w:t>
      </w:r>
    </w:p>
  </w:footnote>
  <w:footnote w:id="22">
    <w:p w:rsidR="006C6574" w:rsidRDefault="006C6574" w:rsidP="00E72765">
      <w:pPr>
        <w:pStyle w:val="FootnoteText"/>
      </w:pPr>
      <w:r>
        <w:rPr>
          <w:rStyle w:val="FootnoteReference"/>
        </w:rPr>
        <w:footnoteRef/>
      </w:r>
      <w:r>
        <w:t xml:space="preserve"> </w:t>
      </w:r>
      <w:r>
        <w:tab/>
        <w:t xml:space="preserve">Circuits 2 and 3 have been offline between August 2013 and x. Due to the fire in the Mullumbimby converter station x has been offline since August 2012 and is not expected to be back online until August 2015. </w:t>
      </w:r>
    </w:p>
  </w:footnote>
  <w:footnote w:id="23">
    <w:p w:rsidR="006C6574" w:rsidRDefault="006C6574" w:rsidP="004419B2">
      <w:pPr>
        <w:pStyle w:val="FootnoteText"/>
      </w:pPr>
      <w:r>
        <w:rPr>
          <w:rStyle w:val="FootnoteReference"/>
        </w:rPr>
        <w:footnoteRef/>
      </w:r>
      <w:r>
        <w:t xml:space="preserve"> </w:t>
      </w:r>
      <w:r>
        <w:tab/>
        <w:t>NER. cl. 6A.6.6(c)(2).</w:t>
      </w:r>
    </w:p>
  </w:footnote>
  <w:footnote w:id="24">
    <w:p w:rsidR="006C6574" w:rsidRDefault="006C6574" w:rsidP="00426A86">
      <w:pPr>
        <w:pStyle w:val="FootnoteText"/>
      </w:pPr>
      <w:r>
        <w:rPr>
          <w:rStyle w:val="FootnoteReference"/>
        </w:rPr>
        <w:footnoteRef/>
      </w:r>
      <w:r>
        <w:t xml:space="preserve"> </w:t>
      </w:r>
      <w:r>
        <w:tab/>
        <w:t xml:space="preserve">Directlink, </w:t>
      </w:r>
      <w:r w:rsidRPr="00BE3C80">
        <w:t>Directlink, Revised revenue proposal, January 2015, Directlink 2015 - Revised proposal PTRM - Jan 2015.xlsx, tab 'Input'</w:t>
      </w:r>
      <w:r>
        <w:t>;</w:t>
      </w:r>
      <w:r w:rsidRPr="00342C26">
        <w:t xml:space="preserve"> </w:t>
      </w:r>
      <w:r w:rsidRPr="002F19CE">
        <w:t>Directlink, Revenue proposal, May 2014, Directlink - Regulatory Information Notice Templates -</w:t>
      </w:r>
      <w:r>
        <w:t xml:space="preserve"> May 2014.xlsx, tab '2.1 Opex'; AER analysis</w:t>
      </w:r>
      <w:r w:rsidRPr="00F41898">
        <w:t>.</w:t>
      </w:r>
      <w:r>
        <w:t xml:space="preserve"> In order to be able to make a like-for-like comparison the cable repair and three staff position expenditure that was included in Directlink's initial proposal and the AER's draft decision has been removed for the purposes of this calculation.</w:t>
      </w:r>
    </w:p>
  </w:footnote>
  <w:footnote w:id="25">
    <w:p w:rsidR="006C6574" w:rsidRDefault="006C6574">
      <w:pPr>
        <w:pStyle w:val="FootnoteText"/>
      </w:pPr>
      <w:r>
        <w:rPr>
          <w:rStyle w:val="FootnoteReference"/>
        </w:rPr>
        <w:footnoteRef/>
      </w:r>
      <w:r>
        <w:t xml:space="preserve"> </w:t>
      </w:r>
      <w:r>
        <w:tab/>
        <w:t xml:space="preserve">Directlink, </w:t>
      </w:r>
      <w:r w:rsidRPr="00BE3C80">
        <w:t>Directlink, Revised revenue proposal, January 2015</w:t>
      </w:r>
      <w:r>
        <w:t>, pp. 31-32.</w:t>
      </w:r>
    </w:p>
  </w:footnote>
  <w:footnote w:id="26">
    <w:p w:rsidR="006C6574" w:rsidRDefault="006C6574" w:rsidP="00EA0B27">
      <w:pPr>
        <w:pStyle w:val="FootnoteText"/>
      </w:pPr>
      <w:r>
        <w:rPr>
          <w:rStyle w:val="FootnoteReference"/>
        </w:rPr>
        <w:footnoteRef/>
      </w:r>
      <w:r>
        <w:t xml:space="preserve"> </w:t>
      </w:r>
      <w:r>
        <w:tab/>
      </w:r>
      <w:r w:rsidRPr="003D4DFF">
        <w:t>Jemena Gas Networks (NSW) Ltd (No 3) [2011] ACompT 6</w:t>
      </w:r>
    </w:p>
  </w:footnote>
  <w:footnote w:id="27">
    <w:p w:rsidR="006C6574" w:rsidRDefault="006C6574" w:rsidP="00980C3D">
      <w:pPr>
        <w:pStyle w:val="FootnoteText"/>
      </w:pPr>
      <w:r>
        <w:rPr>
          <w:rStyle w:val="FootnoteReference"/>
        </w:rPr>
        <w:footnoteRef/>
      </w:r>
      <w:r>
        <w:t xml:space="preserve"> </w:t>
      </w:r>
      <w:r>
        <w:tab/>
      </w:r>
      <w:r w:rsidRPr="003D4DFF">
        <w:t>Jemena Gas Networks (NSW) Ltd (No 3) [2011] ACompT 6</w:t>
      </w:r>
      <w:r>
        <w:t>, para 33, citing from Mount Isa Mines Ltd v Federal Commissioner of Taxation [1992] HCA 62, para 147-8.</w:t>
      </w:r>
    </w:p>
  </w:footnote>
  <w:footnote w:id="28">
    <w:p w:rsidR="006C6574" w:rsidRDefault="006C6574" w:rsidP="00026D03">
      <w:pPr>
        <w:pStyle w:val="FootnoteText"/>
      </w:pPr>
      <w:r>
        <w:rPr>
          <w:rStyle w:val="FootnoteReference"/>
        </w:rPr>
        <w:footnoteRef/>
      </w:r>
      <w:r>
        <w:t xml:space="preserve"> </w:t>
      </w:r>
      <w:r>
        <w:tab/>
      </w:r>
      <w:r w:rsidRPr="003D4DFF">
        <w:t>Jemena Gas Networks (NSW) Ltd (No 3) [2011] ACompT 6</w:t>
      </w:r>
      <w:r>
        <w:t>, para 34.</w:t>
      </w:r>
    </w:p>
  </w:footnote>
  <w:footnote w:id="29">
    <w:p w:rsidR="006C6574" w:rsidRDefault="006C6574" w:rsidP="008056DD">
      <w:pPr>
        <w:pStyle w:val="FootnoteText"/>
      </w:pPr>
      <w:r>
        <w:rPr>
          <w:rStyle w:val="FootnoteReference"/>
        </w:rPr>
        <w:footnoteRef/>
      </w:r>
      <w:r>
        <w:t xml:space="preserve"> </w:t>
      </w:r>
      <w:r>
        <w:tab/>
      </w:r>
      <w:r w:rsidRPr="003D4DFF">
        <w:t>Jemena Gas Networks (NSW) Ltd (No 3) [2011] ACompT 6</w:t>
      </w:r>
      <w:r>
        <w:t>, para 36.</w:t>
      </w:r>
    </w:p>
  </w:footnote>
  <w:footnote w:id="30">
    <w:p w:rsidR="006C6574" w:rsidRDefault="006C6574" w:rsidP="00D87567">
      <w:pPr>
        <w:pStyle w:val="FootnoteText"/>
      </w:pPr>
      <w:r>
        <w:rPr>
          <w:rStyle w:val="FootnoteReference"/>
        </w:rPr>
        <w:footnoteRef/>
      </w:r>
      <w:r>
        <w:t xml:space="preserve"> </w:t>
      </w:r>
      <w:r>
        <w:tab/>
      </w:r>
      <w:r w:rsidRPr="003D4DFF">
        <w:t>Jemena Gas Networks (NSW) Ltd (No 3) [2011] ACompT 6</w:t>
      </w:r>
      <w:r>
        <w:t>, para 36.</w:t>
      </w:r>
    </w:p>
  </w:footnote>
  <w:footnote w:id="31">
    <w:p w:rsidR="006C6574" w:rsidRDefault="006C6574" w:rsidP="0036240E">
      <w:pPr>
        <w:pStyle w:val="FootnoteText"/>
      </w:pPr>
      <w:r>
        <w:rPr>
          <w:rStyle w:val="FootnoteReference"/>
        </w:rPr>
        <w:footnoteRef/>
      </w:r>
      <w:r>
        <w:t xml:space="preserve"> </w:t>
      </w:r>
      <w:r>
        <w:tab/>
      </w:r>
      <w:r w:rsidRPr="003D4DFF">
        <w:t>Jemena Gas Networks (NSW) Ltd (No 3) [2011] ACompT 6</w:t>
      </w:r>
      <w:r>
        <w:t>, para 33.</w:t>
      </w:r>
    </w:p>
  </w:footnote>
  <w:footnote w:id="32">
    <w:p w:rsidR="006C6574" w:rsidRDefault="006C6574" w:rsidP="0036240E">
      <w:pPr>
        <w:pStyle w:val="FootnoteText"/>
      </w:pPr>
      <w:r>
        <w:rPr>
          <w:rStyle w:val="FootnoteReference"/>
        </w:rPr>
        <w:footnoteRef/>
      </w:r>
      <w:r>
        <w:t xml:space="preserve"> </w:t>
      </w:r>
      <w:r>
        <w:tab/>
      </w:r>
      <w:r w:rsidRPr="003D4DFF">
        <w:t>Jemena Gas Networks (NSW) Ltd (No 3) [2011] ACompT 6</w:t>
      </w:r>
      <w:r>
        <w:t>, para 33.</w:t>
      </w:r>
    </w:p>
  </w:footnote>
  <w:footnote w:id="33">
    <w:p w:rsidR="006C6574" w:rsidRDefault="006C6574">
      <w:pPr>
        <w:pStyle w:val="FootnoteText"/>
      </w:pPr>
      <w:r>
        <w:rPr>
          <w:rStyle w:val="FootnoteReference"/>
        </w:rPr>
        <w:footnoteRef/>
      </w:r>
      <w:r>
        <w:t xml:space="preserve"> </w:t>
      </w:r>
      <w:r>
        <w:tab/>
        <w:t>Directlink, Revised revenue proposal, January 2015, p.22.</w:t>
      </w:r>
    </w:p>
  </w:footnote>
  <w:footnote w:id="34">
    <w:p w:rsidR="006C6574" w:rsidRDefault="006C6574">
      <w:pPr>
        <w:pStyle w:val="FootnoteText"/>
      </w:pPr>
      <w:r>
        <w:rPr>
          <w:rStyle w:val="FootnoteReference"/>
        </w:rPr>
        <w:footnoteRef/>
      </w:r>
      <w:r>
        <w:t xml:space="preserve"> </w:t>
      </w:r>
      <w:r>
        <w:tab/>
        <w:t>Directlink, Revised revenue proposal, January 2015, p.22.</w:t>
      </w:r>
    </w:p>
  </w:footnote>
  <w:footnote w:id="35">
    <w:p w:rsidR="006C6574" w:rsidRDefault="006C6574" w:rsidP="000F5FD0">
      <w:pPr>
        <w:pStyle w:val="FootnoteText"/>
      </w:pPr>
      <w:r>
        <w:rPr>
          <w:rStyle w:val="FootnoteReference"/>
        </w:rPr>
        <w:footnoteRef/>
      </w:r>
      <w:r>
        <w:t xml:space="preserve"> </w:t>
      </w:r>
      <w:r>
        <w:tab/>
      </w:r>
      <w:r w:rsidRPr="003D4DFF">
        <w:t>Jemena Gas Networks (NSW) Ltd (No 3) [2011] ACompT 6</w:t>
      </w:r>
      <w:r>
        <w:t>, para 38.</w:t>
      </w:r>
    </w:p>
  </w:footnote>
  <w:footnote w:id="36">
    <w:p w:rsidR="006C6574" w:rsidRDefault="006C6574" w:rsidP="004F7C6B">
      <w:pPr>
        <w:pStyle w:val="FootnoteText"/>
      </w:pPr>
      <w:r>
        <w:rPr>
          <w:rStyle w:val="FootnoteReference"/>
        </w:rPr>
        <w:footnoteRef/>
      </w:r>
      <w:r>
        <w:t xml:space="preserve"> </w:t>
      </w:r>
      <w:r>
        <w:tab/>
      </w:r>
      <w:r w:rsidRPr="003D4DFF">
        <w:t>Jemena Gas Networks (NSW) Ltd (No 3) [2011] ACompT 6</w:t>
      </w:r>
      <w:r>
        <w:t>, para 31.</w:t>
      </w:r>
    </w:p>
  </w:footnote>
  <w:footnote w:id="37">
    <w:p w:rsidR="006C6574" w:rsidRDefault="006C6574">
      <w:pPr>
        <w:pStyle w:val="FootnoteText"/>
      </w:pPr>
      <w:r>
        <w:rPr>
          <w:rStyle w:val="FootnoteReference"/>
        </w:rPr>
        <w:footnoteRef/>
      </w:r>
      <w:r>
        <w:t xml:space="preserve"> </w:t>
      </w:r>
      <w:r>
        <w:tab/>
        <w:t>AASB 116, cl. 7(a).</w:t>
      </w:r>
    </w:p>
  </w:footnote>
  <w:footnote w:id="38">
    <w:p w:rsidR="006C6574" w:rsidRDefault="006C6574">
      <w:pPr>
        <w:pStyle w:val="FootnoteText"/>
      </w:pPr>
      <w:r>
        <w:rPr>
          <w:rStyle w:val="FootnoteReference"/>
        </w:rPr>
        <w:footnoteRef/>
      </w:r>
      <w:r>
        <w:t xml:space="preserve"> </w:t>
      </w:r>
      <w:r>
        <w:tab/>
        <w:t>AER, AER Information request - Directlink Opex R1, sent 16 February 2014, Question 7.</w:t>
      </w:r>
    </w:p>
  </w:footnote>
  <w:footnote w:id="39">
    <w:p w:rsidR="006C6574" w:rsidRDefault="006C6574">
      <w:pPr>
        <w:pStyle w:val="FootnoteText"/>
      </w:pPr>
      <w:r>
        <w:rPr>
          <w:rStyle w:val="FootnoteReference"/>
        </w:rPr>
        <w:footnoteRef/>
      </w:r>
      <w:r>
        <w:t xml:space="preserve"> </w:t>
      </w:r>
      <w:r>
        <w:tab/>
        <w:t>Directlink, 20150223 Response to AER Information Request Opex R1, received 23 February 2014, pp.7-8.</w:t>
      </w:r>
    </w:p>
  </w:footnote>
  <w:footnote w:id="40">
    <w:p w:rsidR="006C6574" w:rsidRDefault="006C6574" w:rsidP="00F417EB">
      <w:pPr>
        <w:pStyle w:val="FootnoteText"/>
      </w:pPr>
      <w:r>
        <w:rPr>
          <w:rStyle w:val="FootnoteReference"/>
        </w:rPr>
        <w:footnoteRef/>
      </w:r>
      <w:r>
        <w:t xml:space="preserve"> </w:t>
      </w:r>
      <w:r>
        <w:tab/>
        <w:t>Directlink, 20150223 Response to AER Information Request Opex R1, received 23 February 2014, p.8.</w:t>
      </w:r>
    </w:p>
  </w:footnote>
  <w:footnote w:id="41">
    <w:p w:rsidR="006C6574" w:rsidRDefault="006C6574">
      <w:pPr>
        <w:pStyle w:val="FootnoteText"/>
      </w:pPr>
      <w:r>
        <w:rPr>
          <w:rStyle w:val="FootnoteReference"/>
        </w:rPr>
        <w:footnoteRef/>
      </w:r>
      <w:r>
        <w:t xml:space="preserve"> </w:t>
      </w:r>
      <w:r>
        <w:tab/>
        <w:t xml:space="preserve">Directlink, Revenue Proposal, May 2014, p.27; Directlink, Revenue Proposal, May 2014: Attachment </w:t>
      </w:r>
      <w:r w:rsidRPr="006A0244">
        <w:t>09 3 Phacelift O&amp;M Model (final)</w:t>
      </w:r>
      <w:r>
        <w:t>.xlsx,</w:t>
      </w:r>
      <w:r w:rsidRPr="00681717">
        <w:t xml:space="preserve"> tab 'Cable Repairs'.</w:t>
      </w:r>
    </w:p>
  </w:footnote>
  <w:footnote w:id="42">
    <w:p w:rsidR="006C6574" w:rsidRDefault="006C6574">
      <w:pPr>
        <w:pStyle w:val="FootnoteText"/>
      </w:pPr>
      <w:r>
        <w:rPr>
          <w:rStyle w:val="FootnoteReference"/>
        </w:rPr>
        <w:footnoteRef/>
      </w:r>
      <w:r>
        <w:t xml:space="preserve"> </w:t>
      </w:r>
      <w:r>
        <w:tab/>
        <w:t xml:space="preserve">AER, </w:t>
      </w:r>
      <w:r w:rsidRPr="00F21633">
        <w:t>Draft decision: Directlink transmission determination 2015-20</w:t>
      </w:r>
      <w:r>
        <w:t>,</w:t>
      </w:r>
      <w:r w:rsidRPr="00F21633">
        <w:t xml:space="preserve"> Attachment 7</w:t>
      </w:r>
      <w:r>
        <w:t>, p.19.</w:t>
      </w:r>
    </w:p>
  </w:footnote>
  <w:footnote w:id="43">
    <w:p w:rsidR="006C6574" w:rsidRDefault="006C6574">
      <w:pPr>
        <w:pStyle w:val="FootnoteText"/>
      </w:pPr>
      <w:r>
        <w:rPr>
          <w:rStyle w:val="FootnoteReference"/>
        </w:rPr>
        <w:footnoteRef/>
      </w:r>
      <w:r>
        <w:t xml:space="preserve"> </w:t>
      </w:r>
      <w:r>
        <w:tab/>
        <w:t>Directlink, Revised Revenue Proposal, January 2015, p.19.</w:t>
      </w:r>
    </w:p>
  </w:footnote>
  <w:footnote w:id="44">
    <w:p w:rsidR="006C6574" w:rsidRDefault="006C6574">
      <w:pPr>
        <w:pStyle w:val="FootnoteText"/>
      </w:pPr>
      <w:r>
        <w:rPr>
          <w:rStyle w:val="FootnoteReference"/>
        </w:rPr>
        <w:footnoteRef/>
      </w:r>
      <w:r>
        <w:t xml:space="preserve"> </w:t>
      </w:r>
      <w:r>
        <w:tab/>
        <w:t>Directlink, Revised Revenue Proposal, January 2015, p.20.</w:t>
      </w:r>
    </w:p>
  </w:footnote>
  <w:footnote w:id="45">
    <w:p w:rsidR="006C6574" w:rsidRDefault="006C6574">
      <w:pPr>
        <w:pStyle w:val="FootnoteText"/>
      </w:pPr>
      <w:r>
        <w:rPr>
          <w:rStyle w:val="FootnoteReference"/>
        </w:rPr>
        <w:footnoteRef/>
      </w:r>
      <w:r>
        <w:t xml:space="preserve"> </w:t>
      </w:r>
      <w:r>
        <w:tab/>
        <w:t>The new replacement strategy is to replace longer sections of faulted cable than in the past. It does not refer to the proactive replacement of cable.</w:t>
      </w:r>
    </w:p>
  </w:footnote>
  <w:footnote w:id="46">
    <w:p w:rsidR="006C6574" w:rsidRDefault="006C6574">
      <w:pPr>
        <w:pStyle w:val="FootnoteText"/>
      </w:pPr>
      <w:r>
        <w:rPr>
          <w:rStyle w:val="FootnoteReference"/>
        </w:rPr>
        <w:footnoteRef/>
      </w:r>
      <w:r>
        <w:t xml:space="preserve"> </w:t>
      </w:r>
      <w:r>
        <w:tab/>
        <w:t>The new replacement strategy is to replace longer sections of faulted cable than in the past. It does not refer to the proactive replacement of cable.</w:t>
      </w:r>
    </w:p>
  </w:footnote>
  <w:footnote w:id="47">
    <w:p w:rsidR="006C6574" w:rsidRDefault="006C6574">
      <w:pPr>
        <w:pStyle w:val="FootnoteText"/>
      </w:pPr>
      <w:r>
        <w:rPr>
          <w:rStyle w:val="FootnoteReference"/>
        </w:rPr>
        <w:footnoteRef/>
      </w:r>
      <w:r>
        <w:t xml:space="preserve"> </w:t>
      </w:r>
      <w:r>
        <w:tab/>
      </w:r>
      <w:r w:rsidRPr="003D340D">
        <w:t>Dire</w:t>
      </w:r>
      <w:r>
        <w:t xml:space="preserve">ctlink, </w:t>
      </w:r>
      <w:r w:rsidRPr="003D340D">
        <w:t xml:space="preserve">Directlink Revised Revenue Proposal, </w:t>
      </w:r>
      <w:r>
        <w:t xml:space="preserve">January 2015, </w:t>
      </w:r>
      <w:r w:rsidRPr="003D340D">
        <w:t>Attachment 5.3, PSC - Directlink DC Cable Replacement Strategy</w:t>
      </w:r>
      <w:r>
        <w:t>, p. 10</w:t>
      </w:r>
      <w:r w:rsidRPr="003D340D">
        <w:t>.</w:t>
      </w:r>
    </w:p>
  </w:footnote>
  <w:footnote w:id="48">
    <w:p w:rsidR="006C6574" w:rsidRDefault="006C6574">
      <w:pPr>
        <w:pStyle w:val="FootnoteText"/>
      </w:pPr>
      <w:r>
        <w:rPr>
          <w:rStyle w:val="FootnoteReference"/>
        </w:rPr>
        <w:footnoteRef/>
      </w:r>
      <w:r>
        <w:t xml:space="preserve"> </w:t>
      </w:r>
      <w:r>
        <w:tab/>
      </w:r>
      <w:r w:rsidRPr="00343C00">
        <w:t>Orton Consulting Engineers International Ltd, 5/30/2012, ‘Directlink HVDC Cable Failures Investigation, JECTEC Laboratory Test Program and Site Inspection’</w:t>
      </w:r>
      <w:r>
        <w:t>;</w:t>
      </w:r>
      <w:r w:rsidRPr="00240337">
        <w:t xml:space="preserve"> </w:t>
      </w:r>
      <w:r w:rsidRPr="00343C00">
        <w:t>Directlink, January 2015, ‘Directlink Revised Revenue Proposal, Attachment 5.3, PSC - Directlink DC Cable Replacement Strategy’</w:t>
      </w:r>
      <w:r>
        <w:t>, p. 9</w:t>
      </w:r>
      <w:r w:rsidRPr="00343C00">
        <w:t>.</w:t>
      </w:r>
    </w:p>
  </w:footnote>
  <w:footnote w:id="49">
    <w:p w:rsidR="006C6574" w:rsidRDefault="006C6574">
      <w:pPr>
        <w:pStyle w:val="FootnoteText"/>
      </w:pPr>
      <w:r>
        <w:rPr>
          <w:rStyle w:val="FootnoteReference"/>
        </w:rPr>
        <w:footnoteRef/>
      </w:r>
      <w:r>
        <w:t xml:space="preserve"> </w:t>
      </w:r>
      <w:r>
        <w:tab/>
        <w:t>Directlink, Revenue proposal, May 2014, Table 9.1, p.71.</w:t>
      </w:r>
    </w:p>
  </w:footnote>
  <w:footnote w:id="50">
    <w:p w:rsidR="006C6574" w:rsidRDefault="006C6574">
      <w:pPr>
        <w:pStyle w:val="FootnoteText"/>
      </w:pPr>
      <w:r>
        <w:rPr>
          <w:rStyle w:val="FootnoteReference"/>
        </w:rPr>
        <w:footnoteRef/>
      </w:r>
      <w:r>
        <w:t xml:space="preserve"> </w:t>
      </w:r>
      <w:r>
        <w:tab/>
        <w:t xml:space="preserve">AER, </w:t>
      </w:r>
      <w:r w:rsidRPr="00F21633">
        <w:t>Draft decision: Directlink transmission determination 2015-20</w:t>
      </w:r>
      <w:r>
        <w:t>,</w:t>
      </w:r>
      <w:r w:rsidRPr="00F21633">
        <w:t xml:space="preserve"> Attachment 7</w:t>
      </w:r>
      <w:r>
        <w:t>, pp.19-20.</w:t>
      </w:r>
    </w:p>
  </w:footnote>
  <w:footnote w:id="51">
    <w:p w:rsidR="006C6574" w:rsidRDefault="006C6574" w:rsidP="000C026C">
      <w:pPr>
        <w:pStyle w:val="FootnoteText"/>
      </w:pPr>
      <w:r>
        <w:rPr>
          <w:rStyle w:val="FootnoteReference"/>
        </w:rPr>
        <w:footnoteRef/>
      </w:r>
      <w:r>
        <w:t xml:space="preserve"> </w:t>
      </w:r>
      <w:r>
        <w:tab/>
        <w:t xml:space="preserve">AER, </w:t>
      </w:r>
      <w:r w:rsidRPr="00F21633">
        <w:t>Draft decision: Directlink transmission determination 2015-20</w:t>
      </w:r>
      <w:r>
        <w:t>,</w:t>
      </w:r>
      <w:r w:rsidRPr="00F21633">
        <w:t xml:space="preserve"> Attachment 7</w:t>
      </w:r>
      <w:r>
        <w:t>, p.20.</w:t>
      </w:r>
    </w:p>
  </w:footnote>
  <w:footnote w:id="52">
    <w:p w:rsidR="006C6574" w:rsidRDefault="006C6574">
      <w:pPr>
        <w:pStyle w:val="FootnoteText"/>
      </w:pPr>
      <w:r>
        <w:rPr>
          <w:rStyle w:val="FootnoteReference"/>
        </w:rPr>
        <w:footnoteRef/>
      </w:r>
      <w:r>
        <w:t xml:space="preserve"> </w:t>
      </w:r>
      <w:r>
        <w:tab/>
      </w:r>
      <w:r w:rsidRPr="00BE3C80">
        <w:t>Directlink, Revised revenue proposal, January 2015</w:t>
      </w:r>
      <w:r>
        <w:t>, pp.23-25.</w:t>
      </w:r>
    </w:p>
  </w:footnote>
  <w:footnote w:id="53">
    <w:p w:rsidR="006C6574" w:rsidRDefault="006C6574" w:rsidP="0098799B">
      <w:pPr>
        <w:pStyle w:val="FootnoteText"/>
      </w:pPr>
      <w:r>
        <w:rPr>
          <w:rStyle w:val="FootnoteReference"/>
        </w:rPr>
        <w:footnoteRef/>
      </w:r>
      <w:r>
        <w:t xml:space="preserve"> </w:t>
      </w:r>
      <w:r>
        <w:tab/>
      </w:r>
      <w:r w:rsidRPr="00BE3C80">
        <w:t>Directlink, Revised revenue proposal, January 2015</w:t>
      </w:r>
      <w:r>
        <w:t>, p. 32.</w:t>
      </w:r>
    </w:p>
  </w:footnote>
  <w:footnote w:id="54">
    <w:p w:rsidR="006C6574" w:rsidRDefault="006C6574" w:rsidP="0098799B">
      <w:pPr>
        <w:pStyle w:val="FootnoteText"/>
      </w:pPr>
      <w:r>
        <w:rPr>
          <w:rStyle w:val="FootnoteReference"/>
        </w:rPr>
        <w:footnoteRef/>
      </w:r>
      <w:r>
        <w:t xml:space="preserve"> </w:t>
      </w:r>
      <w:r>
        <w:tab/>
      </w:r>
      <w:r w:rsidRPr="00BE3C80">
        <w:t>Directlink, Revised revenue proposal, January 2015</w:t>
      </w:r>
      <w:r>
        <w:t>, p. 32.</w:t>
      </w:r>
    </w:p>
  </w:footnote>
  <w:footnote w:id="55">
    <w:p w:rsidR="006C6574" w:rsidRDefault="006C6574" w:rsidP="0098799B">
      <w:pPr>
        <w:pStyle w:val="FootnoteText"/>
      </w:pPr>
      <w:r>
        <w:rPr>
          <w:rStyle w:val="FootnoteReference"/>
        </w:rPr>
        <w:footnoteRef/>
      </w:r>
      <w:r>
        <w:t xml:space="preserve"> </w:t>
      </w:r>
      <w:r>
        <w:tab/>
      </w:r>
      <w:r w:rsidRPr="00BE3C80">
        <w:t>Directlink, Revised revenue proposal, January 2015</w:t>
      </w:r>
      <w:r>
        <w:t>: Phacelift Directlink Model final.xlm.</w:t>
      </w:r>
    </w:p>
  </w:footnote>
  <w:footnote w:id="56">
    <w:p w:rsidR="006C6574" w:rsidRDefault="006C6574" w:rsidP="007D2D2D">
      <w:pPr>
        <w:pStyle w:val="FootnoteText"/>
      </w:pPr>
      <w:r>
        <w:rPr>
          <w:rStyle w:val="FootnoteReference"/>
        </w:rPr>
        <w:footnoteRef/>
      </w:r>
      <w:r>
        <w:t xml:space="preserve"> </w:t>
      </w:r>
      <w:r>
        <w:tab/>
      </w:r>
      <w:r w:rsidRPr="00BE3C80">
        <w:t>Directlink, Revised revenue proposal, January 2015</w:t>
      </w:r>
      <w:r>
        <w:t>: Phacelift Directlink Model final.xlm.</w:t>
      </w:r>
    </w:p>
  </w:footnote>
  <w:footnote w:id="57">
    <w:p w:rsidR="006C6574" w:rsidRDefault="006C6574">
      <w:pPr>
        <w:pStyle w:val="FootnoteText"/>
      </w:pPr>
      <w:r>
        <w:rPr>
          <w:rStyle w:val="FootnoteReference"/>
        </w:rPr>
        <w:footnoteRef/>
      </w:r>
      <w:r>
        <w:t xml:space="preserve"> </w:t>
      </w:r>
      <w:r>
        <w:tab/>
      </w:r>
      <w:r w:rsidRPr="00FA0DF1">
        <w:t xml:space="preserve">We note that the Marsh estimate and </w:t>
      </w:r>
      <w:r>
        <w:t xml:space="preserve">the "quote", which forms the basis of the amount invoiced by APA Operations to EII for insurance, does </w:t>
      </w:r>
      <w:r w:rsidRPr="008C0DF0">
        <w:t xml:space="preserve">not </w:t>
      </w:r>
      <w:r>
        <w:t>reflect the outcome of a competitive market process.</w:t>
      </w:r>
    </w:p>
  </w:footnote>
  <w:footnote w:id="58">
    <w:p w:rsidR="006C6574" w:rsidRDefault="006C6574" w:rsidP="00EF042E">
      <w:pPr>
        <w:pStyle w:val="FootnoteText"/>
      </w:pPr>
      <w:r>
        <w:rPr>
          <w:rStyle w:val="FootnoteReference"/>
        </w:rPr>
        <w:footnoteRef/>
      </w:r>
      <w:r>
        <w:t xml:space="preserve"> </w:t>
      </w:r>
      <w:r>
        <w:tab/>
        <w:t xml:space="preserve">Directlink, </w:t>
      </w:r>
      <w:r w:rsidRPr="004E02B7">
        <w:t>Revenue proposal, May 20</w:t>
      </w:r>
      <w:r>
        <w:t xml:space="preserve">14, </w:t>
      </w:r>
      <w:r w:rsidRPr="003609C1">
        <w:t>Directlink Regulatory Information Notice Templates.xlsx</w:t>
      </w:r>
      <w:r>
        <w:t>.</w:t>
      </w:r>
    </w:p>
  </w:footnote>
  <w:footnote w:id="59">
    <w:p w:rsidR="006C6574" w:rsidRDefault="006C6574" w:rsidP="00B3229E">
      <w:pPr>
        <w:pStyle w:val="FootnoteText"/>
      </w:pPr>
      <w:r>
        <w:rPr>
          <w:rStyle w:val="FootnoteReference"/>
        </w:rPr>
        <w:footnoteRef/>
      </w:r>
      <w:r>
        <w:t xml:space="preserve"> </w:t>
      </w:r>
      <w:r>
        <w:tab/>
      </w:r>
      <w:r w:rsidRPr="00BE3C80">
        <w:t>Directlink, Revised revenue proposal, January 2015</w:t>
      </w:r>
      <w:r>
        <w:t>, pp. 34-35.</w:t>
      </w:r>
    </w:p>
  </w:footnote>
  <w:footnote w:id="60">
    <w:p w:rsidR="006C6574" w:rsidRDefault="006C6574">
      <w:pPr>
        <w:pStyle w:val="FootnoteText"/>
      </w:pPr>
      <w:r>
        <w:rPr>
          <w:rStyle w:val="FootnoteReference"/>
        </w:rPr>
        <w:footnoteRef/>
      </w:r>
      <w:r>
        <w:t xml:space="preserve"> </w:t>
      </w:r>
      <w:r>
        <w:tab/>
      </w:r>
      <w:r w:rsidRPr="00BE3C80">
        <w:t>Directlink, Revised revenue proposal, January 2015</w:t>
      </w:r>
      <w:r>
        <w:t>, pp. 34-35.</w:t>
      </w:r>
    </w:p>
  </w:footnote>
  <w:footnote w:id="61">
    <w:p w:rsidR="006C6574" w:rsidRDefault="006C6574">
      <w:pPr>
        <w:pStyle w:val="FootnoteText"/>
      </w:pPr>
      <w:r>
        <w:rPr>
          <w:rStyle w:val="FootnoteReference"/>
        </w:rPr>
        <w:footnoteRef/>
      </w:r>
      <w:r>
        <w:t xml:space="preserve"> </w:t>
      </w:r>
      <w:r>
        <w:tab/>
        <w:t>Directlink, Revenue proposal, May 2014: Att.9.2 PSC Risk assessment and cost benefit study, May 2014, pp. 4, 27.</w:t>
      </w:r>
    </w:p>
  </w:footnote>
  <w:footnote w:id="62">
    <w:p w:rsidR="006C6574" w:rsidRDefault="006C6574">
      <w:pPr>
        <w:pStyle w:val="FootnoteText"/>
      </w:pPr>
      <w:r>
        <w:rPr>
          <w:rStyle w:val="FootnoteReference"/>
        </w:rPr>
        <w:footnoteRef/>
      </w:r>
      <w:r>
        <w:t xml:space="preserve"> </w:t>
      </w:r>
      <w:r>
        <w:tab/>
        <w:t xml:space="preserve">Directlink, </w:t>
      </w:r>
      <w:r w:rsidRPr="00BE3C80">
        <w:t>Revised revenue proposal, January 2015</w:t>
      </w:r>
      <w:r>
        <w:t>, pp. 34-35.</w:t>
      </w:r>
    </w:p>
  </w:footnote>
  <w:footnote w:id="63">
    <w:p w:rsidR="006C6574" w:rsidRDefault="006C6574" w:rsidP="0023690D">
      <w:pPr>
        <w:pStyle w:val="FootnoteText"/>
      </w:pPr>
      <w:r>
        <w:rPr>
          <w:rStyle w:val="FootnoteReference"/>
        </w:rPr>
        <w:footnoteRef/>
      </w:r>
      <w:r>
        <w:t xml:space="preserve"> </w:t>
      </w:r>
      <w:r>
        <w:tab/>
      </w:r>
      <w:r w:rsidR="00E16466">
        <w:t xml:space="preserve">Directlink, 2012-13 pass through application – report on cause of 2007 failure, pp.2-3; CHC, </w:t>
      </w:r>
      <w:r w:rsidR="00E16466" w:rsidRPr="0023690D">
        <w:t>Report to the Australian Energy Regulator</w:t>
      </w:r>
      <w:r w:rsidR="00E16466">
        <w:t xml:space="preserve">, </w:t>
      </w:r>
      <w:r w:rsidR="00E16466" w:rsidRPr="0023690D">
        <w:t>Directlink cost Pass-through proposal</w:t>
      </w:r>
      <w:r w:rsidR="00E16466">
        <w:t xml:space="preserve">, </w:t>
      </w:r>
      <w:r w:rsidR="00E16466" w:rsidRPr="0023690D">
        <w:t>17th January 2013 :</w:t>
      </w:r>
      <w:r w:rsidR="00E16466">
        <w:t xml:space="preserve"> </w:t>
      </w:r>
      <w:r w:rsidR="00E16466" w:rsidRPr="0023690D">
        <w:t xml:space="preserve">Report on application of good </w:t>
      </w:r>
      <w:r w:rsidR="00E16466">
        <w:t>in</w:t>
      </w:r>
      <w:r w:rsidR="00E16466" w:rsidRPr="0023690D">
        <w:t>dustry practice</w:t>
      </w:r>
      <w:r w:rsidR="00E16466">
        <w:t>, p. 19.</w:t>
      </w:r>
    </w:p>
  </w:footnote>
  <w:footnote w:id="64">
    <w:p w:rsidR="006C6574" w:rsidRDefault="006C6574">
      <w:pPr>
        <w:pStyle w:val="FootnoteText"/>
      </w:pPr>
      <w:r>
        <w:rPr>
          <w:rStyle w:val="FootnoteReference"/>
        </w:rPr>
        <w:footnoteRef/>
      </w:r>
      <w:r>
        <w:t xml:space="preserve"> </w:t>
      </w:r>
      <w:r>
        <w:tab/>
        <w:t>Directlink, Email ‘</w:t>
      </w:r>
      <w:r w:rsidRPr="00006681">
        <w:t>Directlink - costings for fire suppression and Gotland solution projects</w:t>
      </w:r>
      <w:r>
        <w:t>’, received 12 February 2015, Directlink papers: Item no.9 Board meeting: 26/11/14, p. 2.</w:t>
      </w:r>
    </w:p>
  </w:footnote>
  <w:footnote w:id="65">
    <w:p w:rsidR="006C6574" w:rsidRDefault="006C6574">
      <w:pPr>
        <w:pStyle w:val="FootnoteText"/>
      </w:pPr>
      <w:r>
        <w:rPr>
          <w:rStyle w:val="FootnoteReference"/>
        </w:rPr>
        <w:footnoteRef/>
      </w:r>
      <w:r>
        <w:t xml:space="preserve"> </w:t>
      </w:r>
      <w:r>
        <w:tab/>
      </w:r>
      <w:r w:rsidRPr="008D0257">
        <w:t>Directlink, Revised revenue proposal, January 2015, p. 3</w:t>
      </w:r>
      <w:r>
        <w:t>5</w:t>
      </w:r>
      <w:r w:rsidRPr="008D0257">
        <w:t>.</w:t>
      </w:r>
    </w:p>
  </w:footnote>
  <w:footnote w:id="66">
    <w:p w:rsidR="006C6574" w:rsidRDefault="006C6574" w:rsidP="00FD05B8">
      <w:pPr>
        <w:pStyle w:val="FootnoteText"/>
      </w:pPr>
      <w:r>
        <w:rPr>
          <w:rStyle w:val="FootnoteReference"/>
        </w:rPr>
        <w:footnoteRef/>
      </w:r>
      <w:r>
        <w:t xml:space="preserve"> </w:t>
      </w:r>
      <w:r>
        <w:tab/>
        <w:t>Directlink, Response to AER information request capex R2, received 16 February 2015: APA Document Execution Form (signed).pdf, p. 15.</w:t>
      </w:r>
    </w:p>
  </w:footnote>
  <w:footnote w:id="67">
    <w:p w:rsidR="006C6574" w:rsidRDefault="006C6574" w:rsidP="002A3FD1">
      <w:pPr>
        <w:pStyle w:val="FootnoteText"/>
      </w:pPr>
      <w:r>
        <w:rPr>
          <w:rStyle w:val="FootnoteReference"/>
        </w:rPr>
        <w:footnoteRef/>
      </w:r>
      <w:r>
        <w:t xml:space="preserve"> </w:t>
      </w:r>
      <w:r>
        <w:tab/>
        <w:t xml:space="preserve">Directlink, Response to AER information request - Directlink Opex R2, received 2 March 2015: Q4 EII - Interim Financial Statements CY14 (signed by Directors).pdf, p.1; </w:t>
      </w:r>
      <w:r w:rsidRPr="0097526F">
        <w:t>AER - Draft decision Directlink transmission determination - opex model draft decision - November 2014 - (CONFIDENTIAL)</w:t>
      </w:r>
      <w:r>
        <w:t>.xlsx.</w:t>
      </w:r>
    </w:p>
  </w:footnote>
  <w:footnote w:id="68">
    <w:p w:rsidR="006C6574" w:rsidRDefault="006C6574">
      <w:pPr>
        <w:pStyle w:val="FootnoteText"/>
      </w:pPr>
      <w:r>
        <w:rPr>
          <w:rStyle w:val="FootnoteReference"/>
        </w:rPr>
        <w:footnoteRef/>
      </w:r>
      <w:r>
        <w:t xml:space="preserve"> </w:t>
      </w:r>
      <w:r>
        <w:tab/>
        <w:t>As required under cl. 11.11(a) of the MOMSCA.</w:t>
      </w:r>
      <w:r w:rsidRPr="008C7606">
        <w:t xml:space="preserve"> </w:t>
      </w:r>
      <w:r w:rsidRPr="00FA0DF1">
        <w:t xml:space="preserve">We note that the Marsh estimate and </w:t>
      </w:r>
      <w:r>
        <w:t xml:space="preserve">the "quote", which forms the basis of the amount invoiced by APA Operations to EII for insurance, does </w:t>
      </w:r>
      <w:r w:rsidRPr="008C0DF0">
        <w:t xml:space="preserve">not </w:t>
      </w:r>
      <w:r>
        <w:t>reflect the outcome of a competitive market process.</w:t>
      </w:r>
    </w:p>
  </w:footnote>
  <w:footnote w:id="69">
    <w:p w:rsidR="006C6574" w:rsidRDefault="006C6574">
      <w:pPr>
        <w:pStyle w:val="FootnoteText"/>
      </w:pPr>
      <w:r>
        <w:rPr>
          <w:rStyle w:val="FootnoteReference"/>
        </w:rPr>
        <w:footnoteRef/>
      </w:r>
      <w:r>
        <w:t xml:space="preserve"> </w:t>
      </w:r>
      <w:r>
        <w:tab/>
        <w:t>AER, AER information request - Directlink Opex R2, Question 2, sent 25 February 2015.</w:t>
      </w:r>
    </w:p>
  </w:footnote>
  <w:footnote w:id="70">
    <w:p w:rsidR="006C6574" w:rsidRDefault="006C6574">
      <w:pPr>
        <w:pStyle w:val="FootnoteText"/>
      </w:pPr>
      <w:r>
        <w:rPr>
          <w:rStyle w:val="FootnoteReference"/>
        </w:rPr>
        <w:footnoteRef/>
      </w:r>
      <w:r>
        <w:t xml:space="preserve"> </w:t>
      </w:r>
      <w:r>
        <w:tab/>
        <w:t xml:space="preserve">AER, </w:t>
      </w:r>
      <w:r w:rsidRPr="009F3459">
        <w:t>AER information request - AER Directlink Opex R4</w:t>
      </w:r>
      <w:r>
        <w:t>, sent 18 March 2015; APA Group, Email from Mark Wright '</w:t>
      </w:r>
      <w:r w:rsidRPr="009F3459">
        <w:t>RE: AER information request - AER Directlink Opex R4</w:t>
      </w:r>
      <w:r>
        <w:t>', received 18 March 2015.</w:t>
      </w:r>
    </w:p>
  </w:footnote>
  <w:footnote w:id="71">
    <w:p w:rsidR="006C6574" w:rsidRDefault="006C6574">
      <w:pPr>
        <w:pStyle w:val="FootnoteText"/>
      </w:pPr>
      <w:r>
        <w:rPr>
          <w:rStyle w:val="FootnoteReference"/>
        </w:rPr>
        <w:footnoteRef/>
      </w:r>
      <w:r>
        <w:t xml:space="preserve"> </w:t>
      </w:r>
      <w:r>
        <w:tab/>
        <w:t xml:space="preserve">Directlink, Revenue proposal, May 2014, Attachment </w:t>
      </w:r>
      <w:r w:rsidRPr="00D142DF">
        <w:t>09 5 Marsh Insurance Report</w:t>
      </w:r>
      <w:r>
        <w:t>, p.9.</w:t>
      </w:r>
    </w:p>
  </w:footnote>
  <w:footnote w:id="72">
    <w:p w:rsidR="006C6574" w:rsidRDefault="006C6574" w:rsidP="00401DA5">
      <w:pPr>
        <w:pStyle w:val="FootnoteText"/>
      </w:pPr>
      <w:r>
        <w:rPr>
          <w:rStyle w:val="FootnoteReference"/>
        </w:rPr>
        <w:footnoteRef/>
      </w:r>
      <w:r>
        <w:t xml:space="preserve"> </w:t>
      </w:r>
      <w:r>
        <w:tab/>
        <w:t xml:space="preserve">Directlink, Response to </w:t>
      </w:r>
      <w:r w:rsidRPr="005C3AD2">
        <w:t>AER Information Request - Directlink opex 05 - Insurance, Commercial services fee, received 17</w:t>
      </w:r>
      <w:r>
        <w:t xml:space="preserve"> October 20</w:t>
      </w:r>
      <w:r w:rsidRPr="005C3AD2">
        <w:t>14</w:t>
      </w:r>
      <w:r>
        <w:t>;</w:t>
      </w:r>
      <w:r w:rsidRPr="00DD43F5">
        <w:t xml:space="preserve"> </w:t>
      </w:r>
      <w:r>
        <w:t xml:space="preserve">Directlink, Revenue proposal, May 2014, p. 73. We note that </w:t>
      </w:r>
      <w:r w:rsidRPr="009E4F36">
        <w:t>APA Ops (EII) stated that it "interprets MOMCSA clause 11.11(a) as requiring it to provide a standalone insurance quotation for each asset as part of the EII portfolio, rather than a standalone insurance quotation for each individual EII asset"</w:t>
      </w:r>
      <w:r>
        <w:t>.</w:t>
      </w:r>
      <w:r w:rsidRPr="009E4F36">
        <w:t xml:space="preserve"> </w:t>
      </w:r>
      <w:r>
        <w:t xml:space="preserve">Directlink, Response to </w:t>
      </w:r>
      <w:r w:rsidRPr="005C3AD2">
        <w:t>AER Information Request - Directlink opex 05 - Insurance, Commercial services fee, received 17</w:t>
      </w:r>
      <w:r>
        <w:t xml:space="preserve"> October 20</w:t>
      </w:r>
      <w:r w:rsidRPr="005C3AD2">
        <w:t>14</w:t>
      </w:r>
      <w:r>
        <w:t>, footnote 3.</w:t>
      </w:r>
    </w:p>
  </w:footnote>
  <w:footnote w:id="73">
    <w:p w:rsidR="006C6574" w:rsidRDefault="006C6574" w:rsidP="00401DA5">
      <w:pPr>
        <w:pStyle w:val="FootnoteText"/>
      </w:pPr>
      <w:r>
        <w:rPr>
          <w:rStyle w:val="FootnoteReference"/>
        </w:rPr>
        <w:footnoteRef/>
      </w:r>
      <w:r>
        <w:t xml:space="preserve"> </w:t>
      </w:r>
      <w:r>
        <w:tab/>
        <w:t xml:space="preserve">AER, </w:t>
      </w:r>
      <w:r w:rsidRPr="00401DA5">
        <w:t>Draft decision: Directlink transmission determination 2015-20</w:t>
      </w:r>
      <w:r>
        <w:t>, Attachment 7, pp. 25-26.</w:t>
      </w:r>
    </w:p>
  </w:footnote>
  <w:footnote w:id="74">
    <w:p w:rsidR="006C6574" w:rsidRDefault="006C6574" w:rsidP="009E4F36">
      <w:pPr>
        <w:pStyle w:val="FootnoteText"/>
      </w:pPr>
      <w:r>
        <w:rPr>
          <w:rStyle w:val="FootnoteReference"/>
        </w:rPr>
        <w:footnoteRef/>
      </w:r>
      <w:r>
        <w:t xml:space="preserve"> </w:t>
      </w:r>
      <w:r>
        <w:tab/>
        <w:t>Directlink, Response to AER information request Opex R2, Question 3, received 2 March 2015.</w:t>
      </w:r>
    </w:p>
  </w:footnote>
  <w:footnote w:id="75">
    <w:p w:rsidR="006C6574" w:rsidRDefault="006C6574" w:rsidP="00455800">
      <w:pPr>
        <w:pStyle w:val="FootnoteText"/>
      </w:pPr>
      <w:r>
        <w:rPr>
          <w:rStyle w:val="FootnoteReference"/>
        </w:rPr>
        <w:footnoteRef/>
      </w:r>
      <w:r>
        <w:t xml:space="preserve"> </w:t>
      </w:r>
      <w:r>
        <w:tab/>
        <w:t xml:space="preserve">Directlink, </w:t>
      </w:r>
      <w:r w:rsidRPr="00BE3C80">
        <w:t>Revised revenue proposal, January 2015</w:t>
      </w:r>
      <w:r>
        <w:t>, p. 36.</w:t>
      </w:r>
    </w:p>
  </w:footnote>
  <w:footnote w:id="76">
    <w:p w:rsidR="006C6574" w:rsidRDefault="006C6574" w:rsidP="00CA30F3">
      <w:pPr>
        <w:pStyle w:val="FootnoteText"/>
      </w:pPr>
      <w:r>
        <w:rPr>
          <w:rStyle w:val="FootnoteReference"/>
        </w:rPr>
        <w:footnoteRef/>
      </w:r>
      <w:r>
        <w:t xml:space="preserve"> </w:t>
      </w:r>
      <w:r>
        <w:tab/>
        <w:t xml:space="preserve">Directlink, Revenue proposal, May 2014: Att. 3.2 </w:t>
      </w:r>
      <w:r w:rsidRPr="00CA30F3">
        <w:t>Attachment 3.2</w:t>
      </w:r>
      <w:r>
        <w:t xml:space="preserve"> </w:t>
      </w:r>
      <w:r w:rsidRPr="00CA30F3">
        <w:t>Cost Allocation</w:t>
      </w:r>
      <w:r>
        <w:t xml:space="preserve"> </w:t>
      </w:r>
      <w:r w:rsidRPr="00CA30F3">
        <w:t>Methodology</w:t>
      </w:r>
      <w:r>
        <w:t xml:space="preserve">: </w:t>
      </w:r>
      <w:r w:rsidRPr="00CA30F3">
        <w:t>Directlink Interconnector</w:t>
      </w:r>
      <w:r>
        <w:t xml:space="preserve"> </w:t>
      </w:r>
      <w:r w:rsidRPr="00CA30F3">
        <w:t>Cost Allocation Methodology</w:t>
      </w:r>
      <w:r>
        <w:t xml:space="preserve"> </w:t>
      </w:r>
      <w:r w:rsidRPr="00CA30F3">
        <w:t>EII Submission to the Australian Energy Regulator</w:t>
      </w:r>
      <w:r>
        <w:t xml:space="preserve">, </w:t>
      </w:r>
      <w:r w:rsidRPr="00CA30F3">
        <w:t>April 2010</w:t>
      </w:r>
      <w:r>
        <w:t xml:space="preserve">, p. </w:t>
      </w:r>
    </w:p>
  </w:footnote>
  <w:footnote w:id="77">
    <w:p w:rsidR="006C6574" w:rsidRDefault="006C6574">
      <w:pPr>
        <w:pStyle w:val="FootnoteText"/>
      </w:pPr>
      <w:r>
        <w:rPr>
          <w:rStyle w:val="FootnoteReference"/>
        </w:rPr>
        <w:footnoteRef/>
      </w:r>
      <w:r>
        <w:t xml:space="preserve"> </w:t>
      </w:r>
      <w:r>
        <w:tab/>
        <w:t xml:space="preserve">AER, </w:t>
      </w:r>
      <w:r w:rsidRPr="00401DA5">
        <w:t>Draft decision: Directlink transmission determination 2015-20</w:t>
      </w:r>
      <w:r>
        <w:t>, Attachment 7, pp. 25-26.</w:t>
      </w:r>
    </w:p>
  </w:footnote>
  <w:footnote w:id="78">
    <w:p w:rsidR="006C6574" w:rsidRDefault="006C6574" w:rsidP="00393277">
      <w:pPr>
        <w:pStyle w:val="FootnoteText"/>
      </w:pPr>
      <w:r>
        <w:rPr>
          <w:rStyle w:val="FootnoteReference"/>
        </w:rPr>
        <w:footnoteRef/>
      </w:r>
      <w:r>
        <w:t xml:space="preserve"> </w:t>
      </w:r>
      <w:r>
        <w:tab/>
        <w:t xml:space="preserve">Directlink, </w:t>
      </w:r>
      <w:r w:rsidRPr="00BE3C80">
        <w:t>Revised revenue proposal, January 2015</w:t>
      </w:r>
      <w:r>
        <w:t>, p. 39.</w:t>
      </w:r>
    </w:p>
  </w:footnote>
  <w:footnote w:id="79">
    <w:p w:rsidR="006C6574" w:rsidRDefault="006C6574">
      <w:pPr>
        <w:pStyle w:val="FootnoteText"/>
      </w:pPr>
      <w:r>
        <w:rPr>
          <w:rStyle w:val="FootnoteReference"/>
        </w:rPr>
        <w:footnoteRef/>
      </w:r>
      <w:r>
        <w:t xml:space="preserve"> </w:t>
      </w:r>
      <w:r>
        <w:tab/>
        <w:t xml:space="preserve">Directlink, Response to AER information request Opex 01, received 29 August 2014: 20140829 Response to 140806 Information request.xlsx, tab 'Info request opex 01', Table 4a: Actual and forecast EII cost allocation - shared costs (no margin) and Table 4b: </w:t>
      </w:r>
      <w:r w:rsidRPr="00790225">
        <w:t>Actual total EII cost type and actual applied allocation basis</w:t>
      </w:r>
      <w:r>
        <w:t>.</w:t>
      </w:r>
    </w:p>
  </w:footnote>
  <w:footnote w:id="80">
    <w:p w:rsidR="006C6574" w:rsidRDefault="006C6574" w:rsidP="00103468">
      <w:pPr>
        <w:pStyle w:val="FootnoteText"/>
      </w:pPr>
      <w:r>
        <w:rPr>
          <w:rStyle w:val="FootnoteReference"/>
        </w:rPr>
        <w:footnoteRef/>
      </w:r>
      <w:r>
        <w:t xml:space="preserve"> </w:t>
      </w:r>
      <w:r>
        <w:tab/>
        <w:t xml:space="preserve">Directlink, </w:t>
      </w:r>
      <w:r w:rsidRPr="00BE3C80">
        <w:t>Revised revenue proposal, January 2015</w:t>
      </w:r>
      <w:r>
        <w:t>, p. 37.</w:t>
      </w:r>
    </w:p>
  </w:footnote>
  <w:footnote w:id="81">
    <w:p w:rsidR="006C6574" w:rsidRDefault="006C6574">
      <w:pPr>
        <w:pStyle w:val="FootnoteText"/>
      </w:pPr>
      <w:r>
        <w:rPr>
          <w:rStyle w:val="FootnoteReference"/>
        </w:rPr>
        <w:footnoteRef/>
      </w:r>
      <w:r>
        <w:t xml:space="preserve"> </w:t>
      </w:r>
      <w:r>
        <w:tab/>
        <w:t>Directlink, Response to AER information request capex R2, received 16 February 2015: APA Document Execution Form (signed).pdf, p. 15.</w:t>
      </w:r>
    </w:p>
  </w:footnote>
  <w:footnote w:id="82">
    <w:p w:rsidR="006C6574" w:rsidRDefault="006C6574">
      <w:pPr>
        <w:pStyle w:val="FootnoteText"/>
      </w:pPr>
      <w:r>
        <w:rPr>
          <w:rStyle w:val="FootnoteReference"/>
        </w:rPr>
        <w:footnoteRef/>
      </w:r>
      <w:r>
        <w:t xml:space="preserve"> </w:t>
      </w:r>
      <w:r>
        <w:tab/>
        <w:t>Directlink, Response to AER information request capex R2, received 16 February 2015: APA Document Execution Form (signed).pdf, p. 1.</w:t>
      </w:r>
    </w:p>
  </w:footnote>
  <w:footnote w:id="83">
    <w:p w:rsidR="006C6574" w:rsidRDefault="006C6574">
      <w:pPr>
        <w:pStyle w:val="FootnoteText"/>
      </w:pPr>
      <w:r>
        <w:rPr>
          <w:rStyle w:val="FootnoteReference"/>
        </w:rPr>
        <w:footnoteRef/>
      </w:r>
      <w:r>
        <w:t xml:space="preserve"> </w:t>
      </w:r>
      <w:r>
        <w:tab/>
        <w:t>Directlink, Response to AER Information Request Opex 02, received 20 August 2014, pp.14-22.</w:t>
      </w:r>
    </w:p>
  </w:footnote>
  <w:footnote w:id="84">
    <w:p w:rsidR="006C6574" w:rsidRDefault="006C6574" w:rsidP="00206AA0">
      <w:pPr>
        <w:pStyle w:val="FootnoteText"/>
      </w:pPr>
      <w:r>
        <w:rPr>
          <w:rStyle w:val="FootnoteReference"/>
        </w:rPr>
        <w:footnoteRef/>
      </w:r>
      <w:r>
        <w:t xml:space="preserve"> </w:t>
      </w:r>
      <w:r>
        <w:tab/>
        <w:t>Directlink, Response to AER Information Request Opex 02, received 20 August 2014, p. 5.</w:t>
      </w:r>
    </w:p>
  </w:footnote>
  <w:footnote w:id="85">
    <w:p w:rsidR="006C6574" w:rsidRDefault="006C6574" w:rsidP="00073328">
      <w:pPr>
        <w:pStyle w:val="FootnoteText"/>
      </w:pPr>
      <w:r>
        <w:rPr>
          <w:rStyle w:val="FootnoteReference"/>
        </w:rPr>
        <w:footnoteRef/>
      </w:r>
      <w:r>
        <w:t xml:space="preserve"> </w:t>
      </w:r>
      <w:r>
        <w:tab/>
        <w:t>Directlink, Revenue Proposal, May 2014: Attachment 3.2 Directlink Cost Allocation Methodology - May 2014.pdf, p. 10.</w:t>
      </w:r>
    </w:p>
  </w:footnote>
  <w:footnote w:id="86">
    <w:p w:rsidR="006C6574" w:rsidRDefault="006C6574" w:rsidP="00073328">
      <w:pPr>
        <w:pStyle w:val="FootnoteText"/>
      </w:pPr>
      <w:r>
        <w:rPr>
          <w:rStyle w:val="FootnoteReference"/>
        </w:rPr>
        <w:footnoteRef/>
      </w:r>
      <w:r>
        <w:t xml:space="preserve"> </w:t>
      </w:r>
      <w:r>
        <w:tab/>
        <w:t>Directlink, Revised Revenue Proposal, January 2015, fn. 29, p. 40.</w:t>
      </w:r>
    </w:p>
  </w:footnote>
  <w:footnote w:id="87">
    <w:p w:rsidR="006C6574" w:rsidRDefault="006C6574" w:rsidP="002870B5">
      <w:pPr>
        <w:pStyle w:val="FootnoteText"/>
      </w:pPr>
      <w:r>
        <w:rPr>
          <w:rStyle w:val="FootnoteReference"/>
        </w:rPr>
        <w:footnoteRef/>
      </w:r>
      <w:r>
        <w:t xml:space="preserve"> </w:t>
      </w:r>
      <w:r>
        <w:tab/>
        <w:t xml:space="preserve">Directlink, Response to </w:t>
      </w:r>
      <w:r w:rsidRPr="005C3AD2">
        <w:t>AER Information Request - Directlink opex 05 - Insurance, Commercial services fee, received 17</w:t>
      </w:r>
      <w:r>
        <w:t xml:space="preserve"> October 20</w:t>
      </w:r>
      <w:r w:rsidRPr="005C3AD2">
        <w:t>14</w:t>
      </w:r>
      <w:r>
        <w:t>, footnote 3.</w:t>
      </w:r>
    </w:p>
  </w:footnote>
  <w:footnote w:id="88">
    <w:p w:rsidR="006C6574" w:rsidRDefault="006C6574">
      <w:pPr>
        <w:pStyle w:val="FootnoteText"/>
      </w:pPr>
      <w:r>
        <w:rPr>
          <w:rStyle w:val="FootnoteReference"/>
        </w:rPr>
        <w:footnoteRef/>
      </w:r>
      <w:r>
        <w:t xml:space="preserve"> </w:t>
      </w:r>
      <w:r>
        <w:tab/>
        <w:t>Directlink, Revenue Proposal, May 2014: Attachment 3.2 Directlink Cost Allocation Methodology - May 2014.pdf, pp. 10-11.</w:t>
      </w:r>
    </w:p>
  </w:footnote>
  <w:footnote w:id="89">
    <w:p w:rsidR="006C6574" w:rsidRDefault="006C6574">
      <w:pPr>
        <w:pStyle w:val="FootnoteText"/>
      </w:pPr>
      <w:r>
        <w:rPr>
          <w:rStyle w:val="FootnoteReference"/>
        </w:rPr>
        <w:footnoteRef/>
      </w:r>
      <w:r>
        <w:t xml:space="preserve"> </w:t>
      </w:r>
      <w:r>
        <w:tab/>
        <w:t>Directlink, Revised Revenue Proposal, January 2015, p. 39.</w:t>
      </w:r>
    </w:p>
  </w:footnote>
  <w:footnote w:id="90">
    <w:p w:rsidR="006C6574" w:rsidRDefault="006C6574" w:rsidP="00073328">
      <w:pPr>
        <w:pStyle w:val="FootnoteText"/>
      </w:pPr>
      <w:r>
        <w:rPr>
          <w:rStyle w:val="FootnoteReference"/>
        </w:rPr>
        <w:footnoteRef/>
      </w:r>
      <w:r>
        <w:t xml:space="preserve"> </w:t>
      </w:r>
      <w:r>
        <w:tab/>
        <w:t>Directlink, Revenue Proposal, May 2014: Attachment 3.2 Directlink Cost Allocation Methodology - May 2014.pdf, pp. 10-11.</w:t>
      </w:r>
    </w:p>
  </w:footnote>
  <w:footnote w:id="91">
    <w:p w:rsidR="006C6574" w:rsidRDefault="006C6574" w:rsidP="00C73264">
      <w:pPr>
        <w:pStyle w:val="FootnoteText"/>
      </w:pPr>
      <w:r>
        <w:rPr>
          <w:rStyle w:val="FootnoteReference"/>
        </w:rPr>
        <w:footnoteRef/>
      </w:r>
      <w:r>
        <w:t xml:space="preserve"> </w:t>
      </w:r>
      <w:r>
        <w:tab/>
        <w:t>Directlink, Revenue Proposal, May 2014: Attachment 3.2 Directlink Cost Allocation Methodology - May 2014.pdf, p.9.</w:t>
      </w:r>
    </w:p>
  </w:footnote>
  <w:footnote w:id="92">
    <w:p w:rsidR="006C6574" w:rsidRDefault="006C6574" w:rsidP="00DA36F1">
      <w:pPr>
        <w:pStyle w:val="FootnoteText"/>
      </w:pPr>
      <w:r>
        <w:rPr>
          <w:rStyle w:val="FootnoteReference"/>
        </w:rPr>
        <w:footnoteRef/>
      </w:r>
      <w:r>
        <w:t xml:space="preserve"> </w:t>
      </w:r>
      <w:r>
        <w:tab/>
        <w:t xml:space="preserve">Directlink, Revenue Proposal, May 2014: Attachment 3.2 Directlink Cost Allocation Methodology - May 2014.pdf, p.8. </w:t>
      </w:r>
      <w:r w:rsidRPr="00044A79">
        <w:t>Insurance is required to be obtained under the MOMSCA</w:t>
      </w:r>
      <w:r>
        <w:t xml:space="preserve"> (cl.11.4.1)</w:t>
      </w:r>
      <w:r w:rsidRPr="00044A79">
        <w:t>.</w:t>
      </w:r>
    </w:p>
  </w:footnote>
  <w:footnote w:id="93">
    <w:p w:rsidR="006C6574" w:rsidRDefault="006C6574" w:rsidP="003D24FF">
      <w:pPr>
        <w:pStyle w:val="FootnoteText"/>
      </w:pPr>
      <w:r>
        <w:rPr>
          <w:rStyle w:val="FootnoteReference"/>
        </w:rPr>
        <w:footnoteRef/>
      </w:r>
      <w:r>
        <w:t xml:space="preserve"> </w:t>
      </w:r>
      <w:r>
        <w:tab/>
        <w:t>MOMSCA p.59.</w:t>
      </w:r>
    </w:p>
  </w:footnote>
  <w:footnote w:id="94">
    <w:p w:rsidR="006C6574" w:rsidRDefault="006C6574" w:rsidP="007B7FFE">
      <w:pPr>
        <w:pStyle w:val="FootnoteText"/>
      </w:pPr>
      <w:r>
        <w:rPr>
          <w:rStyle w:val="FootnoteReference"/>
        </w:rPr>
        <w:footnoteRef/>
      </w:r>
      <w:r>
        <w:t xml:space="preserve"> </w:t>
      </w:r>
      <w:r>
        <w:tab/>
        <w:t>Directlink, Revenue Proposal, May 2014: Attachment 3.2 Directlink Cost Allocation Methodology - May 2014.pdf, p.8.</w:t>
      </w:r>
    </w:p>
  </w:footnote>
  <w:footnote w:id="95">
    <w:p w:rsidR="006C6574" w:rsidRDefault="006C6574" w:rsidP="009B571C">
      <w:pPr>
        <w:pStyle w:val="FootnoteText"/>
      </w:pPr>
      <w:r>
        <w:rPr>
          <w:rStyle w:val="FootnoteReference"/>
        </w:rPr>
        <w:footnoteRef/>
      </w:r>
      <w:r>
        <w:t xml:space="preserve"> </w:t>
      </w:r>
      <w:r>
        <w:tab/>
        <w:t>Directlink, Revenue Proposal, May 2014: Attachment 3.2 Directlink Cost Allocation Methodology - May 2014.pdf, p.11.</w:t>
      </w:r>
    </w:p>
  </w:footnote>
  <w:footnote w:id="96">
    <w:p w:rsidR="006C6574" w:rsidRDefault="006C6574">
      <w:pPr>
        <w:pStyle w:val="FootnoteText"/>
      </w:pPr>
      <w:r>
        <w:rPr>
          <w:rStyle w:val="FootnoteReference"/>
        </w:rPr>
        <w:footnoteRef/>
      </w:r>
      <w:r>
        <w:t xml:space="preserve"> </w:t>
      </w:r>
      <w:r>
        <w:tab/>
        <w:t xml:space="preserve">AER, </w:t>
      </w:r>
      <w:r w:rsidRPr="00401DA5">
        <w:t>Draft decision: Directlink transmission determination 2015-20</w:t>
      </w:r>
      <w:r>
        <w:t>, Attachment 7, pp. 23-24.</w:t>
      </w:r>
    </w:p>
  </w:footnote>
  <w:footnote w:id="97">
    <w:p w:rsidR="006C6574" w:rsidRDefault="006C6574" w:rsidP="00A616FD">
      <w:pPr>
        <w:pStyle w:val="FootnoteText"/>
      </w:pPr>
      <w:r>
        <w:rPr>
          <w:rStyle w:val="FootnoteReference"/>
        </w:rPr>
        <w:footnoteRef/>
      </w:r>
      <w:r>
        <w:t xml:space="preserve"> </w:t>
      </w:r>
      <w:r>
        <w:tab/>
        <w:t>Directlink, Revenue Proposal, May 2014, Attachment 9.4 Outsourcing arrangements and margins, p.3</w:t>
      </w:r>
    </w:p>
  </w:footnote>
  <w:footnote w:id="98">
    <w:p w:rsidR="006C6574" w:rsidRDefault="006C6574" w:rsidP="00A616FD">
      <w:pPr>
        <w:pStyle w:val="FootnoteText"/>
      </w:pPr>
      <w:r>
        <w:rPr>
          <w:rStyle w:val="FootnoteReference"/>
        </w:rPr>
        <w:footnoteRef/>
      </w:r>
      <w:r>
        <w:t xml:space="preserve"> </w:t>
      </w:r>
      <w:r>
        <w:tab/>
        <w:t>Directlink, Revenue Proposal, May 2014, Attachment 9.4 Outsourcing arrangements and margins, p.3</w:t>
      </w:r>
    </w:p>
  </w:footnote>
  <w:footnote w:id="99">
    <w:p w:rsidR="006C6574" w:rsidRDefault="006C6574" w:rsidP="00862155">
      <w:pPr>
        <w:pStyle w:val="FootnoteText"/>
      </w:pPr>
      <w:r>
        <w:rPr>
          <w:rStyle w:val="FootnoteReference"/>
        </w:rPr>
        <w:footnoteRef/>
      </w:r>
      <w:r>
        <w:t xml:space="preserve"> </w:t>
      </w:r>
      <w:r>
        <w:tab/>
        <w:t>AER, AER information request - Directlink Opex R2, Question 2, sent 25 February 2015.</w:t>
      </w:r>
    </w:p>
  </w:footnote>
  <w:footnote w:id="100">
    <w:p w:rsidR="006C6574" w:rsidRDefault="006C6574" w:rsidP="00862155">
      <w:pPr>
        <w:pStyle w:val="FootnoteText"/>
      </w:pPr>
      <w:r>
        <w:rPr>
          <w:rStyle w:val="FootnoteReference"/>
        </w:rPr>
        <w:footnoteRef/>
      </w:r>
      <w:r>
        <w:t xml:space="preserve"> </w:t>
      </w:r>
      <w:r>
        <w:tab/>
        <w:t xml:space="preserve">AER, </w:t>
      </w:r>
      <w:r w:rsidRPr="00BF3A57">
        <w:t>Draft decision</w:t>
      </w:r>
      <w:r>
        <w:t xml:space="preserve">, </w:t>
      </w:r>
      <w:r w:rsidRPr="00BF3A57">
        <w:t>Directlink transmission determination</w:t>
      </w:r>
      <w:r>
        <w:t xml:space="preserve"> </w:t>
      </w:r>
      <w:r w:rsidRPr="00BF3A57">
        <w:t>2015-16 to 2019-20</w:t>
      </w:r>
      <w:r>
        <w:t xml:space="preserve">, </w:t>
      </w:r>
      <w:r w:rsidRPr="00BF3A57">
        <w:t>Attachment 7: Operating expenditure</w:t>
      </w:r>
      <w:r>
        <w:t xml:space="preserve">, </w:t>
      </w:r>
      <w:r w:rsidRPr="00BF3A57">
        <w:t>November 2014</w:t>
      </w:r>
      <w:r>
        <w:t>, p. 23.</w:t>
      </w:r>
    </w:p>
  </w:footnote>
  <w:footnote w:id="101">
    <w:p w:rsidR="006C6574" w:rsidRDefault="006C6574" w:rsidP="00862155">
      <w:pPr>
        <w:pStyle w:val="FootnoteText"/>
      </w:pPr>
      <w:r>
        <w:rPr>
          <w:rStyle w:val="FootnoteReference"/>
        </w:rPr>
        <w:footnoteRef/>
      </w:r>
      <w:r>
        <w:t xml:space="preserve"> </w:t>
      </w:r>
      <w:r>
        <w:tab/>
      </w:r>
      <w:r w:rsidRPr="009E1A06">
        <w:t>Directlink Response to information request OPEX 05, received 17 October 2014, p. 5.</w:t>
      </w:r>
    </w:p>
  </w:footnote>
  <w:footnote w:id="102">
    <w:p w:rsidR="006C6574" w:rsidRDefault="006C6574" w:rsidP="00862155">
      <w:pPr>
        <w:pStyle w:val="FootnoteText"/>
      </w:pPr>
      <w:r>
        <w:rPr>
          <w:rStyle w:val="FootnoteReference"/>
        </w:rPr>
        <w:footnoteRef/>
      </w:r>
      <w:r>
        <w:t xml:space="preserve"> </w:t>
      </w:r>
      <w:r>
        <w:tab/>
      </w:r>
      <w:r w:rsidRPr="009E1A06">
        <w:t>Directlink Response to information request OPEX 05, received 17 October 2014, p. 5.</w:t>
      </w:r>
    </w:p>
  </w:footnote>
  <w:footnote w:id="103">
    <w:p w:rsidR="006C6574" w:rsidRDefault="006C6574" w:rsidP="00862155">
      <w:pPr>
        <w:pStyle w:val="FootnoteText"/>
      </w:pPr>
      <w:r>
        <w:rPr>
          <w:rStyle w:val="FootnoteReference"/>
        </w:rPr>
        <w:footnoteRef/>
      </w:r>
      <w:r>
        <w:t xml:space="preserve"> </w:t>
      </w:r>
      <w:r>
        <w:tab/>
        <w:t>MOMCSA, cl.11.5(a), p.31.</w:t>
      </w:r>
    </w:p>
  </w:footnote>
  <w:footnote w:id="104">
    <w:p w:rsidR="006C6574" w:rsidRDefault="006C6574" w:rsidP="00862155">
      <w:pPr>
        <w:pStyle w:val="FootnoteText"/>
      </w:pPr>
      <w:r>
        <w:rPr>
          <w:rStyle w:val="FootnoteReference"/>
        </w:rPr>
        <w:footnoteRef/>
      </w:r>
      <w:r>
        <w:t xml:space="preserve"> </w:t>
      </w:r>
      <w:r>
        <w:tab/>
        <w:t>MOMCSA, cl.11.5(b), p.32.</w:t>
      </w:r>
    </w:p>
  </w:footnote>
  <w:footnote w:id="105">
    <w:p w:rsidR="006C6574" w:rsidRDefault="006C6574">
      <w:pPr>
        <w:pStyle w:val="FootnoteText"/>
      </w:pPr>
      <w:r>
        <w:rPr>
          <w:rStyle w:val="FootnoteReference"/>
        </w:rPr>
        <w:footnoteRef/>
      </w:r>
      <w:r>
        <w:t xml:space="preserve"> </w:t>
      </w:r>
      <w:r>
        <w:tab/>
        <w:t>Directlink, Revised Revenue Proposal, January 2015, p. 41.</w:t>
      </w:r>
    </w:p>
  </w:footnote>
  <w:footnote w:id="106">
    <w:p w:rsidR="006C6574" w:rsidRDefault="006C6574">
      <w:pPr>
        <w:pStyle w:val="FootnoteText"/>
      </w:pPr>
      <w:r>
        <w:rPr>
          <w:rStyle w:val="FootnoteReference"/>
        </w:rPr>
        <w:footnoteRef/>
      </w:r>
      <w:r>
        <w:t xml:space="preserve"> </w:t>
      </w:r>
      <w:r>
        <w:tab/>
        <w:t xml:space="preserve">AER, Draft decision: </w:t>
      </w:r>
      <w:r w:rsidRPr="00E6476C">
        <w:t>Directlink transmission determination 2015-20</w:t>
      </w:r>
      <w:r>
        <w:t>, November 2014: Attachment 7, p.29.</w:t>
      </w:r>
    </w:p>
  </w:footnote>
  <w:footnote w:id="107">
    <w:p w:rsidR="006C6574" w:rsidRDefault="006C6574">
      <w:pPr>
        <w:pStyle w:val="FootnoteText"/>
      </w:pPr>
      <w:r>
        <w:rPr>
          <w:rStyle w:val="FootnoteReference"/>
        </w:rPr>
        <w:footnoteRef/>
      </w:r>
      <w:r>
        <w:t xml:space="preserve"> </w:t>
      </w:r>
      <w:r>
        <w:tab/>
        <w:t xml:space="preserve">Directlink, </w:t>
      </w:r>
      <w:r w:rsidRPr="00BE3C80">
        <w:t>Revised revenue proposal, January 2015</w:t>
      </w:r>
      <w:r>
        <w:t>, Att. 5.6 Directlink Insurance Premium Allocation - Confidential.xls</w:t>
      </w:r>
    </w:p>
  </w:footnote>
  <w:footnote w:id="108">
    <w:p w:rsidR="006C6574" w:rsidRDefault="006C6574" w:rsidP="0046026D">
      <w:pPr>
        <w:pStyle w:val="FootnoteText"/>
      </w:pPr>
      <w:r>
        <w:rPr>
          <w:rStyle w:val="FootnoteReference"/>
        </w:rPr>
        <w:footnoteRef/>
      </w:r>
      <w:r>
        <w:t xml:space="preserve"> </w:t>
      </w:r>
      <w:r>
        <w:tab/>
      </w:r>
      <w:r w:rsidRPr="00BE3C80">
        <w:t>Directlink, Revised revenue proposal</w:t>
      </w:r>
      <w:r>
        <w:t>, January 2015, p. 41.</w:t>
      </w:r>
    </w:p>
  </w:footnote>
  <w:footnote w:id="109">
    <w:p w:rsidR="006C6574" w:rsidRDefault="006C6574" w:rsidP="00EC4117">
      <w:pPr>
        <w:pStyle w:val="FootnoteText"/>
      </w:pPr>
      <w:r>
        <w:rPr>
          <w:rStyle w:val="FootnoteReference"/>
        </w:rPr>
        <w:footnoteRef/>
      </w:r>
      <w:r>
        <w:t xml:space="preserve"> </w:t>
      </w:r>
      <w:r>
        <w:tab/>
        <w:t xml:space="preserve">Directlink, Revenue proposal, May 2014, </w:t>
      </w:r>
      <w:r w:rsidRPr="00FF5D74">
        <w:t>Directlink - Regulatory Information Notice Templates - May 2014.xlsx</w:t>
      </w:r>
      <w:r>
        <w:t>, tab '2.1 Opex'.</w:t>
      </w:r>
      <w:r w:rsidRPr="009D483D">
        <w:t xml:space="preserve"> </w:t>
      </w:r>
      <w:r>
        <w:t>AER analysis to remove the APA 10 per cent margin</w:t>
      </w:r>
      <w:r w:rsidRPr="00F41898">
        <w:t>.</w:t>
      </w:r>
    </w:p>
  </w:footnote>
  <w:footnote w:id="110">
    <w:p w:rsidR="006C6574" w:rsidRDefault="006C6574">
      <w:pPr>
        <w:pStyle w:val="FootnoteText"/>
      </w:pPr>
      <w:r>
        <w:rPr>
          <w:rStyle w:val="FootnoteReference"/>
        </w:rPr>
        <w:footnoteRef/>
      </w:r>
      <w:r>
        <w:t xml:space="preserve"> </w:t>
      </w:r>
      <w:r>
        <w:tab/>
      </w:r>
      <w:r w:rsidRPr="00A44654">
        <w:t xml:space="preserve">Directlink, </w:t>
      </w:r>
      <w:r>
        <w:t>Revised revenue proposal, January 2015, p. 44.</w:t>
      </w:r>
    </w:p>
  </w:footnote>
  <w:footnote w:id="111">
    <w:p w:rsidR="006C6574" w:rsidRDefault="006C6574">
      <w:pPr>
        <w:pStyle w:val="FootnoteText"/>
      </w:pPr>
      <w:r>
        <w:rPr>
          <w:rStyle w:val="FootnoteReference"/>
        </w:rPr>
        <w:footnoteRef/>
      </w:r>
      <w:r>
        <w:t xml:space="preserve"> </w:t>
      </w:r>
      <w:r>
        <w:tab/>
      </w:r>
      <w:r w:rsidRPr="00A44654">
        <w:t xml:space="preserve">Directlink, </w:t>
      </w:r>
      <w:r>
        <w:t>Revised revenue proposal, January 2015, p. 44.</w:t>
      </w:r>
    </w:p>
  </w:footnote>
  <w:footnote w:id="112">
    <w:p w:rsidR="006C6574" w:rsidRDefault="006C6574">
      <w:pPr>
        <w:pStyle w:val="FootnoteText"/>
      </w:pPr>
      <w:r>
        <w:rPr>
          <w:rStyle w:val="FootnoteReference"/>
        </w:rPr>
        <w:footnoteRef/>
      </w:r>
      <w:r>
        <w:t xml:space="preserve"> </w:t>
      </w:r>
      <w:r>
        <w:tab/>
      </w:r>
      <w:r w:rsidRPr="00A44654">
        <w:t xml:space="preserve">Directlink, </w:t>
      </w:r>
      <w:r>
        <w:t>Revised revenue proposal confidential, January 2015, pp. 44-45.</w:t>
      </w:r>
    </w:p>
  </w:footnote>
  <w:footnote w:id="113">
    <w:p w:rsidR="006C6574" w:rsidRDefault="006C6574">
      <w:pPr>
        <w:pStyle w:val="FootnoteText"/>
      </w:pPr>
      <w:r>
        <w:rPr>
          <w:rStyle w:val="FootnoteReference"/>
        </w:rPr>
        <w:footnoteRef/>
      </w:r>
      <w:r>
        <w:t xml:space="preserve"> </w:t>
      </w:r>
      <w:r>
        <w:tab/>
      </w:r>
      <w:r w:rsidRPr="00A44654">
        <w:t xml:space="preserve">Directlink, </w:t>
      </w:r>
      <w:r>
        <w:t>Revised revenue proposal, January 2015, p.45.</w:t>
      </w:r>
    </w:p>
  </w:footnote>
  <w:footnote w:id="114">
    <w:p w:rsidR="006C6574" w:rsidRDefault="006C6574">
      <w:pPr>
        <w:pStyle w:val="FootnoteText"/>
      </w:pPr>
      <w:r>
        <w:rPr>
          <w:rStyle w:val="FootnoteReference"/>
        </w:rPr>
        <w:footnoteRef/>
      </w:r>
      <w:r>
        <w:t xml:space="preserve"> </w:t>
      </w:r>
      <w:r>
        <w:tab/>
        <w:t>For transparency reasons, we have presented the commercial services fee without the APA 10 per cent margin.</w:t>
      </w:r>
    </w:p>
  </w:footnote>
  <w:footnote w:id="115">
    <w:p w:rsidR="006C6574" w:rsidRDefault="006C6574">
      <w:pPr>
        <w:pStyle w:val="FootnoteText"/>
      </w:pPr>
      <w:r>
        <w:rPr>
          <w:rStyle w:val="FootnoteReference"/>
        </w:rPr>
        <w:footnoteRef/>
      </w:r>
      <w:r>
        <w:t xml:space="preserve"> </w:t>
      </w:r>
      <w:r>
        <w:tab/>
        <w:t>NER cl.6A.6.6(c)(1).</w:t>
      </w:r>
    </w:p>
  </w:footnote>
  <w:footnote w:id="116">
    <w:p w:rsidR="006C6574" w:rsidRDefault="006C6574">
      <w:pPr>
        <w:pStyle w:val="FootnoteText"/>
      </w:pPr>
      <w:r>
        <w:rPr>
          <w:rStyle w:val="FootnoteReference"/>
        </w:rPr>
        <w:footnoteRef/>
      </w:r>
      <w:r>
        <w:t xml:space="preserve"> </w:t>
      </w:r>
      <w:r>
        <w:tab/>
        <w:t>In its initial proposal Directlink proposed using CPI to index the unregulated business total revenue. In its revised proposal Directlink is not inflating the unregulated business total revenue to equivalent real terms as the regulated businesses.</w:t>
      </w:r>
    </w:p>
  </w:footnote>
  <w:footnote w:id="117">
    <w:p w:rsidR="006C6574" w:rsidRDefault="006C6574">
      <w:pPr>
        <w:pStyle w:val="FootnoteText"/>
      </w:pPr>
      <w:r>
        <w:rPr>
          <w:rStyle w:val="FootnoteReference"/>
        </w:rPr>
        <w:footnoteRef/>
      </w:r>
      <w:r>
        <w:t xml:space="preserve"> </w:t>
      </w:r>
      <w:r>
        <w:tab/>
        <w:t xml:space="preserve">AER, </w:t>
      </w:r>
      <w:r w:rsidRPr="007500A7">
        <w:t>Draft decision: Directlink transmission determination 2015-20</w:t>
      </w:r>
      <w:r>
        <w:t>, November 2014,</w:t>
      </w:r>
      <w:r w:rsidRPr="007500A7">
        <w:t xml:space="preserve"> Attachment 7</w:t>
      </w:r>
      <w:r>
        <w:t>, p.32.</w:t>
      </w:r>
    </w:p>
  </w:footnote>
  <w:footnote w:id="118">
    <w:p w:rsidR="006C6574" w:rsidRDefault="006C6574" w:rsidP="003B3B52">
      <w:pPr>
        <w:pStyle w:val="FootnoteText"/>
      </w:pPr>
      <w:r>
        <w:rPr>
          <w:rStyle w:val="FootnoteReference"/>
        </w:rPr>
        <w:footnoteRef/>
      </w:r>
      <w:r>
        <w:t xml:space="preserve"> </w:t>
      </w:r>
      <w:r>
        <w:tab/>
        <w:t>For example, see APA Group, Energy Investments, &lt;</w:t>
      </w:r>
      <w:r w:rsidRPr="003E3CB5">
        <w:t>http://www.apa.com.au/our-business/energy-investments.aspx</w:t>
      </w:r>
      <w:r>
        <w:t>&gt; accessed 12 February 2015.</w:t>
      </w:r>
    </w:p>
  </w:footnote>
  <w:footnote w:id="119">
    <w:p w:rsidR="006C6574" w:rsidRDefault="006C6574">
      <w:pPr>
        <w:pStyle w:val="FootnoteText"/>
      </w:pPr>
      <w:r>
        <w:rPr>
          <w:rStyle w:val="FootnoteReference"/>
        </w:rPr>
        <w:footnoteRef/>
      </w:r>
      <w:r>
        <w:t xml:space="preserve"> </w:t>
      </w:r>
      <w:r>
        <w:tab/>
        <w:t>Directlink, Response to AER information request Opex 01, received 29 August 2014, p.3.</w:t>
      </w:r>
    </w:p>
  </w:footnote>
  <w:footnote w:id="120">
    <w:p w:rsidR="006C6574" w:rsidRDefault="006C6574" w:rsidP="00212B78">
      <w:pPr>
        <w:pStyle w:val="FootnoteText"/>
      </w:pPr>
      <w:r>
        <w:rPr>
          <w:rStyle w:val="FootnoteReference"/>
        </w:rPr>
        <w:footnoteRef/>
      </w:r>
      <w:r>
        <w:t xml:space="preserve"> </w:t>
      </w:r>
      <w:r>
        <w:tab/>
        <w:t>Directlink, Response to information request OPEX 01, question 2(d), received 29 August 2014, p.2.</w:t>
      </w:r>
    </w:p>
  </w:footnote>
  <w:footnote w:id="121">
    <w:p w:rsidR="006C6574" w:rsidRDefault="006C6574">
      <w:pPr>
        <w:pStyle w:val="FootnoteText"/>
      </w:pPr>
      <w:r>
        <w:rPr>
          <w:rStyle w:val="FootnoteReference"/>
        </w:rPr>
        <w:footnoteRef/>
      </w:r>
      <w:r>
        <w:t xml:space="preserve"> </w:t>
      </w:r>
      <w:r>
        <w:tab/>
        <w:t>Directlink, Response to AER information request Opex 03, received 18 September 2014, p. 8.</w:t>
      </w:r>
    </w:p>
  </w:footnote>
  <w:footnote w:id="122">
    <w:p w:rsidR="006C6574" w:rsidRDefault="006C6574">
      <w:pPr>
        <w:pStyle w:val="FootnoteText"/>
      </w:pPr>
      <w:r>
        <w:rPr>
          <w:rStyle w:val="FootnoteReference"/>
        </w:rPr>
        <w:footnoteRef/>
      </w:r>
      <w:r>
        <w:t xml:space="preserve"> </w:t>
      </w:r>
      <w:r>
        <w:tab/>
        <w:t>Directlink, Response to AER information request Opex 05, received 17 October 2014, p. 6.</w:t>
      </w:r>
    </w:p>
  </w:footnote>
  <w:footnote w:id="123">
    <w:p w:rsidR="006C6574" w:rsidRDefault="006C6574">
      <w:pPr>
        <w:pStyle w:val="FootnoteText"/>
      </w:pPr>
      <w:r>
        <w:rPr>
          <w:rStyle w:val="FootnoteReference"/>
        </w:rPr>
        <w:footnoteRef/>
      </w:r>
      <w:r>
        <w:t xml:space="preserve"> </w:t>
      </w:r>
      <w:r>
        <w:tab/>
        <w:t>Directlink, Revised revenue proposal, January 2014: Att.81 Directlink 2015 - Revised proposal PTRM - Jan 2015.</w:t>
      </w:r>
    </w:p>
  </w:footnote>
  <w:footnote w:id="124">
    <w:p w:rsidR="006C6574" w:rsidRDefault="006C6574">
      <w:pPr>
        <w:pStyle w:val="FootnoteText"/>
      </w:pPr>
      <w:r>
        <w:rPr>
          <w:rStyle w:val="FootnoteReference"/>
        </w:rPr>
        <w:footnoteRef/>
      </w:r>
      <w:r>
        <w:t xml:space="preserve"> </w:t>
      </w:r>
      <w:r>
        <w:tab/>
        <w:t>Directlink, Response to AER information request - Opex 02 - Accounting and auditing fees; tax on property and capital, received 20 August 2014.</w:t>
      </w:r>
    </w:p>
  </w:footnote>
  <w:footnote w:id="125">
    <w:p w:rsidR="006C6574" w:rsidRDefault="006C6574">
      <w:pPr>
        <w:pStyle w:val="FootnoteText"/>
      </w:pPr>
      <w:r>
        <w:rPr>
          <w:rStyle w:val="FootnoteReference"/>
        </w:rPr>
        <w:footnoteRef/>
      </w:r>
      <w:r>
        <w:t xml:space="preserve"> </w:t>
      </w:r>
      <w:r>
        <w:tab/>
        <w:t xml:space="preserve">Directlink, Regulatory accounts for transitional 6 month period ended 31 December 2013, 2012 and 2011. </w:t>
      </w:r>
    </w:p>
  </w:footnote>
  <w:footnote w:id="126">
    <w:p w:rsidR="006C6574" w:rsidRDefault="006C6574" w:rsidP="00E77388">
      <w:pPr>
        <w:pStyle w:val="FootnoteText"/>
      </w:pPr>
      <w:r>
        <w:rPr>
          <w:rStyle w:val="FootnoteReference"/>
        </w:rPr>
        <w:footnoteRef/>
      </w:r>
      <w:r>
        <w:t xml:space="preserve"> </w:t>
      </w:r>
      <w:r>
        <w:tab/>
        <w:t xml:space="preserve">Directlink, Regulatory accounts for transitional 6 month period ended 31 December 2013, 2012 and 2011. </w:t>
      </w:r>
    </w:p>
  </w:footnote>
  <w:footnote w:id="127">
    <w:p w:rsidR="006C6574" w:rsidRDefault="006C6574">
      <w:pPr>
        <w:pStyle w:val="FootnoteText"/>
      </w:pPr>
      <w:r>
        <w:rPr>
          <w:rStyle w:val="FootnoteReference"/>
        </w:rPr>
        <w:footnoteRef/>
      </w:r>
      <w:r>
        <w:t xml:space="preserve"> </w:t>
      </w:r>
      <w:r>
        <w:tab/>
        <w:t xml:space="preserve">AER, </w:t>
      </w:r>
      <w:r w:rsidRPr="00BF3A57">
        <w:t>Draft decision</w:t>
      </w:r>
      <w:r>
        <w:t xml:space="preserve">, </w:t>
      </w:r>
      <w:r w:rsidRPr="00BF3A57">
        <w:t>Directlink transmission determination</w:t>
      </w:r>
      <w:r>
        <w:t xml:space="preserve"> </w:t>
      </w:r>
      <w:r w:rsidRPr="00BF3A57">
        <w:t>2015-16 to 2019-20</w:t>
      </w:r>
      <w:r>
        <w:t xml:space="preserve">, </w:t>
      </w:r>
      <w:r w:rsidRPr="00BF3A57">
        <w:t>Attachment 7: Operating expenditure</w:t>
      </w:r>
      <w:r>
        <w:t xml:space="preserve">, </w:t>
      </w:r>
      <w:r w:rsidRPr="00BF3A57">
        <w:t>November 2014</w:t>
      </w:r>
      <w:r>
        <w:t>, p.34.</w:t>
      </w:r>
    </w:p>
  </w:footnote>
  <w:footnote w:id="128">
    <w:p w:rsidR="006C6574" w:rsidRDefault="006C6574" w:rsidP="00B246E2">
      <w:pPr>
        <w:pStyle w:val="FootnoteText"/>
      </w:pPr>
      <w:r>
        <w:rPr>
          <w:rStyle w:val="FootnoteReference"/>
        </w:rPr>
        <w:footnoteRef/>
      </w:r>
      <w:r>
        <w:t xml:space="preserve"> </w:t>
      </w:r>
      <w:r>
        <w:tab/>
        <w:t xml:space="preserve">AER, </w:t>
      </w:r>
      <w:r w:rsidRPr="00BF3A57">
        <w:t>Draft decision</w:t>
      </w:r>
      <w:r>
        <w:t xml:space="preserve">, </w:t>
      </w:r>
      <w:r w:rsidRPr="00BF3A57">
        <w:t>Directlink transmission determination</w:t>
      </w:r>
      <w:r>
        <w:t xml:space="preserve"> </w:t>
      </w:r>
      <w:r w:rsidRPr="00BF3A57">
        <w:t>2015-16 to 2019-20</w:t>
      </w:r>
      <w:r>
        <w:t xml:space="preserve">, </w:t>
      </w:r>
      <w:r w:rsidRPr="00BF3A57">
        <w:t>Attachment 7: Operating expenditure</w:t>
      </w:r>
      <w:r>
        <w:t xml:space="preserve">, </w:t>
      </w:r>
      <w:r w:rsidRPr="00BF3A57">
        <w:t>November 2014</w:t>
      </w:r>
      <w:r>
        <w:t>, p.34.</w:t>
      </w:r>
    </w:p>
  </w:footnote>
  <w:footnote w:id="129">
    <w:p w:rsidR="006C6574" w:rsidRDefault="006C6574" w:rsidP="004F0BF8">
      <w:pPr>
        <w:pStyle w:val="FootnoteText"/>
      </w:pPr>
      <w:r>
        <w:rPr>
          <w:rStyle w:val="FootnoteReference"/>
        </w:rPr>
        <w:footnoteRef/>
      </w:r>
      <w:r>
        <w:t xml:space="preserve"> </w:t>
      </w:r>
      <w:r>
        <w:tab/>
        <w:t xml:space="preserve">AER, </w:t>
      </w:r>
      <w:r w:rsidRPr="00BF3A57">
        <w:t>Draft decision</w:t>
      </w:r>
      <w:r>
        <w:t xml:space="preserve">, </w:t>
      </w:r>
      <w:r w:rsidRPr="00BF3A57">
        <w:t>Directlink transmission determination</w:t>
      </w:r>
      <w:r>
        <w:t xml:space="preserve"> </w:t>
      </w:r>
      <w:r w:rsidRPr="00BF3A57">
        <w:t>2015-16 to 2019-20</w:t>
      </w:r>
      <w:r>
        <w:t xml:space="preserve">, </w:t>
      </w:r>
      <w:r w:rsidRPr="00BF3A57">
        <w:t>Attachment 7: Operating expenditure</w:t>
      </w:r>
      <w:r>
        <w:t xml:space="preserve">, </w:t>
      </w:r>
      <w:r w:rsidRPr="00BF3A57">
        <w:t>November 2014</w:t>
      </w:r>
      <w:r>
        <w:t>, p.34.</w:t>
      </w:r>
    </w:p>
  </w:footnote>
  <w:footnote w:id="130">
    <w:p w:rsidR="006C6574" w:rsidRDefault="006C6574">
      <w:pPr>
        <w:pStyle w:val="FootnoteText"/>
      </w:pPr>
      <w:r>
        <w:rPr>
          <w:rStyle w:val="FootnoteReference"/>
        </w:rPr>
        <w:footnoteRef/>
      </w:r>
      <w:r>
        <w:t xml:space="preserve"> </w:t>
      </w:r>
      <w:r>
        <w:tab/>
      </w:r>
      <w:r w:rsidRPr="00A44654">
        <w:t xml:space="preserve">Directlink, </w:t>
      </w:r>
      <w:r>
        <w:t>Revenue proposal, May 2014: Attachment</w:t>
      </w:r>
      <w:r w:rsidRPr="004B2286">
        <w:t xml:space="preserve"> 09 3 Phacelift O&amp;M Model (final)</w:t>
      </w:r>
      <w:r>
        <w:t>.xlsx, tab 'Modelling Assumptions'.</w:t>
      </w:r>
    </w:p>
  </w:footnote>
  <w:footnote w:id="131">
    <w:p w:rsidR="006C6574" w:rsidRDefault="006C6574">
      <w:pPr>
        <w:pStyle w:val="FootnoteText"/>
      </w:pPr>
      <w:r>
        <w:rPr>
          <w:rStyle w:val="FootnoteReference"/>
        </w:rPr>
        <w:footnoteRef/>
      </w:r>
      <w:r>
        <w:t xml:space="preserve"> </w:t>
      </w:r>
      <w:r>
        <w:tab/>
        <w:t>Directlink, Revised revenue proposal, January 2014, p.32.</w:t>
      </w:r>
    </w:p>
  </w:footnote>
  <w:footnote w:id="132">
    <w:p w:rsidR="006C6574" w:rsidRDefault="006C6574">
      <w:pPr>
        <w:pStyle w:val="FootnoteText"/>
      </w:pPr>
      <w:r>
        <w:rPr>
          <w:rStyle w:val="FootnoteReference"/>
        </w:rPr>
        <w:footnoteRef/>
      </w:r>
      <w:r>
        <w:t xml:space="preserve"> </w:t>
      </w:r>
      <w:r>
        <w:tab/>
        <w:t xml:space="preserve">Directlink, Revenue proposal, May 2014: Att 5.4 PSC, Phacelift update to bottom up cost study, January 2015, p. 2. </w:t>
      </w:r>
    </w:p>
  </w:footnote>
  <w:footnote w:id="133">
    <w:p w:rsidR="006C6574" w:rsidRDefault="006C6574">
      <w:pPr>
        <w:pStyle w:val="FootnoteText"/>
      </w:pPr>
      <w:r>
        <w:rPr>
          <w:rStyle w:val="FootnoteReference"/>
        </w:rPr>
        <w:footnoteRef/>
      </w:r>
      <w:r>
        <w:t xml:space="preserve"> </w:t>
      </w:r>
      <w:r>
        <w:tab/>
        <w:t>Directlink, Revenue proposal, May 2014: Att 5.4 PSC, Phacelift update to bottom up cost study, January 2015,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D32CE92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0"/>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3"/>
  </w:num>
  <w:num w:numId="38">
    <w:abstractNumId w:val="24"/>
  </w:num>
  <w:num w:numId="39">
    <w:abstractNumId w:val="21"/>
  </w:num>
  <w:num w:numId="40">
    <w:abstractNumId w:val="8"/>
    <w:lvlOverride w:ilvl="0">
      <w:startOverride w:val="1"/>
    </w:lvlOverride>
  </w:num>
  <w:num w:numId="41">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WLk+wiGkQqfQ3ITRdOujUS856l3KjoR0s7lcUwVpk=" w:saltValue="Y7lCZa0TgaDXmfns148nJA==" w:algorithmName="SHA-256"/>
  <w:defaultTabStop w:val="3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7 - Operating expenditure (Public version) - April 2015.DOCX"/>
  </w:docVars>
  <w:rsids>
    <w:rsidRoot w:val="00961A4A"/>
    <w:rsid w:val="00001FB7"/>
    <w:rsid w:val="00002582"/>
    <w:rsid w:val="00002E79"/>
    <w:rsid w:val="00002F33"/>
    <w:rsid w:val="00007777"/>
    <w:rsid w:val="00007F2F"/>
    <w:rsid w:val="00016C77"/>
    <w:rsid w:val="00020BF5"/>
    <w:rsid w:val="00021202"/>
    <w:rsid w:val="0002265F"/>
    <w:rsid w:val="000241C8"/>
    <w:rsid w:val="000244A8"/>
    <w:rsid w:val="0002517F"/>
    <w:rsid w:val="00026D03"/>
    <w:rsid w:val="000274DA"/>
    <w:rsid w:val="000308A1"/>
    <w:rsid w:val="0003578C"/>
    <w:rsid w:val="000362CF"/>
    <w:rsid w:val="00042010"/>
    <w:rsid w:val="000426A8"/>
    <w:rsid w:val="00042B2A"/>
    <w:rsid w:val="00044A79"/>
    <w:rsid w:val="0004580B"/>
    <w:rsid w:val="0004792D"/>
    <w:rsid w:val="00051BE6"/>
    <w:rsid w:val="0005205C"/>
    <w:rsid w:val="00052A17"/>
    <w:rsid w:val="00053B26"/>
    <w:rsid w:val="00054BAF"/>
    <w:rsid w:val="00056C1E"/>
    <w:rsid w:val="000605B4"/>
    <w:rsid w:val="00062285"/>
    <w:rsid w:val="00062CF7"/>
    <w:rsid w:val="00063247"/>
    <w:rsid w:val="00063333"/>
    <w:rsid w:val="00066EF9"/>
    <w:rsid w:val="00070F9F"/>
    <w:rsid w:val="0007137B"/>
    <w:rsid w:val="000731C0"/>
    <w:rsid w:val="00073328"/>
    <w:rsid w:val="0007686E"/>
    <w:rsid w:val="000840DA"/>
    <w:rsid w:val="00085663"/>
    <w:rsid w:val="00085EBF"/>
    <w:rsid w:val="00091E8E"/>
    <w:rsid w:val="000932FE"/>
    <w:rsid w:val="00096051"/>
    <w:rsid w:val="00097B87"/>
    <w:rsid w:val="000A2A02"/>
    <w:rsid w:val="000A3020"/>
    <w:rsid w:val="000A34CA"/>
    <w:rsid w:val="000A5F84"/>
    <w:rsid w:val="000A6C7B"/>
    <w:rsid w:val="000B1968"/>
    <w:rsid w:val="000B654C"/>
    <w:rsid w:val="000B6F00"/>
    <w:rsid w:val="000C026C"/>
    <w:rsid w:val="000C513E"/>
    <w:rsid w:val="000C7D6F"/>
    <w:rsid w:val="000D122C"/>
    <w:rsid w:val="000D29C0"/>
    <w:rsid w:val="000D6DBC"/>
    <w:rsid w:val="000D7257"/>
    <w:rsid w:val="000E12E9"/>
    <w:rsid w:val="000E1819"/>
    <w:rsid w:val="000E3C60"/>
    <w:rsid w:val="000E4821"/>
    <w:rsid w:val="000E4D0E"/>
    <w:rsid w:val="000E5C1E"/>
    <w:rsid w:val="000E6C72"/>
    <w:rsid w:val="000F4099"/>
    <w:rsid w:val="000F5FD0"/>
    <w:rsid w:val="0010192D"/>
    <w:rsid w:val="00103468"/>
    <w:rsid w:val="001038CB"/>
    <w:rsid w:val="00111D43"/>
    <w:rsid w:val="00112756"/>
    <w:rsid w:val="001139DB"/>
    <w:rsid w:val="00116B17"/>
    <w:rsid w:val="00116EB2"/>
    <w:rsid w:val="001179B4"/>
    <w:rsid w:val="001239BD"/>
    <w:rsid w:val="00123DCD"/>
    <w:rsid w:val="00124609"/>
    <w:rsid w:val="001251B2"/>
    <w:rsid w:val="00126A4C"/>
    <w:rsid w:val="00134608"/>
    <w:rsid w:val="00135F01"/>
    <w:rsid w:val="00137277"/>
    <w:rsid w:val="001405B4"/>
    <w:rsid w:val="001405E0"/>
    <w:rsid w:val="00140C7B"/>
    <w:rsid w:val="0014573B"/>
    <w:rsid w:val="001479CB"/>
    <w:rsid w:val="00150AD3"/>
    <w:rsid w:val="00151AE9"/>
    <w:rsid w:val="0015723E"/>
    <w:rsid w:val="001573E4"/>
    <w:rsid w:val="00160756"/>
    <w:rsid w:val="00162EB7"/>
    <w:rsid w:val="001630D5"/>
    <w:rsid w:val="00163746"/>
    <w:rsid w:val="001720E8"/>
    <w:rsid w:val="0017232E"/>
    <w:rsid w:val="00174102"/>
    <w:rsid w:val="00175987"/>
    <w:rsid w:val="00180157"/>
    <w:rsid w:val="00181734"/>
    <w:rsid w:val="00183FBE"/>
    <w:rsid w:val="00185CB9"/>
    <w:rsid w:val="00185F9A"/>
    <w:rsid w:val="00186F77"/>
    <w:rsid w:val="001875DB"/>
    <w:rsid w:val="001903E0"/>
    <w:rsid w:val="0019139A"/>
    <w:rsid w:val="001926A4"/>
    <w:rsid w:val="00192AD5"/>
    <w:rsid w:val="00195A72"/>
    <w:rsid w:val="001978E8"/>
    <w:rsid w:val="00197CA0"/>
    <w:rsid w:val="001A1852"/>
    <w:rsid w:val="001A497E"/>
    <w:rsid w:val="001A7733"/>
    <w:rsid w:val="001B1EE3"/>
    <w:rsid w:val="001B45A0"/>
    <w:rsid w:val="001B696D"/>
    <w:rsid w:val="001B77CC"/>
    <w:rsid w:val="001C027E"/>
    <w:rsid w:val="001C06DA"/>
    <w:rsid w:val="001C0B16"/>
    <w:rsid w:val="001C6158"/>
    <w:rsid w:val="001C69D6"/>
    <w:rsid w:val="001C71DB"/>
    <w:rsid w:val="001C7E7D"/>
    <w:rsid w:val="001D055E"/>
    <w:rsid w:val="001D0590"/>
    <w:rsid w:val="001D2541"/>
    <w:rsid w:val="001D3F69"/>
    <w:rsid w:val="001E37A3"/>
    <w:rsid w:val="001F492E"/>
    <w:rsid w:val="001F572A"/>
    <w:rsid w:val="001F6DA3"/>
    <w:rsid w:val="002004BA"/>
    <w:rsid w:val="00200713"/>
    <w:rsid w:val="002010BC"/>
    <w:rsid w:val="00202E03"/>
    <w:rsid w:val="0020492C"/>
    <w:rsid w:val="00206AA0"/>
    <w:rsid w:val="0021180D"/>
    <w:rsid w:val="00212B78"/>
    <w:rsid w:val="00214242"/>
    <w:rsid w:val="0021443B"/>
    <w:rsid w:val="0021532F"/>
    <w:rsid w:val="002238C8"/>
    <w:rsid w:val="00224DB9"/>
    <w:rsid w:val="00227C87"/>
    <w:rsid w:val="0023013D"/>
    <w:rsid w:val="00233775"/>
    <w:rsid w:val="0023690D"/>
    <w:rsid w:val="00237C9E"/>
    <w:rsid w:val="00240337"/>
    <w:rsid w:val="00240B1A"/>
    <w:rsid w:val="002423A7"/>
    <w:rsid w:val="002432EF"/>
    <w:rsid w:val="00243479"/>
    <w:rsid w:val="00246EAC"/>
    <w:rsid w:val="00251745"/>
    <w:rsid w:val="00254E40"/>
    <w:rsid w:val="00257A5C"/>
    <w:rsid w:val="002607C9"/>
    <w:rsid w:val="00263AC0"/>
    <w:rsid w:val="00263C68"/>
    <w:rsid w:val="00264264"/>
    <w:rsid w:val="0026772D"/>
    <w:rsid w:val="00271024"/>
    <w:rsid w:val="00273329"/>
    <w:rsid w:val="00273FF6"/>
    <w:rsid w:val="002762C5"/>
    <w:rsid w:val="00276788"/>
    <w:rsid w:val="00280452"/>
    <w:rsid w:val="00286874"/>
    <w:rsid w:val="002870B5"/>
    <w:rsid w:val="00290C63"/>
    <w:rsid w:val="002917AF"/>
    <w:rsid w:val="00291DB4"/>
    <w:rsid w:val="00296846"/>
    <w:rsid w:val="00296B65"/>
    <w:rsid w:val="0029788E"/>
    <w:rsid w:val="002A3EDA"/>
    <w:rsid w:val="002A3FD1"/>
    <w:rsid w:val="002A7DEF"/>
    <w:rsid w:val="002B0820"/>
    <w:rsid w:val="002B389E"/>
    <w:rsid w:val="002B6105"/>
    <w:rsid w:val="002B6389"/>
    <w:rsid w:val="002C0256"/>
    <w:rsid w:val="002C22B1"/>
    <w:rsid w:val="002C4640"/>
    <w:rsid w:val="002C497D"/>
    <w:rsid w:val="002D03AD"/>
    <w:rsid w:val="002D1C5C"/>
    <w:rsid w:val="002E148E"/>
    <w:rsid w:val="002E587B"/>
    <w:rsid w:val="002E7B22"/>
    <w:rsid w:val="002E7FB8"/>
    <w:rsid w:val="002F090F"/>
    <w:rsid w:val="002F19CE"/>
    <w:rsid w:val="002F23DF"/>
    <w:rsid w:val="002F25FB"/>
    <w:rsid w:val="002F7986"/>
    <w:rsid w:val="0030141D"/>
    <w:rsid w:val="00301B40"/>
    <w:rsid w:val="003029EE"/>
    <w:rsid w:val="00305CC8"/>
    <w:rsid w:val="00306B83"/>
    <w:rsid w:val="00307F6D"/>
    <w:rsid w:val="00313568"/>
    <w:rsid w:val="003163D3"/>
    <w:rsid w:val="003177A2"/>
    <w:rsid w:val="003271B5"/>
    <w:rsid w:val="003279A3"/>
    <w:rsid w:val="00327A1E"/>
    <w:rsid w:val="00330DD8"/>
    <w:rsid w:val="00331264"/>
    <w:rsid w:val="00334C8D"/>
    <w:rsid w:val="00337764"/>
    <w:rsid w:val="003415AB"/>
    <w:rsid w:val="00343399"/>
    <w:rsid w:val="00343A18"/>
    <w:rsid w:val="003446C1"/>
    <w:rsid w:val="003518B3"/>
    <w:rsid w:val="00351ED5"/>
    <w:rsid w:val="00353B6E"/>
    <w:rsid w:val="003543F1"/>
    <w:rsid w:val="00357D1F"/>
    <w:rsid w:val="0036240E"/>
    <w:rsid w:val="003637C2"/>
    <w:rsid w:val="00364D92"/>
    <w:rsid w:val="00373216"/>
    <w:rsid w:val="00382037"/>
    <w:rsid w:val="0038399A"/>
    <w:rsid w:val="00383D7B"/>
    <w:rsid w:val="003846F1"/>
    <w:rsid w:val="003851C6"/>
    <w:rsid w:val="00387DBB"/>
    <w:rsid w:val="00390015"/>
    <w:rsid w:val="00390B79"/>
    <w:rsid w:val="00393277"/>
    <w:rsid w:val="00396D00"/>
    <w:rsid w:val="00397A5E"/>
    <w:rsid w:val="003A3D41"/>
    <w:rsid w:val="003B0AEE"/>
    <w:rsid w:val="003B2AFE"/>
    <w:rsid w:val="003B3B52"/>
    <w:rsid w:val="003B4561"/>
    <w:rsid w:val="003B484F"/>
    <w:rsid w:val="003B5FEB"/>
    <w:rsid w:val="003C76B3"/>
    <w:rsid w:val="003C79FD"/>
    <w:rsid w:val="003D1299"/>
    <w:rsid w:val="003D24FF"/>
    <w:rsid w:val="003D340D"/>
    <w:rsid w:val="003D428E"/>
    <w:rsid w:val="003D4DFF"/>
    <w:rsid w:val="003D5026"/>
    <w:rsid w:val="003E3CB5"/>
    <w:rsid w:val="003E620C"/>
    <w:rsid w:val="003F174D"/>
    <w:rsid w:val="003F32FE"/>
    <w:rsid w:val="00401DA5"/>
    <w:rsid w:val="00403BEE"/>
    <w:rsid w:val="004041FE"/>
    <w:rsid w:val="00407DBA"/>
    <w:rsid w:val="00411623"/>
    <w:rsid w:val="0041219A"/>
    <w:rsid w:val="004129D6"/>
    <w:rsid w:val="00413635"/>
    <w:rsid w:val="0041439D"/>
    <w:rsid w:val="00424B74"/>
    <w:rsid w:val="00426A86"/>
    <w:rsid w:val="00427954"/>
    <w:rsid w:val="00430272"/>
    <w:rsid w:val="004419B2"/>
    <w:rsid w:val="00443B65"/>
    <w:rsid w:val="00447A92"/>
    <w:rsid w:val="00451ADB"/>
    <w:rsid w:val="00452C17"/>
    <w:rsid w:val="0045479C"/>
    <w:rsid w:val="00455800"/>
    <w:rsid w:val="0045777E"/>
    <w:rsid w:val="0046026D"/>
    <w:rsid w:val="00463B82"/>
    <w:rsid w:val="004658A2"/>
    <w:rsid w:val="00466FBA"/>
    <w:rsid w:val="00470294"/>
    <w:rsid w:val="00470C4A"/>
    <w:rsid w:val="004771A5"/>
    <w:rsid w:val="004801F3"/>
    <w:rsid w:val="00480B4B"/>
    <w:rsid w:val="00481661"/>
    <w:rsid w:val="00482226"/>
    <w:rsid w:val="004827F3"/>
    <w:rsid w:val="00485DC4"/>
    <w:rsid w:val="0048782C"/>
    <w:rsid w:val="004945EB"/>
    <w:rsid w:val="00495038"/>
    <w:rsid w:val="00495934"/>
    <w:rsid w:val="00495C5F"/>
    <w:rsid w:val="004A137E"/>
    <w:rsid w:val="004A1503"/>
    <w:rsid w:val="004A43D1"/>
    <w:rsid w:val="004A6DCA"/>
    <w:rsid w:val="004A7AAF"/>
    <w:rsid w:val="004B047E"/>
    <w:rsid w:val="004B132A"/>
    <w:rsid w:val="004B2286"/>
    <w:rsid w:val="004B4412"/>
    <w:rsid w:val="004C07F3"/>
    <w:rsid w:val="004C348C"/>
    <w:rsid w:val="004D55BA"/>
    <w:rsid w:val="004D567B"/>
    <w:rsid w:val="004D6203"/>
    <w:rsid w:val="004D65DB"/>
    <w:rsid w:val="004E0228"/>
    <w:rsid w:val="004E189A"/>
    <w:rsid w:val="004E220D"/>
    <w:rsid w:val="004E22EC"/>
    <w:rsid w:val="004E772D"/>
    <w:rsid w:val="004F0BF8"/>
    <w:rsid w:val="004F3954"/>
    <w:rsid w:val="004F57D4"/>
    <w:rsid w:val="004F7C6B"/>
    <w:rsid w:val="00502930"/>
    <w:rsid w:val="005034D0"/>
    <w:rsid w:val="005051E1"/>
    <w:rsid w:val="00512C00"/>
    <w:rsid w:val="005173CB"/>
    <w:rsid w:val="0052790C"/>
    <w:rsid w:val="00530128"/>
    <w:rsid w:val="0053135D"/>
    <w:rsid w:val="00532467"/>
    <w:rsid w:val="00532CBD"/>
    <w:rsid w:val="00536258"/>
    <w:rsid w:val="0053727E"/>
    <w:rsid w:val="005378D0"/>
    <w:rsid w:val="005413A9"/>
    <w:rsid w:val="005416FE"/>
    <w:rsid w:val="0054278F"/>
    <w:rsid w:val="00544C3D"/>
    <w:rsid w:val="0054632F"/>
    <w:rsid w:val="00547FC6"/>
    <w:rsid w:val="00550613"/>
    <w:rsid w:val="0055238A"/>
    <w:rsid w:val="00555C59"/>
    <w:rsid w:val="00561F60"/>
    <w:rsid w:val="005623A8"/>
    <w:rsid w:val="00564271"/>
    <w:rsid w:val="00564A4D"/>
    <w:rsid w:val="00567BA5"/>
    <w:rsid w:val="00571B35"/>
    <w:rsid w:val="00571D57"/>
    <w:rsid w:val="005727F9"/>
    <w:rsid w:val="00572FD6"/>
    <w:rsid w:val="00575ADD"/>
    <w:rsid w:val="00577A09"/>
    <w:rsid w:val="00581FF1"/>
    <w:rsid w:val="005829C2"/>
    <w:rsid w:val="00584D8F"/>
    <w:rsid w:val="00585E14"/>
    <w:rsid w:val="00587431"/>
    <w:rsid w:val="00591AD6"/>
    <w:rsid w:val="00591FA1"/>
    <w:rsid w:val="00592811"/>
    <w:rsid w:val="005A123A"/>
    <w:rsid w:val="005A1CBB"/>
    <w:rsid w:val="005A31ED"/>
    <w:rsid w:val="005A404D"/>
    <w:rsid w:val="005A616A"/>
    <w:rsid w:val="005B1E3C"/>
    <w:rsid w:val="005B6329"/>
    <w:rsid w:val="005C1EAB"/>
    <w:rsid w:val="005C26CC"/>
    <w:rsid w:val="005C26FF"/>
    <w:rsid w:val="005C3042"/>
    <w:rsid w:val="005C3AD2"/>
    <w:rsid w:val="005C5177"/>
    <w:rsid w:val="005C5312"/>
    <w:rsid w:val="005D1C29"/>
    <w:rsid w:val="005D7BA2"/>
    <w:rsid w:val="005E0015"/>
    <w:rsid w:val="005E36C2"/>
    <w:rsid w:val="005E7964"/>
    <w:rsid w:val="005F1ABB"/>
    <w:rsid w:val="00602458"/>
    <w:rsid w:val="00606C74"/>
    <w:rsid w:val="006102A5"/>
    <w:rsid w:val="006103D8"/>
    <w:rsid w:val="006128E6"/>
    <w:rsid w:val="00613707"/>
    <w:rsid w:val="00614770"/>
    <w:rsid w:val="00615C6B"/>
    <w:rsid w:val="00621DCE"/>
    <w:rsid w:val="00624E91"/>
    <w:rsid w:val="00625DA0"/>
    <w:rsid w:val="006314A5"/>
    <w:rsid w:val="00632D6D"/>
    <w:rsid w:val="00633EA6"/>
    <w:rsid w:val="00634967"/>
    <w:rsid w:val="00634F0A"/>
    <w:rsid w:val="00641F84"/>
    <w:rsid w:val="00642C3E"/>
    <w:rsid w:val="006438A1"/>
    <w:rsid w:val="00644A61"/>
    <w:rsid w:val="00646BDE"/>
    <w:rsid w:val="00651B1F"/>
    <w:rsid w:val="00653D83"/>
    <w:rsid w:val="006567A1"/>
    <w:rsid w:val="00656B38"/>
    <w:rsid w:val="006577C4"/>
    <w:rsid w:val="00660B48"/>
    <w:rsid w:val="0066104A"/>
    <w:rsid w:val="006616CF"/>
    <w:rsid w:val="00663DAD"/>
    <w:rsid w:val="0066482C"/>
    <w:rsid w:val="006677EA"/>
    <w:rsid w:val="006700C3"/>
    <w:rsid w:val="0067138E"/>
    <w:rsid w:val="006725F1"/>
    <w:rsid w:val="00673C63"/>
    <w:rsid w:val="00673E7B"/>
    <w:rsid w:val="00674F1A"/>
    <w:rsid w:val="006750E5"/>
    <w:rsid w:val="00675E20"/>
    <w:rsid w:val="00676679"/>
    <w:rsid w:val="00681717"/>
    <w:rsid w:val="00683626"/>
    <w:rsid w:val="00683C89"/>
    <w:rsid w:val="00690549"/>
    <w:rsid w:val="006911E2"/>
    <w:rsid w:val="00691DB5"/>
    <w:rsid w:val="00693D0D"/>
    <w:rsid w:val="00694EDB"/>
    <w:rsid w:val="006A0244"/>
    <w:rsid w:val="006A2E5B"/>
    <w:rsid w:val="006A3486"/>
    <w:rsid w:val="006A44E3"/>
    <w:rsid w:val="006A56F7"/>
    <w:rsid w:val="006A5C19"/>
    <w:rsid w:val="006A7557"/>
    <w:rsid w:val="006A7D31"/>
    <w:rsid w:val="006B0757"/>
    <w:rsid w:val="006B2395"/>
    <w:rsid w:val="006B39A9"/>
    <w:rsid w:val="006B4B07"/>
    <w:rsid w:val="006B4CF9"/>
    <w:rsid w:val="006B7AC8"/>
    <w:rsid w:val="006B7CF9"/>
    <w:rsid w:val="006C5264"/>
    <w:rsid w:val="006C6574"/>
    <w:rsid w:val="006D550F"/>
    <w:rsid w:val="006D6DFF"/>
    <w:rsid w:val="006D7E03"/>
    <w:rsid w:val="006E0382"/>
    <w:rsid w:val="006E306F"/>
    <w:rsid w:val="006E7F74"/>
    <w:rsid w:val="006F1EEA"/>
    <w:rsid w:val="006F3CAC"/>
    <w:rsid w:val="00701C31"/>
    <w:rsid w:val="00701CAB"/>
    <w:rsid w:val="00702275"/>
    <w:rsid w:val="0070384A"/>
    <w:rsid w:val="007063C0"/>
    <w:rsid w:val="00706A56"/>
    <w:rsid w:val="00707563"/>
    <w:rsid w:val="00716F75"/>
    <w:rsid w:val="0072348C"/>
    <w:rsid w:val="007236CA"/>
    <w:rsid w:val="00724A37"/>
    <w:rsid w:val="007303C3"/>
    <w:rsid w:val="00735B76"/>
    <w:rsid w:val="00736E71"/>
    <w:rsid w:val="00737662"/>
    <w:rsid w:val="007429BE"/>
    <w:rsid w:val="00743223"/>
    <w:rsid w:val="0074552A"/>
    <w:rsid w:val="00746E01"/>
    <w:rsid w:val="00746F07"/>
    <w:rsid w:val="007500A7"/>
    <w:rsid w:val="007515F2"/>
    <w:rsid w:val="00753A03"/>
    <w:rsid w:val="0075457A"/>
    <w:rsid w:val="00757BDF"/>
    <w:rsid w:val="00763E5D"/>
    <w:rsid w:val="007656CC"/>
    <w:rsid w:val="00767740"/>
    <w:rsid w:val="00772BE7"/>
    <w:rsid w:val="00777AE0"/>
    <w:rsid w:val="00777C5D"/>
    <w:rsid w:val="00777EE6"/>
    <w:rsid w:val="00780F2B"/>
    <w:rsid w:val="00782DAC"/>
    <w:rsid w:val="00782EEA"/>
    <w:rsid w:val="00783876"/>
    <w:rsid w:val="00790225"/>
    <w:rsid w:val="00791EB3"/>
    <w:rsid w:val="00795F63"/>
    <w:rsid w:val="007A21AC"/>
    <w:rsid w:val="007A345E"/>
    <w:rsid w:val="007A51C0"/>
    <w:rsid w:val="007A7DE6"/>
    <w:rsid w:val="007B1FFA"/>
    <w:rsid w:val="007B2A34"/>
    <w:rsid w:val="007B2C72"/>
    <w:rsid w:val="007B49E1"/>
    <w:rsid w:val="007B65A4"/>
    <w:rsid w:val="007B7FFE"/>
    <w:rsid w:val="007C1C53"/>
    <w:rsid w:val="007C3050"/>
    <w:rsid w:val="007C4BE1"/>
    <w:rsid w:val="007C74BB"/>
    <w:rsid w:val="007C7C38"/>
    <w:rsid w:val="007C7D7D"/>
    <w:rsid w:val="007D2D2D"/>
    <w:rsid w:val="007D3407"/>
    <w:rsid w:val="007D5F1E"/>
    <w:rsid w:val="007E33DB"/>
    <w:rsid w:val="007E4904"/>
    <w:rsid w:val="007E4CB5"/>
    <w:rsid w:val="007F04F4"/>
    <w:rsid w:val="007F066B"/>
    <w:rsid w:val="007F1B79"/>
    <w:rsid w:val="007F34D7"/>
    <w:rsid w:val="007F3928"/>
    <w:rsid w:val="008003AF"/>
    <w:rsid w:val="008033C4"/>
    <w:rsid w:val="00803B1A"/>
    <w:rsid w:val="008056DD"/>
    <w:rsid w:val="00806C88"/>
    <w:rsid w:val="00806D47"/>
    <w:rsid w:val="0081034E"/>
    <w:rsid w:val="00810FCA"/>
    <w:rsid w:val="008115B6"/>
    <w:rsid w:val="0081304E"/>
    <w:rsid w:val="00815306"/>
    <w:rsid w:val="008258F6"/>
    <w:rsid w:val="00830438"/>
    <w:rsid w:val="008344F6"/>
    <w:rsid w:val="0083510F"/>
    <w:rsid w:val="00842350"/>
    <w:rsid w:val="0084295E"/>
    <w:rsid w:val="008437EB"/>
    <w:rsid w:val="00843917"/>
    <w:rsid w:val="00843F50"/>
    <w:rsid w:val="00846A50"/>
    <w:rsid w:val="00851209"/>
    <w:rsid w:val="0085545D"/>
    <w:rsid w:val="00856B65"/>
    <w:rsid w:val="00857B29"/>
    <w:rsid w:val="00860D9F"/>
    <w:rsid w:val="00862155"/>
    <w:rsid w:val="0086288B"/>
    <w:rsid w:val="0086330D"/>
    <w:rsid w:val="00867C91"/>
    <w:rsid w:val="00867EE1"/>
    <w:rsid w:val="008734CB"/>
    <w:rsid w:val="008744D9"/>
    <w:rsid w:val="00874538"/>
    <w:rsid w:val="008837AC"/>
    <w:rsid w:val="00884E5C"/>
    <w:rsid w:val="00885B52"/>
    <w:rsid w:val="00887B66"/>
    <w:rsid w:val="0089109E"/>
    <w:rsid w:val="008A046C"/>
    <w:rsid w:val="008A587D"/>
    <w:rsid w:val="008B0BB0"/>
    <w:rsid w:val="008B16D2"/>
    <w:rsid w:val="008B2AD1"/>
    <w:rsid w:val="008B35CD"/>
    <w:rsid w:val="008B364F"/>
    <w:rsid w:val="008B45D3"/>
    <w:rsid w:val="008B5FCC"/>
    <w:rsid w:val="008B6D72"/>
    <w:rsid w:val="008B75CF"/>
    <w:rsid w:val="008C0DF0"/>
    <w:rsid w:val="008C12DF"/>
    <w:rsid w:val="008C3203"/>
    <w:rsid w:val="008C4614"/>
    <w:rsid w:val="008C5486"/>
    <w:rsid w:val="008C7606"/>
    <w:rsid w:val="008D0257"/>
    <w:rsid w:val="008D1661"/>
    <w:rsid w:val="008E3B5F"/>
    <w:rsid w:val="008E5BBA"/>
    <w:rsid w:val="008E7031"/>
    <w:rsid w:val="008E77DE"/>
    <w:rsid w:val="008F07A3"/>
    <w:rsid w:val="008F115B"/>
    <w:rsid w:val="008F7888"/>
    <w:rsid w:val="00900E1B"/>
    <w:rsid w:val="00911A37"/>
    <w:rsid w:val="00914F72"/>
    <w:rsid w:val="00916D1F"/>
    <w:rsid w:val="009213BE"/>
    <w:rsid w:val="009233EE"/>
    <w:rsid w:val="00923A07"/>
    <w:rsid w:val="009251D9"/>
    <w:rsid w:val="0092586E"/>
    <w:rsid w:val="00930397"/>
    <w:rsid w:val="00930AD6"/>
    <w:rsid w:val="00932190"/>
    <w:rsid w:val="00933EF9"/>
    <w:rsid w:val="00942359"/>
    <w:rsid w:val="009460AA"/>
    <w:rsid w:val="00951978"/>
    <w:rsid w:val="00952AFB"/>
    <w:rsid w:val="00961A4A"/>
    <w:rsid w:val="009661DE"/>
    <w:rsid w:val="009726BF"/>
    <w:rsid w:val="0097526F"/>
    <w:rsid w:val="00975A18"/>
    <w:rsid w:val="00977E79"/>
    <w:rsid w:val="00980C3D"/>
    <w:rsid w:val="00982816"/>
    <w:rsid w:val="00983C25"/>
    <w:rsid w:val="0098422E"/>
    <w:rsid w:val="009856B7"/>
    <w:rsid w:val="009859E9"/>
    <w:rsid w:val="00985C86"/>
    <w:rsid w:val="0098799B"/>
    <w:rsid w:val="00991FDE"/>
    <w:rsid w:val="00993D0E"/>
    <w:rsid w:val="00993DE4"/>
    <w:rsid w:val="009A0084"/>
    <w:rsid w:val="009A1F15"/>
    <w:rsid w:val="009A2878"/>
    <w:rsid w:val="009A5FC3"/>
    <w:rsid w:val="009B2820"/>
    <w:rsid w:val="009B48DC"/>
    <w:rsid w:val="009B571C"/>
    <w:rsid w:val="009B63AD"/>
    <w:rsid w:val="009B74B0"/>
    <w:rsid w:val="009C0806"/>
    <w:rsid w:val="009C580B"/>
    <w:rsid w:val="009C6A86"/>
    <w:rsid w:val="009D628B"/>
    <w:rsid w:val="009D6B46"/>
    <w:rsid w:val="009E0569"/>
    <w:rsid w:val="009E1A06"/>
    <w:rsid w:val="009E1BF4"/>
    <w:rsid w:val="009E4355"/>
    <w:rsid w:val="009E4F36"/>
    <w:rsid w:val="009F221F"/>
    <w:rsid w:val="009F3459"/>
    <w:rsid w:val="009F4180"/>
    <w:rsid w:val="009F4940"/>
    <w:rsid w:val="009F5BA1"/>
    <w:rsid w:val="009F7145"/>
    <w:rsid w:val="00A02A88"/>
    <w:rsid w:val="00A03716"/>
    <w:rsid w:val="00A0562E"/>
    <w:rsid w:val="00A0726D"/>
    <w:rsid w:val="00A07CA5"/>
    <w:rsid w:val="00A10422"/>
    <w:rsid w:val="00A10CFD"/>
    <w:rsid w:val="00A1660E"/>
    <w:rsid w:val="00A245B9"/>
    <w:rsid w:val="00A25E66"/>
    <w:rsid w:val="00A27A54"/>
    <w:rsid w:val="00A30EC9"/>
    <w:rsid w:val="00A32FBB"/>
    <w:rsid w:val="00A33F32"/>
    <w:rsid w:val="00A428EE"/>
    <w:rsid w:val="00A4478A"/>
    <w:rsid w:val="00A44852"/>
    <w:rsid w:val="00A4708C"/>
    <w:rsid w:val="00A5170E"/>
    <w:rsid w:val="00A5244A"/>
    <w:rsid w:val="00A526EE"/>
    <w:rsid w:val="00A561CD"/>
    <w:rsid w:val="00A56782"/>
    <w:rsid w:val="00A57D04"/>
    <w:rsid w:val="00A6062C"/>
    <w:rsid w:val="00A609B4"/>
    <w:rsid w:val="00A60A26"/>
    <w:rsid w:val="00A61598"/>
    <w:rsid w:val="00A616FD"/>
    <w:rsid w:val="00A62082"/>
    <w:rsid w:val="00A62C81"/>
    <w:rsid w:val="00A63792"/>
    <w:rsid w:val="00A637D3"/>
    <w:rsid w:val="00A63E33"/>
    <w:rsid w:val="00A640DB"/>
    <w:rsid w:val="00A64D59"/>
    <w:rsid w:val="00A74DCA"/>
    <w:rsid w:val="00A75733"/>
    <w:rsid w:val="00A84A99"/>
    <w:rsid w:val="00A84F46"/>
    <w:rsid w:val="00A871F4"/>
    <w:rsid w:val="00A92FA9"/>
    <w:rsid w:val="00AA2099"/>
    <w:rsid w:val="00AA5088"/>
    <w:rsid w:val="00AB61A9"/>
    <w:rsid w:val="00AB7DE7"/>
    <w:rsid w:val="00AC0343"/>
    <w:rsid w:val="00AC1A53"/>
    <w:rsid w:val="00AC1B2C"/>
    <w:rsid w:val="00AC3264"/>
    <w:rsid w:val="00AC79F1"/>
    <w:rsid w:val="00AD3394"/>
    <w:rsid w:val="00AD3438"/>
    <w:rsid w:val="00AD35BC"/>
    <w:rsid w:val="00AD428B"/>
    <w:rsid w:val="00AE1BF1"/>
    <w:rsid w:val="00AE2733"/>
    <w:rsid w:val="00AE7102"/>
    <w:rsid w:val="00AF0DD2"/>
    <w:rsid w:val="00AF1F9E"/>
    <w:rsid w:val="00AF5538"/>
    <w:rsid w:val="00AF670A"/>
    <w:rsid w:val="00AF6D76"/>
    <w:rsid w:val="00B01CA0"/>
    <w:rsid w:val="00B03BA7"/>
    <w:rsid w:val="00B03D49"/>
    <w:rsid w:val="00B05EA6"/>
    <w:rsid w:val="00B073B1"/>
    <w:rsid w:val="00B12356"/>
    <w:rsid w:val="00B13048"/>
    <w:rsid w:val="00B13B89"/>
    <w:rsid w:val="00B13DC6"/>
    <w:rsid w:val="00B14A0A"/>
    <w:rsid w:val="00B16D84"/>
    <w:rsid w:val="00B1716D"/>
    <w:rsid w:val="00B17A1D"/>
    <w:rsid w:val="00B207A0"/>
    <w:rsid w:val="00B215BE"/>
    <w:rsid w:val="00B246E2"/>
    <w:rsid w:val="00B26841"/>
    <w:rsid w:val="00B3229E"/>
    <w:rsid w:val="00B34467"/>
    <w:rsid w:val="00B34D8F"/>
    <w:rsid w:val="00B377F3"/>
    <w:rsid w:val="00B460E3"/>
    <w:rsid w:val="00B466FB"/>
    <w:rsid w:val="00B4760F"/>
    <w:rsid w:val="00B514DD"/>
    <w:rsid w:val="00B52AF0"/>
    <w:rsid w:val="00B53DDA"/>
    <w:rsid w:val="00B56133"/>
    <w:rsid w:val="00B561BD"/>
    <w:rsid w:val="00B56E03"/>
    <w:rsid w:val="00B57749"/>
    <w:rsid w:val="00B67D7A"/>
    <w:rsid w:val="00B70B35"/>
    <w:rsid w:val="00B72316"/>
    <w:rsid w:val="00B74122"/>
    <w:rsid w:val="00B74BFA"/>
    <w:rsid w:val="00B765C3"/>
    <w:rsid w:val="00B8080B"/>
    <w:rsid w:val="00B83468"/>
    <w:rsid w:val="00B846C8"/>
    <w:rsid w:val="00B849B0"/>
    <w:rsid w:val="00B87BA5"/>
    <w:rsid w:val="00B87C39"/>
    <w:rsid w:val="00B90102"/>
    <w:rsid w:val="00B9031F"/>
    <w:rsid w:val="00B91595"/>
    <w:rsid w:val="00B91EBE"/>
    <w:rsid w:val="00B92374"/>
    <w:rsid w:val="00B9434F"/>
    <w:rsid w:val="00B95495"/>
    <w:rsid w:val="00B959D0"/>
    <w:rsid w:val="00B9611E"/>
    <w:rsid w:val="00B96570"/>
    <w:rsid w:val="00BA1913"/>
    <w:rsid w:val="00BA4665"/>
    <w:rsid w:val="00BA629F"/>
    <w:rsid w:val="00BB2FB2"/>
    <w:rsid w:val="00BB2FE6"/>
    <w:rsid w:val="00BB3304"/>
    <w:rsid w:val="00BB7FF9"/>
    <w:rsid w:val="00BC0B7B"/>
    <w:rsid w:val="00BC4576"/>
    <w:rsid w:val="00BC6CE3"/>
    <w:rsid w:val="00BD150C"/>
    <w:rsid w:val="00BD3446"/>
    <w:rsid w:val="00BE0FDF"/>
    <w:rsid w:val="00BE1F1B"/>
    <w:rsid w:val="00BE35C0"/>
    <w:rsid w:val="00BE3C80"/>
    <w:rsid w:val="00BE47B5"/>
    <w:rsid w:val="00BE52A9"/>
    <w:rsid w:val="00BE70FE"/>
    <w:rsid w:val="00BE78D9"/>
    <w:rsid w:val="00BF1B32"/>
    <w:rsid w:val="00BF2A29"/>
    <w:rsid w:val="00BF3A57"/>
    <w:rsid w:val="00BF3E67"/>
    <w:rsid w:val="00BF7070"/>
    <w:rsid w:val="00C01D69"/>
    <w:rsid w:val="00C03C32"/>
    <w:rsid w:val="00C042C2"/>
    <w:rsid w:val="00C05078"/>
    <w:rsid w:val="00C05B8C"/>
    <w:rsid w:val="00C1041B"/>
    <w:rsid w:val="00C11AD9"/>
    <w:rsid w:val="00C14A7B"/>
    <w:rsid w:val="00C1507A"/>
    <w:rsid w:val="00C1531C"/>
    <w:rsid w:val="00C1640A"/>
    <w:rsid w:val="00C16CC5"/>
    <w:rsid w:val="00C16D7B"/>
    <w:rsid w:val="00C221EA"/>
    <w:rsid w:val="00C25FA6"/>
    <w:rsid w:val="00C265D5"/>
    <w:rsid w:val="00C3137F"/>
    <w:rsid w:val="00C3588E"/>
    <w:rsid w:val="00C36A0C"/>
    <w:rsid w:val="00C40F52"/>
    <w:rsid w:val="00C43809"/>
    <w:rsid w:val="00C47F4F"/>
    <w:rsid w:val="00C50F38"/>
    <w:rsid w:val="00C534B1"/>
    <w:rsid w:val="00C538A9"/>
    <w:rsid w:val="00C53B5A"/>
    <w:rsid w:val="00C54F5A"/>
    <w:rsid w:val="00C569B4"/>
    <w:rsid w:val="00C60366"/>
    <w:rsid w:val="00C66478"/>
    <w:rsid w:val="00C67A92"/>
    <w:rsid w:val="00C70ACB"/>
    <w:rsid w:val="00C70C51"/>
    <w:rsid w:val="00C730E6"/>
    <w:rsid w:val="00C73264"/>
    <w:rsid w:val="00C736FE"/>
    <w:rsid w:val="00C77451"/>
    <w:rsid w:val="00C77A5C"/>
    <w:rsid w:val="00C822AE"/>
    <w:rsid w:val="00C838DD"/>
    <w:rsid w:val="00C85151"/>
    <w:rsid w:val="00C86679"/>
    <w:rsid w:val="00C91889"/>
    <w:rsid w:val="00C91946"/>
    <w:rsid w:val="00C92380"/>
    <w:rsid w:val="00C95E9E"/>
    <w:rsid w:val="00C969C3"/>
    <w:rsid w:val="00CA30D3"/>
    <w:rsid w:val="00CA30F3"/>
    <w:rsid w:val="00CA32DD"/>
    <w:rsid w:val="00CA489E"/>
    <w:rsid w:val="00CA771C"/>
    <w:rsid w:val="00CB0279"/>
    <w:rsid w:val="00CB666B"/>
    <w:rsid w:val="00CB6803"/>
    <w:rsid w:val="00CC06DD"/>
    <w:rsid w:val="00CC4CDA"/>
    <w:rsid w:val="00CC7F1D"/>
    <w:rsid w:val="00CD0251"/>
    <w:rsid w:val="00CD3AE7"/>
    <w:rsid w:val="00CD3CA9"/>
    <w:rsid w:val="00CE1FA9"/>
    <w:rsid w:val="00CE44CD"/>
    <w:rsid w:val="00CE5931"/>
    <w:rsid w:val="00CE7914"/>
    <w:rsid w:val="00CF0F50"/>
    <w:rsid w:val="00CF30CD"/>
    <w:rsid w:val="00CF6BFD"/>
    <w:rsid w:val="00D006AE"/>
    <w:rsid w:val="00D01CF0"/>
    <w:rsid w:val="00D02248"/>
    <w:rsid w:val="00D03308"/>
    <w:rsid w:val="00D0442A"/>
    <w:rsid w:val="00D04C21"/>
    <w:rsid w:val="00D0577F"/>
    <w:rsid w:val="00D10F73"/>
    <w:rsid w:val="00D142DF"/>
    <w:rsid w:val="00D273EF"/>
    <w:rsid w:val="00D32F77"/>
    <w:rsid w:val="00D35F9C"/>
    <w:rsid w:val="00D44A96"/>
    <w:rsid w:val="00D4631C"/>
    <w:rsid w:val="00D539D1"/>
    <w:rsid w:val="00D53B8E"/>
    <w:rsid w:val="00D6134A"/>
    <w:rsid w:val="00D61388"/>
    <w:rsid w:val="00D6194D"/>
    <w:rsid w:val="00D61A54"/>
    <w:rsid w:val="00D64DEA"/>
    <w:rsid w:val="00D7168E"/>
    <w:rsid w:val="00D71E57"/>
    <w:rsid w:val="00D72DB6"/>
    <w:rsid w:val="00D7359A"/>
    <w:rsid w:val="00D765B7"/>
    <w:rsid w:val="00D76EB4"/>
    <w:rsid w:val="00D7757E"/>
    <w:rsid w:val="00D77D00"/>
    <w:rsid w:val="00D80893"/>
    <w:rsid w:val="00D819F2"/>
    <w:rsid w:val="00D84854"/>
    <w:rsid w:val="00D85EB3"/>
    <w:rsid w:val="00D86A62"/>
    <w:rsid w:val="00D87567"/>
    <w:rsid w:val="00D9018D"/>
    <w:rsid w:val="00D90405"/>
    <w:rsid w:val="00D91E20"/>
    <w:rsid w:val="00D91EC4"/>
    <w:rsid w:val="00D92CF1"/>
    <w:rsid w:val="00D92D38"/>
    <w:rsid w:val="00D94EF7"/>
    <w:rsid w:val="00D950F5"/>
    <w:rsid w:val="00D9661A"/>
    <w:rsid w:val="00DA151A"/>
    <w:rsid w:val="00DA1B8C"/>
    <w:rsid w:val="00DA202F"/>
    <w:rsid w:val="00DA2259"/>
    <w:rsid w:val="00DA36F1"/>
    <w:rsid w:val="00DA4752"/>
    <w:rsid w:val="00DA5CA4"/>
    <w:rsid w:val="00DA61F3"/>
    <w:rsid w:val="00DB0F93"/>
    <w:rsid w:val="00DB1A67"/>
    <w:rsid w:val="00DB5074"/>
    <w:rsid w:val="00DC0340"/>
    <w:rsid w:val="00DC6C0E"/>
    <w:rsid w:val="00DC7054"/>
    <w:rsid w:val="00DC7981"/>
    <w:rsid w:val="00DD2A34"/>
    <w:rsid w:val="00DD43F5"/>
    <w:rsid w:val="00DD5364"/>
    <w:rsid w:val="00DD5A9B"/>
    <w:rsid w:val="00DE1093"/>
    <w:rsid w:val="00DE4EFA"/>
    <w:rsid w:val="00DE5520"/>
    <w:rsid w:val="00DE563D"/>
    <w:rsid w:val="00E01EC8"/>
    <w:rsid w:val="00E035F5"/>
    <w:rsid w:val="00E04818"/>
    <w:rsid w:val="00E06442"/>
    <w:rsid w:val="00E10BE8"/>
    <w:rsid w:val="00E16466"/>
    <w:rsid w:val="00E16C61"/>
    <w:rsid w:val="00E22340"/>
    <w:rsid w:val="00E22A3B"/>
    <w:rsid w:val="00E23993"/>
    <w:rsid w:val="00E24B81"/>
    <w:rsid w:val="00E25B8C"/>
    <w:rsid w:val="00E27535"/>
    <w:rsid w:val="00E2796F"/>
    <w:rsid w:val="00E30C5B"/>
    <w:rsid w:val="00E31871"/>
    <w:rsid w:val="00E350E4"/>
    <w:rsid w:val="00E35C3D"/>
    <w:rsid w:val="00E37FF2"/>
    <w:rsid w:val="00E43A6B"/>
    <w:rsid w:val="00E455DF"/>
    <w:rsid w:val="00E45B5C"/>
    <w:rsid w:val="00E47ABB"/>
    <w:rsid w:val="00E51A91"/>
    <w:rsid w:val="00E605CE"/>
    <w:rsid w:val="00E61E1F"/>
    <w:rsid w:val="00E6476C"/>
    <w:rsid w:val="00E647C3"/>
    <w:rsid w:val="00E65C85"/>
    <w:rsid w:val="00E66199"/>
    <w:rsid w:val="00E72765"/>
    <w:rsid w:val="00E7296C"/>
    <w:rsid w:val="00E72F96"/>
    <w:rsid w:val="00E755EC"/>
    <w:rsid w:val="00E7624D"/>
    <w:rsid w:val="00E77388"/>
    <w:rsid w:val="00E82154"/>
    <w:rsid w:val="00E8586B"/>
    <w:rsid w:val="00E91FAC"/>
    <w:rsid w:val="00E92EF6"/>
    <w:rsid w:val="00E9522A"/>
    <w:rsid w:val="00E95D20"/>
    <w:rsid w:val="00E9682A"/>
    <w:rsid w:val="00EA0B27"/>
    <w:rsid w:val="00EA1A9C"/>
    <w:rsid w:val="00EA2958"/>
    <w:rsid w:val="00EA3D42"/>
    <w:rsid w:val="00EA6B1B"/>
    <w:rsid w:val="00EA75A6"/>
    <w:rsid w:val="00EB1103"/>
    <w:rsid w:val="00EB1607"/>
    <w:rsid w:val="00EB72B4"/>
    <w:rsid w:val="00EB7922"/>
    <w:rsid w:val="00EC024D"/>
    <w:rsid w:val="00EC319B"/>
    <w:rsid w:val="00EC4117"/>
    <w:rsid w:val="00EC51AE"/>
    <w:rsid w:val="00EC5AAE"/>
    <w:rsid w:val="00ED2148"/>
    <w:rsid w:val="00ED2B32"/>
    <w:rsid w:val="00ED45C9"/>
    <w:rsid w:val="00ED7323"/>
    <w:rsid w:val="00EE28F3"/>
    <w:rsid w:val="00EE3670"/>
    <w:rsid w:val="00EE4349"/>
    <w:rsid w:val="00EE4A9A"/>
    <w:rsid w:val="00EF042E"/>
    <w:rsid w:val="00EF0DB1"/>
    <w:rsid w:val="00EF5110"/>
    <w:rsid w:val="00EF6851"/>
    <w:rsid w:val="00F0025C"/>
    <w:rsid w:val="00F03A42"/>
    <w:rsid w:val="00F0565E"/>
    <w:rsid w:val="00F0774B"/>
    <w:rsid w:val="00F07E80"/>
    <w:rsid w:val="00F10411"/>
    <w:rsid w:val="00F10BBC"/>
    <w:rsid w:val="00F111A9"/>
    <w:rsid w:val="00F12F32"/>
    <w:rsid w:val="00F14E00"/>
    <w:rsid w:val="00F15882"/>
    <w:rsid w:val="00F15A62"/>
    <w:rsid w:val="00F171E0"/>
    <w:rsid w:val="00F20BD3"/>
    <w:rsid w:val="00F212F8"/>
    <w:rsid w:val="00F21633"/>
    <w:rsid w:val="00F2457C"/>
    <w:rsid w:val="00F25315"/>
    <w:rsid w:val="00F30FF2"/>
    <w:rsid w:val="00F373A5"/>
    <w:rsid w:val="00F417EB"/>
    <w:rsid w:val="00F42A4C"/>
    <w:rsid w:val="00F46344"/>
    <w:rsid w:val="00F474F4"/>
    <w:rsid w:val="00F47559"/>
    <w:rsid w:val="00F5203A"/>
    <w:rsid w:val="00F546E5"/>
    <w:rsid w:val="00F56089"/>
    <w:rsid w:val="00F565E0"/>
    <w:rsid w:val="00F56C9A"/>
    <w:rsid w:val="00F60340"/>
    <w:rsid w:val="00F64C7B"/>
    <w:rsid w:val="00F665D1"/>
    <w:rsid w:val="00F676DD"/>
    <w:rsid w:val="00F7043E"/>
    <w:rsid w:val="00F70769"/>
    <w:rsid w:val="00F72824"/>
    <w:rsid w:val="00F72A0D"/>
    <w:rsid w:val="00F74948"/>
    <w:rsid w:val="00F75A26"/>
    <w:rsid w:val="00F75FD0"/>
    <w:rsid w:val="00F76706"/>
    <w:rsid w:val="00F83FAD"/>
    <w:rsid w:val="00F86FBD"/>
    <w:rsid w:val="00F952A0"/>
    <w:rsid w:val="00F96748"/>
    <w:rsid w:val="00FA04CD"/>
    <w:rsid w:val="00FA0DF1"/>
    <w:rsid w:val="00FA22F2"/>
    <w:rsid w:val="00FA2520"/>
    <w:rsid w:val="00FA3C7F"/>
    <w:rsid w:val="00FA7B3B"/>
    <w:rsid w:val="00FB34E0"/>
    <w:rsid w:val="00FB744F"/>
    <w:rsid w:val="00FB74E2"/>
    <w:rsid w:val="00FC0E82"/>
    <w:rsid w:val="00FC10C4"/>
    <w:rsid w:val="00FC31C5"/>
    <w:rsid w:val="00FC6308"/>
    <w:rsid w:val="00FC79E2"/>
    <w:rsid w:val="00FD0429"/>
    <w:rsid w:val="00FD05B8"/>
    <w:rsid w:val="00FD5614"/>
    <w:rsid w:val="00FE0BE1"/>
    <w:rsid w:val="00FE0E6A"/>
    <w:rsid w:val="00FE1DE9"/>
    <w:rsid w:val="00FE36AF"/>
    <w:rsid w:val="00FE39C2"/>
    <w:rsid w:val="00FE3C32"/>
    <w:rsid w:val="00FE4655"/>
    <w:rsid w:val="00FE58F4"/>
    <w:rsid w:val="00FE64AE"/>
    <w:rsid w:val="00FF0543"/>
    <w:rsid w:val="00FF1111"/>
    <w:rsid w:val="00FF5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C64EFA0E</Template>
  <TotalTime>0</TotalTime>
  <Pages>43</Pages>
  <Words>12948</Words>
  <Characters>73809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2015-04-28T02:42:00Z</dcterms:created>
  <dcterms:modified xsi:type="dcterms:W3CDTF">2015-04-28T06:57:00Z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