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AFEB22E" wp14:editId="18067FC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2E6A08">
            <w:t>8</w:t>
          </w:r>
          <w:r>
            <w:t xml:space="preserve"> </w:t>
          </w:r>
          <w:r>
            <w:rPr>
              <w:rFonts w:cs="Arial"/>
            </w:rPr>
            <w:t>−</w:t>
          </w:r>
          <w:r>
            <w:t xml:space="preserve"> </w:t>
          </w:r>
          <w:r w:rsidR="002E6A08">
            <w:t>Corporate income tax</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3073915"/>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EE0A4A">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307391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53380"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3073915" w:history="1">
            <w:r w:rsidR="00053380" w:rsidRPr="00070E26">
              <w:rPr>
                <w:rStyle w:val="Hyperlink"/>
              </w:rPr>
              <w:t>Note</w:t>
            </w:r>
            <w:r w:rsidR="00053380">
              <w:rPr>
                <w:webHidden/>
              </w:rPr>
              <w:tab/>
            </w:r>
            <w:r w:rsidR="00053380">
              <w:rPr>
                <w:webHidden/>
              </w:rPr>
              <w:fldChar w:fldCharType="begin"/>
            </w:r>
            <w:r w:rsidR="00053380">
              <w:rPr>
                <w:webHidden/>
              </w:rPr>
              <w:instrText xml:space="preserve"> PAGEREF _Toc413073915 \h </w:instrText>
            </w:r>
            <w:r w:rsidR="00053380">
              <w:rPr>
                <w:webHidden/>
              </w:rPr>
            </w:r>
            <w:r w:rsidR="00053380">
              <w:rPr>
                <w:webHidden/>
              </w:rPr>
              <w:fldChar w:fldCharType="separate"/>
            </w:r>
            <w:r w:rsidR="00D36143">
              <w:rPr>
                <w:webHidden/>
              </w:rPr>
              <w:t>8-2</w:t>
            </w:r>
            <w:r w:rsidR="00053380">
              <w:rPr>
                <w:webHidden/>
              </w:rPr>
              <w:fldChar w:fldCharType="end"/>
            </w:r>
          </w:hyperlink>
        </w:p>
        <w:p w:rsidR="00053380" w:rsidRDefault="00E42874">
          <w:pPr>
            <w:pStyle w:val="TOC1"/>
            <w:rPr>
              <w:rFonts w:asciiTheme="minorHAnsi" w:eastAsiaTheme="minorEastAsia" w:hAnsiTheme="minorHAnsi"/>
              <w:b w:val="0"/>
              <w:color w:val="auto"/>
              <w:sz w:val="22"/>
              <w:lang w:val="en-AU" w:eastAsia="en-AU"/>
            </w:rPr>
          </w:pPr>
          <w:hyperlink w:anchor="_Toc413073916" w:history="1">
            <w:r w:rsidR="00053380" w:rsidRPr="00070E26">
              <w:rPr>
                <w:rStyle w:val="Hyperlink"/>
              </w:rPr>
              <w:t>Contents</w:t>
            </w:r>
            <w:r w:rsidR="00053380">
              <w:rPr>
                <w:webHidden/>
              </w:rPr>
              <w:tab/>
            </w:r>
            <w:r w:rsidR="00053380">
              <w:rPr>
                <w:webHidden/>
              </w:rPr>
              <w:fldChar w:fldCharType="begin"/>
            </w:r>
            <w:r w:rsidR="00053380">
              <w:rPr>
                <w:webHidden/>
              </w:rPr>
              <w:instrText xml:space="preserve"> PAGEREF _Toc413073916 \h </w:instrText>
            </w:r>
            <w:r w:rsidR="00053380">
              <w:rPr>
                <w:webHidden/>
              </w:rPr>
            </w:r>
            <w:r w:rsidR="00053380">
              <w:rPr>
                <w:webHidden/>
              </w:rPr>
              <w:fldChar w:fldCharType="separate"/>
            </w:r>
            <w:r w:rsidR="00D36143">
              <w:rPr>
                <w:webHidden/>
              </w:rPr>
              <w:t>8-3</w:t>
            </w:r>
            <w:r w:rsidR="00053380">
              <w:rPr>
                <w:webHidden/>
              </w:rPr>
              <w:fldChar w:fldCharType="end"/>
            </w:r>
          </w:hyperlink>
        </w:p>
        <w:p w:rsidR="00053380" w:rsidRDefault="00E42874">
          <w:pPr>
            <w:pStyle w:val="TOC1"/>
            <w:rPr>
              <w:rFonts w:asciiTheme="minorHAnsi" w:eastAsiaTheme="minorEastAsia" w:hAnsiTheme="minorHAnsi"/>
              <w:b w:val="0"/>
              <w:color w:val="auto"/>
              <w:sz w:val="22"/>
              <w:lang w:val="en-AU" w:eastAsia="en-AU"/>
            </w:rPr>
          </w:pPr>
          <w:hyperlink w:anchor="_Toc413073917" w:history="1">
            <w:r w:rsidR="00053380" w:rsidRPr="00070E26">
              <w:rPr>
                <w:rStyle w:val="Hyperlink"/>
              </w:rPr>
              <w:t>Shortened forms</w:t>
            </w:r>
            <w:r w:rsidR="00053380">
              <w:rPr>
                <w:webHidden/>
              </w:rPr>
              <w:tab/>
            </w:r>
            <w:r w:rsidR="00053380">
              <w:rPr>
                <w:webHidden/>
              </w:rPr>
              <w:fldChar w:fldCharType="begin"/>
            </w:r>
            <w:r w:rsidR="00053380">
              <w:rPr>
                <w:webHidden/>
              </w:rPr>
              <w:instrText xml:space="preserve"> PAGEREF _Toc413073917 \h </w:instrText>
            </w:r>
            <w:r w:rsidR="00053380">
              <w:rPr>
                <w:webHidden/>
              </w:rPr>
            </w:r>
            <w:r w:rsidR="00053380">
              <w:rPr>
                <w:webHidden/>
              </w:rPr>
              <w:fldChar w:fldCharType="separate"/>
            </w:r>
            <w:r w:rsidR="00D36143">
              <w:rPr>
                <w:webHidden/>
              </w:rPr>
              <w:t>8-4</w:t>
            </w:r>
            <w:r w:rsidR="00053380">
              <w:rPr>
                <w:webHidden/>
              </w:rPr>
              <w:fldChar w:fldCharType="end"/>
            </w:r>
          </w:hyperlink>
        </w:p>
        <w:p w:rsidR="00053380" w:rsidRDefault="00E42874">
          <w:pPr>
            <w:pStyle w:val="TOC1"/>
            <w:rPr>
              <w:rFonts w:asciiTheme="minorHAnsi" w:eastAsiaTheme="minorEastAsia" w:hAnsiTheme="minorHAnsi"/>
              <w:b w:val="0"/>
              <w:color w:val="auto"/>
              <w:sz w:val="22"/>
              <w:lang w:val="en-AU" w:eastAsia="en-AU"/>
            </w:rPr>
          </w:pPr>
          <w:hyperlink w:anchor="_Toc413073918" w:history="1">
            <w:r w:rsidR="00053380" w:rsidRPr="00070E26">
              <w:rPr>
                <w:rStyle w:val="Hyperlink"/>
              </w:rPr>
              <w:t>8</w:t>
            </w:r>
            <w:r w:rsidR="00053380">
              <w:rPr>
                <w:rFonts w:asciiTheme="minorHAnsi" w:eastAsiaTheme="minorEastAsia" w:hAnsiTheme="minorHAnsi"/>
                <w:b w:val="0"/>
                <w:color w:val="auto"/>
                <w:sz w:val="22"/>
                <w:lang w:val="en-AU" w:eastAsia="en-AU"/>
              </w:rPr>
              <w:tab/>
            </w:r>
            <w:r w:rsidR="00053380" w:rsidRPr="00070E26">
              <w:rPr>
                <w:rStyle w:val="Hyperlink"/>
              </w:rPr>
              <w:t>Corporate income tax</w:t>
            </w:r>
            <w:r w:rsidR="00053380">
              <w:rPr>
                <w:webHidden/>
              </w:rPr>
              <w:tab/>
            </w:r>
            <w:r w:rsidR="00053380">
              <w:rPr>
                <w:webHidden/>
              </w:rPr>
              <w:fldChar w:fldCharType="begin"/>
            </w:r>
            <w:r w:rsidR="00053380">
              <w:rPr>
                <w:webHidden/>
              </w:rPr>
              <w:instrText xml:space="preserve"> PAGEREF _Toc413073918 \h </w:instrText>
            </w:r>
            <w:r w:rsidR="00053380">
              <w:rPr>
                <w:webHidden/>
              </w:rPr>
            </w:r>
            <w:r w:rsidR="00053380">
              <w:rPr>
                <w:webHidden/>
              </w:rPr>
              <w:fldChar w:fldCharType="separate"/>
            </w:r>
            <w:r w:rsidR="00D36143">
              <w:rPr>
                <w:webHidden/>
              </w:rPr>
              <w:t>8-6</w:t>
            </w:r>
            <w:r w:rsidR="00053380">
              <w:rPr>
                <w:webHidden/>
              </w:rPr>
              <w:fldChar w:fldCharType="end"/>
            </w:r>
          </w:hyperlink>
        </w:p>
        <w:p w:rsidR="00053380" w:rsidRDefault="00E42874">
          <w:pPr>
            <w:pStyle w:val="TOC2"/>
            <w:rPr>
              <w:rFonts w:asciiTheme="minorHAnsi" w:eastAsiaTheme="minorEastAsia" w:hAnsiTheme="minorHAnsi"/>
              <w:b w:val="0"/>
              <w:color w:val="auto"/>
              <w:sz w:val="22"/>
              <w:lang w:eastAsia="en-AU"/>
            </w:rPr>
          </w:pPr>
          <w:hyperlink w:anchor="_Toc413073919" w:history="1">
            <w:r w:rsidR="00053380" w:rsidRPr="00070E26">
              <w:rPr>
                <w:rStyle w:val="Hyperlink"/>
              </w:rPr>
              <w:t>8.1</w:t>
            </w:r>
            <w:r w:rsidR="00053380">
              <w:rPr>
                <w:rFonts w:asciiTheme="minorHAnsi" w:eastAsiaTheme="minorEastAsia" w:hAnsiTheme="minorHAnsi"/>
                <w:b w:val="0"/>
                <w:color w:val="auto"/>
                <w:sz w:val="22"/>
                <w:lang w:eastAsia="en-AU"/>
              </w:rPr>
              <w:tab/>
            </w:r>
            <w:r w:rsidR="00053380" w:rsidRPr="00070E26">
              <w:rPr>
                <w:rStyle w:val="Hyperlink"/>
              </w:rPr>
              <w:t>Final decision</w:t>
            </w:r>
            <w:r w:rsidR="00053380">
              <w:rPr>
                <w:webHidden/>
              </w:rPr>
              <w:tab/>
            </w:r>
            <w:r w:rsidR="00053380">
              <w:rPr>
                <w:webHidden/>
              </w:rPr>
              <w:fldChar w:fldCharType="begin"/>
            </w:r>
            <w:r w:rsidR="00053380">
              <w:rPr>
                <w:webHidden/>
              </w:rPr>
              <w:instrText xml:space="preserve"> PAGEREF _Toc413073919 \h </w:instrText>
            </w:r>
            <w:r w:rsidR="00053380">
              <w:rPr>
                <w:webHidden/>
              </w:rPr>
            </w:r>
            <w:r w:rsidR="00053380">
              <w:rPr>
                <w:webHidden/>
              </w:rPr>
              <w:fldChar w:fldCharType="separate"/>
            </w:r>
            <w:r w:rsidR="00D36143">
              <w:rPr>
                <w:webHidden/>
              </w:rPr>
              <w:t>8-6</w:t>
            </w:r>
            <w:r w:rsidR="00053380">
              <w:rPr>
                <w:webHidden/>
              </w:rPr>
              <w:fldChar w:fldCharType="end"/>
            </w:r>
          </w:hyperlink>
        </w:p>
        <w:p w:rsidR="00053380" w:rsidRDefault="00E42874">
          <w:pPr>
            <w:pStyle w:val="TOC2"/>
            <w:rPr>
              <w:rFonts w:asciiTheme="minorHAnsi" w:eastAsiaTheme="minorEastAsia" w:hAnsiTheme="minorHAnsi"/>
              <w:b w:val="0"/>
              <w:color w:val="auto"/>
              <w:sz w:val="22"/>
              <w:lang w:eastAsia="en-AU"/>
            </w:rPr>
          </w:pPr>
          <w:hyperlink w:anchor="_Toc413073920" w:history="1">
            <w:r w:rsidR="00053380" w:rsidRPr="00070E26">
              <w:rPr>
                <w:rStyle w:val="Hyperlink"/>
              </w:rPr>
              <w:t>8.2</w:t>
            </w:r>
            <w:r w:rsidR="00053380">
              <w:rPr>
                <w:rFonts w:asciiTheme="minorHAnsi" w:eastAsiaTheme="minorEastAsia" w:hAnsiTheme="minorHAnsi"/>
                <w:b w:val="0"/>
                <w:color w:val="auto"/>
                <w:sz w:val="22"/>
                <w:lang w:eastAsia="en-AU"/>
              </w:rPr>
              <w:tab/>
            </w:r>
            <w:r w:rsidR="00053380" w:rsidRPr="00070E26">
              <w:rPr>
                <w:rStyle w:val="Hyperlink"/>
              </w:rPr>
              <w:t>Directlink’s revised proposal</w:t>
            </w:r>
            <w:r w:rsidR="00053380">
              <w:rPr>
                <w:webHidden/>
              </w:rPr>
              <w:tab/>
            </w:r>
            <w:r w:rsidR="00053380">
              <w:rPr>
                <w:webHidden/>
              </w:rPr>
              <w:fldChar w:fldCharType="begin"/>
            </w:r>
            <w:r w:rsidR="00053380">
              <w:rPr>
                <w:webHidden/>
              </w:rPr>
              <w:instrText xml:space="preserve"> PAGEREF _Toc413073920 \h </w:instrText>
            </w:r>
            <w:r w:rsidR="00053380">
              <w:rPr>
                <w:webHidden/>
              </w:rPr>
            </w:r>
            <w:r w:rsidR="00053380">
              <w:rPr>
                <w:webHidden/>
              </w:rPr>
              <w:fldChar w:fldCharType="separate"/>
            </w:r>
            <w:r w:rsidR="00D36143">
              <w:rPr>
                <w:webHidden/>
              </w:rPr>
              <w:t>8-7</w:t>
            </w:r>
            <w:r w:rsidR="00053380">
              <w:rPr>
                <w:webHidden/>
              </w:rPr>
              <w:fldChar w:fldCharType="end"/>
            </w:r>
          </w:hyperlink>
        </w:p>
        <w:p w:rsidR="00053380" w:rsidRDefault="00E42874">
          <w:pPr>
            <w:pStyle w:val="TOC2"/>
            <w:rPr>
              <w:rFonts w:asciiTheme="minorHAnsi" w:eastAsiaTheme="minorEastAsia" w:hAnsiTheme="minorHAnsi"/>
              <w:b w:val="0"/>
              <w:color w:val="auto"/>
              <w:sz w:val="22"/>
              <w:lang w:eastAsia="en-AU"/>
            </w:rPr>
          </w:pPr>
          <w:hyperlink w:anchor="_Toc413073921" w:history="1">
            <w:r w:rsidR="00053380" w:rsidRPr="00070E26">
              <w:rPr>
                <w:rStyle w:val="Hyperlink"/>
              </w:rPr>
              <w:t>8.3</w:t>
            </w:r>
            <w:r w:rsidR="00053380">
              <w:rPr>
                <w:rFonts w:asciiTheme="minorHAnsi" w:eastAsiaTheme="minorEastAsia" w:hAnsiTheme="minorHAnsi"/>
                <w:b w:val="0"/>
                <w:color w:val="auto"/>
                <w:sz w:val="22"/>
                <w:lang w:eastAsia="en-AU"/>
              </w:rPr>
              <w:tab/>
            </w:r>
            <w:r w:rsidR="00053380" w:rsidRPr="00070E26">
              <w:rPr>
                <w:rStyle w:val="Hyperlink"/>
              </w:rPr>
              <w:t>AER’s assessment approach</w:t>
            </w:r>
            <w:r w:rsidR="00053380">
              <w:rPr>
                <w:webHidden/>
              </w:rPr>
              <w:tab/>
            </w:r>
            <w:r w:rsidR="00053380">
              <w:rPr>
                <w:webHidden/>
              </w:rPr>
              <w:fldChar w:fldCharType="begin"/>
            </w:r>
            <w:r w:rsidR="00053380">
              <w:rPr>
                <w:webHidden/>
              </w:rPr>
              <w:instrText xml:space="preserve"> PAGEREF _Toc413073921 \h </w:instrText>
            </w:r>
            <w:r w:rsidR="00053380">
              <w:rPr>
                <w:webHidden/>
              </w:rPr>
            </w:r>
            <w:r w:rsidR="00053380">
              <w:rPr>
                <w:webHidden/>
              </w:rPr>
              <w:fldChar w:fldCharType="separate"/>
            </w:r>
            <w:r w:rsidR="00D36143">
              <w:rPr>
                <w:webHidden/>
              </w:rPr>
              <w:t>8-7</w:t>
            </w:r>
            <w:r w:rsidR="00053380">
              <w:rPr>
                <w:webHidden/>
              </w:rPr>
              <w:fldChar w:fldCharType="end"/>
            </w:r>
          </w:hyperlink>
        </w:p>
        <w:p w:rsidR="00053380" w:rsidRDefault="00E42874">
          <w:pPr>
            <w:pStyle w:val="TOC2"/>
            <w:rPr>
              <w:rFonts w:asciiTheme="minorHAnsi" w:eastAsiaTheme="minorEastAsia" w:hAnsiTheme="minorHAnsi"/>
              <w:b w:val="0"/>
              <w:color w:val="auto"/>
              <w:sz w:val="22"/>
              <w:lang w:eastAsia="en-AU"/>
            </w:rPr>
          </w:pPr>
          <w:hyperlink w:anchor="_Toc413073922" w:history="1">
            <w:r w:rsidR="00053380" w:rsidRPr="00070E26">
              <w:rPr>
                <w:rStyle w:val="Hyperlink"/>
              </w:rPr>
              <w:t>8.4</w:t>
            </w:r>
            <w:r w:rsidR="00053380">
              <w:rPr>
                <w:rFonts w:asciiTheme="minorHAnsi" w:eastAsiaTheme="minorEastAsia" w:hAnsiTheme="minorHAnsi"/>
                <w:b w:val="0"/>
                <w:color w:val="auto"/>
                <w:sz w:val="22"/>
                <w:lang w:eastAsia="en-AU"/>
              </w:rPr>
              <w:tab/>
            </w:r>
            <w:r w:rsidR="00053380" w:rsidRPr="00070E26">
              <w:rPr>
                <w:rStyle w:val="Hyperlink"/>
              </w:rPr>
              <w:t>Reasons for final decision</w:t>
            </w:r>
            <w:r w:rsidR="00053380">
              <w:rPr>
                <w:webHidden/>
              </w:rPr>
              <w:tab/>
            </w:r>
            <w:r w:rsidR="00053380">
              <w:rPr>
                <w:webHidden/>
              </w:rPr>
              <w:fldChar w:fldCharType="begin"/>
            </w:r>
            <w:r w:rsidR="00053380">
              <w:rPr>
                <w:webHidden/>
              </w:rPr>
              <w:instrText xml:space="preserve"> PAGEREF _Toc413073922 \h </w:instrText>
            </w:r>
            <w:r w:rsidR="00053380">
              <w:rPr>
                <w:webHidden/>
              </w:rPr>
            </w:r>
            <w:r w:rsidR="00053380">
              <w:rPr>
                <w:webHidden/>
              </w:rPr>
              <w:fldChar w:fldCharType="separate"/>
            </w:r>
            <w:r w:rsidR="00D36143">
              <w:rPr>
                <w:webHidden/>
              </w:rPr>
              <w:t>8-8</w:t>
            </w:r>
            <w:r w:rsidR="00053380">
              <w:rPr>
                <w:webHidden/>
              </w:rPr>
              <w:fldChar w:fldCharType="end"/>
            </w:r>
          </w:hyperlink>
        </w:p>
        <w:p w:rsidR="00053380" w:rsidRDefault="00E42874">
          <w:pPr>
            <w:pStyle w:val="TOC3"/>
            <w:rPr>
              <w:rFonts w:asciiTheme="minorHAnsi" w:eastAsiaTheme="minorEastAsia" w:hAnsiTheme="minorHAnsi"/>
              <w:lang w:eastAsia="en-AU"/>
            </w:rPr>
          </w:pPr>
          <w:hyperlink w:anchor="_Toc413073923" w:history="1">
            <w:r w:rsidR="00053380" w:rsidRPr="00070E26">
              <w:rPr>
                <w:rStyle w:val="Hyperlink"/>
              </w:rPr>
              <w:t>8.4.1</w:t>
            </w:r>
            <w:r w:rsidR="00053380">
              <w:rPr>
                <w:rFonts w:asciiTheme="minorHAnsi" w:eastAsiaTheme="minorEastAsia" w:hAnsiTheme="minorHAnsi"/>
                <w:lang w:eastAsia="en-AU"/>
              </w:rPr>
              <w:tab/>
            </w:r>
            <w:r w:rsidR="00053380" w:rsidRPr="00070E26">
              <w:rPr>
                <w:rStyle w:val="Hyperlink"/>
              </w:rPr>
              <w:t>Opening tax base at 1 July 2015</w:t>
            </w:r>
            <w:r w:rsidR="00053380">
              <w:rPr>
                <w:webHidden/>
              </w:rPr>
              <w:tab/>
            </w:r>
            <w:r w:rsidR="00053380">
              <w:rPr>
                <w:webHidden/>
              </w:rPr>
              <w:fldChar w:fldCharType="begin"/>
            </w:r>
            <w:r w:rsidR="00053380">
              <w:rPr>
                <w:webHidden/>
              </w:rPr>
              <w:instrText xml:space="preserve"> PAGEREF _Toc413073923 \h </w:instrText>
            </w:r>
            <w:r w:rsidR="00053380">
              <w:rPr>
                <w:webHidden/>
              </w:rPr>
            </w:r>
            <w:r w:rsidR="00053380">
              <w:rPr>
                <w:webHidden/>
              </w:rPr>
              <w:fldChar w:fldCharType="separate"/>
            </w:r>
            <w:r w:rsidR="00D36143">
              <w:rPr>
                <w:webHidden/>
              </w:rPr>
              <w:t>8-8</w:t>
            </w:r>
            <w:r w:rsidR="00053380">
              <w:rPr>
                <w:webHidden/>
              </w:rPr>
              <w:fldChar w:fldCharType="end"/>
            </w:r>
          </w:hyperlink>
        </w:p>
        <w:p w:rsidR="00053380" w:rsidRDefault="00E42874">
          <w:pPr>
            <w:pStyle w:val="TOC3"/>
            <w:rPr>
              <w:rFonts w:asciiTheme="minorHAnsi" w:eastAsiaTheme="minorEastAsia" w:hAnsiTheme="minorHAnsi"/>
              <w:lang w:eastAsia="en-AU"/>
            </w:rPr>
          </w:pPr>
          <w:hyperlink w:anchor="_Toc413073924" w:history="1">
            <w:r w:rsidR="00053380" w:rsidRPr="00070E26">
              <w:rPr>
                <w:rStyle w:val="Hyperlink"/>
              </w:rPr>
              <w:t>8.4.2</w:t>
            </w:r>
            <w:r w:rsidR="00053380">
              <w:rPr>
                <w:rFonts w:asciiTheme="minorHAnsi" w:eastAsiaTheme="minorEastAsia" w:hAnsiTheme="minorHAnsi"/>
                <w:lang w:eastAsia="en-AU"/>
              </w:rPr>
              <w:tab/>
            </w:r>
            <w:r w:rsidR="00053380" w:rsidRPr="00070E26">
              <w:rPr>
                <w:rStyle w:val="Hyperlink"/>
              </w:rPr>
              <w:t>Standard and remaining tax asset lives</w:t>
            </w:r>
            <w:r w:rsidR="00053380">
              <w:rPr>
                <w:webHidden/>
              </w:rPr>
              <w:tab/>
            </w:r>
            <w:r w:rsidR="00053380">
              <w:rPr>
                <w:webHidden/>
              </w:rPr>
              <w:fldChar w:fldCharType="begin"/>
            </w:r>
            <w:r w:rsidR="00053380">
              <w:rPr>
                <w:webHidden/>
              </w:rPr>
              <w:instrText xml:space="preserve"> PAGEREF _Toc413073924 \h </w:instrText>
            </w:r>
            <w:r w:rsidR="00053380">
              <w:rPr>
                <w:webHidden/>
              </w:rPr>
            </w:r>
            <w:r w:rsidR="00053380">
              <w:rPr>
                <w:webHidden/>
              </w:rPr>
              <w:fldChar w:fldCharType="separate"/>
            </w:r>
            <w:r w:rsidR="00D36143">
              <w:rPr>
                <w:webHidden/>
              </w:rPr>
              <w:t>8-9</w:t>
            </w:r>
            <w:r w:rsidR="00053380">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3073917"/>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6E4F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6333D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6333D4">
              <w:t xml:space="preserve">and </w:t>
            </w:r>
            <w:r w:rsidRPr="00307E24">
              <w:t>pricing principles</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6E4F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6E4FE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2E6A08" w:rsidP="002E6A08">
      <w:pPr>
        <w:pStyle w:val="Heading1"/>
      </w:pPr>
      <w:bookmarkStart w:id="10" w:name="_Toc413073918"/>
      <w:r>
        <w:lastRenderedPageBreak/>
        <w:t>Corporate income tax</w:t>
      </w:r>
      <w:bookmarkEnd w:id="10"/>
    </w:p>
    <w:p w:rsidR="008B1D2B" w:rsidRPr="00C64792" w:rsidRDefault="008B1D2B" w:rsidP="008B1D2B">
      <w:pPr>
        <w:numPr>
          <w:ilvl w:val="0"/>
          <w:numId w:val="25"/>
        </w:numPr>
      </w:pPr>
      <w:r w:rsidRPr="00C64792">
        <w:t>The AER is required to make a decision on the estimated cost of corporate income tax</w:t>
      </w:r>
      <w:r>
        <w:t xml:space="preserve"> for Directlink</w:t>
      </w:r>
      <w:r w:rsidRPr="00245B0B">
        <w:t xml:space="preserve">'s </w:t>
      </w:r>
      <w:r>
        <w:t>2015–20</w:t>
      </w:r>
      <w:r w:rsidRPr="00245B0B">
        <w:t xml:space="preserve"> regulatory control period</w:t>
      </w:r>
      <w:r>
        <w:t>.</w:t>
      </w:r>
      <w:r w:rsidRPr="00C64792">
        <w:rPr>
          <w:rStyle w:val="FootnoteReference"/>
        </w:rPr>
        <w:footnoteReference w:id="1"/>
      </w:r>
      <w:r w:rsidRPr="00C64792">
        <w:t xml:space="preserve"> Under the post-tax framework, a corporate income tax allowance is calculated as part of the building block assessment using our post-tax revenue model (PTRM). </w:t>
      </w:r>
    </w:p>
    <w:p w:rsidR="008B1D2B" w:rsidRPr="00AF1F9E" w:rsidRDefault="008B1D2B" w:rsidP="00C45C77">
      <w:pPr>
        <w:numPr>
          <w:ilvl w:val="0"/>
          <w:numId w:val="25"/>
        </w:numPr>
      </w:pPr>
      <w:r w:rsidRPr="00C64792">
        <w:t xml:space="preserve">This attachment sets out our </w:t>
      </w:r>
      <w:r>
        <w:t xml:space="preserve">final </w:t>
      </w:r>
      <w:r w:rsidRPr="00C64792">
        <w:t xml:space="preserve">decision on </w:t>
      </w:r>
      <w:r>
        <w:t>Directlink's</w:t>
      </w:r>
      <w:r w:rsidRPr="00C64792">
        <w:t xml:space="preserve"> </w:t>
      </w:r>
      <w:r>
        <w:t xml:space="preserve">revised </w:t>
      </w:r>
      <w:r w:rsidRPr="00C64792">
        <w:t xml:space="preserve">proposed corporate income tax allowance. It also presents our </w:t>
      </w:r>
      <w:r w:rsidR="007F1C28">
        <w:t>final decision on</w:t>
      </w:r>
      <w:r w:rsidRPr="00C64792">
        <w:t xml:space="preserve"> </w:t>
      </w:r>
      <w:r>
        <w:t>the</w:t>
      </w:r>
      <w:r w:rsidRPr="00C64792">
        <w:t xml:space="preserve"> </w:t>
      </w:r>
      <w:r>
        <w:t xml:space="preserve">revised </w:t>
      </w:r>
      <w:r w:rsidRPr="00C64792">
        <w:t>proposed opening tax asset base (TAB), and the standard and remaining tax asset lives used to estimate tax depreciation for the purpose of calculating t</w:t>
      </w:r>
      <w:r>
        <w:t>ax expenses.</w:t>
      </w:r>
    </w:p>
    <w:p w:rsidR="00DE563D" w:rsidRPr="00AF1F9E" w:rsidRDefault="00AF1F9E" w:rsidP="00AF1F9E">
      <w:pPr>
        <w:pStyle w:val="Heading2"/>
      </w:pPr>
      <w:bookmarkStart w:id="11" w:name="_Toc403144136"/>
      <w:bookmarkStart w:id="12" w:name="_Toc413073919"/>
      <w:r>
        <w:t>Final</w:t>
      </w:r>
      <w:r w:rsidR="00DE563D" w:rsidRPr="00AF1F9E">
        <w:t xml:space="preserve"> decision</w:t>
      </w:r>
      <w:bookmarkEnd w:id="11"/>
      <w:bookmarkEnd w:id="12"/>
    </w:p>
    <w:p w:rsidR="003D0523" w:rsidRDefault="003D0523" w:rsidP="00043014">
      <w:pPr>
        <w:numPr>
          <w:ilvl w:val="0"/>
          <w:numId w:val="25"/>
        </w:numPr>
      </w:pPr>
      <w:r>
        <w:t xml:space="preserve">We accept Directlink's proposed approach to estimating its cost of corporate income tax. </w:t>
      </w:r>
      <w:r w:rsidR="00043014">
        <w:t xml:space="preserve">We determine </w:t>
      </w:r>
      <w:r>
        <w:t>Directlink's</w:t>
      </w:r>
      <w:r w:rsidR="00043014">
        <w:t xml:space="preserve"> corporate income tax </w:t>
      </w:r>
      <w:r>
        <w:t xml:space="preserve">allowance </w:t>
      </w:r>
      <w:r w:rsidR="00043014">
        <w:t>to be $</w:t>
      </w:r>
      <w:r w:rsidR="0087699F">
        <w:t>2.1</w:t>
      </w:r>
      <w:r w:rsidR="00043014">
        <w:t xml:space="preserve"> million ($</w:t>
      </w:r>
      <w:r w:rsidR="007170D8">
        <w:t> </w:t>
      </w:r>
      <w:r w:rsidR="00043014">
        <w:t xml:space="preserve">nominal) </w:t>
      </w:r>
      <w:r>
        <w:t>for</w:t>
      </w:r>
      <w:r w:rsidR="00043014">
        <w:t xml:space="preserve"> the </w:t>
      </w:r>
      <w:r w:rsidR="008B1D2B">
        <w:t>2015–20 regulatory control period</w:t>
      </w:r>
      <w:r w:rsidR="008B1D2B" w:rsidRPr="00B63AFD">
        <w:t xml:space="preserve">. </w:t>
      </w:r>
      <w:r w:rsidR="00720630">
        <w:t xml:space="preserve">This </w:t>
      </w:r>
      <w:r>
        <w:t>represents</w:t>
      </w:r>
      <w:r w:rsidR="00720630">
        <w:t xml:space="preserve"> a </w:t>
      </w:r>
      <w:r>
        <w:t>reduction</w:t>
      </w:r>
      <w:r w:rsidR="008B1D2B" w:rsidRPr="00773015">
        <w:t xml:space="preserve"> of $</w:t>
      </w:r>
      <w:r w:rsidR="0087699F">
        <w:t>1.1</w:t>
      </w:r>
      <w:r w:rsidR="00720630">
        <w:t xml:space="preserve"> million</w:t>
      </w:r>
      <w:r w:rsidR="008B1D2B" w:rsidRPr="00773015">
        <w:t xml:space="preserve"> (or </w:t>
      </w:r>
      <w:r w:rsidR="0087699F">
        <w:t>35.</w:t>
      </w:r>
      <w:r w:rsidR="007170D8">
        <w:t>6</w:t>
      </w:r>
      <w:r w:rsidR="008B1D2B" w:rsidRPr="00773015">
        <w:t xml:space="preserve"> per cent) </w:t>
      </w:r>
      <w:r w:rsidR="008B1D2B" w:rsidRPr="00060BCE">
        <w:t xml:space="preserve">from </w:t>
      </w:r>
      <w:r w:rsidR="00043014">
        <w:t>Directlink's revised</w:t>
      </w:r>
      <w:r w:rsidR="008B1D2B" w:rsidRPr="00060BCE">
        <w:t xml:space="preserve"> proposal</w:t>
      </w:r>
      <w:r w:rsidR="008B1D2B">
        <w:t xml:space="preserve">. </w:t>
      </w:r>
    </w:p>
    <w:p w:rsidR="008B1D2B" w:rsidRPr="00DC58F1" w:rsidRDefault="003D0523" w:rsidP="00043014">
      <w:pPr>
        <w:numPr>
          <w:ilvl w:val="0"/>
          <w:numId w:val="25"/>
        </w:numPr>
      </w:pPr>
      <w:r>
        <w:t>Our final decision differs from</w:t>
      </w:r>
      <w:r w:rsidR="008B1D2B">
        <w:t xml:space="preserve"> Directlink's</w:t>
      </w:r>
      <w:r>
        <w:t xml:space="preserve"> revised proposal due to our determination on Directlink's</w:t>
      </w:r>
      <w:r w:rsidR="008B1D2B">
        <w:t xml:space="preserve"> proposed value of imputation credits (gamma) as discussed in attachment 4. Our determinations on </w:t>
      </w:r>
      <w:r w:rsidR="008B1D2B" w:rsidRPr="00DC58F1">
        <w:t>other building block</w:t>
      </w:r>
      <w:r w:rsidR="008B1D2B">
        <w:t xml:space="preserve"> component</w:t>
      </w:r>
      <w:r w:rsidR="008B1D2B" w:rsidRPr="00DC58F1">
        <w:t xml:space="preserve">s including forecast capex (attachment </w:t>
      </w:r>
      <w:r w:rsidR="008B1D2B">
        <w:t>6</w:t>
      </w:r>
      <w:r w:rsidR="008B1D2B" w:rsidRPr="00DC58F1">
        <w:t xml:space="preserve">) and forecast opex (attachment </w:t>
      </w:r>
      <w:r w:rsidR="008B1D2B">
        <w:t>7</w:t>
      </w:r>
      <w:r w:rsidR="008B1D2B" w:rsidRPr="00DC58F1">
        <w:t xml:space="preserve">) </w:t>
      </w:r>
      <w:r w:rsidR="008B1D2B">
        <w:t>affect revenue</w:t>
      </w:r>
      <w:r>
        <w:t>s</w:t>
      </w:r>
      <w:r w:rsidR="008B1D2B">
        <w:t>, which</w:t>
      </w:r>
      <w:r>
        <w:t xml:space="preserve"> also</w:t>
      </w:r>
      <w:r w:rsidR="008B1D2B">
        <w:t xml:space="preserve"> impact </w:t>
      </w:r>
      <w:r w:rsidR="008B1D2B" w:rsidRPr="00DC58F1">
        <w:t xml:space="preserve">the tax </w:t>
      </w:r>
      <w:r w:rsidR="008B1D2B">
        <w:t>calculation</w:t>
      </w:r>
      <w:r w:rsidR="008B1D2B" w:rsidRPr="00DC58F1">
        <w:t xml:space="preserve">. </w:t>
      </w:r>
    </w:p>
    <w:p w:rsidR="008B1D2B" w:rsidRPr="00DC58F1" w:rsidRDefault="008B1D2B" w:rsidP="008B1D2B">
      <w:pPr>
        <w:numPr>
          <w:ilvl w:val="0"/>
          <w:numId w:val="25"/>
        </w:numPr>
      </w:pPr>
      <w:r>
        <w:fldChar w:fldCharType="begin"/>
      </w:r>
      <w:r>
        <w:instrText xml:space="preserve"> REF _Ref402785387 \h </w:instrText>
      </w:r>
      <w:r>
        <w:fldChar w:fldCharType="separate"/>
      </w:r>
      <w:r>
        <w:t>Table 8</w:t>
      </w:r>
      <w:r>
        <w:noBreakHyphen/>
      </w:r>
      <w:r w:rsidRPr="008B1D2B">
        <w:t>1</w:t>
      </w:r>
      <w:r>
        <w:fldChar w:fldCharType="end"/>
      </w:r>
      <w:r>
        <w:t xml:space="preserve"> </w:t>
      </w:r>
      <w:r w:rsidRPr="00DC58F1">
        <w:t>set</w:t>
      </w:r>
      <w:r>
        <w:t>s</w:t>
      </w:r>
      <w:r w:rsidRPr="00DC58F1">
        <w:t xml:space="preserve"> out our </w:t>
      </w:r>
      <w:r w:rsidR="003D0523">
        <w:t>final</w:t>
      </w:r>
      <w:r w:rsidRPr="00DC58F1">
        <w:t xml:space="preserve"> decision on </w:t>
      </w:r>
      <w:r>
        <w:t>the</w:t>
      </w:r>
      <w:r w:rsidRPr="00DC58F1">
        <w:t xml:space="preserve"> estimated </w:t>
      </w:r>
      <w:r>
        <w:t xml:space="preserve">cost of </w:t>
      </w:r>
      <w:r w:rsidRPr="00DC58F1">
        <w:t>corporate income tax allowance</w:t>
      </w:r>
      <w:r>
        <w:t xml:space="preserve"> for Directlink</w:t>
      </w:r>
      <w:r w:rsidRPr="00DC58F1">
        <w:t xml:space="preserve">. </w:t>
      </w:r>
    </w:p>
    <w:p w:rsidR="008B1D2B" w:rsidRPr="008B1D2B" w:rsidRDefault="008B1D2B" w:rsidP="008B1D2B">
      <w:pPr>
        <w:pStyle w:val="Caption"/>
      </w:pPr>
      <w:bookmarkStart w:id="13" w:name="_Ref402785387"/>
      <w:r w:rsidRPr="008B1D2B">
        <w:t>Table 8</w:t>
      </w:r>
      <w:r w:rsidRPr="008B1D2B">
        <w:noBreakHyphen/>
      </w:r>
      <w:r w:rsidR="00E42874">
        <w:fldChar w:fldCharType="begin"/>
      </w:r>
      <w:r w:rsidR="00E42874">
        <w:instrText xml:space="preserve"> SEQ Table \* ARABIC \s 1 </w:instrText>
      </w:r>
      <w:r w:rsidR="00E42874">
        <w:fldChar w:fldCharType="separate"/>
      </w:r>
      <w:r w:rsidRPr="008B1D2B">
        <w:t>1</w:t>
      </w:r>
      <w:r w:rsidR="00E42874">
        <w:fldChar w:fldCharType="end"/>
      </w:r>
      <w:bookmarkEnd w:id="13"/>
      <w:r w:rsidRPr="008B1D2B">
        <w:tab/>
        <w:t xml:space="preserve">AER's </w:t>
      </w:r>
      <w:r w:rsidR="00714D2C">
        <w:t xml:space="preserve">final </w:t>
      </w:r>
      <w:r w:rsidRPr="008B1D2B">
        <w:t>decision on Directlink's cost of corporate income tax allowance for the 2015–20 regulatory control period ($ million, nominal)</w:t>
      </w:r>
    </w:p>
    <w:tbl>
      <w:tblPr>
        <w:tblStyle w:val="AERtable-numbers"/>
        <w:tblW w:w="5000" w:type="pct"/>
        <w:tblLook w:val="01E0" w:firstRow="1" w:lastRow="1" w:firstColumn="1" w:lastColumn="1" w:noHBand="0" w:noVBand="0"/>
      </w:tblPr>
      <w:tblGrid>
        <w:gridCol w:w="3085"/>
        <w:gridCol w:w="934"/>
        <w:gridCol w:w="935"/>
        <w:gridCol w:w="935"/>
        <w:gridCol w:w="934"/>
        <w:gridCol w:w="935"/>
        <w:gridCol w:w="935"/>
      </w:tblGrid>
      <w:tr w:rsidR="008B1D2B" w:rsidRPr="008B1D2B" w:rsidTr="00EA7558">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774" w:type="pct"/>
          </w:tcPr>
          <w:p w:rsidR="008B1D2B" w:rsidRPr="008B1D2B" w:rsidRDefault="008B1D2B" w:rsidP="008B1D2B"/>
        </w:tc>
        <w:tc>
          <w:tcPr>
            <w:tcW w:w="537" w:type="pct"/>
          </w:tcPr>
          <w:p w:rsidR="008B1D2B" w:rsidRPr="008B1D2B" w:rsidRDefault="008B1D2B" w:rsidP="008B1D2B">
            <w:pPr>
              <w:cnfStyle w:val="100000000000" w:firstRow="1" w:lastRow="0" w:firstColumn="0" w:lastColumn="0" w:oddVBand="0" w:evenVBand="0" w:oddHBand="0" w:evenHBand="0" w:firstRowFirstColumn="0" w:firstRowLastColumn="0" w:lastRowFirstColumn="0" w:lastRowLastColumn="0"/>
            </w:pPr>
            <w:r w:rsidRPr="008B1D2B">
              <w:t>2015–16</w:t>
            </w:r>
          </w:p>
        </w:tc>
        <w:tc>
          <w:tcPr>
            <w:tcW w:w="538" w:type="pct"/>
          </w:tcPr>
          <w:p w:rsidR="008B1D2B" w:rsidRPr="008B1D2B" w:rsidRDefault="008B1D2B" w:rsidP="008B1D2B">
            <w:pPr>
              <w:cnfStyle w:val="100000000000" w:firstRow="1" w:lastRow="0" w:firstColumn="0" w:lastColumn="0" w:oddVBand="0" w:evenVBand="0" w:oddHBand="0" w:evenHBand="0" w:firstRowFirstColumn="0" w:firstRowLastColumn="0" w:lastRowFirstColumn="0" w:lastRowLastColumn="0"/>
            </w:pPr>
            <w:r w:rsidRPr="008B1D2B">
              <w:t>2016–17</w:t>
            </w:r>
          </w:p>
        </w:tc>
        <w:tc>
          <w:tcPr>
            <w:tcW w:w="538" w:type="pct"/>
          </w:tcPr>
          <w:p w:rsidR="008B1D2B" w:rsidRPr="008B1D2B" w:rsidRDefault="008B1D2B" w:rsidP="008B1D2B">
            <w:pPr>
              <w:cnfStyle w:val="100000000000" w:firstRow="1" w:lastRow="0" w:firstColumn="0" w:lastColumn="0" w:oddVBand="0" w:evenVBand="0" w:oddHBand="0" w:evenHBand="0" w:firstRowFirstColumn="0" w:firstRowLastColumn="0" w:lastRowFirstColumn="0" w:lastRowLastColumn="0"/>
            </w:pPr>
            <w:r w:rsidRPr="008B1D2B">
              <w:t>2017–18</w:t>
            </w:r>
          </w:p>
        </w:tc>
        <w:tc>
          <w:tcPr>
            <w:tcW w:w="537" w:type="pct"/>
          </w:tcPr>
          <w:p w:rsidR="008B1D2B" w:rsidRPr="008B1D2B" w:rsidRDefault="008B1D2B" w:rsidP="008B1D2B">
            <w:pPr>
              <w:cnfStyle w:val="100000000000" w:firstRow="1" w:lastRow="0" w:firstColumn="0" w:lastColumn="0" w:oddVBand="0" w:evenVBand="0" w:oddHBand="0" w:evenHBand="0" w:firstRowFirstColumn="0" w:firstRowLastColumn="0" w:lastRowFirstColumn="0" w:lastRowLastColumn="0"/>
            </w:pPr>
            <w:r w:rsidRPr="008B1D2B">
              <w:t>2018–19</w:t>
            </w:r>
          </w:p>
        </w:tc>
        <w:tc>
          <w:tcPr>
            <w:tcW w:w="538" w:type="pct"/>
          </w:tcPr>
          <w:p w:rsidR="008B1D2B" w:rsidRPr="008B1D2B" w:rsidRDefault="008B1D2B" w:rsidP="008B1D2B">
            <w:pPr>
              <w:cnfStyle w:val="100000000000" w:firstRow="1" w:lastRow="0" w:firstColumn="0" w:lastColumn="0" w:oddVBand="0" w:evenVBand="0" w:oddHBand="0" w:evenHBand="0" w:firstRowFirstColumn="0" w:firstRowLastColumn="0" w:lastRowFirstColumn="0" w:lastRowLastColumn="0"/>
            </w:pPr>
            <w:r w:rsidRPr="008B1D2B">
              <w:t>2019–20</w:t>
            </w:r>
          </w:p>
        </w:tc>
        <w:tc>
          <w:tcPr>
            <w:tcW w:w="538" w:type="pct"/>
          </w:tcPr>
          <w:p w:rsidR="008B1D2B" w:rsidRPr="00F15F8B" w:rsidRDefault="008B1D2B" w:rsidP="00F15F8B">
            <w:pPr>
              <w:cnfStyle w:val="100000000000" w:firstRow="1" w:lastRow="0" w:firstColumn="0" w:lastColumn="0" w:oddVBand="0" w:evenVBand="0" w:oddHBand="0" w:evenHBand="0" w:firstRowFirstColumn="0" w:firstRowLastColumn="0" w:lastRowFirstColumn="0" w:lastRowLastColumn="0"/>
            </w:pPr>
            <w:r w:rsidRPr="00F15F8B">
              <w:t>Total</w:t>
            </w:r>
          </w:p>
        </w:tc>
      </w:tr>
      <w:tr w:rsidR="008B1D2B" w:rsidRPr="008B1D2B" w:rsidTr="005A0CA0">
        <w:trPr>
          <w:trHeight w:val="450"/>
        </w:trPr>
        <w:tc>
          <w:tcPr>
            <w:cnfStyle w:val="001000000000" w:firstRow="0" w:lastRow="0" w:firstColumn="1" w:lastColumn="0" w:oddVBand="0" w:evenVBand="0" w:oddHBand="0" w:evenHBand="0" w:firstRowFirstColumn="0" w:firstRowLastColumn="0" w:lastRowFirstColumn="0" w:lastRowLastColumn="0"/>
            <w:tcW w:w="1774" w:type="pct"/>
          </w:tcPr>
          <w:p w:rsidR="008B1D2B" w:rsidRPr="008B1D2B" w:rsidRDefault="008B1D2B" w:rsidP="008B1D2B">
            <w:r w:rsidRPr="008B1D2B">
              <w:t>Tax payable</w:t>
            </w:r>
          </w:p>
        </w:tc>
        <w:tc>
          <w:tcPr>
            <w:tcW w:w="537"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pPr>
            <w:r>
              <w:t>0.6</w:t>
            </w:r>
          </w:p>
        </w:tc>
        <w:tc>
          <w:tcPr>
            <w:tcW w:w="538"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pPr>
            <w:r>
              <w:t>0.</w:t>
            </w:r>
            <w:r w:rsidR="0087699F">
              <w:t>6</w:t>
            </w:r>
          </w:p>
        </w:tc>
        <w:tc>
          <w:tcPr>
            <w:tcW w:w="538"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pPr>
            <w:r>
              <w:t>0.7</w:t>
            </w:r>
          </w:p>
        </w:tc>
        <w:tc>
          <w:tcPr>
            <w:tcW w:w="537"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pPr>
            <w:r>
              <w:t>0.</w:t>
            </w:r>
            <w:r w:rsidR="0087699F">
              <w:t>7</w:t>
            </w:r>
          </w:p>
        </w:tc>
        <w:tc>
          <w:tcPr>
            <w:tcW w:w="538"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pPr>
            <w:r>
              <w:t>0.8</w:t>
            </w:r>
          </w:p>
        </w:tc>
        <w:tc>
          <w:tcPr>
            <w:tcW w:w="538" w:type="pct"/>
          </w:tcPr>
          <w:p w:rsidR="008B1D2B" w:rsidRPr="00EA7558" w:rsidRDefault="00EA7558" w:rsidP="0087699F">
            <w:pPr>
              <w:cnfStyle w:val="000000000000" w:firstRow="0" w:lastRow="0" w:firstColumn="0" w:lastColumn="0" w:oddVBand="0" w:evenVBand="0" w:oddHBand="0" w:evenHBand="0" w:firstRowFirstColumn="0" w:firstRowLastColumn="0" w:lastRowFirstColumn="0" w:lastRowLastColumn="0"/>
            </w:pPr>
            <w:r w:rsidRPr="00EA7558">
              <w:t>3.</w:t>
            </w:r>
            <w:r w:rsidR="0087699F">
              <w:t>4</w:t>
            </w:r>
          </w:p>
        </w:tc>
      </w:tr>
      <w:tr w:rsidR="008B1D2B" w:rsidRPr="008B1D2B" w:rsidTr="005A0CA0">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74" w:type="pct"/>
          </w:tcPr>
          <w:p w:rsidR="008B1D2B" w:rsidRPr="008B1D2B" w:rsidRDefault="008B1D2B" w:rsidP="008B1D2B">
            <w:r w:rsidRPr="00C45C77">
              <w:rPr>
                <w:rStyle w:val="AERtextitalic"/>
              </w:rPr>
              <w:t>Less:</w:t>
            </w:r>
            <w:r w:rsidRPr="008B1D2B">
              <w:t xml:space="preserve"> value of imputation credits</w:t>
            </w:r>
          </w:p>
        </w:tc>
        <w:tc>
          <w:tcPr>
            <w:tcW w:w="537" w:type="pct"/>
          </w:tcPr>
          <w:p w:rsidR="008B1D2B" w:rsidRPr="008B1D2B" w:rsidRDefault="00EA7558" w:rsidP="00EA7558">
            <w:pPr>
              <w:cnfStyle w:val="000000010000" w:firstRow="0" w:lastRow="0" w:firstColumn="0" w:lastColumn="0" w:oddVBand="0" w:evenVBand="0" w:oddHBand="0" w:evenHBand="1" w:firstRowFirstColumn="0" w:firstRowLastColumn="0" w:lastRowFirstColumn="0" w:lastRowLastColumn="0"/>
            </w:pPr>
            <w:r>
              <w:t>0.2</w:t>
            </w:r>
          </w:p>
        </w:tc>
        <w:tc>
          <w:tcPr>
            <w:tcW w:w="538" w:type="pct"/>
          </w:tcPr>
          <w:p w:rsidR="008B1D2B" w:rsidRPr="008B1D2B" w:rsidRDefault="00EA7558" w:rsidP="00EA7558">
            <w:pPr>
              <w:cnfStyle w:val="000000010000" w:firstRow="0" w:lastRow="0" w:firstColumn="0" w:lastColumn="0" w:oddVBand="0" w:evenVBand="0" w:oddHBand="0" w:evenHBand="1" w:firstRowFirstColumn="0" w:firstRowLastColumn="0" w:lastRowFirstColumn="0" w:lastRowLastColumn="0"/>
            </w:pPr>
            <w:r>
              <w:t>0.3</w:t>
            </w:r>
          </w:p>
        </w:tc>
        <w:tc>
          <w:tcPr>
            <w:tcW w:w="538" w:type="pct"/>
          </w:tcPr>
          <w:p w:rsidR="008B1D2B" w:rsidRPr="008B1D2B" w:rsidRDefault="00EA7558" w:rsidP="00EA7558">
            <w:pPr>
              <w:cnfStyle w:val="000000010000" w:firstRow="0" w:lastRow="0" w:firstColumn="0" w:lastColumn="0" w:oddVBand="0" w:evenVBand="0" w:oddHBand="0" w:evenHBand="1" w:firstRowFirstColumn="0" w:firstRowLastColumn="0" w:lastRowFirstColumn="0" w:lastRowLastColumn="0"/>
            </w:pPr>
            <w:r>
              <w:t>0.3</w:t>
            </w:r>
          </w:p>
        </w:tc>
        <w:tc>
          <w:tcPr>
            <w:tcW w:w="537" w:type="pct"/>
          </w:tcPr>
          <w:p w:rsidR="008B1D2B" w:rsidRPr="008B1D2B" w:rsidRDefault="00EA7558" w:rsidP="00EA7558">
            <w:pPr>
              <w:cnfStyle w:val="000000010000" w:firstRow="0" w:lastRow="0" w:firstColumn="0" w:lastColumn="0" w:oddVBand="0" w:evenVBand="0" w:oddHBand="0" w:evenHBand="1" w:firstRowFirstColumn="0" w:firstRowLastColumn="0" w:lastRowFirstColumn="0" w:lastRowLastColumn="0"/>
            </w:pPr>
            <w:r>
              <w:t>0.3</w:t>
            </w:r>
          </w:p>
        </w:tc>
        <w:tc>
          <w:tcPr>
            <w:tcW w:w="538" w:type="pct"/>
          </w:tcPr>
          <w:p w:rsidR="008B1D2B" w:rsidRPr="008B1D2B" w:rsidRDefault="00EA7558" w:rsidP="00EA7558">
            <w:pPr>
              <w:cnfStyle w:val="000000010000" w:firstRow="0" w:lastRow="0" w:firstColumn="0" w:lastColumn="0" w:oddVBand="0" w:evenVBand="0" w:oddHBand="0" w:evenHBand="1" w:firstRowFirstColumn="0" w:firstRowLastColumn="0" w:lastRowFirstColumn="0" w:lastRowLastColumn="0"/>
            </w:pPr>
            <w:r>
              <w:t>0.3</w:t>
            </w:r>
          </w:p>
        </w:tc>
        <w:tc>
          <w:tcPr>
            <w:tcW w:w="538" w:type="pct"/>
          </w:tcPr>
          <w:p w:rsidR="008B1D2B" w:rsidRPr="00EA7558" w:rsidRDefault="00EA7558" w:rsidP="00EA7558">
            <w:pPr>
              <w:cnfStyle w:val="000000010000" w:firstRow="0" w:lastRow="0" w:firstColumn="0" w:lastColumn="0" w:oddVBand="0" w:evenVBand="0" w:oddHBand="0" w:evenHBand="1" w:firstRowFirstColumn="0" w:firstRowLastColumn="0" w:lastRowFirstColumn="0" w:lastRowLastColumn="0"/>
            </w:pPr>
            <w:r w:rsidRPr="00EA7558">
              <w:t>1.4</w:t>
            </w:r>
          </w:p>
        </w:tc>
      </w:tr>
      <w:tr w:rsidR="008B1D2B" w:rsidRPr="008B1D2B" w:rsidTr="005A0CA0">
        <w:trPr>
          <w:trHeight w:val="458"/>
        </w:trPr>
        <w:tc>
          <w:tcPr>
            <w:cnfStyle w:val="001000000000" w:firstRow="0" w:lastRow="0" w:firstColumn="1" w:lastColumn="0" w:oddVBand="0" w:evenVBand="0" w:oddHBand="0" w:evenHBand="0" w:firstRowFirstColumn="0" w:firstRowLastColumn="0" w:lastRowFirstColumn="0" w:lastRowLastColumn="0"/>
            <w:tcW w:w="1774" w:type="pct"/>
          </w:tcPr>
          <w:p w:rsidR="008B1D2B" w:rsidRPr="008B1D2B" w:rsidRDefault="008B1D2B" w:rsidP="008B1D2B">
            <w:pPr>
              <w:rPr>
                <w:rStyle w:val="Strong"/>
              </w:rPr>
            </w:pPr>
            <w:r w:rsidRPr="008B1D2B">
              <w:rPr>
                <w:rStyle w:val="Strong"/>
              </w:rPr>
              <w:t>Net corporate income tax allowance</w:t>
            </w:r>
          </w:p>
        </w:tc>
        <w:tc>
          <w:tcPr>
            <w:tcW w:w="537" w:type="pct"/>
          </w:tcPr>
          <w:p w:rsidR="008B1D2B" w:rsidRPr="008B1D2B" w:rsidRDefault="00EA7558" w:rsidP="0087699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w:t>
            </w:r>
            <w:r w:rsidR="0087699F">
              <w:rPr>
                <w:rStyle w:val="Strong"/>
              </w:rPr>
              <w:t>3</w:t>
            </w:r>
          </w:p>
        </w:tc>
        <w:tc>
          <w:tcPr>
            <w:tcW w:w="538"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0.4</w:t>
            </w:r>
          </w:p>
        </w:tc>
        <w:tc>
          <w:tcPr>
            <w:tcW w:w="538"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0.4</w:t>
            </w:r>
          </w:p>
        </w:tc>
        <w:tc>
          <w:tcPr>
            <w:tcW w:w="537"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0.4</w:t>
            </w:r>
          </w:p>
        </w:tc>
        <w:tc>
          <w:tcPr>
            <w:tcW w:w="538"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0.5</w:t>
            </w:r>
          </w:p>
        </w:tc>
        <w:tc>
          <w:tcPr>
            <w:tcW w:w="538" w:type="pct"/>
          </w:tcPr>
          <w:p w:rsidR="008B1D2B" w:rsidRPr="008B1D2B" w:rsidRDefault="00EA7558" w:rsidP="00EA755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2.1</w:t>
            </w:r>
          </w:p>
        </w:tc>
      </w:tr>
    </w:tbl>
    <w:p w:rsidR="008B1D2B" w:rsidRPr="008B1D2B" w:rsidRDefault="008B1D2B" w:rsidP="008B1D2B">
      <w:pPr>
        <w:pStyle w:val="AERtablesource"/>
      </w:pPr>
      <w:r w:rsidRPr="008B1D2B">
        <w:t>Source:</w:t>
      </w:r>
      <w:r w:rsidRPr="008B1D2B">
        <w:tab/>
        <w:t>AER analysis.</w:t>
      </w:r>
    </w:p>
    <w:p w:rsidR="007B49E1" w:rsidRPr="00AF1F9E" w:rsidRDefault="007B49E1" w:rsidP="007B49E1"/>
    <w:p w:rsidR="00DE563D" w:rsidRPr="00AF1F9E" w:rsidRDefault="00AF1F9E" w:rsidP="00AF1F9E">
      <w:pPr>
        <w:pStyle w:val="Heading2"/>
      </w:pPr>
      <w:bookmarkStart w:id="14" w:name="_Toc403144137"/>
      <w:bookmarkStart w:id="15" w:name="_Toc413073920"/>
      <w:r>
        <w:lastRenderedPageBreak/>
        <w:t>Directlink’s revised</w:t>
      </w:r>
      <w:r w:rsidR="00DE563D" w:rsidRPr="00AF1F9E">
        <w:t xml:space="preserve"> proposal</w:t>
      </w:r>
      <w:bookmarkEnd w:id="14"/>
      <w:bookmarkEnd w:id="15"/>
    </w:p>
    <w:p w:rsidR="008B1D2B" w:rsidRPr="00DC58F1" w:rsidRDefault="00720630" w:rsidP="008B1D2B">
      <w:bookmarkStart w:id="16" w:name="_Toc403144138"/>
      <w:r>
        <w:t>Directlink's methodology for determining its</w:t>
      </w:r>
      <w:r w:rsidRPr="00DC58F1">
        <w:t xml:space="preserve"> corporate income tax </w:t>
      </w:r>
      <w:r>
        <w:t>is unchanged from its initial proposal.</w:t>
      </w:r>
      <w:r w:rsidR="00B91856">
        <w:t xml:space="preserve"> We accepted the approach in our draft decision.</w:t>
      </w:r>
      <w:r>
        <w:t xml:space="preserve"> </w:t>
      </w:r>
      <w:r w:rsidR="008B1D2B">
        <w:t xml:space="preserve">Directlink </w:t>
      </w:r>
      <w:r w:rsidR="005F778C">
        <w:t>has revised</w:t>
      </w:r>
      <w:r w:rsidR="008B1D2B" w:rsidRPr="00DC58F1">
        <w:t xml:space="preserve"> </w:t>
      </w:r>
      <w:r w:rsidR="008B1D2B">
        <w:t>its</w:t>
      </w:r>
      <w:r w:rsidR="008B1D2B" w:rsidRPr="00DC58F1">
        <w:t xml:space="preserve"> corporate income tax allowance using the AER's PTRM</w:t>
      </w:r>
      <w:r w:rsidR="008B1D2B">
        <w:t xml:space="preserve"> and </w:t>
      </w:r>
      <w:r w:rsidR="005F778C">
        <w:t xml:space="preserve">includes </w:t>
      </w:r>
      <w:r w:rsidR="008B1D2B">
        <w:t>the following inputs:</w:t>
      </w:r>
      <w:r w:rsidR="008B1D2B">
        <w:rPr>
          <w:rStyle w:val="FootnoteReference"/>
        </w:rPr>
        <w:footnoteReference w:id="2"/>
      </w:r>
    </w:p>
    <w:p w:rsidR="00720630" w:rsidRPr="00D21A2E" w:rsidRDefault="00720630" w:rsidP="00720630">
      <w:pPr>
        <w:pStyle w:val="AERbulletlistfirststyle"/>
      </w:pPr>
      <w:r>
        <w:t>A revised opening TAB at 1 July 2015, reflecting updates for 2013</w:t>
      </w:r>
      <w:r w:rsidRPr="009134B1">
        <w:rPr>
          <w:rStyle w:val="AERbody"/>
        </w:rPr>
        <w:t>–</w:t>
      </w:r>
      <w:r>
        <w:t>14 actual capex</w:t>
      </w:r>
      <w:r w:rsidR="005F778C">
        <w:t xml:space="preserve"> and 2014–15 estimate of capex</w:t>
      </w:r>
      <w:r>
        <w:t xml:space="preserve">. </w:t>
      </w:r>
    </w:p>
    <w:p w:rsidR="00720630" w:rsidRDefault="00720630" w:rsidP="00720630">
      <w:pPr>
        <w:pStyle w:val="AERbulletlistfirststyle"/>
      </w:pPr>
      <w:r>
        <w:t>Revised forecast capex.</w:t>
      </w:r>
    </w:p>
    <w:p w:rsidR="00720630" w:rsidRDefault="00720630" w:rsidP="00720630">
      <w:pPr>
        <w:pStyle w:val="AERbulletlistfirststyle"/>
      </w:pPr>
      <w:r>
        <w:t xml:space="preserve">Revised forecast opex. </w:t>
      </w:r>
    </w:p>
    <w:p w:rsidR="008B1D2B" w:rsidRPr="00DC58F1" w:rsidRDefault="00B91856" w:rsidP="007170D8">
      <w:r>
        <w:t>Directlink also used standard and remaining tax asset lives consistent with those approved in the draft decision and a value for gamma of 0.25.</w:t>
      </w:r>
      <w:r w:rsidR="007170D8">
        <w:t xml:space="preserve"> </w:t>
      </w:r>
      <w:r>
        <w:t xml:space="preserve">Due to the revised inputs, </w:t>
      </w:r>
      <w:r w:rsidR="00720630">
        <w:t xml:space="preserve">Directlink's estimated corporate income tax allowance is </w:t>
      </w:r>
      <w:r w:rsidR="00B91999" w:rsidRPr="00B91999">
        <w:t>$</w:t>
      </w:r>
      <w:r w:rsidR="00644EE2">
        <w:t>1.2</w:t>
      </w:r>
      <w:r w:rsidR="00B91999" w:rsidRPr="00B91999">
        <w:t xml:space="preserve"> million (or </w:t>
      </w:r>
      <w:r w:rsidR="00644EE2">
        <w:t>27.3</w:t>
      </w:r>
      <w:r w:rsidR="007170D8">
        <w:t> </w:t>
      </w:r>
      <w:r w:rsidR="00B91999" w:rsidRPr="00B91999">
        <w:t>per cent) lower in its revised proposal than in its initial proposal.</w:t>
      </w:r>
      <w:r w:rsidR="00C45C77">
        <w:t xml:space="preserve"> </w:t>
      </w:r>
      <w:r w:rsidR="008B1D2B">
        <w:fldChar w:fldCharType="begin"/>
      </w:r>
      <w:r w:rsidR="008B1D2B">
        <w:instrText xml:space="preserve"> REF _Ref402785413 \h </w:instrText>
      </w:r>
      <w:r w:rsidR="007170D8">
        <w:instrText xml:space="preserve"> \* MERGEFORMAT </w:instrText>
      </w:r>
      <w:r w:rsidR="008B1D2B">
        <w:fldChar w:fldCharType="separate"/>
      </w:r>
      <w:r w:rsidR="008B1D2B">
        <w:t>Table 8</w:t>
      </w:r>
      <w:r w:rsidR="008B1D2B">
        <w:noBreakHyphen/>
      </w:r>
      <w:r w:rsidR="008B1D2B" w:rsidRPr="008B1D2B">
        <w:t>2</w:t>
      </w:r>
      <w:r w:rsidR="008B1D2B">
        <w:fldChar w:fldCharType="end"/>
      </w:r>
      <w:r w:rsidR="008B1D2B">
        <w:t xml:space="preserve"> sets out </w:t>
      </w:r>
      <w:proofErr w:type="spellStart"/>
      <w:r w:rsidR="008B1D2B">
        <w:t>Directlink's</w:t>
      </w:r>
      <w:proofErr w:type="spellEnd"/>
      <w:r w:rsidR="008B1D2B">
        <w:t xml:space="preserve"> </w:t>
      </w:r>
      <w:r w:rsidR="008B1D2B" w:rsidRPr="00DC58F1">
        <w:t>proposed corporate income tax allowanc</w:t>
      </w:r>
      <w:r w:rsidR="008B1D2B">
        <w:t>e</w:t>
      </w:r>
      <w:r w:rsidR="008B1D2B" w:rsidRPr="00DC58F1">
        <w:t xml:space="preserve"> </w:t>
      </w:r>
      <w:r w:rsidR="008B1D2B">
        <w:t>for the 2015–20 regulatory control period</w:t>
      </w:r>
      <w:r w:rsidR="008B1D2B" w:rsidRPr="00DC58F1">
        <w:t>.</w:t>
      </w:r>
      <w:r w:rsidR="008B1D2B" w:rsidRPr="008B1D2B">
        <w:rPr>
          <w:rStyle w:val="CommentReference"/>
        </w:rPr>
        <w:t xml:space="preserve"> </w:t>
      </w:r>
    </w:p>
    <w:p w:rsidR="008B1D2B" w:rsidRPr="0022319A" w:rsidRDefault="008B1D2B" w:rsidP="008B1D2B">
      <w:pPr>
        <w:pStyle w:val="Caption"/>
        <w:rPr>
          <w:rStyle w:val="AERsuperscript"/>
        </w:rPr>
      </w:pPr>
      <w:bookmarkStart w:id="17" w:name="_Ref402785413"/>
      <w:r>
        <w:t>Table 8</w:t>
      </w:r>
      <w:r>
        <w:noBreakHyphen/>
      </w:r>
      <w:r w:rsidRPr="008B1D2B">
        <w:fldChar w:fldCharType="begin"/>
      </w:r>
      <w:r>
        <w:instrText xml:space="preserve"> SEQ Table \* ARABIC \s 1 </w:instrText>
      </w:r>
      <w:r w:rsidRPr="008B1D2B">
        <w:fldChar w:fldCharType="separate"/>
      </w:r>
      <w:r w:rsidRPr="008B1D2B">
        <w:t>2</w:t>
      </w:r>
      <w:r w:rsidRPr="008B1D2B">
        <w:fldChar w:fldCharType="end"/>
      </w:r>
      <w:bookmarkEnd w:id="17"/>
      <w:r>
        <w:tab/>
        <w:t>Directlink</w:t>
      </w:r>
      <w:r w:rsidRPr="00630CF3">
        <w:t>'s</w:t>
      </w:r>
      <w:r w:rsidR="005F778C">
        <w:t xml:space="preserve"> revised</w:t>
      </w:r>
      <w:r w:rsidRPr="00630CF3">
        <w:t xml:space="preserve"> proposed corporate income tax allowance </w:t>
      </w:r>
      <w:r>
        <w:t xml:space="preserve">for the 2015–20 regulatory control period </w:t>
      </w:r>
      <w:r w:rsidRPr="00630CF3">
        <w:t>($ million, nominal)</w:t>
      </w:r>
    </w:p>
    <w:tbl>
      <w:tblPr>
        <w:tblStyle w:val="AERtable-numbers"/>
        <w:tblW w:w="5024" w:type="pct"/>
        <w:tblLook w:val="01E0" w:firstRow="1" w:lastRow="1" w:firstColumn="1" w:lastColumn="1" w:noHBand="0" w:noVBand="0"/>
      </w:tblPr>
      <w:tblGrid>
        <w:gridCol w:w="3063"/>
        <w:gridCol w:w="946"/>
        <w:gridCol w:w="946"/>
        <w:gridCol w:w="945"/>
        <w:gridCol w:w="945"/>
        <w:gridCol w:w="945"/>
        <w:gridCol w:w="945"/>
      </w:tblGrid>
      <w:tr w:rsidR="008B1D2B" w:rsidRPr="00C45C77" w:rsidTr="005A0CA0">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753" w:type="pct"/>
          </w:tcPr>
          <w:p w:rsidR="008B1D2B" w:rsidRPr="00C45C77" w:rsidRDefault="008B1D2B" w:rsidP="00C45C77"/>
        </w:tc>
        <w:tc>
          <w:tcPr>
            <w:tcW w:w="541" w:type="pct"/>
          </w:tcPr>
          <w:p w:rsidR="008B1D2B" w:rsidRPr="00C45C77" w:rsidRDefault="008B1D2B" w:rsidP="00C45C77">
            <w:pPr>
              <w:cnfStyle w:val="100000000000" w:firstRow="1" w:lastRow="0" w:firstColumn="0" w:lastColumn="0" w:oddVBand="0" w:evenVBand="0" w:oddHBand="0" w:evenHBand="0" w:firstRowFirstColumn="0" w:firstRowLastColumn="0" w:lastRowFirstColumn="0" w:lastRowLastColumn="0"/>
            </w:pPr>
            <w:r w:rsidRPr="00C45C77">
              <w:t>2015–16</w:t>
            </w:r>
          </w:p>
        </w:tc>
        <w:tc>
          <w:tcPr>
            <w:tcW w:w="541" w:type="pct"/>
          </w:tcPr>
          <w:p w:rsidR="008B1D2B" w:rsidRPr="00C45C77" w:rsidRDefault="008B1D2B" w:rsidP="00C45C77">
            <w:pPr>
              <w:cnfStyle w:val="100000000000" w:firstRow="1" w:lastRow="0" w:firstColumn="0" w:lastColumn="0" w:oddVBand="0" w:evenVBand="0" w:oddHBand="0" w:evenHBand="0" w:firstRowFirstColumn="0" w:firstRowLastColumn="0" w:lastRowFirstColumn="0" w:lastRowLastColumn="0"/>
            </w:pPr>
            <w:r w:rsidRPr="00C45C77">
              <w:t>2016–17</w:t>
            </w:r>
          </w:p>
        </w:tc>
        <w:tc>
          <w:tcPr>
            <w:tcW w:w="541" w:type="pct"/>
          </w:tcPr>
          <w:p w:rsidR="008B1D2B" w:rsidRPr="00C45C77" w:rsidRDefault="008B1D2B" w:rsidP="00C45C77">
            <w:pPr>
              <w:cnfStyle w:val="100000000000" w:firstRow="1" w:lastRow="0" w:firstColumn="0" w:lastColumn="0" w:oddVBand="0" w:evenVBand="0" w:oddHBand="0" w:evenHBand="0" w:firstRowFirstColumn="0" w:firstRowLastColumn="0" w:lastRowFirstColumn="0" w:lastRowLastColumn="0"/>
            </w:pPr>
            <w:r w:rsidRPr="00C45C77">
              <w:t>2017–18</w:t>
            </w:r>
          </w:p>
        </w:tc>
        <w:tc>
          <w:tcPr>
            <w:tcW w:w="541" w:type="pct"/>
          </w:tcPr>
          <w:p w:rsidR="008B1D2B" w:rsidRPr="00C45C77" w:rsidRDefault="008B1D2B" w:rsidP="00C45C77">
            <w:pPr>
              <w:cnfStyle w:val="100000000000" w:firstRow="1" w:lastRow="0" w:firstColumn="0" w:lastColumn="0" w:oddVBand="0" w:evenVBand="0" w:oddHBand="0" w:evenHBand="0" w:firstRowFirstColumn="0" w:firstRowLastColumn="0" w:lastRowFirstColumn="0" w:lastRowLastColumn="0"/>
            </w:pPr>
            <w:r w:rsidRPr="00C45C77">
              <w:t>2018–19</w:t>
            </w:r>
          </w:p>
        </w:tc>
        <w:tc>
          <w:tcPr>
            <w:tcW w:w="541" w:type="pct"/>
          </w:tcPr>
          <w:p w:rsidR="008B1D2B" w:rsidRPr="00C45C77" w:rsidRDefault="008B1D2B" w:rsidP="00C45C77">
            <w:pPr>
              <w:cnfStyle w:val="100000000000" w:firstRow="1" w:lastRow="0" w:firstColumn="0" w:lastColumn="0" w:oddVBand="0" w:evenVBand="0" w:oddHBand="0" w:evenHBand="0" w:firstRowFirstColumn="0" w:firstRowLastColumn="0" w:lastRowFirstColumn="0" w:lastRowLastColumn="0"/>
            </w:pPr>
            <w:r w:rsidRPr="00C45C77">
              <w:t>2019–20</w:t>
            </w:r>
          </w:p>
        </w:tc>
        <w:tc>
          <w:tcPr>
            <w:tcW w:w="541" w:type="pct"/>
          </w:tcPr>
          <w:p w:rsidR="008B1D2B" w:rsidRPr="00C45C77" w:rsidRDefault="008B1D2B" w:rsidP="00C45C77">
            <w:pPr>
              <w:cnfStyle w:val="100000000000" w:firstRow="1" w:lastRow="0" w:firstColumn="0" w:lastColumn="0" w:oddVBand="0" w:evenVBand="0" w:oddHBand="0" w:evenHBand="0" w:firstRowFirstColumn="0" w:firstRowLastColumn="0" w:lastRowFirstColumn="0" w:lastRowLastColumn="0"/>
            </w:pPr>
            <w:r w:rsidRPr="00C45C77">
              <w:t>Total</w:t>
            </w:r>
          </w:p>
        </w:tc>
      </w:tr>
      <w:tr w:rsidR="008B1D2B" w:rsidRPr="00C45C77" w:rsidTr="005A0CA0">
        <w:trPr>
          <w:trHeight w:val="463"/>
        </w:trPr>
        <w:tc>
          <w:tcPr>
            <w:cnfStyle w:val="001000000000" w:firstRow="0" w:lastRow="0" w:firstColumn="1" w:lastColumn="0" w:oddVBand="0" w:evenVBand="0" w:oddHBand="0" w:evenHBand="0" w:firstRowFirstColumn="0" w:firstRowLastColumn="0" w:lastRowFirstColumn="0" w:lastRowLastColumn="0"/>
            <w:tcW w:w="1753" w:type="pct"/>
          </w:tcPr>
          <w:p w:rsidR="008B1D2B" w:rsidRPr="00C45C77" w:rsidRDefault="008B1D2B" w:rsidP="00C45C77">
            <w:r w:rsidRPr="00C45C77">
              <w:t>Tax payable</w:t>
            </w:r>
          </w:p>
        </w:tc>
        <w:tc>
          <w:tcPr>
            <w:tcW w:w="541" w:type="pct"/>
          </w:tcPr>
          <w:p w:rsidR="008B1D2B" w:rsidRPr="00C45C77" w:rsidRDefault="00B91999" w:rsidP="00C45C77">
            <w:pPr>
              <w:cnfStyle w:val="000000000000" w:firstRow="0" w:lastRow="0" w:firstColumn="0" w:lastColumn="0" w:oddVBand="0" w:evenVBand="0" w:oddHBand="0" w:evenHBand="0" w:firstRowFirstColumn="0" w:firstRowLastColumn="0" w:lastRowFirstColumn="0" w:lastRowLastColumn="0"/>
            </w:pPr>
            <w:r w:rsidRPr="00C45C77">
              <w:t>0.7</w:t>
            </w:r>
          </w:p>
        </w:tc>
        <w:tc>
          <w:tcPr>
            <w:tcW w:w="541" w:type="pct"/>
          </w:tcPr>
          <w:p w:rsidR="008B1D2B" w:rsidRPr="00C45C77" w:rsidRDefault="00B91999" w:rsidP="00C45C77">
            <w:pPr>
              <w:cnfStyle w:val="000000000000" w:firstRow="0" w:lastRow="0" w:firstColumn="0" w:lastColumn="0" w:oddVBand="0" w:evenVBand="0" w:oddHBand="0" w:evenHBand="0" w:firstRowFirstColumn="0" w:firstRowLastColumn="0" w:lastRowFirstColumn="0" w:lastRowLastColumn="0"/>
            </w:pPr>
            <w:r w:rsidRPr="00C45C77">
              <w:t>0.8</w:t>
            </w:r>
          </w:p>
        </w:tc>
        <w:tc>
          <w:tcPr>
            <w:tcW w:w="541" w:type="pct"/>
          </w:tcPr>
          <w:p w:rsidR="008B1D2B" w:rsidRPr="00C45C77" w:rsidRDefault="00B91999" w:rsidP="00C45C77">
            <w:pPr>
              <w:cnfStyle w:val="000000000000" w:firstRow="0" w:lastRow="0" w:firstColumn="0" w:lastColumn="0" w:oddVBand="0" w:evenVBand="0" w:oddHBand="0" w:evenHBand="0" w:firstRowFirstColumn="0" w:firstRowLastColumn="0" w:lastRowFirstColumn="0" w:lastRowLastColumn="0"/>
            </w:pPr>
            <w:r w:rsidRPr="00C45C77">
              <w:t>0.9</w:t>
            </w:r>
          </w:p>
        </w:tc>
        <w:tc>
          <w:tcPr>
            <w:tcW w:w="541" w:type="pct"/>
          </w:tcPr>
          <w:p w:rsidR="008B1D2B" w:rsidRPr="00C45C77" w:rsidRDefault="00B91999" w:rsidP="00C45C77">
            <w:pPr>
              <w:cnfStyle w:val="000000000000" w:firstRow="0" w:lastRow="0" w:firstColumn="0" w:lastColumn="0" w:oddVBand="0" w:evenVBand="0" w:oddHBand="0" w:evenHBand="0" w:firstRowFirstColumn="0" w:firstRowLastColumn="0" w:lastRowFirstColumn="0" w:lastRowLastColumn="0"/>
            </w:pPr>
            <w:r w:rsidRPr="00C45C77">
              <w:t>0.9</w:t>
            </w:r>
          </w:p>
        </w:tc>
        <w:tc>
          <w:tcPr>
            <w:tcW w:w="541" w:type="pct"/>
          </w:tcPr>
          <w:p w:rsidR="008B1D2B" w:rsidRPr="00C45C77" w:rsidRDefault="008B1D2B" w:rsidP="00C45C77">
            <w:pPr>
              <w:cnfStyle w:val="000000000000" w:firstRow="0" w:lastRow="0" w:firstColumn="0" w:lastColumn="0" w:oddVBand="0" w:evenVBand="0" w:oddHBand="0" w:evenHBand="0" w:firstRowFirstColumn="0" w:firstRowLastColumn="0" w:lastRowFirstColumn="0" w:lastRowLastColumn="0"/>
            </w:pPr>
            <w:r w:rsidRPr="00C45C77">
              <w:t>1.</w:t>
            </w:r>
            <w:r w:rsidR="00B91999" w:rsidRPr="00C45C77">
              <w:t>0</w:t>
            </w:r>
          </w:p>
        </w:tc>
        <w:tc>
          <w:tcPr>
            <w:tcW w:w="541" w:type="pct"/>
          </w:tcPr>
          <w:p w:rsidR="008B1D2B" w:rsidRPr="00C45C77" w:rsidRDefault="00B91999" w:rsidP="00C45C77">
            <w:pPr>
              <w:cnfStyle w:val="000000000000" w:firstRow="0" w:lastRow="0" w:firstColumn="0" w:lastColumn="0" w:oddVBand="0" w:evenVBand="0" w:oddHBand="0" w:evenHBand="0" w:firstRowFirstColumn="0" w:firstRowLastColumn="0" w:lastRowFirstColumn="0" w:lastRowLastColumn="0"/>
            </w:pPr>
            <w:r w:rsidRPr="00C45C77">
              <w:t>4.3</w:t>
            </w:r>
          </w:p>
        </w:tc>
      </w:tr>
      <w:tr w:rsidR="008B1D2B" w:rsidRPr="00C45C77" w:rsidTr="005A0CA0">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53" w:type="pct"/>
          </w:tcPr>
          <w:p w:rsidR="008B1D2B" w:rsidRPr="00C45C77" w:rsidRDefault="008B1D2B" w:rsidP="00C45C77">
            <w:r w:rsidRPr="00C45C77">
              <w:rPr>
                <w:rStyle w:val="AERtextitalic"/>
              </w:rPr>
              <w:t>Less:</w:t>
            </w:r>
            <w:r w:rsidRPr="00C45C77">
              <w:t xml:space="preserve"> value of imputation credits</w:t>
            </w:r>
          </w:p>
        </w:tc>
        <w:tc>
          <w:tcPr>
            <w:tcW w:w="541" w:type="pct"/>
          </w:tcPr>
          <w:p w:rsidR="008B1D2B" w:rsidRPr="00C45C77" w:rsidRDefault="00B91999" w:rsidP="00C45C77">
            <w:pPr>
              <w:cnfStyle w:val="000000010000" w:firstRow="0" w:lastRow="0" w:firstColumn="0" w:lastColumn="0" w:oddVBand="0" w:evenVBand="0" w:oddHBand="0" w:evenHBand="1" w:firstRowFirstColumn="0" w:firstRowLastColumn="0" w:lastRowFirstColumn="0" w:lastRowLastColumn="0"/>
            </w:pPr>
            <w:r w:rsidRPr="00C45C77">
              <w:t>0.2</w:t>
            </w:r>
          </w:p>
        </w:tc>
        <w:tc>
          <w:tcPr>
            <w:tcW w:w="541" w:type="pct"/>
          </w:tcPr>
          <w:p w:rsidR="008B1D2B" w:rsidRPr="00C45C77" w:rsidRDefault="008B1D2B" w:rsidP="00C45C77">
            <w:pPr>
              <w:cnfStyle w:val="000000010000" w:firstRow="0" w:lastRow="0" w:firstColumn="0" w:lastColumn="0" w:oddVBand="0" w:evenVBand="0" w:oddHBand="0" w:evenHBand="1" w:firstRowFirstColumn="0" w:firstRowLastColumn="0" w:lastRowFirstColumn="0" w:lastRowLastColumn="0"/>
            </w:pPr>
            <w:r w:rsidRPr="00C45C77">
              <w:t>0.</w:t>
            </w:r>
            <w:r w:rsidR="00B91999" w:rsidRPr="00C45C77">
              <w:t>2</w:t>
            </w:r>
          </w:p>
        </w:tc>
        <w:tc>
          <w:tcPr>
            <w:tcW w:w="541" w:type="pct"/>
          </w:tcPr>
          <w:p w:rsidR="008B1D2B" w:rsidRPr="00C45C77" w:rsidRDefault="008B1D2B" w:rsidP="00C45C77">
            <w:pPr>
              <w:cnfStyle w:val="000000010000" w:firstRow="0" w:lastRow="0" w:firstColumn="0" w:lastColumn="0" w:oddVBand="0" w:evenVBand="0" w:oddHBand="0" w:evenHBand="1" w:firstRowFirstColumn="0" w:firstRowLastColumn="0" w:lastRowFirstColumn="0" w:lastRowLastColumn="0"/>
            </w:pPr>
            <w:r w:rsidRPr="00C45C77">
              <w:t>0.</w:t>
            </w:r>
            <w:r w:rsidR="00B91999" w:rsidRPr="00C45C77">
              <w:t>2</w:t>
            </w:r>
          </w:p>
        </w:tc>
        <w:tc>
          <w:tcPr>
            <w:tcW w:w="541" w:type="pct"/>
          </w:tcPr>
          <w:p w:rsidR="008B1D2B" w:rsidRPr="00C45C77" w:rsidRDefault="008B1D2B" w:rsidP="00C45C77">
            <w:pPr>
              <w:cnfStyle w:val="000000010000" w:firstRow="0" w:lastRow="0" w:firstColumn="0" w:lastColumn="0" w:oddVBand="0" w:evenVBand="0" w:oddHBand="0" w:evenHBand="1" w:firstRowFirstColumn="0" w:firstRowLastColumn="0" w:lastRowFirstColumn="0" w:lastRowLastColumn="0"/>
            </w:pPr>
            <w:r w:rsidRPr="00C45C77">
              <w:t>0.</w:t>
            </w:r>
            <w:r w:rsidR="00B91999" w:rsidRPr="00C45C77">
              <w:t>2</w:t>
            </w:r>
          </w:p>
        </w:tc>
        <w:tc>
          <w:tcPr>
            <w:tcW w:w="541" w:type="pct"/>
          </w:tcPr>
          <w:p w:rsidR="008B1D2B" w:rsidRPr="00C45C77" w:rsidRDefault="008B1D2B" w:rsidP="00C45C77">
            <w:pPr>
              <w:cnfStyle w:val="000000010000" w:firstRow="0" w:lastRow="0" w:firstColumn="0" w:lastColumn="0" w:oddVBand="0" w:evenVBand="0" w:oddHBand="0" w:evenHBand="1" w:firstRowFirstColumn="0" w:firstRowLastColumn="0" w:lastRowFirstColumn="0" w:lastRowLastColumn="0"/>
            </w:pPr>
            <w:r w:rsidRPr="00C45C77">
              <w:t>0.3</w:t>
            </w:r>
          </w:p>
        </w:tc>
        <w:tc>
          <w:tcPr>
            <w:tcW w:w="541" w:type="pct"/>
          </w:tcPr>
          <w:p w:rsidR="008B1D2B" w:rsidRPr="00C45C77" w:rsidRDefault="008B1D2B" w:rsidP="00C45C77">
            <w:pPr>
              <w:cnfStyle w:val="000000010000" w:firstRow="0" w:lastRow="0" w:firstColumn="0" w:lastColumn="0" w:oddVBand="0" w:evenVBand="0" w:oddHBand="0" w:evenHBand="1" w:firstRowFirstColumn="0" w:firstRowLastColumn="0" w:lastRowFirstColumn="0" w:lastRowLastColumn="0"/>
            </w:pPr>
            <w:r w:rsidRPr="00C45C77">
              <w:t>1.</w:t>
            </w:r>
            <w:r w:rsidR="00B91999" w:rsidRPr="00C45C77">
              <w:t>1</w:t>
            </w:r>
          </w:p>
        </w:tc>
      </w:tr>
      <w:tr w:rsidR="008B1D2B" w:rsidRPr="00C45C77" w:rsidTr="005A0CA0">
        <w:trPr>
          <w:trHeight w:val="473"/>
        </w:trPr>
        <w:tc>
          <w:tcPr>
            <w:cnfStyle w:val="001000000000" w:firstRow="0" w:lastRow="0" w:firstColumn="1" w:lastColumn="0" w:oddVBand="0" w:evenVBand="0" w:oddHBand="0" w:evenHBand="0" w:firstRowFirstColumn="0" w:firstRowLastColumn="0" w:lastRowFirstColumn="0" w:lastRowLastColumn="0"/>
            <w:tcW w:w="1753" w:type="pct"/>
          </w:tcPr>
          <w:p w:rsidR="008B1D2B" w:rsidRPr="00C45C77" w:rsidRDefault="008B1D2B" w:rsidP="00C45C77">
            <w:pPr>
              <w:rPr>
                <w:rStyle w:val="Strong"/>
              </w:rPr>
            </w:pPr>
            <w:r w:rsidRPr="00C45C77">
              <w:rPr>
                <w:rStyle w:val="Strong"/>
              </w:rPr>
              <w:t>Net corporate income tax allowance</w:t>
            </w:r>
          </w:p>
        </w:tc>
        <w:tc>
          <w:tcPr>
            <w:tcW w:w="541" w:type="pct"/>
          </w:tcPr>
          <w:p w:rsidR="008B1D2B" w:rsidRPr="00C45C77" w:rsidRDefault="008B1D2B" w:rsidP="00C45C77">
            <w:pPr>
              <w:cnfStyle w:val="000000000000" w:firstRow="0" w:lastRow="0" w:firstColumn="0" w:lastColumn="0" w:oddVBand="0" w:evenVBand="0" w:oddHBand="0" w:evenHBand="0" w:firstRowFirstColumn="0" w:firstRowLastColumn="0" w:lastRowFirstColumn="0" w:lastRowLastColumn="0"/>
              <w:rPr>
                <w:rStyle w:val="Strong"/>
              </w:rPr>
            </w:pPr>
            <w:r w:rsidRPr="00C45C77">
              <w:rPr>
                <w:rStyle w:val="Strong"/>
              </w:rPr>
              <w:t>0</w:t>
            </w:r>
            <w:r w:rsidR="00B91999" w:rsidRPr="00C45C77">
              <w:rPr>
                <w:rStyle w:val="Strong"/>
              </w:rPr>
              <w:t>.5</w:t>
            </w:r>
          </w:p>
        </w:tc>
        <w:tc>
          <w:tcPr>
            <w:tcW w:w="541" w:type="pct"/>
          </w:tcPr>
          <w:p w:rsidR="008B1D2B" w:rsidRPr="00C45C77" w:rsidRDefault="008B1D2B" w:rsidP="00C45C77">
            <w:pPr>
              <w:cnfStyle w:val="000000000000" w:firstRow="0" w:lastRow="0" w:firstColumn="0" w:lastColumn="0" w:oddVBand="0" w:evenVBand="0" w:oddHBand="0" w:evenHBand="0" w:firstRowFirstColumn="0" w:firstRowLastColumn="0" w:lastRowFirstColumn="0" w:lastRowLastColumn="0"/>
              <w:rPr>
                <w:rStyle w:val="Strong"/>
              </w:rPr>
            </w:pPr>
            <w:r w:rsidRPr="00C45C77">
              <w:rPr>
                <w:rStyle w:val="Strong"/>
              </w:rPr>
              <w:t>0.</w:t>
            </w:r>
            <w:r w:rsidR="00B91999" w:rsidRPr="00C45C77">
              <w:rPr>
                <w:rStyle w:val="Strong"/>
              </w:rPr>
              <w:t>6</w:t>
            </w:r>
          </w:p>
        </w:tc>
        <w:tc>
          <w:tcPr>
            <w:tcW w:w="541" w:type="pct"/>
          </w:tcPr>
          <w:p w:rsidR="008B1D2B" w:rsidRPr="00C45C77" w:rsidRDefault="008B1D2B" w:rsidP="00C45C77">
            <w:pPr>
              <w:cnfStyle w:val="000000000000" w:firstRow="0" w:lastRow="0" w:firstColumn="0" w:lastColumn="0" w:oddVBand="0" w:evenVBand="0" w:oddHBand="0" w:evenHBand="0" w:firstRowFirstColumn="0" w:firstRowLastColumn="0" w:lastRowFirstColumn="0" w:lastRowLastColumn="0"/>
              <w:rPr>
                <w:rStyle w:val="Strong"/>
              </w:rPr>
            </w:pPr>
            <w:r w:rsidRPr="00C45C77">
              <w:rPr>
                <w:rStyle w:val="Strong"/>
              </w:rPr>
              <w:t>0.</w:t>
            </w:r>
            <w:r w:rsidR="00B91999" w:rsidRPr="00C45C77">
              <w:rPr>
                <w:rStyle w:val="Strong"/>
              </w:rPr>
              <w:t>6</w:t>
            </w:r>
          </w:p>
        </w:tc>
        <w:tc>
          <w:tcPr>
            <w:tcW w:w="541" w:type="pct"/>
          </w:tcPr>
          <w:p w:rsidR="008B1D2B" w:rsidRPr="00C45C77" w:rsidRDefault="008B1D2B" w:rsidP="00C45C77">
            <w:pPr>
              <w:cnfStyle w:val="000000000000" w:firstRow="0" w:lastRow="0" w:firstColumn="0" w:lastColumn="0" w:oddVBand="0" w:evenVBand="0" w:oddHBand="0" w:evenHBand="0" w:firstRowFirstColumn="0" w:firstRowLastColumn="0" w:lastRowFirstColumn="0" w:lastRowLastColumn="0"/>
              <w:rPr>
                <w:rStyle w:val="Strong"/>
              </w:rPr>
            </w:pPr>
            <w:r w:rsidRPr="00C45C77">
              <w:rPr>
                <w:rStyle w:val="Strong"/>
              </w:rPr>
              <w:t>0.</w:t>
            </w:r>
            <w:r w:rsidR="00B91999" w:rsidRPr="00C45C77">
              <w:rPr>
                <w:rStyle w:val="Strong"/>
              </w:rPr>
              <w:t>7</w:t>
            </w:r>
          </w:p>
        </w:tc>
        <w:tc>
          <w:tcPr>
            <w:tcW w:w="541" w:type="pct"/>
          </w:tcPr>
          <w:p w:rsidR="008B1D2B" w:rsidRPr="00C45C77" w:rsidRDefault="00B91999" w:rsidP="00C45C77">
            <w:pPr>
              <w:cnfStyle w:val="000000000000" w:firstRow="0" w:lastRow="0" w:firstColumn="0" w:lastColumn="0" w:oddVBand="0" w:evenVBand="0" w:oddHBand="0" w:evenHBand="0" w:firstRowFirstColumn="0" w:firstRowLastColumn="0" w:lastRowFirstColumn="0" w:lastRowLastColumn="0"/>
              <w:rPr>
                <w:rStyle w:val="Strong"/>
              </w:rPr>
            </w:pPr>
            <w:r w:rsidRPr="00C45C77">
              <w:rPr>
                <w:rStyle w:val="Strong"/>
              </w:rPr>
              <w:t>0.7</w:t>
            </w:r>
          </w:p>
        </w:tc>
        <w:tc>
          <w:tcPr>
            <w:tcW w:w="541" w:type="pct"/>
          </w:tcPr>
          <w:p w:rsidR="008B1D2B" w:rsidRPr="00C45C77" w:rsidRDefault="00B91999" w:rsidP="00C45C77">
            <w:pPr>
              <w:cnfStyle w:val="000000000000" w:firstRow="0" w:lastRow="0" w:firstColumn="0" w:lastColumn="0" w:oddVBand="0" w:evenVBand="0" w:oddHBand="0" w:evenHBand="0" w:firstRowFirstColumn="0" w:firstRowLastColumn="0" w:lastRowFirstColumn="0" w:lastRowLastColumn="0"/>
              <w:rPr>
                <w:rStyle w:val="Strong"/>
              </w:rPr>
            </w:pPr>
            <w:r w:rsidRPr="00C45C77">
              <w:rPr>
                <w:rStyle w:val="Strong"/>
              </w:rPr>
              <w:t>3.2</w:t>
            </w:r>
          </w:p>
        </w:tc>
      </w:tr>
    </w:tbl>
    <w:p w:rsidR="008B1D2B" w:rsidRPr="00C45C77" w:rsidRDefault="008B1D2B" w:rsidP="00C45C77">
      <w:pPr>
        <w:pStyle w:val="AERtablesource"/>
      </w:pPr>
      <w:r w:rsidRPr="00C45C77">
        <w:t>Source:</w:t>
      </w:r>
      <w:r w:rsidRPr="00C45C77">
        <w:tab/>
        <w:t xml:space="preserve">Directlink, </w:t>
      </w:r>
      <w:r w:rsidRPr="00C45C77">
        <w:rPr>
          <w:rStyle w:val="AERtextitalic"/>
        </w:rPr>
        <w:t>R</w:t>
      </w:r>
      <w:r w:rsidR="00B91999" w:rsidRPr="00C45C77">
        <w:rPr>
          <w:rStyle w:val="AERtextitalic"/>
        </w:rPr>
        <w:t>evise</w:t>
      </w:r>
      <w:r w:rsidR="008917D7" w:rsidRPr="00C45C77">
        <w:rPr>
          <w:rStyle w:val="AERtextitalic"/>
        </w:rPr>
        <w:t>d</w:t>
      </w:r>
      <w:r w:rsidR="00B91999" w:rsidRPr="00C45C77">
        <w:rPr>
          <w:rStyle w:val="AERtextitalic"/>
        </w:rPr>
        <w:t xml:space="preserve"> revenue </w:t>
      </w:r>
      <w:r w:rsidRPr="00C45C77">
        <w:rPr>
          <w:rStyle w:val="AERtextitalic"/>
        </w:rPr>
        <w:t>proposal</w:t>
      </w:r>
      <w:r w:rsidRPr="00C45C77">
        <w:t xml:space="preserve">, p. </w:t>
      </w:r>
      <w:r w:rsidR="00B91999" w:rsidRPr="00C45C77">
        <w:t>15</w:t>
      </w:r>
      <w:r w:rsidRPr="00C45C77">
        <w:t>.</w:t>
      </w:r>
    </w:p>
    <w:p w:rsidR="00DE563D" w:rsidRPr="00AF1F9E" w:rsidRDefault="00DE563D" w:rsidP="00AF1F9E">
      <w:pPr>
        <w:pStyle w:val="Heading2"/>
      </w:pPr>
      <w:bookmarkStart w:id="18" w:name="_Toc413073921"/>
      <w:r w:rsidRPr="00AF1F9E">
        <w:t>AER’s assessment approach</w:t>
      </w:r>
      <w:bookmarkEnd w:id="16"/>
      <w:bookmarkEnd w:id="18"/>
    </w:p>
    <w:p w:rsidR="00714D2C" w:rsidRDefault="008B1D2B" w:rsidP="008B1D2B">
      <w:bookmarkStart w:id="19" w:name="_Toc403144140"/>
      <w:r w:rsidRPr="00BD5D87">
        <w:t xml:space="preserve">We did not change our assessment approach for the </w:t>
      </w:r>
      <w:r>
        <w:t>corporate income tax allowance</w:t>
      </w:r>
      <w:r w:rsidRPr="00BD5D87">
        <w:t xml:space="preserve"> fr</w:t>
      </w:r>
      <w:r>
        <w:t>om our draft decision. Section 8</w:t>
      </w:r>
      <w:r w:rsidRPr="00BD5D87">
        <w:t>.3 of our draft decision details that approach.</w:t>
      </w:r>
    </w:p>
    <w:p w:rsidR="008B1D2B" w:rsidRDefault="00714D2C" w:rsidP="00714D2C">
      <w:pPr>
        <w:spacing w:line="240" w:lineRule="auto"/>
      </w:pPr>
      <w:r>
        <w:br w:type="page"/>
      </w:r>
    </w:p>
    <w:p w:rsidR="00DE563D" w:rsidRDefault="00DE563D" w:rsidP="00AF1F9E">
      <w:pPr>
        <w:pStyle w:val="Heading2"/>
      </w:pPr>
      <w:bookmarkStart w:id="20" w:name="_Toc413073922"/>
      <w:r w:rsidRPr="00AF1F9E">
        <w:lastRenderedPageBreak/>
        <w:t xml:space="preserve">Reasons for </w:t>
      </w:r>
      <w:r w:rsidR="00AF1F9E">
        <w:t>final</w:t>
      </w:r>
      <w:r w:rsidRPr="00AF1F9E">
        <w:t xml:space="preserve"> decision</w:t>
      </w:r>
      <w:bookmarkEnd w:id="19"/>
      <w:bookmarkEnd w:id="20"/>
      <w:r w:rsidRPr="00AF1F9E">
        <w:t xml:space="preserve"> </w:t>
      </w:r>
    </w:p>
    <w:p w:rsidR="005F778C" w:rsidRDefault="005F778C" w:rsidP="00644EE2">
      <w:pPr>
        <w:numPr>
          <w:ilvl w:val="0"/>
          <w:numId w:val="25"/>
        </w:numPr>
      </w:pPr>
      <w:r w:rsidRPr="006D7077">
        <w:t xml:space="preserve">We do not accept </w:t>
      </w:r>
      <w:r>
        <w:t xml:space="preserve">Directlink's revised </w:t>
      </w:r>
      <w:r w:rsidRPr="006D7077">
        <w:t>proposed estimated cost of corporate income tax.</w:t>
      </w:r>
      <w:r>
        <w:t xml:space="preserve"> </w:t>
      </w:r>
      <w:r w:rsidR="0022319A" w:rsidRPr="006D7077">
        <w:t>We</w:t>
      </w:r>
      <w:r>
        <w:t xml:space="preserve"> instead</w:t>
      </w:r>
      <w:r w:rsidR="0022319A" w:rsidRPr="006D7077">
        <w:t xml:space="preserve"> determine </w:t>
      </w:r>
      <w:r w:rsidR="0022319A">
        <w:t>an</w:t>
      </w:r>
      <w:r w:rsidR="0022319A" w:rsidRPr="006D7077">
        <w:t xml:space="preserve"> estimated cost of corporate income tax of</w:t>
      </w:r>
      <w:r w:rsidR="0022319A">
        <w:t xml:space="preserve"> </w:t>
      </w:r>
      <w:r w:rsidR="0022319A" w:rsidRPr="006D7077">
        <w:t>$</w:t>
      </w:r>
      <w:r w:rsidR="0087699F">
        <w:t>2.1</w:t>
      </w:r>
      <w:r w:rsidR="0022319A" w:rsidRPr="006D7077">
        <w:t xml:space="preserve"> million ($ nominal)</w:t>
      </w:r>
      <w:r w:rsidR="0022319A">
        <w:t xml:space="preserve"> for Directlink</w:t>
      </w:r>
      <w:r w:rsidR="0022319A" w:rsidRPr="006D7077">
        <w:t>, which represents a</w:t>
      </w:r>
      <w:r w:rsidR="0022319A">
        <w:t xml:space="preserve"> reduction</w:t>
      </w:r>
      <w:r w:rsidR="0022319A" w:rsidRPr="006D7077">
        <w:t xml:space="preserve"> of $</w:t>
      </w:r>
      <w:r w:rsidR="0087699F">
        <w:t>1.1</w:t>
      </w:r>
      <w:r w:rsidR="0022319A" w:rsidRPr="006D7077">
        <w:t xml:space="preserve"> million (or </w:t>
      </w:r>
      <w:r w:rsidR="0087699F">
        <w:t>35.</w:t>
      </w:r>
      <w:r w:rsidR="007170D8">
        <w:t>6</w:t>
      </w:r>
      <w:r w:rsidR="0022319A" w:rsidRPr="006D7077">
        <w:t xml:space="preserve"> per cent) </w:t>
      </w:r>
      <w:r w:rsidR="0022319A">
        <w:t>from</w:t>
      </w:r>
      <w:r w:rsidR="0022319A" w:rsidRPr="006D7077">
        <w:t xml:space="preserve"> </w:t>
      </w:r>
      <w:r w:rsidR="0022319A">
        <w:t xml:space="preserve">its revised </w:t>
      </w:r>
      <w:r w:rsidR="0022319A" w:rsidRPr="006D7077">
        <w:t>proposal</w:t>
      </w:r>
      <w:r w:rsidR="0022319A">
        <w:t>.</w:t>
      </w:r>
      <w:r w:rsidR="00644EE2">
        <w:t xml:space="preserve"> </w:t>
      </w:r>
    </w:p>
    <w:p w:rsidR="00066966" w:rsidRPr="006D7077" w:rsidRDefault="00066966" w:rsidP="00066966">
      <w:pPr>
        <w:numPr>
          <w:ilvl w:val="0"/>
          <w:numId w:val="25"/>
        </w:numPr>
      </w:pPr>
      <w:r>
        <w:t>We have accepted the following revised</w:t>
      </w:r>
      <w:r w:rsidRPr="006D7077">
        <w:t xml:space="preserve"> proposed inputs to the PTRM for tax purposes: </w:t>
      </w:r>
    </w:p>
    <w:p w:rsidR="00066966" w:rsidRPr="00066966" w:rsidRDefault="00066966" w:rsidP="00066966">
      <w:pPr>
        <w:pStyle w:val="AERbulletlistfirststyle"/>
      </w:pPr>
      <w:r>
        <w:t>T</w:t>
      </w:r>
      <w:r w:rsidRPr="006D7077">
        <w:t xml:space="preserve">he opening TAB </w:t>
      </w:r>
      <w:r w:rsidRPr="00066966">
        <w:t>value at the commencement of the 201</w:t>
      </w:r>
      <w:r>
        <w:t>5</w:t>
      </w:r>
      <w:r w:rsidRPr="00066966">
        <w:t>–</w:t>
      </w:r>
      <w:r>
        <w:t>2020 regulatory control</w:t>
      </w:r>
      <w:r w:rsidRPr="00066966">
        <w:t xml:space="preserve"> period (section</w:t>
      </w:r>
      <w:r>
        <w:t xml:space="preserve"> </w:t>
      </w:r>
      <w:r>
        <w:fldChar w:fldCharType="begin"/>
      </w:r>
      <w:r>
        <w:instrText xml:space="preserve"> REF _Ref413836346 \r \h </w:instrText>
      </w:r>
      <w:r>
        <w:fldChar w:fldCharType="separate"/>
      </w:r>
      <w:r>
        <w:t>8.4.1</w:t>
      </w:r>
      <w:r>
        <w:fldChar w:fldCharType="end"/>
      </w:r>
      <w:r w:rsidRPr="00066966">
        <w:t>)</w:t>
      </w:r>
    </w:p>
    <w:p w:rsidR="00066966" w:rsidRPr="00066966" w:rsidRDefault="00066966" w:rsidP="00066966">
      <w:pPr>
        <w:pStyle w:val="AERbulletlistfirststyle"/>
      </w:pPr>
      <w:r>
        <w:t>T</w:t>
      </w:r>
      <w:r w:rsidRPr="006D7077">
        <w:t xml:space="preserve">he </w:t>
      </w:r>
      <w:r>
        <w:t xml:space="preserve">standard and </w:t>
      </w:r>
      <w:r w:rsidRPr="006D7077">
        <w:t>remaining tax asset lives (section</w:t>
      </w:r>
      <w:r>
        <w:t xml:space="preserve"> </w:t>
      </w:r>
      <w:r>
        <w:fldChar w:fldCharType="begin"/>
      </w:r>
      <w:r>
        <w:instrText xml:space="preserve"> REF _Ref413836356 \r \h </w:instrText>
      </w:r>
      <w:r>
        <w:fldChar w:fldCharType="separate"/>
      </w:r>
      <w:r>
        <w:t>8.4.2</w:t>
      </w:r>
      <w:r>
        <w:fldChar w:fldCharType="end"/>
      </w:r>
      <w:r>
        <w:t>)</w:t>
      </w:r>
      <w:r w:rsidRPr="00066966">
        <w:t>.</w:t>
      </w:r>
    </w:p>
    <w:p w:rsidR="008B1D2B" w:rsidRDefault="00066966" w:rsidP="00644EE2">
      <w:pPr>
        <w:numPr>
          <w:ilvl w:val="0"/>
          <w:numId w:val="25"/>
        </w:numPr>
      </w:pPr>
      <w:r>
        <w:t>However, we have</w:t>
      </w:r>
      <w:r w:rsidR="00714D2C">
        <w:t xml:space="preserve"> adjust</w:t>
      </w:r>
      <w:r>
        <w:t>ed</w:t>
      </w:r>
      <w:r w:rsidR="00714D2C">
        <w:t xml:space="preserve"> other proposed inputs to the PTRM which affect the calculation of the taxable income, and therefore the estimated corporate income tax allowance. </w:t>
      </w:r>
      <w:r w:rsidR="008B1D2B">
        <w:t xml:space="preserve">These </w:t>
      </w:r>
      <w:r w:rsidR="008B1D2B" w:rsidRPr="006D7077">
        <w:t>includ</w:t>
      </w:r>
      <w:r w:rsidR="008B1D2B">
        <w:t>e</w:t>
      </w:r>
      <w:r w:rsidR="008B1D2B" w:rsidRPr="006D7077">
        <w:t xml:space="preserve"> </w:t>
      </w:r>
      <w:r w:rsidR="008B1D2B">
        <w:t xml:space="preserve">the value for gamma (attachment 4), </w:t>
      </w:r>
      <w:r w:rsidR="008B1D2B" w:rsidRPr="006D7077">
        <w:t xml:space="preserve">forecast opex (attachment </w:t>
      </w:r>
      <w:r w:rsidR="008B1D2B">
        <w:t>7</w:t>
      </w:r>
      <w:r w:rsidR="008B1D2B" w:rsidRPr="006D7077">
        <w:t xml:space="preserve">) and forecast capex (attachment </w:t>
      </w:r>
      <w:r w:rsidR="008B1D2B">
        <w:t>6</w:t>
      </w:r>
      <w:r w:rsidR="008B1D2B" w:rsidRPr="006D7077">
        <w:t xml:space="preserve">). </w:t>
      </w:r>
    </w:p>
    <w:p w:rsidR="00AF1F9E" w:rsidRDefault="008B1D2B" w:rsidP="00AF1F9E">
      <w:pPr>
        <w:pStyle w:val="Heading3"/>
      </w:pPr>
      <w:bookmarkStart w:id="21" w:name="_Toc413073923"/>
      <w:bookmarkStart w:id="22" w:name="_Ref413836346"/>
      <w:r>
        <w:t>Opening tax base at 1 July 2015</w:t>
      </w:r>
      <w:bookmarkEnd w:id="21"/>
      <w:bookmarkEnd w:id="22"/>
    </w:p>
    <w:p w:rsidR="009573F3" w:rsidRDefault="008B1D2B" w:rsidP="008B1D2B">
      <w:pPr>
        <w:numPr>
          <w:ilvl w:val="0"/>
          <w:numId w:val="25"/>
        </w:numPr>
      </w:pPr>
      <w:r>
        <w:t xml:space="preserve">We accept Directlink's proposed opening TAB </w:t>
      </w:r>
      <w:r w:rsidR="006E4FED">
        <w:t xml:space="preserve">value </w:t>
      </w:r>
      <w:r>
        <w:t>as at 1 July 2015 of $</w:t>
      </w:r>
      <w:r w:rsidR="005A0CA0">
        <w:t>99.1</w:t>
      </w:r>
      <w:r>
        <w:t xml:space="preserve"> million ($ nominal). Directlink has applied the approach set out in our roll forward model (RFM) to establish its </w:t>
      </w:r>
      <w:r w:rsidR="009573F3">
        <w:t xml:space="preserve">revised </w:t>
      </w:r>
      <w:r>
        <w:t>proposed opening TAB</w:t>
      </w:r>
      <w:r w:rsidR="006E4FED">
        <w:t xml:space="preserve"> value</w:t>
      </w:r>
      <w:r>
        <w:t xml:space="preserve">. </w:t>
      </w:r>
    </w:p>
    <w:p w:rsidR="002F50E5" w:rsidRDefault="002F50E5" w:rsidP="0089062C">
      <w:r>
        <w:t>Also, as discussed in attachment 2, we accept Directlink's</w:t>
      </w:r>
      <w:r w:rsidR="009573F3" w:rsidRPr="00A1121A">
        <w:t xml:space="preserve"> revised proposal</w:t>
      </w:r>
      <w:r>
        <w:t xml:space="preserve"> where it</w:t>
      </w:r>
      <w:r w:rsidR="00C45C77">
        <w:t xml:space="preserve"> </w:t>
      </w:r>
      <w:r w:rsidR="009573F3" w:rsidRPr="00A1121A">
        <w:t xml:space="preserve">updated its </w:t>
      </w:r>
      <w:r>
        <w:t>estimated</w:t>
      </w:r>
      <w:r w:rsidR="009573F3" w:rsidRPr="00A1121A">
        <w:t xml:space="preserve"> capex for 2013–14, with actual capex</w:t>
      </w:r>
      <w:r w:rsidR="00714D2C">
        <w:t xml:space="preserve"> </w:t>
      </w:r>
      <w:r w:rsidR="009573F3" w:rsidRPr="00A1121A">
        <w:t xml:space="preserve">in the </w:t>
      </w:r>
      <w:r w:rsidR="006E4FED">
        <w:t>RFM.</w:t>
      </w:r>
      <w:r w:rsidR="009573F3" w:rsidRPr="00A1121A">
        <w:t xml:space="preserve"> </w:t>
      </w:r>
      <w:r>
        <w:t>We also accept Directlink's revised proposal estimate of capex for 2014–14 in the RFM.</w:t>
      </w:r>
    </w:p>
    <w:p w:rsidR="008B1D2B" w:rsidRPr="006D7077" w:rsidRDefault="008B1D2B" w:rsidP="0089062C">
      <w:r>
        <w:fldChar w:fldCharType="begin"/>
      </w:r>
      <w:r>
        <w:instrText xml:space="preserve"> REF _Ref402785441 \h </w:instrText>
      </w:r>
      <w:r>
        <w:fldChar w:fldCharType="separate"/>
      </w:r>
      <w:r w:rsidRPr="00076185">
        <w:t xml:space="preserve">Table </w:t>
      </w:r>
      <w:r>
        <w:t>8</w:t>
      </w:r>
      <w:r>
        <w:noBreakHyphen/>
      </w:r>
      <w:r w:rsidRPr="008B1D2B">
        <w:t>3</w:t>
      </w:r>
      <w:r>
        <w:fldChar w:fldCharType="end"/>
      </w:r>
      <w:r>
        <w:t xml:space="preserve"> </w:t>
      </w:r>
      <w:r w:rsidRPr="006D7077">
        <w:t>set</w:t>
      </w:r>
      <w:r>
        <w:t>s</w:t>
      </w:r>
      <w:r w:rsidRPr="006D7077">
        <w:t xml:space="preserve"> out our </w:t>
      </w:r>
      <w:r w:rsidR="009573F3">
        <w:t>final</w:t>
      </w:r>
      <w:r w:rsidRPr="006D7077">
        <w:t xml:space="preserve"> decision on the roll forward of </w:t>
      </w:r>
      <w:r>
        <w:t>Directlink</w:t>
      </w:r>
      <w:r w:rsidRPr="006D7077">
        <w:t xml:space="preserve">'s </w:t>
      </w:r>
      <w:r>
        <w:t>TAB values</w:t>
      </w:r>
      <w:r w:rsidRPr="006D7077">
        <w:t xml:space="preserve">. </w:t>
      </w:r>
    </w:p>
    <w:p w:rsidR="008B1D2B" w:rsidRPr="00076185" w:rsidRDefault="008B1D2B" w:rsidP="008B1D2B">
      <w:pPr>
        <w:pStyle w:val="Caption"/>
      </w:pPr>
      <w:bookmarkStart w:id="23" w:name="_Ref402785441"/>
      <w:r w:rsidRPr="00076185">
        <w:t xml:space="preserve">Table </w:t>
      </w:r>
      <w:r>
        <w:t>8</w:t>
      </w:r>
      <w:r>
        <w:noBreakHyphen/>
      </w:r>
      <w:r w:rsidRPr="008B1D2B">
        <w:fldChar w:fldCharType="begin"/>
      </w:r>
      <w:r>
        <w:instrText xml:space="preserve"> SEQ Table \* ARABIC \s 1 </w:instrText>
      </w:r>
      <w:r w:rsidRPr="008B1D2B">
        <w:fldChar w:fldCharType="separate"/>
      </w:r>
      <w:r w:rsidRPr="008B1D2B">
        <w:t>3</w:t>
      </w:r>
      <w:r w:rsidRPr="008B1D2B">
        <w:fldChar w:fldCharType="end"/>
      </w:r>
      <w:bookmarkEnd w:id="23"/>
      <w:r w:rsidRPr="00076185">
        <w:tab/>
        <w:t xml:space="preserve">AER's </w:t>
      </w:r>
      <w:r w:rsidR="008917D7">
        <w:t>final</w:t>
      </w:r>
      <w:r w:rsidRPr="00076185">
        <w:t xml:space="preserve"> decision on </w:t>
      </w:r>
      <w:r>
        <w:t>Directlink</w:t>
      </w:r>
      <w:r w:rsidRPr="00076185">
        <w:t xml:space="preserve">'s </w:t>
      </w:r>
      <w:r>
        <w:t>TAB</w:t>
      </w:r>
      <w:r w:rsidRPr="00076185">
        <w:t xml:space="preserve"> roll forward </w:t>
      </w:r>
      <w:r>
        <w:t xml:space="preserve">for the 2015–20 regulatory control period </w:t>
      </w:r>
      <w:r w:rsidRPr="00076185">
        <w:t>($ million, nominal)</w:t>
      </w:r>
    </w:p>
    <w:tbl>
      <w:tblPr>
        <w:tblStyle w:val="AERtable-text0"/>
        <w:tblW w:w="5000" w:type="pct"/>
        <w:tblLayout w:type="fixed"/>
        <w:tblLook w:val="01E0" w:firstRow="1" w:lastRow="1" w:firstColumn="1" w:lastColumn="1" w:noHBand="0" w:noVBand="0"/>
      </w:tblPr>
      <w:tblGrid>
        <w:gridCol w:w="1161"/>
        <w:gridCol w:w="760"/>
        <w:gridCol w:w="760"/>
        <w:gridCol w:w="758"/>
        <w:gridCol w:w="758"/>
        <w:gridCol w:w="758"/>
        <w:gridCol w:w="758"/>
        <w:gridCol w:w="673"/>
        <w:gridCol w:w="760"/>
        <w:gridCol w:w="775"/>
        <w:gridCol w:w="772"/>
      </w:tblGrid>
      <w:tr w:rsidR="008917D7" w:rsidRPr="008917D7" w:rsidTr="006E4FED">
        <w:trPr>
          <w:cnfStyle w:val="100000000000" w:firstRow="1" w:lastRow="0" w:firstColumn="0" w:lastColumn="0" w:oddVBand="0" w:evenVBand="0" w:oddHBand="0" w:evenHBand="0" w:firstRowFirstColumn="0" w:firstRowLastColumn="0" w:lastRowFirstColumn="0" w:lastRowLastColumn="0"/>
          <w:trHeight w:val="416"/>
        </w:trPr>
        <w:tc>
          <w:tcPr>
            <w:tcW w:w="668" w:type="pct"/>
          </w:tcPr>
          <w:p w:rsidR="008B1D2B" w:rsidRPr="008917D7" w:rsidRDefault="008B1D2B" w:rsidP="008917D7"/>
        </w:tc>
        <w:tc>
          <w:tcPr>
            <w:tcW w:w="437" w:type="pct"/>
          </w:tcPr>
          <w:p w:rsidR="008B1D2B" w:rsidRPr="008917D7" w:rsidRDefault="008B1D2B" w:rsidP="008917D7">
            <w:r w:rsidRPr="008917D7">
              <w:t>2005–06</w:t>
            </w:r>
          </w:p>
        </w:tc>
        <w:tc>
          <w:tcPr>
            <w:tcW w:w="437" w:type="pct"/>
          </w:tcPr>
          <w:p w:rsidR="008B1D2B" w:rsidRPr="008917D7" w:rsidRDefault="008B1D2B" w:rsidP="008917D7">
            <w:r w:rsidRPr="008917D7">
              <w:t>2006–07</w:t>
            </w:r>
          </w:p>
        </w:tc>
        <w:tc>
          <w:tcPr>
            <w:tcW w:w="436" w:type="pct"/>
          </w:tcPr>
          <w:p w:rsidR="008B1D2B" w:rsidRPr="008917D7" w:rsidRDefault="008B1D2B" w:rsidP="008917D7">
            <w:r w:rsidRPr="008917D7">
              <w:t>2007–08</w:t>
            </w:r>
          </w:p>
        </w:tc>
        <w:tc>
          <w:tcPr>
            <w:tcW w:w="436" w:type="pct"/>
          </w:tcPr>
          <w:p w:rsidR="008B1D2B" w:rsidRPr="008917D7" w:rsidRDefault="008B1D2B" w:rsidP="008917D7">
            <w:r w:rsidRPr="008917D7">
              <w:t>2008–09</w:t>
            </w:r>
          </w:p>
        </w:tc>
        <w:tc>
          <w:tcPr>
            <w:tcW w:w="436" w:type="pct"/>
          </w:tcPr>
          <w:p w:rsidR="008B1D2B" w:rsidRPr="008917D7" w:rsidRDefault="008B1D2B" w:rsidP="008917D7">
            <w:r w:rsidRPr="008917D7">
              <w:t>2009–10</w:t>
            </w:r>
          </w:p>
        </w:tc>
        <w:tc>
          <w:tcPr>
            <w:tcW w:w="436" w:type="pct"/>
          </w:tcPr>
          <w:p w:rsidR="008B1D2B" w:rsidRPr="008917D7" w:rsidRDefault="008B1D2B" w:rsidP="008917D7">
            <w:r w:rsidRPr="008917D7">
              <w:t>2010–11</w:t>
            </w:r>
          </w:p>
        </w:tc>
        <w:tc>
          <w:tcPr>
            <w:tcW w:w="387" w:type="pct"/>
          </w:tcPr>
          <w:p w:rsidR="008B1D2B" w:rsidRPr="008917D7" w:rsidRDefault="008B1D2B" w:rsidP="008917D7">
            <w:r w:rsidRPr="008917D7">
              <w:t>2011–12</w:t>
            </w:r>
          </w:p>
        </w:tc>
        <w:tc>
          <w:tcPr>
            <w:tcW w:w="437" w:type="pct"/>
          </w:tcPr>
          <w:p w:rsidR="008B1D2B" w:rsidRPr="008917D7" w:rsidRDefault="008B1D2B" w:rsidP="008917D7">
            <w:r w:rsidRPr="008917D7">
              <w:t>2012–13</w:t>
            </w:r>
          </w:p>
        </w:tc>
        <w:tc>
          <w:tcPr>
            <w:tcW w:w="446" w:type="pct"/>
          </w:tcPr>
          <w:p w:rsidR="008B1D2B" w:rsidRPr="008917D7" w:rsidRDefault="008B1D2B" w:rsidP="008917D7">
            <w:r w:rsidRPr="008917D7">
              <w:t>2013–14</w:t>
            </w:r>
          </w:p>
        </w:tc>
        <w:tc>
          <w:tcPr>
            <w:tcW w:w="444" w:type="pct"/>
          </w:tcPr>
          <w:p w:rsidR="008B1D2B" w:rsidRPr="008917D7" w:rsidRDefault="008B1D2B" w:rsidP="008917D7">
            <w:r w:rsidRPr="008917D7">
              <w:t>2014–15</w:t>
            </w:r>
            <w:r w:rsidRPr="008917D7">
              <w:rPr>
                <w:rStyle w:val="AERsuperscript"/>
              </w:rPr>
              <w:t>b</w:t>
            </w:r>
          </w:p>
        </w:tc>
      </w:tr>
      <w:tr w:rsidR="007E6C4F" w:rsidRPr="008917D7" w:rsidTr="005A0CA0">
        <w:trPr>
          <w:trHeight w:val="416"/>
        </w:trPr>
        <w:tc>
          <w:tcPr>
            <w:tcW w:w="668" w:type="pct"/>
          </w:tcPr>
          <w:p w:rsidR="007E6C4F" w:rsidRPr="007E6C4F" w:rsidRDefault="007E6C4F" w:rsidP="007E6C4F">
            <w:r w:rsidRPr="007E6C4F">
              <w:t>Opening TAB</w:t>
            </w:r>
          </w:p>
        </w:tc>
        <w:tc>
          <w:tcPr>
            <w:tcW w:w="437" w:type="pct"/>
            <w:vAlign w:val="bottom"/>
          </w:tcPr>
          <w:p w:rsidR="007E6C4F" w:rsidRPr="007E6C4F" w:rsidRDefault="007E6C4F" w:rsidP="007E6C4F">
            <w:r w:rsidRPr="007E6C4F">
              <w:t xml:space="preserve">     116.</w:t>
            </w:r>
            <w:r>
              <w:t>7</w:t>
            </w:r>
            <w:r w:rsidRPr="007E6C4F">
              <w:t xml:space="preserve"> </w:t>
            </w:r>
          </w:p>
        </w:tc>
        <w:tc>
          <w:tcPr>
            <w:tcW w:w="437" w:type="pct"/>
            <w:vAlign w:val="bottom"/>
          </w:tcPr>
          <w:p w:rsidR="007E6C4F" w:rsidRPr="007E6C4F" w:rsidRDefault="007E6C4F" w:rsidP="007E6C4F">
            <w:r>
              <w:t xml:space="preserve">     115.7</w:t>
            </w:r>
            <w:r w:rsidRPr="007E6C4F">
              <w:t xml:space="preserve"> </w:t>
            </w:r>
          </w:p>
        </w:tc>
        <w:tc>
          <w:tcPr>
            <w:tcW w:w="436" w:type="pct"/>
            <w:vAlign w:val="bottom"/>
          </w:tcPr>
          <w:p w:rsidR="007E6C4F" w:rsidRPr="007E6C4F" w:rsidRDefault="007E6C4F" w:rsidP="007E6C4F">
            <w:r w:rsidRPr="007E6C4F">
              <w:t xml:space="preserve">     113.</w:t>
            </w:r>
            <w:r>
              <w:t>4</w:t>
            </w:r>
            <w:r w:rsidRPr="007E6C4F">
              <w:t xml:space="preserve"> </w:t>
            </w:r>
          </w:p>
        </w:tc>
        <w:tc>
          <w:tcPr>
            <w:tcW w:w="436" w:type="pct"/>
            <w:vAlign w:val="bottom"/>
          </w:tcPr>
          <w:p w:rsidR="007E6C4F" w:rsidRPr="007E6C4F" w:rsidRDefault="007E6C4F" w:rsidP="007E6C4F">
            <w:r w:rsidRPr="007E6C4F">
              <w:t xml:space="preserve">     110.3</w:t>
            </w:r>
          </w:p>
        </w:tc>
        <w:tc>
          <w:tcPr>
            <w:tcW w:w="436" w:type="pct"/>
            <w:vAlign w:val="bottom"/>
          </w:tcPr>
          <w:p w:rsidR="007E6C4F" w:rsidRPr="007E6C4F" w:rsidRDefault="007E6C4F" w:rsidP="007E6C4F">
            <w:r>
              <w:t xml:space="preserve">       107.2</w:t>
            </w:r>
            <w:r w:rsidRPr="007E6C4F">
              <w:t xml:space="preserve"> </w:t>
            </w:r>
          </w:p>
        </w:tc>
        <w:tc>
          <w:tcPr>
            <w:tcW w:w="436" w:type="pct"/>
            <w:vAlign w:val="bottom"/>
          </w:tcPr>
          <w:p w:rsidR="007E6C4F" w:rsidRPr="007E6C4F" w:rsidRDefault="007E6C4F" w:rsidP="007E6C4F">
            <w:r>
              <w:t xml:space="preserve">       104.2</w:t>
            </w:r>
            <w:r w:rsidRPr="007E6C4F">
              <w:t xml:space="preserve"> </w:t>
            </w:r>
          </w:p>
        </w:tc>
        <w:tc>
          <w:tcPr>
            <w:tcW w:w="387" w:type="pct"/>
            <w:vAlign w:val="bottom"/>
          </w:tcPr>
          <w:p w:rsidR="007E6C4F" w:rsidRPr="007E6C4F" w:rsidRDefault="007E6C4F" w:rsidP="007E6C4F">
            <w:r w:rsidRPr="007E6C4F">
              <w:t xml:space="preserve">       103.</w:t>
            </w:r>
            <w:r>
              <w:t>1</w:t>
            </w:r>
          </w:p>
        </w:tc>
        <w:tc>
          <w:tcPr>
            <w:tcW w:w="437" w:type="pct"/>
            <w:vAlign w:val="bottom"/>
          </w:tcPr>
          <w:p w:rsidR="007E6C4F" w:rsidRPr="007E6C4F" w:rsidRDefault="007E6C4F" w:rsidP="007E6C4F">
            <w:r>
              <w:t xml:space="preserve">     101.4</w:t>
            </w:r>
            <w:r w:rsidRPr="007E6C4F">
              <w:t xml:space="preserve"> </w:t>
            </w:r>
          </w:p>
        </w:tc>
        <w:tc>
          <w:tcPr>
            <w:tcW w:w="446" w:type="pct"/>
            <w:vAlign w:val="bottom"/>
          </w:tcPr>
          <w:p w:rsidR="007E6C4F" w:rsidRPr="007E6C4F" w:rsidRDefault="007E6C4F" w:rsidP="007E6C4F">
            <w:r>
              <w:t xml:space="preserve">      99.2</w:t>
            </w:r>
            <w:r w:rsidRPr="007E6C4F">
              <w:t xml:space="preserve"> </w:t>
            </w:r>
          </w:p>
        </w:tc>
        <w:tc>
          <w:tcPr>
            <w:tcW w:w="444" w:type="pct"/>
            <w:vAlign w:val="bottom"/>
          </w:tcPr>
          <w:p w:rsidR="007E6C4F" w:rsidRPr="007E6C4F" w:rsidRDefault="007E6C4F" w:rsidP="007E6C4F">
            <w:r>
              <w:t xml:space="preserve">      98.6</w:t>
            </w:r>
            <w:r w:rsidRPr="007E6C4F">
              <w:t xml:space="preserve"> </w:t>
            </w:r>
          </w:p>
        </w:tc>
      </w:tr>
      <w:tr w:rsidR="008917D7" w:rsidRPr="008917D7" w:rsidTr="006E4FED">
        <w:trPr>
          <w:cnfStyle w:val="000000010000" w:firstRow="0" w:lastRow="0" w:firstColumn="0" w:lastColumn="0" w:oddVBand="0" w:evenVBand="0" w:oddHBand="0" w:evenHBand="1" w:firstRowFirstColumn="0" w:firstRowLastColumn="0" w:lastRowFirstColumn="0" w:lastRowLastColumn="0"/>
          <w:trHeight w:val="416"/>
        </w:trPr>
        <w:tc>
          <w:tcPr>
            <w:tcW w:w="668" w:type="pct"/>
          </w:tcPr>
          <w:p w:rsidR="008B1D2B" w:rsidRPr="008917D7" w:rsidRDefault="008B1D2B" w:rsidP="008917D7">
            <w:r w:rsidRPr="008917D7">
              <w:t>Capital expenditure</w:t>
            </w:r>
            <w:r w:rsidRPr="008917D7">
              <w:rPr>
                <w:rStyle w:val="AERsuperscript"/>
              </w:rPr>
              <w:t>a</w:t>
            </w:r>
          </w:p>
        </w:tc>
        <w:tc>
          <w:tcPr>
            <w:tcW w:w="437" w:type="pct"/>
          </w:tcPr>
          <w:p w:rsidR="008B1D2B" w:rsidRPr="008917D7" w:rsidRDefault="008B1D2B" w:rsidP="008917D7">
            <w:r w:rsidRPr="008917D7">
              <w:t>2.</w:t>
            </w:r>
            <w:r w:rsidR="007E6C4F">
              <w:t>0</w:t>
            </w:r>
          </w:p>
        </w:tc>
        <w:tc>
          <w:tcPr>
            <w:tcW w:w="437" w:type="pct"/>
          </w:tcPr>
          <w:p w:rsidR="008B1D2B" w:rsidRPr="008917D7" w:rsidRDefault="008B1D2B" w:rsidP="008917D7">
            <w:r w:rsidRPr="008917D7">
              <w:t>0.</w:t>
            </w:r>
            <w:r w:rsidR="007E6C4F">
              <w:t>8</w:t>
            </w:r>
          </w:p>
        </w:tc>
        <w:tc>
          <w:tcPr>
            <w:tcW w:w="436" w:type="pct"/>
          </w:tcPr>
          <w:p w:rsidR="008B1D2B" w:rsidRPr="008917D7" w:rsidRDefault="008B1D2B" w:rsidP="008917D7">
            <w:r w:rsidRPr="008917D7">
              <w:t>–</w:t>
            </w:r>
          </w:p>
        </w:tc>
        <w:tc>
          <w:tcPr>
            <w:tcW w:w="436" w:type="pct"/>
          </w:tcPr>
          <w:p w:rsidR="008B1D2B" w:rsidRPr="008917D7" w:rsidRDefault="008B1D2B" w:rsidP="008917D7">
            <w:r w:rsidRPr="008917D7">
              <w:t>–</w:t>
            </w:r>
          </w:p>
        </w:tc>
        <w:tc>
          <w:tcPr>
            <w:tcW w:w="436" w:type="pct"/>
          </w:tcPr>
          <w:p w:rsidR="008B1D2B" w:rsidRPr="008917D7" w:rsidRDefault="008B1D2B" w:rsidP="008917D7">
            <w:r w:rsidRPr="008917D7">
              <w:t>–</w:t>
            </w:r>
          </w:p>
        </w:tc>
        <w:tc>
          <w:tcPr>
            <w:tcW w:w="436" w:type="pct"/>
          </w:tcPr>
          <w:p w:rsidR="008B1D2B" w:rsidRPr="008917D7" w:rsidRDefault="008B1D2B" w:rsidP="008917D7">
            <w:r w:rsidRPr="008917D7">
              <w:t>2.</w:t>
            </w:r>
            <w:r w:rsidR="007E6C4F">
              <w:t>0</w:t>
            </w:r>
          </w:p>
        </w:tc>
        <w:tc>
          <w:tcPr>
            <w:tcW w:w="387" w:type="pct"/>
          </w:tcPr>
          <w:p w:rsidR="008B1D2B" w:rsidRPr="008917D7" w:rsidRDefault="008917D7" w:rsidP="008917D7">
            <w:r>
              <w:t>1.</w:t>
            </w:r>
            <w:r w:rsidR="007E6C4F">
              <w:t>5</w:t>
            </w:r>
          </w:p>
        </w:tc>
        <w:tc>
          <w:tcPr>
            <w:tcW w:w="437" w:type="pct"/>
          </w:tcPr>
          <w:p w:rsidR="008B1D2B" w:rsidRPr="008917D7" w:rsidRDefault="008B1D2B" w:rsidP="008917D7">
            <w:r w:rsidRPr="008917D7">
              <w:t>0.</w:t>
            </w:r>
            <w:r w:rsidR="007E6C4F">
              <w:t>9</w:t>
            </w:r>
          </w:p>
        </w:tc>
        <w:tc>
          <w:tcPr>
            <w:tcW w:w="446" w:type="pct"/>
          </w:tcPr>
          <w:p w:rsidR="008B1D2B" w:rsidRPr="008917D7" w:rsidRDefault="007E6C4F" w:rsidP="008917D7">
            <w:r>
              <w:t>2.6</w:t>
            </w:r>
          </w:p>
        </w:tc>
        <w:tc>
          <w:tcPr>
            <w:tcW w:w="444" w:type="pct"/>
          </w:tcPr>
          <w:p w:rsidR="008B1D2B" w:rsidRPr="008917D7" w:rsidRDefault="007E6C4F" w:rsidP="008917D7">
            <w:r>
              <w:t>3.8</w:t>
            </w:r>
          </w:p>
        </w:tc>
      </w:tr>
      <w:tr w:rsidR="008B1D2B" w:rsidRPr="008917D7" w:rsidTr="006E4FED">
        <w:trPr>
          <w:trHeight w:val="403"/>
        </w:trPr>
        <w:tc>
          <w:tcPr>
            <w:tcW w:w="668" w:type="pct"/>
          </w:tcPr>
          <w:p w:rsidR="008B1D2B" w:rsidRPr="008917D7" w:rsidRDefault="008B1D2B" w:rsidP="008917D7">
            <w:r w:rsidRPr="008917D7">
              <w:t>Tax depreciation</w:t>
            </w:r>
          </w:p>
        </w:tc>
        <w:tc>
          <w:tcPr>
            <w:tcW w:w="437" w:type="pct"/>
          </w:tcPr>
          <w:p w:rsidR="008B1D2B" w:rsidRPr="008917D7" w:rsidRDefault="00066966" w:rsidP="007E6C4F">
            <w:r>
              <w:t>–</w:t>
            </w:r>
            <w:r w:rsidR="007E6C4F">
              <w:t>3.0</w:t>
            </w:r>
          </w:p>
        </w:tc>
        <w:tc>
          <w:tcPr>
            <w:tcW w:w="437" w:type="pct"/>
          </w:tcPr>
          <w:p w:rsidR="008B1D2B" w:rsidRPr="008917D7" w:rsidRDefault="00066966" w:rsidP="007E6C4F">
            <w:r>
              <w:t>–</w:t>
            </w:r>
            <w:r w:rsidR="007E6C4F">
              <w:t>3.1</w:t>
            </w:r>
          </w:p>
        </w:tc>
        <w:tc>
          <w:tcPr>
            <w:tcW w:w="436" w:type="pct"/>
          </w:tcPr>
          <w:p w:rsidR="008B1D2B" w:rsidRPr="008917D7" w:rsidRDefault="007E6C4F" w:rsidP="008917D7">
            <w:r>
              <w:t>-3.1</w:t>
            </w:r>
          </w:p>
        </w:tc>
        <w:tc>
          <w:tcPr>
            <w:tcW w:w="436" w:type="pct"/>
          </w:tcPr>
          <w:p w:rsidR="008B1D2B" w:rsidRPr="008917D7" w:rsidRDefault="00066966" w:rsidP="007E6C4F">
            <w:r>
              <w:t>–</w:t>
            </w:r>
            <w:r w:rsidR="007E6C4F">
              <w:t>3.1</w:t>
            </w:r>
          </w:p>
        </w:tc>
        <w:tc>
          <w:tcPr>
            <w:tcW w:w="436" w:type="pct"/>
          </w:tcPr>
          <w:p w:rsidR="008B1D2B" w:rsidRPr="008917D7" w:rsidRDefault="008B1D2B" w:rsidP="008917D7">
            <w:r w:rsidRPr="008917D7">
              <w:t>–</w:t>
            </w:r>
            <w:r w:rsidR="007E6C4F">
              <w:t>3.1</w:t>
            </w:r>
          </w:p>
        </w:tc>
        <w:tc>
          <w:tcPr>
            <w:tcW w:w="436" w:type="pct"/>
          </w:tcPr>
          <w:p w:rsidR="008B1D2B" w:rsidRPr="008917D7" w:rsidRDefault="007E6C4F" w:rsidP="008917D7">
            <w:r>
              <w:t>-3.1</w:t>
            </w:r>
          </w:p>
        </w:tc>
        <w:tc>
          <w:tcPr>
            <w:tcW w:w="387" w:type="pct"/>
          </w:tcPr>
          <w:p w:rsidR="008B1D2B" w:rsidRPr="008917D7" w:rsidRDefault="00066966" w:rsidP="007E6C4F">
            <w:r>
              <w:t>–</w:t>
            </w:r>
            <w:r w:rsidR="007E6C4F">
              <w:t>3.1</w:t>
            </w:r>
          </w:p>
        </w:tc>
        <w:tc>
          <w:tcPr>
            <w:tcW w:w="437" w:type="pct"/>
          </w:tcPr>
          <w:p w:rsidR="008B1D2B" w:rsidRPr="008917D7" w:rsidRDefault="00066966" w:rsidP="007E6C4F">
            <w:r>
              <w:t>–</w:t>
            </w:r>
            <w:r w:rsidR="007E6C4F">
              <w:t>3.2</w:t>
            </w:r>
          </w:p>
        </w:tc>
        <w:tc>
          <w:tcPr>
            <w:tcW w:w="446" w:type="pct"/>
          </w:tcPr>
          <w:p w:rsidR="008B1D2B" w:rsidRPr="008917D7" w:rsidRDefault="00066966" w:rsidP="007E6C4F">
            <w:r>
              <w:t>–</w:t>
            </w:r>
            <w:r w:rsidR="007E6C4F">
              <w:t>3.2</w:t>
            </w:r>
          </w:p>
        </w:tc>
        <w:tc>
          <w:tcPr>
            <w:tcW w:w="444" w:type="pct"/>
          </w:tcPr>
          <w:p w:rsidR="008B1D2B" w:rsidRPr="008917D7" w:rsidRDefault="00066966" w:rsidP="007E6C4F">
            <w:r>
              <w:t>–</w:t>
            </w:r>
            <w:r w:rsidR="007E6C4F">
              <w:t>3.2</w:t>
            </w:r>
          </w:p>
        </w:tc>
      </w:tr>
      <w:tr w:rsidR="008917D7" w:rsidRPr="00D36143" w:rsidTr="006E4FED">
        <w:trPr>
          <w:cnfStyle w:val="000000010000" w:firstRow="0" w:lastRow="0" w:firstColumn="0" w:lastColumn="0" w:oddVBand="0" w:evenVBand="0" w:oddHBand="0" w:evenHBand="1" w:firstRowFirstColumn="0" w:firstRowLastColumn="0" w:lastRowFirstColumn="0" w:lastRowLastColumn="0"/>
          <w:trHeight w:val="429"/>
        </w:trPr>
        <w:tc>
          <w:tcPr>
            <w:tcW w:w="668" w:type="pct"/>
          </w:tcPr>
          <w:p w:rsidR="008B1D2B" w:rsidRPr="00D36143" w:rsidRDefault="008B1D2B" w:rsidP="00D36143">
            <w:r w:rsidRPr="00D36143">
              <w:t>Closing TAB</w:t>
            </w:r>
          </w:p>
        </w:tc>
        <w:tc>
          <w:tcPr>
            <w:tcW w:w="437" w:type="pct"/>
          </w:tcPr>
          <w:p w:rsidR="008B1D2B" w:rsidRPr="00D36143" w:rsidRDefault="005A0CA0" w:rsidP="00D36143">
            <w:r w:rsidRPr="00D36143">
              <w:t>115.7</w:t>
            </w:r>
          </w:p>
        </w:tc>
        <w:tc>
          <w:tcPr>
            <w:tcW w:w="437" w:type="pct"/>
          </w:tcPr>
          <w:p w:rsidR="008B1D2B" w:rsidRPr="00D36143" w:rsidRDefault="005A0CA0" w:rsidP="00D36143">
            <w:r w:rsidRPr="00D36143">
              <w:t>113.4</w:t>
            </w:r>
          </w:p>
        </w:tc>
        <w:tc>
          <w:tcPr>
            <w:tcW w:w="436" w:type="pct"/>
          </w:tcPr>
          <w:p w:rsidR="008B1D2B" w:rsidRPr="00D36143" w:rsidRDefault="008B1D2B" w:rsidP="00D36143">
            <w:r w:rsidRPr="00D36143">
              <w:t>1</w:t>
            </w:r>
            <w:r w:rsidR="005A0CA0" w:rsidRPr="00D36143">
              <w:t>10.3</w:t>
            </w:r>
          </w:p>
        </w:tc>
        <w:tc>
          <w:tcPr>
            <w:tcW w:w="436" w:type="pct"/>
          </w:tcPr>
          <w:p w:rsidR="008B1D2B" w:rsidRPr="00D36143" w:rsidRDefault="005A0CA0" w:rsidP="00D36143">
            <w:r w:rsidRPr="00D36143">
              <w:t>107.2</w:t>
            </w:r>
          </w:p>
        </w:tc>
        <w:tc>
          <w:tcPr>
            <w:tcW w:w="436" w:type="pct"/>
          </w:tcPr>
          <w:p w:rsidR="008B1D2B" w:rsidRPr="00D36143" w:rsidRDefault="008917D7" w:rsidP="00D36143">
            <w:r w:rsidRPr="00D36143">
              <w:t>1</w:t>
            </w:r>
            <w:r w:rsidR="005A0CA0" w:rsidRPr="00D36143">
              <w:t>04.2</w:t>
            </w:r>
          </w:p>
        </w:tc>
        <w:tc>
          <w:tcPr>
            <w:tcW w:w="436" w:type="pct"/>
          </w:tcPr>
          <w:p w:rsidR="008B1D2B" w:rsidRPr="00D36143" w:rsidRDefault="008917D7" w:rsidP="00D36143">
            <w:r w:rsidRPr="00D36143">
              <w:t>1</w:t>
            </w:r>
            <w:r w:rsidR="005A0CA0" w:rsidRPr="00D36143">
              <w:t>03.1</w:t>
            </w:r>
          </w:p>
        </w:tc>
        <w:tc>
          <w:tcPr>
            <w:tcW w:w="387" w:type="pct"/>
          </w:tcPr>
          <w:p w:rsidR="008B1D2B" w:rsidRPr="00D36143" w:rsidRDefault="008917D7" w:rsidP="00D36143">
            <w:r w:rsidRPr="00D36143">
              <w:t>1</w:t>
            </w:r>
            <w:r w:rsidR="005A0CA0" w:rsidRPr="00D36143">
              <w:t>01.4</w:t>
            </w:r>
          </w:p>
        </w:tc>
        <w:tc>
          <w:tcPr>
            <w:tcW w:w="437" w:type="pct"/>
          </w:tcPr>
          <w:p w:rsidR="008B1D2B" w:rsidRPr="00D36143" w:rsidRDefault="005A0CA0" w:rsidP="00D36143">
            <w:r w:rsidRPr="00D36143">
              <w:t>99.2</w:t>
            </w:r>
          </w:p>
        </w:tc>
        <w:tc>
          <w:tcPr>
            <w:tcW w:w="446" w:type="pct"/>
          </w:tcPr>
          <w:p w:rsidR="008B1D2B" w:rsidRPr="00D36143" w:rsidRDefault="005A0CA0" w:rsidP="00D36143">
            <w:r w:rsidRPr="00D36143">
              <w:t>98.6</w:t>
            </w:r>
          </w:p>
        </w:tc>
        <w:tc>
          <w:tcPr>
            <w:tcW w:w="444" w:type="pct"/>
          </w:tcPr>
          <w:p w:rsidR="008B1D2B" w:rsidRPr="00D36143" w:rsidRDefault="005A0CA0" w:rsidP="00D36143">
            <w:r w:rsidRPr="00D36143">
              <w:t>99.1</w:t>
            </w:r>
          </w:p>
        </w:tc>
      </w:tr>
    </w:tbl>
    <w:p w:rsidR="008B1D2B" w:rsidRPr="008917D7" w:rsidRDefault="008B1D2B" w:rsidP="008917D7">
      <w:pPr>
        <w:pStyle w:val="AERtablesource"/>
      </w:pPr>
      <w:r w:rsidRPr="008917D7">
        <w:t xml:space="preserve">Source: </w:t>
      </w:r>
      <w:r w:rsidRPr="008917D7">
        <w:tab/>
        <w:t>AER analysis.</w:t>
      </w:r>
    </w:p>
    <w:p w:rsidR="008B1D2B" w:rsidRPr="008917D7" w:rsidRDefault="008B1D2B" w:rsidP="008917D7">
      <w:pPr>
        <w:pStyle w:val="AERtablesource"/>
      </w:pPr>
      <w:r w:rsidRPr="008917D7">
        <w:t>(a)</w:t>
      </w:r>
      <w:r w:rsidRPr="008917D7">
        <w:tab/>
        <w:t>As commissioned, net of disposals.</w:t>
      </w:r>
    </w:p>
    <w:p w:rsidR="008B1D2B" w:rsidRDefault="008B1D2B" w:rsidP="008917D7">
      <w:pPr>
        <w:pStyle w:val="AERtablesource"/>
      </w:pPr>
      <w:r w:rsidRPr="008917D7">
        <w:t>(b)</w:t>
      </w:r>
      <w:r w:rsidRPr="008917D7">
        <w:tab/>
        <w:t>Based on estimated capex.</w:t>
      </w:r>
    </w:p>
    <w:p w:rsidR="009573F3" w:rsidRDefault="009573F3" w:rsidP="009573F3">
      <w:pPr>
        <w:pStyle w:val="Heading3"/>
      </w:pPr>
      <w:bookmarkStart w:id="24" w:name="_Toc413073924"/>
      <w:bookmarkStart w:id="25" w:name="_Ref413836356"/>
      <w:r>
        <w:lastRenderedPageBreak/>
        <w:t>Standard and remaining tax asset lives</w:t>
      </w:r>
      <w:bookmarkEnd w:id="24"/>
      <w:bookmarkEnd w:id="25"/>
    </w:p>
    <w:p w:rsidR="009F354A" w:rsidRDefault="009F354A" w:rsidP="009F354A">
      <w:r>
        <w:t>Consistent with our draft decision, we accept Directlink's proposed standard and remaining tax asset lives for its 'Substation' and 'Transmission line' asset classes.</w:t>
      </w:r>
    </w:p>
    <w:p w:rsidR="000A1270" w:rsidRDefault="000A1270" w:rsidP="000A1270">
      <w:pPr>
        <w:numPr>
          <w:ilvl w:val="0"/>
          <w:numId w:val="25"/>
        </w:numPr>
      </w:pPr>
      <w:r>
        <w:t>In the draft decision, w</w:t>
      </w:r>
      <w:r w:rsidRPr="006D7077">
        <w:t>e accept</w:t>
      </w:r>
      <w:r>
        <w:t>ed</w:t>
      </w:r>
      <w:r w:rsidRPr="006D7077">
        <w:t xml:space="preserve"> </w:t>
      </w:r>
      <w:r>
        <w:t>Directlink's</w:t>
      </w:r>
      <w:r w:rsidRPr="00182203">
        <w:t xml:space="preserve"> </w:t>
      </w:r>
      <w:r w:rsidRPr="004314F0">
        <w:t xml:space="preserve">proposal to align the </w:t>
      </w:r>
      <w:r>
        <w:t>remaining</w:t>
      </w:r>
      <w:r w:rsidRPr="004314F0">
        <w:t xml:space="preserve"> </w:t>
      </w:r>
      <w:r>
        <w:t xml:space="preserve">tax </w:t>
      </w:r>
      <w:r w:rsidRPr="004314F0">
        <w:t>asset life of the ‘Transmission line’ asset class with that of the ‘S</w:t>
      </w:r>
      <w:r>
        <w:t>ubstation</w:t>
      </w:r>
      <w:r w:rsidRPr="004314F0">
        <w:t xml:space="preserve">’ asset class. </w:t>
      </w:r>
      <w:r>
        <w:t>This is because t</w:t>
      </w:r>
      <w:r w:rsidRPr="004314F0">
        <w:t xml:space="preserve">he transmission line will have no useful life when the substation ceases to operate. </w:t>
      </w:r>
      <w:r>
        <w:t xml:space="preserve">We also accepted Directlink's proposal to change its standard </w:t>
      </w:r>
      <w:r w:rsidR="00F02499">
        <w:t xml:space="preserve">tax </w:t>
      </w:r>
      <w:r>
        <w:t xml:space="preserve">asset lives for </w:t>
      </w:r>
      <w:r w:rsidR="00F02499">
        <w:t xml:space="preserve">tax </w:t>
      </w:r>
      <w:r>
        <w:t>depreciati</w:t>
      </w:r>
      <w:r w:rsidR="00F02499">
        <w:t>on purposes of</w:t>
      </w:r>
      <w:r>
        <w:t xml:space="preserve"> new capex over the 2015–20 regulatory control period. We considered the proposed forecast capex are for stay in business and ancillary equipment purposes and should have the same remaining</w:t>
      </w:r>
      <w:r w:rsidR="00F02499">
        <w:t xml:space="preserve"> tax</w:t>
      </w:r>
      <w:r>
        <w:t xml:space="preserve"> life as the substation assets. </w:t>
      </w:r>
      <w:r w:rsidRPr="004314F0">
        <w:t xml:space="preserve">Therefore, </w:t>
      </w:r>
      <w:r>
        <w:t>we</w:t>
      </w:r>
      <w:r w:rsidRPr="004314F0">
        <w:t xml:space="preserve"> </w:t>
      </w:r>
      <w:r>
        <w:t xml:space="preserve">were satisfied </w:t>
      </w:r>
      <w:r w:rsidRPr="004314F0">
        <w:t xml:space="preserve">that it </w:t>
      </w:r>
      <w:r>
        <w:t>was</w:t>
      </w:r>
      <w:r w:rsidRPr="004314F0">
        <w:t xml:space="preserve"> reasonable to change the standard </w:t>
      </w:r>
      <w:r>
        <w:t xml:space="preserve">tax </w:t>
      </w:r>
      <w:r w:rsidRPr="004314F0">
        <w:t xml:space="preserve">asset life of the ‘Transmission line’ asset class </w:t>
      </w:r>
      <w:r>
        <w:t xml:space="preserve">and 'Substations' asset class </w:t>
      </w:r>
      <w:r w:rsidRPr="004314F0">
        <w:t xml:space="preserve">to </w:t>
      </w:r>
      <w:r>
        <w:t>26</w:t>
      </w:r>
      <w:r w:rsidRPr="004314F0">
        <w:t xml:space="preserve"> years</w:t>
      </w:r>
      <w:r>
        <w:t>.</w:t>
      </w:r>
      <w:r>
        <w:rPr>
          <w:rStyle w:val="FootnoteReference"/>
        </w:rPr>
        <w:footnoteReference w:id="3"/>
      </w:r>
      <w:r>
        <w:t xml:space="preserve"> </w:t>
      </w:r>
    </w:p>
    <w:p w:rsidR="00F02499" w:rsidRDefault="00F02499" w:rsidP="00F02499">
      <w:pPr>
        <w:numPr>
          <w:ilvl w:val="0"/>
          <w:numId w:val="25"/>
        </w:numPr>
      </w:pPr>
      <w:r>
        <w:t>We are satisfied the proposed standard and remaining tax asset lives are likely to provide an appropriate estimate of the tax depreciation amount for a benchmark efficient TNSP as required by the NER.</w:t>
      </w:r>
      <w:r>
        <w:rPr>
          <w:rStyle w:val="FootnoteReference"/>
        </w:rPr>
        <w:footnoteReference w:id="4"/>
      </w:r>
    </w:p>
    <w:p w:rsidR="006E4FED" w:rsidRDefault="006E4FED" w:rsidP="006E4FED">
      <w:pPr>
        <w:numPr>
          <w:ilvl w:val="0"/>
          <w:numId w:val="25"/>
        </w:numPr>
      </w:pPr>
      <w:r>
        <w:fldChar w:fldCharType="begin"/>
      </w:r>
      <w:r>
        <w:instrText xml:space="preserve"> REF _Ref402785467 \h </w:instrText>
      </w:r>
      <w:r>
        <w:fldChar w:fldCharType="separate"/>
      </w:r>
      <w:r>
        <w:t>Table 8</w:t>
      </w:r>
      <w:r>
        <w:noBreakHyphen/>
      </w:r>
      <w:r w:rsidRPr="006E4FED">
        <w:t>4</w:t>
      </w:r>
      <w:r>
        <w:fldChar w:fldCharType="end"/>
      </w:r>
      <w:r>
        <w:t xml:space="preserve"> sets out our</w:t>
      </w:r>
      <w:r w:rsidRPr="008F1E6A">
        <w:t xml:space="preserve"> </w:t>
      </w:r>
      <w:r w:rsidR="002F50E5">
        <w:t>final</w:t>
      </w:r>
      <w:r w:rsidR="002F50E5" w:rsidRPr="008F1E6A">
        <w:t xml:space="preserve"> </w:t>
      </w:r>
      <w:r w:rsidRPr="008F1E6A">
        <w:t xml:space="preserve">decision on </w:t>
      </w:r>
      <w:r>
        <w:t>Directlink</w:t>
      </w:r>
      <w:r w:rsidRPr="008F1E6A">
        <w:t xml:space="preserve">'s </w:t>
      </w:r>
      <w:r>
        <w:t>standard</w:t>
      </w:r>
      <w:r w:rsidR="009F354A">
        <w:t xml:space="preserve"> and remaining</w:t>
      </w:r>
      <w:r w:rsidRPr="006D7077">
        <w:t xml:space="preserve"> tax asset lives </w:t>
      </w:r>
      <w:r>
        <w:t xml:space="preserve">for the 2015–20 regulatory control </w:t>
      </w:r>
      <w:proofErr w:type="gramStart"/>
      <w:r>
        <w:t>period</w:t>
      </w:r>
      <w:proofErr w:type="gramEnd"/>
      <w:r w:rsidRPr="008F1E6A">
        <w:t>.</w:t>
      </w:r>
    </w:p>
    <w:p w:rsidR="006E4FED" w:rsidRDefault="006E4FED" w:rsidP="006E4FED">
      <w:pPr>
        <w:pStyle w:val="Caption"/>
      </w:pPr>
      <w:bookmarkStart w:id="26" w:name="_Ref402785467"/>
      <w:r>
        <w:t>Table 8</w:t>
      </w:r>
      <w:r>
        <w:noBreakHyphen/>
      </w:r>
      <w:r w:rsidRPr="006E4FED">
        <w:fldChar w:fldCharType="begin"/>
      </w:r>
      <w:r>
        <w:instrText xml:space="preserve"> SEQ Table \* ARABIC \s 1 </w:instrText>
      </w:r>
      <w:r w:rsidRPr="006E4FED">
        <w:fldChar w:fldCharType="separate"/>
      </w:r>
      <w:r w:rsidRPr="006E4FED">
        <w:t>4</w:t>
      </w:r>
      <w:r w:rsidRPr="006E4FED">
        <w:fldChar w:fldCharType="end"/>
      </w:r>
      <w:bookmarkEnd w:id="26"/>
      <w:r>
        <w:tab/>
      </w:r>
      <w:r w:rsidRPr="00DE1345">
        <w:t xml:space="preserve">AER's </w:t>
      </w:r>
      <w:r w:rsidR="00C45C77">
        <w:t xml:space="preserve">final </w:t>
      </w:r>
      <w:r w:rsidRPr="00DE1345">
        <w:t>decision on Directlink's standard</w:t>
      </w:r>
      <w:r>
        <w:t xml:space="preserve"> and remaining</w:t>
      </w:r>
      <w:r w:rsidRPr="00DE1345">
        <w:t xml:space="preserve"> </w:t>
      </w:r>
      <w:r>
        <w:t xml:space="preserve">tax </w:t>
      </w:r>
      <w:r w:rsidRPr="00DE1345">
        <w:t>asset lives as at 1 July 2015 (years)</w:t>
      </w:r>
    </w:p>
    <w:tbl>
      <w:tblPr>
        <w:tblStyle w:val="AERtable-numbers"/>
        <w:tblW w:w="8750" w:type="dxa"/>
        <w:tblLook w:val="01E0" w:firstRow="1" w:lastRow="1" w:firstColumn="1" w:lastColumn="1" w:noHBand="0" w:noVBand="0"/>
      </w:tblPr>
      <w:tblGrid>
        <w:gridCol w:w="2802"/>
        <w:gridCol w:w="2409"/>
        <w:gridCol w:w="3539"/>
      </w:tblGrid>
      <w:tr w:rsidR="00D36143" w:rsidRPr="00634485" w:rsidTr="00D36143">
        <w:trPr>
          <w:cnfStyle w:val="100000000000" w:firstRow="1" w:lastRow="0" w:firstColumn="0" w:lastColumn="0" w:oddVBand="0" w:evenVBand="0" w:oddHBand="0" w:evenHBand="0" w:firstRowFirstColumn="0" w:firstRowLastColumn="0" w:lastRowFirstColumn="0" w:lastRowLastColumn="0"/>
          <w:trHeight w:hRule="exact" w:val="638"/>
          <w:tblHeader/>
        </w:trPr>
        <w:tc>
          <w:tcPr>
            <w:cnfStyle w:val="001000000000" w:firstRow="0" w:lastRow="0" w:firstColumn="1" w:lastColumn="0" w:oddVBand="0" w:evenVBand="0" w:oddHBand="0" w:evenHBand="0" w:firstRowFirstColumn="0" w:firstRowLastColumn="0" w:lastRowFirstColumn="0" w:lastRowLastColumn="0"/>
            <w:tcW w:w="2802" w:type="dxa"/>
          </w:tcPr>
          <w:p w:rsidR="00D36143" w:rsidRPr="000E130B" w:rsidRDefault="00D36143" w:rsidP="00D36143">
            <w:pPr>
              <w:pStyle w:val="ListParagraph"/>
              <w:numPr>
                <w:ilvl w:val="0"/>
                <w:numId w:val="25"/>
              </w:numPr>
            </w:pPr>
            <w:r w:rsidRPr="000E130B">
              <w:t>Asset class</w:t>
            </w:r>
          </w:p>
        </w:tc>
        <w:tc>
          <w:tcPr>
            <w:tcW w:w="2409" w:type="dxa"/>
          </w:tcPr>
          <w:p w:rsidR="00D36143" w:rsidRPr="00D36143" w:rsidRDefault="00D36143" w:rsidP="00D36143">
            <w:pPr>
              <w:cnfStyle w:val="100000000000" w:firstRow="1" w:lastRow="0" w:firstColumn="0" w:lastColumn="0" w:oddVBand="0" w:evenVBand="0" w:oddHBand="0" w:evenHBand="0" w:firstRowFirstColumn="0" w:firstRowLastColumn="0" w:lastRowFirstColumn="0" w:lastRowLastColumn="0"/>
            </w:pPr>
            <w:r w:rsidRPr="00634485">
              <w:t>Standard</w:t>
            </w:r>
            <w:r>
              <w:t xml:space="preserve"> tax </w:t>
            </w:r>
            <w:r w:rsidRPr="00634485">
              <w:t xml:space="preserve"> asset life </w:t>
            </w:r>
          </w:p>
        </w:tc>
        <w:tc>
          <w:tcPr>
            <w:tcW w:w="3539" w:type="dxa"/>
          </w:tcPr>
          <w:p w:rsidR="00D36143" w:rsidRPr="00D36143" w:rsidRDefault="00D36143" w:rsidP="00D36143">
            <w:pPr>
              <w:cnfStyle w:val="100000000000" w:firstRow="1" w:lastRow="0" w:firstColumn="0" w:lastColumn="0" w:oddVBand="0" w:evenVBand="0" w:oddHBand="0" w:evenHBand="0" w:firstRowFirstColumn="0" w:firstRowLastColumn="0" w:lastRowFirstColumn="0" w:lastRowLastColumn="0"/>
            </w:pPr>
            <w:r w:rsidRPr="00634485">
              <w:t xml:space="preserve">Remaining </w:t>
            </w:r>
            <w:r>
              <w:t xml:space="preserve">tax </w:t>
            </w:r>
            <w:r w:rsidRPr="00634485">
              <w:t>asset life as at 1 July 201</w:t>
            </w:r>
            <w:r w:rsidRPr="00D36143">
              <w:t xml:space="preserve">5 </w:t>
            </w:r>
          </w:p>
        </w:tc>
      </w:tr>
      <w:tr w:rsidR="00D36143" w:rsidRPr="00634485" w:rsidTr="00D36143">
        <w:trPr>
          <w:trHeight w:hRule="exact" w:val="423"/>
        </w:trPr>
        <w:tc>
          <w:tcPr>
            <w:cnfStyle w:val="001000000000" w:firstRow="0" w:lastRow="0" w:firstColumn="1" w:lastColumn="0" w:oddVBand="0" w:evenVBand="0" w:oddHBand="0" w:evenHBand="0" w:firstRowFirstColumn="0" w:firstRowLastColumn="0" w:lastRowFirstColumn="0" w:lastRowLastColumn="0"/>
            <w:tcW w:w="2802" w:type="dxa"/>
            <w:vAlign w:val="bottom"/>
          </w:tcPr>
          <w:p w:rsidR="00D36143" w:rsidRPr="00D36143" w:rsidRDefault="00D36143" w:rsidP="00D36143">
            <w:r>
              <w:t>Substations</w:t>
            </w:r>
          </w:p>
        </w:tc>
        <w:tc>
          <w:tcPr>
            <w:tcW w:w="2409" w:type="dxa"/>
          </w:tcPr>
          <w:p w:rsidR="00D36143" w:rsidRPr="00D36143" w:rsidRDefault="00D36143" w:rsidP="00D36143">
            <w:pPr>
              <w:cnfStyle w:val="000000000000" w:firstRow="0" w:lastRow="0" w:firstColumn="0" w:lastColumn="0" w:oddVBand="0" w:evenVBand="0" w:oddHBand="0" w:evenHBand="0" w:firstRowFirstColumn="0" w:firstRowLastColumn="0" w:lastRowFirstColumn="0" w:lastRowLastColumn="0"/>
            </w:pPr>
            <w:r>
              <w:t>26.2</w:t>
            </w:r>
          </w:p>
        </w:tc>
        <w:tc>
          <w:tcPr>
            <w:tcW w:w="3539" w:type="dxa"/>
          </w:tcPr>
          <w:p w:rsidR="00D36143" w:rsidRPr="00D36143" w:rsidRDefault="00D36143" w:rsidP="00D36143">
            <w:pPr>
              <w:cnfStyle w:val="000000000000" w:firstRow="0" w:lastRow="0" w:firstColumn="0" w:lastColumn="0" w:oddVBand="0" w:evenVBand="0" w:oddHBand="0" w:evenHBand="0" w:firstRowFirstColumn="0" w:firstRowLastColumn="0" w:lastRowFirstColumn="0" w:lastRowLastColumn="0"/>
            </w:pPr>
            <w:r>
              <w:t>26.2</w:t>
            </w:r>
          </w:p>
        </w:tc>
      </w:tr>
      <w:tr w:rsidR="00D36143" w:rsidRPr="00634485" w:rsidTr="00D36143">
        <w:trPr>
          <w:cnfStyle w:val="000000010000" w:firstRow="0" w:lastRow="0" w:firstColumn="0" w:lastColumn="0" w:oddVBand="0" w:evenVBand="0" w:oddHBand="0" w:evenHBand="1"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2802" w:type="dxa"/>
            <w:vAlign w:val="bottom"/>
          </w:tcPr>
          <w:p w:rsidR="00D36143" w:rsidRPr="00D36143" w:rsidRDefault="00D36143" w:rsidP="00D36143">
            <w:r>
              <w:t>Transmission line</w:t>
            </w:r>
          </w:p>
        </w:tc>
        <w:tc>
          <w:tcPr>
            <w:tcW w:w="2409" w:type="dxa"/>
            <w:vAlign w:val="top"/>
          </w:tcPr>
          <w:p w:rsidR="00D36143" w:rsidRPr="00D36143" w:rsidRDefault="00D36143" w:rsidP="00D36143">
            <w:pPr>
              <w:cnfStyle w:val="000000010000" w:firstRow="0" w:lastRow="0" w:firstColumn="0" w:lastColumn="0" w:oddVBand="0" w:evenVBand="0" w:oddHBand="0" w:evenHBand="1" w:firstRowFirstColumn="0" w:firstRowLastColumn="0" w:lastRowFirstColumn="0" w:lastRowLastColumn="0"/>
            </w:pPr>
            <w:r>
              <w:t>26.2</w:t>
            </w:r>
          </w:p>
        </w:tc>
        <w:tc>
          <w:tcPr>
            <w:tcW w:w="3539" w:type="dxa"/>
          </w:tcPr>
          <w:p w:rsidR="00D36143" w:rsidRPr="00D36143" w:rsidRDefault="00D36143" w:rsidP="00D36143">
            <w:pPr>
              <w:cnfStyle w:val="000000010000" w:firstRow="0" w:lastRow="0" w:firstColumn="0" w:lastColumn="0" w:oddVBand="0" w:evenVBand="0" w:oddHBand="0" w:evenHBand="1" w:firstRowFirstColumn="0" w:firstRowLastColumn="0" w:lastRowFirstColumn="0" w:lastRowLastColumn="0"/>
            </w:pPr>
            <w:r>
              <w:t>26.2</w:t>
            </w:r>
          </w:p>
        </w:tc>
      </w:tr>
      <w:tr w:rsidR="00D36143" w:rsidRPr="00634485" w:rsidTr="00D36143">
        <w:trPr>
          <w:trHeight w:hRule="exact" w:val="420"/>
        </w:trPr>
        <w:tc>
          <w:tcPr>
            <w:cnfStyle w:val="001000000000" w:firstRow="0" w:lastRow="0" w:firstColumn="1" w:lastColumn="0" w:oddVBand="0" w:evenVBand="0" w:oddHBand="0" w:evenHBand="0" w:firstRowFirstColumn="0" w:firstRowLastColumn="0" w:lastRowFirstColumn="0" w:lastRowLastColumn="0"/>
            <w:tcW w:w="2802" w:type="dxa"/>
            <w:vAlign w:val="bottom"/>
          </w:tcPr>
          <w:p w:rsidR="00D36143" w:rsidRPr="00D36143" w:rsidRDefault="00D36143" w:rsidP="00D36143">
            <w:r>
              <w:t>Easements</w:t>
            </w:r>
          </w:p>
        </w:tc>
        <w:tc>
          <w:tcPr>
            <w:tcW w:w="2409" w:type="dxa"/>
            <w:vAlign w:val="top"/>
          </w:tcPr>
          <w:p w:rsidR="00D36143" w:rsidRPr="00D36143" w:rsidRDefault="00D36143" w:rsidP="00D36143">
            <w:pPr>
              <w:cnfStyle w:val="000000000000" w:firstRow="0" w:lastRow="0" w:firstColumn="0" w:lastColumn="0" w:oddVBand="0" w:evenVBand="0" w:oddHBand="0" w:evenHBand="0" w:firstRowFirstColumn="0" w:firstRowLastColumn="0" w:lastRowFirstColumn="0" w:lastRowLastColumn="0"/>
            </w:pPr>
            <w:r w:rsidRPr="00634485">
              <w:t>n/a</w:t>
            </w:r>
          </w:p>
        </w:tc>
        <w:tc>
          <w:tcPr>
            <w:tcW w:w="3539" w:type="dxa"/>
          </w:tcPr>
          <w:p w:rsidR="00D36143" w:rsidRPr="00D36143" w:rsidRDefault="00D36143" w:rsidP="00D36143">
            <w:pPr>
              <w:cnfStyle w:val="000000000000" w:firstRow="0" w:lastRow="0" w:firstColumn="0" w:lastColumn="0" w:oddVBand="0" w:evenVBand="0" w:oddHBand="0" w:evenHBand="0" w:firstRowFirstColumn="0" w:firstRowLastColumn="0" w:lastRowFirstColumn="0" w:lastRowLastColumn="0"/>
            </w:pPr>
            <w:r>
              <w:t>n/a</w:t>
            </w:r>
          </w:p>
        </w:tc>
      </w:tr>
    </w:tbl>
    <w:p w:rsidR="006E4FED" w:rsidRPr="006E4FED" w:rsidRDefault="006E4FED" w:rsidP="006E4FED">
      <w:pPr>
        <w:pStyle w:val="AERtablesource"/>
      </w:pPr>
      <w:r w:rsidRPr="006E4FED">
        <w:t>Source:</w:t>
      </w:r>
      <w:r w:rsidRPr="006E4FED">
        <w:tab/>
        <w:t xml:space="preserve">AER analysis. </w:t>
      </w:r>
    </w:p>
    <w:p w:rsidR="006E4FED" w:rsidRPr="006E4FED" w:rsidRDefault="003E114A" w:rsidP="006E4FED">
      <w:pPr>
        <w:pStyle w:val="AERtablesource"/>
      </w:pPr>
      <w:r>
        <w:t xml:space="preserve">n/a: </w:t>
      </w:r>
      <w:r>
        <w:tab/>
        <w:t>N</w:t>
      </w:r>
      <w:r w:rsidR="006E4FED" w:rsidRPr="006E4FED">
        <w:t xml:space="preserve">ot applicable. </w:t>
      </w:r>
    </w:p>
    <w:p w:rsidR="009573F3" w:rsidRPr="009573F3" w:rsidRDefault="009573F3" w:rsidP="009573F3"/>
    <w:p w:rsidR="008B1D2B" w:rsidRPr="008B1D2B" w:rsidRDefault="008B1D2B" w:rsidP="008B1D2B"/>
    <w:p w:rsidR="00DE563D" w:rsidRPr="00AF1F9E" w:rsidRDefault="00DE563D" w:rsidP="00AF1F9E"/>
    <w:p w:rsidR="00AF1F9E" w:rsidRPr="00290C63" w:rsidRDefault="00AF1F9E" w:rsidP="00290C63"/>
    <w:sectPr w:rsidR="00AF1F9E" w:rsidRPr="00290C63"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ED" w:rsidRPr="00290C63" w:rsidRDefault="006E4FED" w:rsidP="00290C63">
      <w:r>
        <w:separator/>
      </w:r>
    </w:p>
    <w:p w:rsidR="006E4FED" w:rsidRDefault="006E4FED"/>
  </w:endnote>
  <w:endnote w:type="continuationSeparator" w:id="0">
    <w:p w:rsidR="006E4FED" w:rsidRPr="00290C63" w:rsidRDefault="006E4FED" w:rsidP="00290C63">
      <w:r>
        <w:continuationSeparator/>
      </w:r>
    </w:p>
    <w:p w:rsidR="006E4FED" w:rsidRDefault="006E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ED" w:rsidRPr="00290C63" w:rsidRDefault="006E4FE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E4FED" w:rsidRDefault="006E4FED"/>
  <w:p w:rsidR="006E4FED" w:rsidRDefault="006E4FED"/>
  <w:p w:rsidR="006E4FED" w:rsidRDefault="006E4FED"/>
  <w:p w:rsidR="006E4FED" w:rsidRDefault="006E4FED"/>
  <w:p w:rsidR="006E4FED" w:rsidRDefault="006E4FED"/>
  <w:p w:rsidR="006E4FED" w:rsidRDefault="006E4FED"/>
  <w:p w:rsidR="006E4FED" w:rsidRDefault="006E4F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6E4FED" w:rsidRDefault="006E4FED">
        <w:pPr>
          <w:pStyle w:val="Footer"/>
        </w:pPr>
        <w:r>
          <w:fldChar w:fldCharType="begin"/>
        </w:r>
        <w:r>
          <w:instrText xml:space="preserve"> PAGE   \* MERGEFORMAT </w:instrText>
        </w:r>
        <w:r>
          <w:fldChar w:fldCharType="separate"/>
        </w:r>
        <w:r w:rsidR="00E42874">
          <w:rPr>
            <w:noProof/>
          </w:rPr>
          <w:t>8-3</w:t>
        </w:r>
        <w:r>
          <w:rPr>
            <w:noProof/>
          </w:rPr>
          <w:fldChar w:fldCharType="end"/>
        </w:r>
        <w:r w:rsidR="007F1C28">
          <w:rPr>
            <w:noProof/>
          </w:rPr>
          <w:t xml:space="preserve">  </w:t>
        </w:r>
        <w:r w:rsidR="007F1C28">
          <w:t xml:space="preserve"> </w:t>
        </w:r>
        <w:r>
          <w:rPr>
            <w:noProof/>
          </w:rPr>
          <w:t xml:space="preserve">Attachment </w:t>
        </w:r>
        <w:r>
          <w:t>8</w:t>
        </w:r>
        <w:r>
          <w:rPr>
            <w:noProof/>
          </w:rPr>
          <w:t xml:space="preserve"> </w:t>
        </w:r>
        <w:r>
          <w:rPr>
            <w:rFonts w:cs="Gautami"/>
            <w:noProof/>
          </w:rPr>
          <w:t>–</w:t>
        </w:r>
        <w:r>
          <w:t xml:space="preserve"> Corporate income tax</w:t>
        </w:r>
        <w:r>
          <w:rPr>
            <w:rFonts w:cs="Gautami"/>
            <w:noProof/>
          </w:rPr>
          <w:t xml:space="preserve"> | </w:t>
        </w:r>
        <w:r>
          <w:t xml:space="preserve">Final decision: Directlink transmission </w:t>
        </w:r>
        <w:r>
          <w:rPr>
            <w:rFonts w:cs="Gautami"/>
            <w:noProof/>
          </w:rPr>
          <w:t>determination 2015–20</w:t>
        </w:r>
      </w:p>
    </w:sdtContent>
  </w:sdt>
  <w:p w:rsidR="006E4FED" w:rsidRDefault="006E4F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ED" w:rsidRPr="00290C63" w:rsidRDefault="006E4FE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E4FED" w:rsidRDefault="006E4FED">
    <w:pPr>
      <w:pStyle w:val="Footer"/>
    </w:pPr>
  </w:p>
  <w:p w:rsidR="006E4FED" w:rsidRDefault="006E4FED"/>
  <w:p w:rsidR="006E4FED" w:rsidRDefault="006E4FED"/>
  <w:p w:rsidR="006E4FED" w:rsidRDefault="006E4FED"/>
  <w:p w:rsidR="006E4FED" w:rsidRDefault="006E4FED"/>
  <w:p w:rsidR="006E4FED" w:rsidRDefault="006E4FED"/>
  <w:p w:rsidR="006E4FED" w:rsidRDefault="006E4FED"/>
  <w:p w:rsidR="006E4FED" w:rsidRDefault="006E4F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ED" w:rsidRPr="00290C63" w:rsidRDefault="006E4FED" w:rsidP="00290C63">
      <w:r>
        <w:separator/>
      </w:r>
    </w:p>
    <w:p w:rsidR="006E4FED" w:rsidRDefault="006E4FED"/>
  </w:footnote>
  <w:footnote w:type="continuationSeparator" w:id="0">
    <w:p w:rsidR="006E4FED" w:rsidRPr="00290C63" w:rsidRDefault="006E4FED" w:rsidP="00290C63">
      <w:r>
        <w:continuationSeparator/>
      </w:r>
    </w:p>
    <w:p w:rsidR="006E4FED" w:rsidRDefault="006E4FED"/>
  </w:footnote>
  <w:footnote w:id="1">
    <w:p w:rsidR="006E4FED" w:rsidRDefault="006E4FED" w:rsidP="008B1D2B">
      <w:pPr>
        <w:pStyle w:val="FootnoteText"/>
      </w:pPr>
      <w:r>
        <w:rPr>
          <w:rStyle w:val="FootnoteReference"/>
        </w:rPr>
        <w:footnoteRef/>
      </w:r>
      <w:r>
        <w:t xml:space="preserve"> </w:t>
      </w:r>
      <w:r>
        <w:tab/>
        <w:t>NER, cl. 6A.5.4(a)(4).</w:t>
      </w:r>
    </w:p>
  </w:footnote>
  <w:footnote w:id="2">
    <w:p w:rsidR="006E4FED" w:rsidRDefault="006E4FED" w:rsidP="008B1D2B">
      <w:pPr>
        <w:pStyle w:val="FootnoteText"/>
      </w:pPr>
      <w:r>
        <w:rPr>
          <w:rStyle w:val="FootnoteReference"/>
        </w:rPr>
        <w:footnoteRef/>
      </w:r>
      <w:r>
        <w:t xml:space="preserve"> </w:t>
      </w:r>
      <w:r>
        <w:tab/>
      </w:r>
      <w:r w:rsidRPr="000F18FA">
        <w:t xml:space="preserve">Directlink, </w:t>
      </w:r>
      <w:r w:rsidRPr="000F18FA">
        <w:rPr>
          <w:rStyle w:val="AERtextitalic"/>
        </w:rPr>
        <w:t>Revenue proposal</w:t>
      </w:r>
      <w:r w:rsidRPr="000F18FA">
        <w:t>, p</w:t>
      </w:r>
      <w:r>
        <w:t>p</w:t>
      </w:r>
      <w:r w:rsidRPr="000F18FA">
        <w:t>.</w:t>
      </w:r>
      <w:r>
        <w:t xml:space="preserve">40–42; Directlink, </w:t>
      </w:r>
      <w:r>
        <w:rPr>
          <w:rStyle w:val="AERtextitalic"/>
        </w:rPr>
        <w:t>Revised p</w:t>
      </w:r>
      <w:r w:rsidRPr="00632AD4">
        <w:rPr>
          <w:rStyle w:val="AERtextitalic"/>
        </w:rPr>
        <w:t>roposed PTRM</w:t>
      </w:r>
      <w:r>
        <w:t>, January 2015.</w:t>
      </w:r>
    </w:p>
  </w:footnote>
  <w:footnote w:id="3">
    <w:p w:rsidR="000A1270" w:rsidRDefault="000A1270" w:rsidP="000A1270">
      <w:pPr>
        <w:pStyle w:val="FootnoteText"/>
      </w:pPr>
      <w:r>
        <w:rPr>
          <w:rStyle w:val="FootnoteReference"/>
        </w:rPr>
        <w:footnoteRef/>
      </w:r>
      <w:r>
        <w:t xml:space="preserve"> </w:t>
      </w:r>
      <w:r>
        <w:tab/>
        <w:t xml:space="preserve">AER, </w:t>
      </w:r>
      <w:r w:rsidRPr="009C6E7F">
        <w:rPr>
          <w:rStyle w:val="AERtextitalic"/>
        </w:rPr>
        <w:t xml:space="preserve">Draft decision, Directlink transmission determination 2015-16 to 2019-20, Attachment </w:t>
      </w:r>
      <w:r w:rsidR="00E52F77">
        <w:rPr>
          <w:rStyle w:val="AERtextitalic"/>
        </w:rPr>
        <w:t>8</w:t>
      </w:r>
      <w:r w:rsidRPr="009C6E7F">
        <w:rPr>
          <w:rStyle w:val="AERtextitalic"/>
        </w:rPr>
        <w:t xml:space="preserve">: </w:t>
      </w:r>
      <w:r w:rsidR="00E52F77">
        <w:rPr>
          <w:rStyle w:val="AERtextitalic"/>
        </w:rPr>
        <w:t>Corporate income tax</w:t>
      </w:r>
      <w:r>
        <w:t>, November 2014, p. 1</w:t>
      </w:r>
      <w:r w:rsidR="00E52F77">
        <w:t>1</w:t>
      </w:r>
      <w:r>
        <w:t>.</w:t>
      </w:r>
    </w:p>
  </w:footnote>
  <w:footnote w:id="4">
    <w:p w:rsidR="00F02499" w:rsidRDefault="00F02499" w:rsidP="00F02499">
      <w:pPr>
        <w:pStyle w:val="FootnoteText"/>
      </w:pPr>
      <w:r>
        <w:rPr>
          <w:rStyle w:val="FootnoteReference"/>
        </w:rPr>
        <w:footnoteRef/>
      </w:r>
      <w:r>
        <w:t xml:space="preserve"> </w:t>
      </w:r>
      <w:r>
        <w:tab/>
        <w:t>NER, cl. 6A.6.4.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2784418"/>
    <w:multiLevelType w:val="multilevel"/>
    <w:tmpl w:val="950A1C52"/>
    <w:numStyleLink w:val="AERHeadings"/>
  </w:abstractNum>
  <w:abstractNum w:abstractNumId="24">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53400FCE"/>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0"/>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19"/>
  </w:num>
  <w:num w:numId="28">
    <w:abstractNumId w:val="17"/>
  </w:num>
  <w:num w:numId="29">
    <w:abstractNumId w:val="15"/>
  </w:num>
  <w:num w:numId="30">
    <w:abstractNumId w:val="34"/>
  </w:num>
  <w:num w:numId="31">
    <w:abstractNumId w:val="14"/>
  </w:num>
  <w:num w:numId="32">
    <w:abstractNumId w:val="22"/>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3"/>
  </w:num>
  <w:num w:numId="38">
    <w:abstractNumId w:val="24"/>
  </w:num>
  <w:num w:numId="3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Mz6J3qgC7ywSw7za2fG2ZtXZHZpKEm1kPDJ2V6lZOc=" w:saltValue="D3w+FFn7h/dnd0LclGatuA==" w:algorithmName="SHA-256"/>
  <w:defaultTabStop w:val="34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8 - Corporate income tax - April 2015.DOCX"/>
  </w:docVars>
  <w:rsids>
    <w:rsidRoot w:val="00961A4A"/>
    <w:rsid w:val="00021202"/>
    <w:rsid w:val="0002517F"/>
    <w:rsid w:val="0003578C"/>
    <w:rsid w:val="00043014"/>
    <w:rsid w:val="00053380"/>
    <w:rsid w:val="00063247"/>
    <w:rsid w:val="00066966"/>
    <w:rsid w:val="00070F9F"/>
    <w:rsid w:val="0007137B"/>
    <w:rsid w:val="00085663"/>
    <w:rsid w:val="00085EBF"/>
    <w:rsid w:val="000A1270"/>
    <w:rsid w:val="000A3020"/>
    <w:rsid w:val="000A6C7B"/>
    <w:rsid w:val="000B1720"/>
    <w:rsid w:val="000D122C"/>
    <w:rsid w:val="000E1819"/>
    <w:rsid w:val="000E4821"/>
    <w:rsid w:val="000E6C72"/>
    <w:rsid w:val="00116EB2"/>
    <w:rsid w:val="00124609"/>
    <w:rsid w:val="00126A4C"/>
    <w:rsid w:val="0014573B"/>
    <w:rsid w:val="001573E4"/>
    <w:rsid w:val="00160756"/>
    <w:rsid w:val="0017232E"/>
    <w:rsid w:val="00174102"/>
    <w:rsid w:val="00180157"/>
    <w:rsid w:val="00185CB9"/>
    <w:rsid w:val="00186F77"/>
    <w:rsid w:val="001926A4"/>
    <w:rsid w:val="00192AD5"/>
    <w:rsid w:val="001B45A0"/>
    <w:rsid w:val="001D055E"/>
    <w:rsid w:val="001F492E"/>
    <w:rsid w:val="001F6DA3"/>
    <w:rsid w:val="002010BC"/>
    <w:rsid w:val="00202E03"/>
    <w:rsid w:val="0020492C"/>
    <w:rsid w:val="0022319A"/>
    <w:rsid w:val="00224DB9"/>
    <w:rsid w:val="00233775"/>
    <w:rsid w:val="00251745"/>
    <w:rsid w:val="00263AC0"/>
    <w:rsid w:val="00264264"/>
    <w:rsid w:val="0026772D"/>
    <w:rsid w:val="00286874"/>
    <w:rsid w:val="00290C63"/>
    <w:rsid w:val="00296B65"/>
    <w:rsid w:val="002A7DEF"/>
    <w:rsid w:val="002E6A08"/>
    <w:rsid w:val="002E7B22"/>
    <w:rsid w:val="002F50E5"/>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D0523"/>
    <w:rsid w:val="003E114A"/>
    <w:rsid w:val="003F174D"/>
    <w:rsid w:val="0045777E"/>
    <w:rsid w:val="00480B4B"/>
    <w:rsid w:val="00485DC4"/>
    <w:rsid w:val="004A43D1"/>
    <w:rsid w:val="004B4412"/>
    <w:rsid w:val="004C348C"/>
    <w:rsid w:val="004D55BA"/>
    <w:rsid w:val="004E22EC"/>
    <w:rsid w:val="00530128"/>
    <w:rsid w:val="00532467"/>
    <w:rsid w:val="00564A4D"/>
    <w:rsid w:val="00567BA5"/>
    <w:rsid w:val="00571B35"/>
    <w:rsid w:val="00571D57"/>
    <w:rsid w:val="00577A09"/>
    <w:rsid w:val="005829C2"/>
    <w:rsid w:val="00584D8F"/>
    <w:rsid w:val="005A0CA0"/>
    <w:rsid w:val="005A404D"/>
    <w:rsid w:val="005B1E3C"/>
    <w:rsid w:val="005C26CC"/>
    <w:rsid w:val="005D7BA2"/>
    <w:rsid w:val="005E36C2"/>
    <w:rsid w:val="005F778C"/>
    <w:rsid w:val="00615C6B"/>
    <w:rsid w:val="00620017"/>
    <w:rsid w:val="00621DCE"/>
    <w:rsid w:val="00632D6D"/>
    <w:rsid w:val="006333D4"/>
    <w:rsid w:val="006347BA"/>
    <w:rsid w:val="00642C3E"/>
    <w:rsid w:val="00644EE2"/>
    <w:rsid w:val="006567A1"/>
    <w:rsid w:val="0066104A"/>
    <w:rsid w:val="00663DAD"/>
    <w:rsid w:val="0067138E"/>
    <w:rsid w:val="00675E20"/>
    <w:rsid w:val="00676679"/>
    <w:rsid w:val="00683C89"/>
    <w:rsid w:val="006B2395"/>
    <w:rsid w:val="006B4CF9"/>
    <w:rsid w:val="006B7AC8"/>
    <w:rsid w:val="006C7867"/>
    <w:rsid w:val="006D550F"/>
    <w:rsid w:val="006E4FED"/>
    <w:rsid w:val="00701CAB"/>
    <w:rsid w:val="00707563"/>
    <w:rsid w:val="00714D2C"/>
    <w:rsid w:val="007170D8"/>
    <w:rsid w:val="00720630"/>
    <w:rsid w:val="0072348C"/>
    <w:rsid w:val="00724A37"/>
    <w:rsid w:val="00724AAE"/>
    <w:rsid w:val="007303C3"/>
    <w:rsid w:val="007429BE"/>
    <w:rsid w:val="00743223"/>
    <w:rsid w:val="00746E01"/>
    <w:rsid w:val="00757BDF"/>
    <w:rsid w:val="00763E5D"/>
    <w:rsid w:val="00767740"/>
    <w:rsid w:val="00777AE0"/>
    <w:rsid w:val="00777EE6"/>
    <w:rsid w:val="00782EEA"/>
    <w:rsid w:val="007B2C72"/>
    <w:rsid w:val="007B49E1"/>
    <w:rsid w:val="007C1C53"/>
    <w:rsid w:val="007C74BB"/>
    <w:rsid w:val="007E350D"/>
    <w:rsid w:val="007E4904"/>
    <w:rsid w:val="007E4CB5"/>
    <w:rsid w:val="007E6C4F"/>
    <w:rsid w:val="007F066B"/>
    <w:rsid w:val="007F1C28"/>
    <w:rsid w:val="008033C4"/>
    <w:rsid w:val="00806C88"/>
    <w:rsid w:val="0081034E"/>
    <w:rsid w:val="008344F6"/>
    <w:rsid w:val="0083510F"/>
    <w:rsid w:val="00851209"/>
    <w:rsid w:val="0086089E"/>
    <w:rsid w:val="0087699F"/>
    <w:rsid w:val="008837AC"/>
    <w:rsid w:val="0089062C"/>
    <w:rsid w:val="008917D7"/>
    <w:rsid w:val="008A587D"/>
    <w:rsid w:val="008B1D2B"/>
    <w:rsid w:val="008B35CD"/>
    <w:rsid w:val="008B5FCC"/>
    <w:rsid w:val="008C5486"/>
    <w:rsid w:val="008D1661"/>
    <w:rsid w:val="008E7031"/>
    <w:rsid w:val="008E77DE"/>
    <w:rsid w:val="008F07A3"/>
    <w:rsid w:val="00900E1B"/>
    <w:rsid w:val="009233EE"/>
    <w:rsid w:val="009460AA"/>
    <w:rsid w:val="00951978"/>
    <w:rsid w:val="009573F3"/>
    <w:rsid w:val="00961A4A"/>
    <w:rsid w:val="009661DE"/>
    <w:rsid w:val="00983C25"/>
    <w:rsid w:val="009856B7"/>
    <w:rsid w:val="00985C86"/>
    <w:rsid w:val="009A5FC3"/>
    <w:rsid w:val="009B74B0"/>
    <w:rsid w:val="009D6B46"/>
    <w:rsid w:val="009F354A"/>
    <w:rsid w:val="009F4940"/>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F0DD2"/>
    <w:rsid w:val="00AF1F9E"/>
    <w:rsid w:val="00B02B04"/>
    <w:rsid w:val="00B13048"/>
    <w:rsid w:val="00B1716D"/>
    <w:rsid w:val="00B17A1D"/>
    <w:rsid w:val="00B207A0"/>
    <w:rsid w:val="00B514DD"/>
    <w:rsid w:val="00B52AF0"/>
    <w:rsid w:val="00B561BD"/>
    <w:rsid w:val="00B56E03"/>
    <w:rsid w:val="00B8080B"/>
    <w:rsid w:val="00B87BA5"/>
    <w:rsid w:val="00B87C39"/>
    <w:rsid w:val="00B91856"/>
    <w:rsid w:val="00B91999"/>
    <w:rsid w:val="00BA4665"/>
    <w:rsid w:val="00BB2FB2"/>
    <w:rsid w:val="00BB3304"/>
    <w:rsid w:val="00BD3446"/>
    <w:rsid w:val="00BE1F1B"/>
    <w:rsid w:val="00BE47B5"/>
    <w:rsid w:val="00C25FA6"/>
    <w:rsid w:val="00C45C77"/>
    <w:rsid w:val="00C538A9"/>
    <w:rsid w:val="00C53B5A"/>
    <w:rsid w:val="00C54F5A"/>
    <w:rsid w:val="00C569B4"/>
    <w:rsid w:val="00C67A92"/>
    <w:rsid w:val="00C86679"/>
    <w:rsid w:val="00CA489E"/>
    <w:rsid w:val="00CB0279"/>
    <w:rsid w:val="00CB666B"/>
    <w:rsid w:val="00CC7F1D"/>
    <w:rsid w:val="00CE1FA9"/>
    <w:rsid w:val="00D006AE"/>
    <w:rsid w:val="00D01CF0"/>
    <w:rsid w:val="00D0442A"/>
    <w:rsid w:val="00D0577F"/>
    <w:rsid w:val="00D36143"/>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D5364"/>
    <w:rsid w:val="00DE1093"/>
    <w:rsid w:val="00DE4EFA"/>
    <w:rsid w:val="00DE5520"/>
    <w:rsid w:val="00DE563D"/>
    <w:rsid w:val="00E04818"/>
    <w:rsid w:val="00E06442"/>
    <w:rsid w:val="00E23993"/>
    <w:rsid w:val="00E25B8C"/>
    <w:rsid w:val="00E42874"/>
    <w:rsid w:val="00E52F77"/>
    <w:rsid w:val="00E65C85"/>
    <w:rsid w:val="00E66199"/>
    <w:rsid w:val="00E755EC"/>
    <w:rsid w:val="00E7624D"/>
    <w:rsid w:val="00EA3D42"/>
    <w:rsid w:val="00EA6B1B"/>
    <w:rsid w:val="00EA7558"/>
    <w:rsid w:val="00EB1DF8"/>
    <w:rsid w:val="00EC51AE"/>
    <w:rsid w:val="00EC5AAE"/>
    <w:rsid w:val="00ED7323"/>
    <w:rsid w:val="00EE0A4A"/>
    <w:rsid w:val="00EE28F3"/>
    <w:rsid w:val="00EF5110"/>
    <w:rsid w:val="00F02499"/>
    <w:rsid w:val="00F10411"/>
    <w:rsid w:val="00F15882"/>
    <w:rsid w:val="00F15F8B"/>
    <w:rsid w:val="00F171E0"/>
    <w:rsid w:val="00F20BD3"/>
    <w:rsid w:val="00F373A5"/>
    <w:rsid w:val="00F474F4"/>
    <w:rsid w:val="00F47559"/>
    <w:rsid w:val="00F64C7B"/>
    <w:rsid w:val="00F676DD"/>
    <w:rsid w:val="00F75A26"/>
    <w:rsid w:val="00F76706"/>
    <w:rsid w:val="00F83FAD"/>
    <w:rsid w:val="00F952A0"/>
    <w:rsid w:val="00FA22F2"/>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3E5E0C0E</Template>
  <TotalTime>0</TotalTime>
  <Pages>10</Pages>
  <Words>1735</Words>
  <Characters>9895</Characters>
  <Application>Microsoft Office Word</Application>
  <DocSecurity>4</DocSecurity>
  <Lines>82</Lines>
  <Paragraphs>23</Paragraphs>
  <ScaleCrop>false</ScaleCrop>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2015-04-27T04:18:00Z</dcterms:created>
  <dcterms:modified xsi:type="dcterms:W3CDTF">2015-04-27T04:18:00Z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