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68" w:rsidRDefault="007A3589"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0C56EE86" wp14:editId="7E0940D9">
            <wp:simplePos x="0" y="0"/>
            <wp:positionH relativeFrom="column">
              <wp:posOffset>-1109345</wp:posOffset>
            </wp:positionH>
            <wp:positionV relativeFrom="paragraph">
              <wp:posOffset>-937260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FE7BC3">
        <w:t xml:space="preserve"> </w:t>
      </w:r>
      <w:r w:rsidR="005A1268">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DF6C67" w:rsidP="008F07A3">
          <w:pPr>
            <w:pStyle w:val="ReportSubtitle"/>
          </w:pPr>
          <w:r>
            <w:t>Directlink</w:t>
          </w:r>
          <w:r w:rsidR="006A66A1">
            <w:t xml:space="preserve"> transmission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DF6C67">
            <w:t>9</w:t>
          </w:r>
          <w:r>
            <w:rPr>
              <w:rFonts w:cs="Arial"/>
            </w:rPr>
            <w:t>−</w:t>
          </w:r>
          <w:r w:rsidR="00DF6C67">
            <w:t>20</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CE2A23" w:rsidRDefault="00CE2A23" w:rsidP="005A1268">
      <w:bookmarkStart w:id="1" w:name="_Toc411428008"/>
      <w:r>
        <w:lastRenderedPageBreak/>
        <w:t>© Commonwealth of Australia 2015</w:t>
      </w:r>
    </w:p>
    <w:p w:rsidR="00CE2A23" w:rsidRDefault="00CE2A23" w:rsidP="005A1268">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5A1268">
      <w:r>
        <w:t>Requests and inquiries concerning reproduction and rights should be addressed to the:</w:t>
      </w:r>
    </w:p>
    <w:p w:rsidR="00CE2A23" w:rsidRDefault="00CE2A23" w:rsidP="005A1268">
      <w:r>
        <w:t>Director, Corporate Communications</w:t>
      </w:r>
      <w:r>
        <w:br/>
        <w:t xml:space="preserve">Australian Competition and Consumer Commission </w:t>
      </w:r>
      <w:r>
        <w:br/>
        <w:t>GPO Box 4141, Canberra ACT 2601</w:t>
      </w:r>
    </w:p>
    <w:p w:rsidR="00CE2A23" w:rsidRDefault="00CE2A23" w:rsidP="005A1268">
      <w:r>
        <w:t>or publishing.unit@accc.gov.au.</w:t>
      </w:r>
    </w:p>
    <w:p w:rsidR="00CE2A23" w:rsidRDefault="00CE2A23" w:rsidP="005A1268">
      <w:r>
        <w:t>Inquiries about this publication should be addressed to:</w:t>
      </w:r>
    </w:p>
    <w:p w:rsidR="00CE2A23" w:rsidRDefault="00CE2A23" w:rsidP="005A1268">
      <w:r>
        <w:t xml:space="preserve">Australian Energy </w:t>
      </w:r>
      <w:r w:rsidRPr="00F171E0">
        <w:t>Regulator</w:t>
      </w:r>
      <w:r>
        <w:br/>
        <w:t>GPO Box 520</w:t>
      </w:r>
      <w:r>
        <w:br/>
      </w:r>
      <w:r w:rsidR="00B24E51">
        <w:t>Melbourne Vic 3001</w:t>
      </w:r>
    </w:p>
    <w:p w:rsidR="00CE2A23" w:rsidRDefault="00CE2A23" w:rsidP="005A1268">
      <w:r>
        <w:t>Tel: (03) 9290 1444</w:t>
      </w:r>
      <w:r>
        <w:br/>
        <w:t>Fax: (03) 9290 1457</w:t>
      </w:r>
    </w:p>
    <w:p w:rsidR="00CE2A23" w:rsidRDefault="00CE2A23" w:rsidP="005A1268">
      <w:r>
        <w:t xml:space="preserve">Email: </w:t>
      </w:r>
      <w:hyperlink r:id="rId10" w:history="1">
        <w:r w:rsidRPr="00D64888">
          <w:rPr>
            <w:rStyle w:val="Hyperlink"/>
          </w:rPr>
          <w:t>AERInquiry@aer.gov.au</w:t>
        </w:r>
      </w:hyperlink>
      <w:r>
        <w:rPr>
          <w:rStyle w:val="Hyperlink"/>
        </w:rPr>
        <w:br/>
      </w:r>
    </w:p>
    <w:p w:rsidR="00CE2A23" w:rsidRPr="009D3906" w:rsidRDefault="00CE2A23" w:rsidP="005A1268">
      <w:r>
        <w:t>AER reference:</w:t>
      </w:r>
      <w:r>
        <w:tab/>
        <w:t>5344</w:t>
      </w:r>
      <w:r w:rsidR="00DF6C67">
        <w:t>6</w:t>
      </w:r>
    </w:p>
    <w:p w:rsidR="005A1268" w:rsidRDefault="005A1268">
      <w:pPr>
        <w:spacing w:line="240" w:lineRule="auto"/>
      </w:pPr>
      <w:bookmarkStart w:id="2" w:name="_Toc404354899"/>
      <w:bookmarkStart w:id="3" w:name="_Toc404353070"/>
      <w:bookmarkStart w:id="4" w:name="_Toc404684201"/>
      <w:bookmarkStart w:id="5" w:name="_Toc404700923"/>
      <w:r>
        <w:br w:type="page"/>
      </w:r>
    </w:p>
    <w:p w:rsidR="005A1268" w:rsidRPr="009134B1" w:rsidRDefault="005A1268" w:rsidP="005A1268">
      <w:pPr>
        <w:pStyle w:val="UnnumberedHeading"/>
        <w:numPr>
          <w:ilvl w:val="0"/>
          <w:numId w:val="23"/>
        </w:numPr>
      </w:pPr>
      <w:bookmarkStart w:id="6" w:name="_Toc404153950"/>
      <w:bookmarkStart w:id="7" w:name="_Toc404155330"/>
      <w:bookmarkStart w:id="8" w:name="_Toc404188491"/>
      <w:bookmarkStart w:id="9" w:name="_Toc404433406"/>
      <w:bookmarkStart w:id="10" w:name="_Toc417987560"/>
      <w:r w:rsidRPr="009134B1">
        <w:lastRenderedPageBreak/>
        <w:t>Note</w:t>
      </w:r>
      <w:bookmarkEnd w:id="6"/>
      <w:bookmarkEnd w:id="7"/>
      <w:bookmarkEnd w:id="8"/>
      <w:bookmarkEnd w:id="9"/>
      <w:bookmarkEnd w:id="10"/>
    </w:p>
    <w:p w:rsidR="005A1268" w:rsidRPr="009134B1" w:rsidRDefault="005A1268" w:rsidP="005A1268">
      <w:pPr>
        <w:numPr>
          <w:ilvl w:val="0"/>
          <w:numId w:val="24"/>
        </w:numPr>
      </w:pPr>
      <w:r w:rsidRPr="009134B1">
        <w:t xml:space="preserve">This </w:t>
      </w:r>
      <w:r>
        <w:t>overview</w:t>
      </w:r>
      <w:r w:rsidRPr="009134B1">
        <w:t xml:space="preserve"> forms part of the AER's </w:t>
      </w:r>
      <w:r>
        <w:t xml:space="preserve">final </w:t>
      </w:r>
      <w:r w:rsidRPr="009134B1">
        <w:t xml:space="preserve">decision on </w:t>
      </w:r>
      <w:r>
        <w:t>Directlink'</w:t>
      </w:r>
      <w:r w:rsidRPr="009134B1">
        <w:t xml:space="preserve">s </w:t>
      </w:r>
      <w:r>
        <w:t>transmission determination for</w:t>
      </w:r>
      <w:r w:rsidRPr="009134B1">
        <w:t xml:space="preserve"> 2015–</w:t>
      </w:r>
      <w:r>
        <w:t>20</w:t>
      </w:r>
      <w:r w:rsidRPr="009134B1">
        <w:t xml:space="preserve">. It should be read with other parts of the </w:t>
      </w:r>
      <w:r>
        <w:t>final</w:t>
      </w:r>
      <w:r w:rsidRPr="009134B1">
        <w:t xml:space="preserve"> decision.</w:t>
      </w:r>
    </w:p>
    <w:p w:rsidR="005A1268" w:rsidRPr="009134B1" w:rsidRDefault="005A1268" w:rsidP="005A1268">
      <w:pPr>
        <w:numPr>
          <w:ilvl w:val="0"/>
          <w:numId w:val="24"/>
        </w:numPr>
      </w:pPr>
      <w:r w:rsidRPr="009134B1">
        <w:t xml:space="preserve">The </w:t>
      </w:r>
      <w:r>
        <w:t>final</w:t>
      </w:r>
      <w:r w:rsidRPr="009134B1">
        <w:t xml:space="preserve"> decision includes the following documents:</w:t>
      </w:r>
    </w:p>
    <w:p w:rsidR="005A1268" w:rsidRPr="009134B1" w:rsidRDefault="005A1268" w:rsidP="005A1268">
      <w:pPr>
        <w:numPr>
          <w:ilvl w:val="0"/>
          <w:numId w:val="24"/>
        </w:numPr>
      </w:pPr>
      <w:r w:rsidRPr="009134B1">
        <w:t>Overview</w:t>
      </w:r>
    </w:p>
    <w:p w:rsidR="005A1268" w:rsidRPr="009134B1" w:rsidRDefault="005A1268" w:rsidP="005A1268">
      <w:pPr>
        <w:numPr>
          <w:ilvl w:val="0"/>
          <w:numId w:val="24"/>
        </w:numPr>
      </w:pPr>
      <w:r w:rsidRPr="009134B1">
        <w:t>Attachment 1 – maximum allowed revenue</w:t>
      </w:r>
    </w:p>
    <w:p w:rsidR="005A1268" w:rsidRPr="009134B1" w:rsidRDefault="005A1268" w:rsidP="005A1268">
      <w:pPr>
        <w:numPr>
          <w:ilvl w:val="0"/>
          <w:numId w:val="24"/>
        </w:numPr>
      </w:pPr>
      <w:r w:rsidRPr="009134B1">
        <w:t>Attachment 2 – regulatory asset base</w:t>
      </w:r>
    </w:p>
    <w:p w:rsidR="005A1268" w:rsidRPr="009134B1" w:rsidRDefault="005A1268" w:rsidP="005A1268">
      <w:pPr>
        <w:numPr>
          <w:ilvl w:val="0"/>
          <w:numId w:val="24"/>
        </w:numPr>
      </w:pPr>
      <w:r w:rsidRPr="009134B1">
        <w:t>Attachment 3 – rate of return</w:t>
      </w:r>
    </w:p>
    <w:p w:rsidR="005A1268" w:rsidRPr="009134B1" w:rsidRDefault="005A1268" w:rsidP="005A1268">
      <w:pPr>
        <w:numPr>
          <w:ilvl w:val="0"/>
          <w:numId w:val="24"/>
        </w:numPr>
      </w:pPr>
      <w:r w:rsidRPr="009134B1">
        <w:t>Attachment 4 – value of imputation credits</w:t>
      </w:r>
    </w:p>
    <w:p w:rsidR="005A1268" w:rsidRPr="009134B1" w:rsidRDefault="005A1268" w:rsidP="005A1268">
      <w:pPr>
        <w:numPr>
          <w:ilvl w:val="0"/>
          <w:numId w:val="24"/>
        </w:numPr>
      </w:pPr>
      <w:r w:rsidRPr="009134B1">
        <w:t>Attachment 5 – regulatory depreciation</w:t>
      </w:r>
    </w:p>
    <w:p w:rsidR="005A1268" w:rsidRPr="009134B1" w:rsidRDefault="005A1268" w:rsidP="005A1268">
      <w:pPr>
        <w:numPr>
          <w:ilvl w:val="0"/>
          <w:numId w:val="24"/>
        </w:numPr>
      </w:pPr>
      <w:r w:rsidRPr="009134B1">
        <w:t xml:space="preserve">Attachment 6 – capital expenditure </w:t>
      </w:r>
    </w:p>
    <w:p w:rsidR="005A1268" w:rsidRPr="009134B1" w:rsidRDefault="005A1268" w:rsidP="005A1268">
      <w:pPr>
        <w:numPr>
          <w:ilvl w:val="0"/>
          <w:numId w:val="24"/>
        </w:numPr>
      </w:pPr>
      <w:r w:rsidRPr="009134B1">
        <w:t>Attachment 7 – operating expenditure</w:t>
      </w:r>
    </w:p>
    <w:p w:rsidR="005A1268" w:rsidRPr="009134B1" w:rsidRDefault="005A1268" w:rsidP="005A1268">
      <w:pPr>
        <w:numPr>
          <w:ilvl w:val="0"/>
          <w:numId w:val="24"/>
        </w:numPr>
      </w:pPr>
      <w:r w:rsidRPr="009134B1">
        <w:t>Attachment 8 – corporate income tax</w:t>
      </w:r>
    </w:p>
    <w:p w:rsidR="005A1268" w:rsidRPr="009134B1" w:rsidRDefault="005A1268" w:rsidP="005A1268">
      <w:pPr>
        <w:numPr>
          <w:ilvl w:val="0"/>
          <w:numId w:val="24"/>
        </w:numPr>
      </w:pPr>
      <w:r w:rsidRPr="009134B1">
        <w:t>Attachment 9 – efficiency benefit sharing scheme</w:t>
      </w:r>
    </w:p>
    <w:p w:rsidR="005A1268" w:rsidRPr="009134B1" w:rsidRDefault="005A1268" w:rsidP="005A1268">
      <w:pPr>
        <w:numPr>
          <w:ilvl w:val="0"/>
          <w:numId w:val="24"/>
        </w:numPr>
      </w:pPr>
      <w:r w:rsidRPr="009134B1">
        <w:t>Attachment 10 – capital expenditure sharing scheme</w:t>
      </w:r>
    </w:p>
    <w:p w:rsidR="005A1268" w:rsidRPr="009134B1" w:rsidRDefault="005A1268" w:rsidP="005A1268">
      <w:pPr>
        <w:numPr>
          <w:ilvl w:val="0"/>
          <w:numId w:val="24"/>
        </w:numPr>
      </w:pPr>
      <w:r w:rsidRPr="009134B1">
        <w:t>Attachment 11 – service target performance incentive scheme</w:t>
      </w:r>
    </w:p>
    <w:p w:rsidR="005A1268" w:rsidRPr="009134B1" w:rsidRDefault="005A1268" w:rsidP="005A1268">
      <w:pPr>
        <w:numPr>
          <w:ilvl w:val="0"/>
          <w:numId w:val="24"/>
        </w:numPr>
      </w:pPr>
      <w:r w:rsidRPr="009134B1">
        <w:t>Attachment 12 – pricing methodology</w:t>
      </w:r>
      <w:r>
        <w:t xml:space="preserve"> and negotiated services</w:t>
      </w:r>
    </w:p>
    <w:p w:rsidR="005A1268" w:rsidRPr="009134B1" w:rsidRDefault="005A1268" w:rsidP="005A1268">
      <w:pPr>
        <w:numPr>
          <w:ilvl w:val="0"/>
          <w:numId w:val="24"/>
        </w:numPr>
      </w:pPr>
      <w:r w:rsidRPr="009134B1">
        <w:t>Attachment 13 – pass through events</w:t>
      </w:r>
    </w:p>
    <w:p w:rsidR="00CE2A23" w:rsidRPr="00CE2A23" w:rsidRDefault="00CE2A23" w:rsidP="00CE2A23">
      <w:r>
        <w:br w:type="page"/>
      </w:r>
    </w:p>
    <w:bookmarkEnd w:id="2"/>
    <w:bookmarkEnd w:id="3"/>
    <w:bookmarkEnd w:id="4"/>
    <w:bookmarkEnd w:id="5"/>
    <w:p w:rsidR="00CE2A23" w:rsidRPr="008F07A3" w:rsidRDefault="00CE2A23" w:rsidP="00CE2A23">
      <w:pPr>
        <w:numPr>
          <w:ilvl w:val="0"/>
          <w:numId w:val="24"/>
        </w:numPr>
        <w:sectPr w:rsidR="00CE2A23" w:rsidRPr="008F07A3" w:rsidSect="00CE2A23">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1" w:name="_Toc403144133"/>
      <w:bookmarkStart w:id="12" w:name="_Toc417987561"/>
      <w:r>
        <w:lastRenderedPageBreak/>
        <w:t>Contents</w:t>
      </w:r>
      <w:bookmarkEnd w:id="11"/>
      <w:bookmarkEnd w:id="12"/>
    </w:p>
    <w:p w:rsidR="00CE2A23" w:rsidRDefault="00CE2A23" w:rsidP="00CE2A23"/>
    <w:sdt>
      <w:sdtPr>
        <w:id w:val="1269200322"/>
        <w:docPartObj>
          <w:docPartGallery w:val="Table of Contents"/>
          <w:docPartUnique/>
        </w:docPartObj>
      </w:sdtPr>
      <w:sdtEndPr/>
      <w:sdtContent>
        <w:p w:rsidR="00494B09" w:rsidRDefault="00B24E51">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17987560" w:history="1">
            <w:r w:rsidR="00494B09" w:rsidRPr="000D0DAF">
              <w:rPr>
                <w:rStyle w:val="Hyperlink"/>
              </w:rPr>
              <w:t>Note</w:t>
            </w:r>
            <w:r w:rsidR="00494B09">
              <w:rPr>
                <w:webHidden/>
              </w:rPr>
              <w:tab/>
            </w:r>
            <w:r w:rsidR="00494B09">
              <w:rPr>
                <w:webHidden/>
              </w:rPr>
              <w:fldChar w:fldCharType="begin"/>
            </w:r>
            <w:r w:rsidR="00494B09">
              <w:rPr>
                <w:webHidden/>
              </w:rPr>
              <w:instrText xml:space="preserve"> PAGEREF _Toc417987560 \h </w:instrText>
            </w:r>
            <w:r w:rsidR="00494B09">
              <w:rPr>
                <w:webHidden/>
              </w:rPr>
            </w:r>
            <w:r w:rsidR="00494B09">
              <w:rPr>
                <w:webHidden/>
              </w:rPr>
              <w:fldChar w:fldCharType="separate"/>
            </w:r>
            <w:r w:rsidR="00494B09">
              <w:rPr>
                <w:webHidden/>
              </w:rPr>
              <w:t>2</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61" w:history="1">
            <w:r w:rsidR="00494B09" w:rsidRPr="000D0DAF">
              <w:rPr>
                <w:rStyle w:val="Hyperlink"/>
              </w:rPr>
              <w:t>Contents</w:t>
            </w:r>
            <w:r w:rsidR="00494B09">
              <w:rPr>
                <w:webHidden/>
              </w:rPr>
              <w:tab/>
            </w:r>
            <w:r w:rsidR="00494B09">
              <w:rPr>
                <w:webHidden/>
              </w:rPr>
              <w:fldChar w:fldCharType="begin"/>
            </w:r>
            <w:r w:rsidR="00494B09">
              <w:rPr>
                <w:webHidden/>
              </w:rPr>
              <w:instrText xml:space="preserve"> PAGEREF _Toc417987561 \h </w:instrText>
            </w:r>
            <w:r w:rsidR="00494B09">
              <w:rPr>
                <w:webHidden/>
              </w:rPr>
            </w:r>
            <w:r w:rsidR="00494B09">
              <w:rPr>
                <w:webHidden/>
              </w:rPr>
              <w:fldChar w:fldCharType="separate"/>
            </w:r>
            <w:r w:rsidR="00494B09">
              <w:rPr>
                <w:webHidden/>
              </w:rPr>
              <w:t>3</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62" w:history="1">
            <w:r w:rsidR="00494B09" w:rsidRPr="000D0DAF">
              <w:rPr>
                <w:rStyle w:val="Hyperlink"/>
              </w:rPr>
              <w:t>Shortened forms</w:t>
            </w:r>
            <w:r w:rsidR="00494B09">
              <w:rPr>
                <w:webHidden/>
              </w:rPr>
              <w:tab/>
            </w:r>
            <w:r w:rsidR="00494B09">
              <w:rPr>
                <w:webHidden/>
              </w:rPr>
              <w:fldChar w:fldCharType="begin"/>
            </w:r>
            <w:r w:rsidR="00494B09">
              <w:rPr>
                <w:webHidden/>
              </w:rPr>
              <w:instrText xml:space="preserve"> PAGEREF _Toc417987562 \h </w:instrText>
            </w:r>
            <w:r w:rsidR="00494B09">
              <w:rPr>
                <w:webHidden/>
              </w:rPr>
            </w:r>
            <w:r w:rsidR="00494B09">
              <w:rPr>
                <w:webHidden/>
              </w:rPr>
              <w:fldChar w:fldCharType="separate"/>
            </w:r>
            <w:r w:rsidR="00494B09">
              <w:rPr>
                <w:webHidden/>
              </w:rPr>
              <w:t>5</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63" w:history="1">
            <w:r w:rsidR="00494B09" w:rsidRPr="000D0DAF">
              <w:rPr>
                <w:rStyle w:val="Hyperlink"/>
              </w:rPr>
              <w:t>1</w:t>
            </w:r>
            <w:r w:rsidR="00494B09">
              <w:rPr>
                <w:rFonts w:asciiTheme="minorHAnsi" w:eastAsiaTheme="minorEastAsia" w:hAnsiTheme="minorHAnsi"/>
                <w:b w:val="0"/>
                <w:color w:val="auto"/>
                <w:sz w:val="22"/>
                <w:lang w:val="en-AU" w:eastAsia="en-AU"/>
              </w:rPr>
              <w:tab/>
            </w:r>
            <w:r w:rsidR="00494B09" w:rsidRPr="000D0DAF">
              <w:rPr>
                <w:rStyle w:val="Hyperlink"/>
              </w:rPr>
              <w:t>Our final decision</w:t>
            </w:r>
            <w:r w:rsidR="00494B09">
              <w:rPr>
                <w:webHidden/>
              </w:rPr>
              <w:tab/>
            </w:r>
            <w:r w:rsidR="00494B09">
              <w:rPr>
                <w:webHidden/>
              </w:rPr>
              <w:fldChar w:fldCharType="begin"/>
            </w:r>
            <w:r w:rsidR="00494B09">
              <w:rPr>
                <w:webHidden/>
              </w:rPr>
              <w:instrText xml:space="preserve"> PAGEREF _Toc417987563 \h </w:instrText>
            </w:r>
            <w:r w:rsidR="00494B09">
              <w:rPr>
                <w:webHidden/>
              </w:rPr>
            </w:r>
            <w:r w:rsidR="00494B09">
              <w:rPr>
                <w:webHidden/>
              </w:rPr>
              <w:fldChar w:fldCharType="separate"/>
            </w:r>
            <w:r w:rsidR="00494B09">
              <w:rPr>
                <w:webHidden/>
              </w:rPr>
              <w:t>7</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64" w:history="1">
            <w:r w:rsidR="00494B09" w:rsidRPr="000D0DAF">
              <w:rPr>
                <w:rStyle w:val="Hyperlink"/>
              </w:rPr>
              <w:t>1.1</w:t>
            </w:r>
            <w:r w:rsidR="00494B09">
              <w:rPr>
                <w:rFonts w:asciiTheme="minorHAnsi" w:eastAsiaTheme="minorEastAsia" w:hAnsiTheme="minorHAnsi"/>
                <w:b w:val="0"/>
                <w:color w:val="auto"/>
                <w:sz w:val="22"/>
                <w:lang w:eastAsia="en-AU"/>
              </w:rPr>
              <w:tab/>
            </w:r>
            <w:r w:rsidR="00494B09" w:rsidRPr="000D0DAF">
              <w:rPr>
                <w:rStyle w:val="Hyperlink"/>
              </w:rPr>
              <w:t>Decision</w:t>
            </w:r>
            <w:r w:rsidR="00494B09">
              <w:rPr>
                <w:webHidden/>
              </w:rPr>
              <w:tab/>
            </w:r>
            <w:r w:rsidR="00494B09">
              <w:rPr>
                <w:webHidden/>
              </w:rPr>
              <w:fldChar w:fldCharType="begin"/>
            </w:r>
            <w:r w:rsidR="00494B09">
              <w:rPr>
                <w:webHidden/>
              </w:rPr>
              <w:instrText xml:space="preserve"> PAGEREF _Toc417987564 \h </w:instrText>
            </w:r>
            <w:r w:rsidR="00494B09">
              <w:rPr>
                <w:webHidden/>
              </w:rPr>
            </w:r>
            <w:r w:rsidR="00494B09">
              <w:rPr>
                <w:webHidden/>
              </w:rPr>
              <w:fldChar w:fldCharType="separate"/>
            </w:r>
            <w:r w:rsidR="00494B09">
              <w:rPr>
                <w:webHidden/>
              </w:rPr>
              <w:t>8</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65" w:history="1">
            <w:r w:rsidR="00494B09" w:rsidRPr="000D0DAF">
              <w:rPr>
                <w:rStyle w:val="Hyperlink"/>
              </w:rPr>
              <w:t>1.2</w:t>
            </w:r>
            <w:r w:rsidR="00494B09">
              <w:rPr>
                <w:rFonts w:asciiTheme="minorHAnsi" w:eastAsiaTheme="minorEastAsia" w:hAnsiTheme="minorHAnsi"/>
                <w:b w:val="0"/>
                <w:color w:val="auto"/>
                <w:sz w:val="22"/>
                <w:lang w:eastAsia="en-AU"/>
              </w:rPr>
              <w:tab/>
            </w:r>
            <w:r w:rsidR="00494B09" w:rsidRPr="000D0DAF">
              <w:rPr>
                <w:rStyle w:val="Hyperlink"/>
              </w:rPr>
              <w:t>Contribution to achievement of the NEO</w:t>
            </w:r>
            <w:r w:rsidR="00494B09">
              <w:rPr>
                <w:webHidden/>
              </w:rPr>
              <w:tab/>
            </w:r>
            <w:r w:rsidR="00494B09">
              <w:rPr>
                <w:webHidden/>
              </w:rPr>
              <w:fldChar w:fldCharType="begin"/>
            </w:r>
            <w:r w:rsidR="00494B09">
              <w:rPr>
                <w:webHidden/>
              </w:rPr>
              <w:instrText xml:space="preserve"> PAGEREF _Toc417987565 \h </w:instrText>
            </w:r>
            <w:r w:rsidR="00494B09">
              <w:rPr>
                <w:webHidden/>
              </w:rPr>
            </w:r>
            <w:r w:rsidR="00494B09">
              <w:rPr>
                <w:webHidden/>
              </w:rPr>
              <w:fldChar w:fldCharType="separate"/>
            </w:r>
            <w:r w:rsidR="00494B09">
              <w:rPr>
                <w:webHidden/>
              </w:rPr>
              <w:t>9</w:t>
            </w:r>
            <w:r w:rsidR="00494B09">
              <w:rPr>
                <w:webHidden/>
              </w:rPr>
              <w:fldChar w:fldCharType="end"/>
            </w:r>
          </w:hyperlink>
        </w:p>
        <w:p w:rsidR="00494B09" w:rsidRDefault="00314B69">
          <w:pPr>
            <w:pStyle w:val="TOC3"/>
            <w:rPr>
              <w:rFonts w:asciiTheme="minorHAnsi" w:eastAsiaTheme="minorEastAsia" w:hAnsiTheme="minorHAnsi"/>
              <w:lang w:eastAsia="en-AU"/>
            </w:rPr>
          </w:pPr>
          <w:hyperlink w:anchor="_Toc417987566" w:history="1">
            <w:r w:rsidR="00494B09" w:rsidRPr="000D0DAF">
              <w:rPr>
                <w:rStyle w:val="Hyperlink"/>
              </w:rPr>
              <w:t>1.2.1</w:t>
            </w:r>
            <w:r w:rsidR="00494B09">
              <w:rPr>
                <w:rFonts w:asciiTheme="minorHAnsi" w:eastAsiaTheme="minorEastAsia" w:hAnsiTheme="minorHAnsi"/>
                <w:lang w:eastAsia="en-AU"/>
              </w:rPr>
              <w:tab/>
            </w:r>
            <w:r w:rsidR="00494B09" w:rsidRPr="000D0DAF">
              <w:rPr>
                <w:rStyle w:val="Hyperlink"/>
              </w:rPr>
              <w:t>Rate of return</w:t>
            </w:r>
            <w:r w:rsidR="00494B09">
              <w:rPr>
                <w:webHidden/>
              </w:rPr>
              <w:tab/>
            </w:r>
            <w:r w:rsidR="00494B09">
              <w:rPr>
                <w:webHidden/>
              </w:rPr>
              <w:fldChar w:fldCharType="begin"/>
            </w:r>
            <w:r w:rsidR="00494B09">
              <w:rPr>
                <w:webHidden/>
              </w:rPr>
              <w:instrText xml:space="preserve"> PAGEREF _Toc417987566 \h </w:instrText>
            </w:r>
            <w:r w:rsidR="00494B09">
              <w:rPr>
                <w:webHidden/>
              </w:rPr>
            </w:r>
            <w:r w:rsidR="00494B09">
              <w:rPr>
                <w:webHidden/>
              </w:rPr>
              <w:fldChar w:fldCharType="separate"/>
            </w:r>
            <w:r w:rsidR="00494B09">
              <w:rPr>
                <w:webHidden/>
              </w:rPr>
              <w:t>11</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67" w:history="1">
            <w:r w:rsidR="00494B09" w:rsidRPr="000D0DAF">
              <w:rPr>
                <w:rStyle w:val="Hyperlink"/>
              </w:rPr>
              <w:t>1.3</w:t>
            </w:r>
            <w:r w:rsidR="00494B09">
              <w:rPr>
                <w:rFonts w:asciiTheme="minorHAnsi" w:eastAsiaTheme="minorEastAsia" w:hAnsiTheme="minorHAnsi"/>
                <w:b w:val="0"/>
                <w:color w:val="auto"/>
                <w:sz w:val="22"/>
                <w:lang w:eastAsia="en-AU"/>
              </w:rPr>
              <w:tab/>
            </w:r>
            <w:r w:rsidR="00494B09" w:rsidRPr="000D0DAF">
              <w:rPr>
                <w:rStyle w:val="Hyperlink"/>
              </w:rPr>
              <w:t>Assessment of options under the NEO</w:t>
            </w:r>
            <w:r w:rsidR="00494B09">
              <w:rPr>
                <w:webHidden/>
              </w:rPr>
              <w:tab/>
            </w:r>
            <w:r w:rsidR="00494B09">
              <w:rPr>
                <w:webHidden/>
              </w:rPr>
              <w:fldChar w:fldCharType="begin"/>
            </w:r>
            <w:r w:rsidR="00494B09">
              <w:rPr>
                <w:webHidden/>
              </w:rPr>
              <w:instrText xml:space="preserve"> PAGEREF _Toc417987567 \h </w:instrText>
            </w:r>
            <w:r w:rsidR="00494B09">
              <w:rPr>
                <w:webHidden/>
              </w:rPr>
            </w:r>
            <w:r w:rsidR="00494B09">
              <w:rPr>
                <w:webHidden/>
              </w:rPr>
              <w:fldChar w:fldCharType="separate"/>
            </w:r>
            <w:r w:rsidR="00494B09">
              <w:rPr>
                <w:webHidden/>
              </w:rPr>
              <w:t>12</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68" w:history="1">
            <w:r w:rsidR="00494B09" w:rsidRPr="000D0DAF">
              <w:rPr>
                <w:rStyle w:val="Hyperlink"/>
              </w:rPr>
              <w:t>1.4</w:t>
            </w:r>
            <w:r w:rsidR="00494B09">
              <w:rPr>
                <w:rFonts w:asciiTheme="minorHAnsi" w:eastAsiaTheme="minorEastAsia" w:hAnsiTheme="minorHAnsi"/>
                <w:b w:val="0"/>
                <w:color w:val="auto"/>
                <w:sz w:val="22"/>
                <w:lang w:eastAsia="en-AU"/>
              </w:rPr>
              <w:tab/>
            </w:r>
            <w:r w:rsidR="00494B09" w:rsidRPr="000D0DAF">
              <w:rPr>
                <w:rStyle w:val="Hyperlink"/>
              </w:rPr>
              <w:t>Structure of the overview</w:t>
            </w:r>
            <w:r w:rsidR="00494B09">
              <w:rPr>
                <w:webHidden/>
              </w:rPr>
              <w:tab/>
            </w:r>
            <w:r w:rsidR="00494B09">
              <w:rPr>
                <w:webHidden/>
              </w:rPr>
              <w:fldChar w:fldCharType="begin"/>
            </w:r>
            <w:r w:rsidR="00494B09">
              <w:rPr>
                <w:webHidden/>
              </w:rPr>
              <w:instrText xml:space="preserve"> PAGEREF _Toc417987568 \h </w:instrText>
            </w:r>
            <w:r w:rsidR="00494B09">
              <w:rPr>
                <w:webHidden/>
              </w:rPr>
            </w:r>
            <w:r w:rsidR="00494B09">
              <w:rPr>
                <w:webHidden/>
              </w:rPr>
              <w:fldChar w:fldCharType="separate"/>
            </w:r>
            <w:r w:rsidR="00494B09">
              <w:rPr>
                <w:webHidden/>
              </w:rPr>
              <w:t>13</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69" w:history="1">
            <w:r w:rsidR="00494B09" w:rsidRPr="000D0DAF">
              <w:rPr>
                <w:rStyle w:val="Hyperlink"/>
              </w:rPr>
              <w:t>2</w:t>
            </w:r>
            <w:r w:rsidR="00494B09">
              <w:rPr>
                <w:rFonts w:asciiTheme="minorHAnsi" w:eastAsiaTheme="minorEastAsia" w:hAnsiTheme="minorHAnsi"/>
                <w:b w:val="0"/>
                <w:color w:val="auto"/>
                <w:sz w:val="22"/>
                <w:lang w:val="en-AU" w:eastAsia="en-AU"/>
              </w:rPr>
              <w:tab/>
            </w:r>
            <w:r w:rsidR="00494B09" w:rsidRPr="000D0DAF">
              <w:rPr>
                <w:rStyle w:val="Hyperlink"/>
              </w:rPr>
              <w:t>Key elements of the building blocks</w:t>
            </w:r>
            <w:r w:rsidR="00494B09">
              <w:rPr>
                <w:webHidden/>
              </w:rPr>
              <w:tab/>
            </w:r>
            <w:r w:rsidR="00494B09">
              <w:rPr>
                <w:webHidden/>
              </w:rPr>
              <w:fldChar w:fldCharType="begin"/>
            </w:r>
            <w:r w:rsidR="00494B09">
              <w:rPr>
                <w:webHidden/>
              </w:rPr>
              <w:instrText xml:space="preserve"> PAGEREF _Toc417987569 \h </w:instrText>
            </w:r>
            <w:r w:rsidR="00494B09">
              <w:rPr>
                <w:webHidden/>
              </w:rPr>
            </w:r>
            <w:r w:rsidR="00494B09">
              <w:rPr>
                <w:webHidden/>
              </w:rPr>
              <w:fldChar w:fldCharType="separate"/>
            </w:r>
            <w:r w:rsidR="00494B09">
              <w:rPr>
                <w:webHidden/>
              </w:rPr>
              <w:t>14</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0" w:history="1">
            <w:r w:rsidR="00494B09" w:rsidRPr="000D0DAF">
              <w:rPr>
                <w:rStyle w:val="Hyperlink"/>
              </w:rPr>
              <w:t>2.1</w:t>
            </w:r>
            <w:r w:rsidR="00494B09">
              <w:rPr>
                <w:rFonts w:asciiTheme="minorHAnsi" w:eastAsiaTheme="minorEastAsia" w:hAnsiTheme="minorHAnsi"/>
                <w:b w:val="0"/>
                <w:color w:val="auto"/>
                <w:sz w:val="22"/>
                <w:lang w:eastAsia="en-AU"/>
              </w:rPr>
              <w:tab/>
            </w:r>
            <w:r w:rsidR="00494B09" w:rsidRPr="000D0DAF">
              <w:rPr>
                <w:rStyle w:val="Hyperlink"/>
              </w:rPr>
              <w:t>The building block approach</w:t>
            </w:r>
            <w:r w:rsidR="00494B09">
              <w:rPr>
                <w:webHidden/>
              </w:rPr>
              <w:tab/>
            </w:r>
            <w:r w:rsidR="00494B09">
              <w:rPr>
                <w:webHidden/>
              </w:rPr>
              <w:fldChar w:fldCharType="begin"/>
            </w:r>
            <w:r w:rsidR="00494B09">
              <w:rPr>
                <w:webHidden/>
              </w:rPr>
              <w:instrText xml:space="preserve"> PAGEREF _Toc417987570 \h </w:instrText>
            </w:r>
            <w:r w:rsidR="00494B09">
              <w:rPr>
                <w:webHidden/>
              </w:rPr>
            </w:r>
            <w:r w:rsidR="00494B09">
              <w:rPr>
                <w:webHidden/>
              </w:rPr>
              <w:fldChar w:fldCharType="separate"/>
            </w:r>
            <w:r w:rsidR="00494B09">
              <w:rPr>
                <w:webHidden/>
              </w:rPr>
              <w:t>15</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1" w:history="1">
            <w:r w:rsidR="00494B09" w:rsidRPr="000D0DAF">
              <w:rPr>
                <w:rStyle w:val="Hyperlink"/>
              </w:rPr>
              <w:t>2.2</w:t>
            </w:r>
            <w:r w:rsidR="00494B09">
              <w:rPr>
                <w:rFonts w:asciiTheme="minorHAnsi" w:eastAsiaTheme="minorEastAsia" w:hAnsiTheme="minorHAnsi"/>
                <w:b w:val="0"/>
                <w:color w:val="auto"/>
                <w:sz w:val="22"/>
                <w:lang w:eastAsia="en-AU"/>
              </w:rPr>
              <w:tab/>
            </w:r>
            <w:r w:rsidR="00494B09" w:rsidRPr="000D0DAF">
              <w:rPr>
                <w:rStyle w:val="Hyperlink"/>
              </w:rPr>
              <w:t>Regulatory asset base (RAB)</w:t>
            </w:r>
            <w:r w:rsidR="00494B09">
              <w:rPr>
                <w:webHidden/>
              </w:rPr>
              <w:tab/>
            </w:r>
            <w:r w:rsidR="00494B09">
              <w:rPr>
                <w:webHidden/>
              </w:rPr>
              <w:fldChar w:fldCharType="begin"/>
            </w:r>
            <w:r w:rsidR="00494B09">
              <w:rPr>
                <w:webHidden/>
              </w:rPr>
              <w:instrText xml:space="preserve"> PAGEREF _Toc417987571 \h </w:instrText>
            </w:r>
            <w:r w:rsidR="00494B09">
              <w:rPr>
                <w:webHidden/>
              </w:rPr>
            </w:r>
            <w:r w:rsidR="00494B09">
              <w:rPr>
                <w:webHidden/>
              </w:rPr>
              <w:fldChar w:fldCharType="separate"/>
            </w:r>
            <w:r w:rsidR="00494B09">
              <w:rPr>
                <w:webHidden/>
              </w:rPr>
              <w:t>16</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2" w:history="1">
            <w:r w:rsidR="00494B09" w:rsidRPr="000D0DAF">
              <w:rPr>
                <w:rStyle w:val="Hyperlink"/>
              </w:rPr>
              <w:t>2.3</w:t>
            </w:r>
            <w:r w:rsidR="00494B09">
              <w:rPr>
                <w:rFonts w:asciiTheme="minorHAnsi" w:eastAsiaTheme="minorEastAsia" w:hAnsiTheme="minorHAnsi"/>
                <w:b w:val="0"/>
                <w:color w:val="auto"/>
                <w:sz w:val="22"/>
                <w:lang w:eastAsia="en-AU"/>
              </w:rPr>
              <w:tab/>
            </w:r>
            <w:r w:rsidR="00494B09" w:rsidRPr="000D0DAF">
              <w:rPr>
                <w:rStyle w:val="Hyperlink"/>
              </w:rPr>
              <w:t>Rate of return (return on capital)</w:t>
            </w:r>
            <w:r w:rsidR="00494B09">
              <w:rPr>
                <w:webHidden/>
              </w:rPr>
              <w:tab/>
            </w:r>
            <w:r w:rsidR="00494B09">
              <w:rPr>
                <w:webHidden/>
              </w:rPr>
              <w:fldChar w:fldCharType="begin"/>
            </w:r>
            <w:r w:rsidR="00494B09">
              <w:rPr>
                <w:webHidden/>
              </w:rPr>
              <w:instrText xml:space="preserve"> PAGEREF _Toc417987572 \h </w:instrText>
            </w:r>
            <w:r w:rsidR="00494B09">
              <w:rPr>
                <w:webHidden/>
              </w:rPr>
            </w:r>
            <w:r w:rsidR="00494B09">
              <w:rPr>
                <w:webHidden/>
              </w:rPr>
              <w:fldChar w:fldCharType="separate"/>
            </w:r>
            <w:r w:rsidR="00494B09">
              <w:rPr>
                <w:webHidden/>
              </w:rPr>
              <w:t>18</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3" w:history="1">
            <w:r w:rsidR="00494B09" w:rsidRPr="000D0DAF">
              <w:rPr>
                <w:rStyle w:val="Hyperlink"/>
              </w:rPr>
              <w:t>2.4</w:t>
            </w:r>
            <w:r w:rsidR="00494B09">
              <w:rPr>
                <w:rFonts w:asciiTheme="minorHAnsi" w:eastAsiaTheme="minorEastAsia" w:hAnsiTheme="minorHAnsi"/>
                <w:b w:val="0"/>
                <w:color w:val="auto"/>
                <w:sz w:val="22"/>
                <w:lang w:eastAsia="en-AU"/>
              </w:rPr>
              <w:tab/>
            </w:r>
            <w:r w:rsidR="00494B09" w:rsidRPr="000D0DAF">
              <w:rPr>
                <w:rStyle w:val="Hyperlink"/>
              </w:rPr>
              <w:t>Value of imputation credits (gamma)</w:t>
            </w:r>
            <w:r w:rsidR="00494B09">
              <w:rPr>
                <w:webHidden/>
              </w:rPr>
              <w:tab/>
            </w:r>
            <w:r w:rsidR="00494B09">
              <w:rPr>
                <w:webHidden/>
              </w:rPr>
              <w:fldChar w:fldCharType="begin"/>
            </w:r>
            <w:r w:rsidR="00494B09">
              <w:rPr>
                <w:webHidden/>
              </w:rPr>
              <w:instrText xml:space="preserve"> PAGEREF _Toc417987573 \h </w:instrText>
            </w:r>
            <w:r w:rsidR="00494B09">
              <w:rPr>
                <w:webHidden/>
              </w:rPr>
            </w:r>
            <w:r w:rsidR="00494B09">
              <w:rPr>
                <w:webHidden/>
              </w:rPr>
              <w:fldChar w:fldCharType="separate"/>
            </w:r>
            <w:r w:rsidR="00494B09">
              <w:rPr>
                <w:webHidden/>
              </w:rPr>
              <w:t>23</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4" w:history="1">
            <w:r w:rsidR="00494B09" w:rsidRPr="000D0DAF">
              <w:rPr>
                <w:rStyle w:val="Hyperlink"/>
              </w:rPr>
              <w:t>2.5</w:t>
            </w:r>
            <w:r w:rsidR="00494B09">
              <w:rPr>
                <w:rFonts w:asciiTheme="minorHAnsi" w:eastAsiaTheme="minorEastAsia" w:hAnsiTheme="minorHAnsi"/>
                <w:b w:val="0"/>
                <w:color w:val="auto"/>
                <w:sz w:val="22"/>
                <w:lang w:eastAsia="en-AU"/>
              </w:rPr>
              <w:tab/>
            </w:r>
            <w:r w:rsidR="00494B09" w:rsidRPr="000D0DAF">
              <w:rPr>
                <w:rStyle w:val="Hyperlink"/>
              </w:rPr>
              <w:t>Regulatory depreciation (return of capital)</w:t>
            </w:r>
            <w:r w:rsidR="00494B09">
              <w:rPr>
                <w:webHidden/>
              </w:rPr>
              <w:tab/>
            </w:r>
            <w:r w:rsidR="00494B09">
              <w:rPr>
                <w:webHidden/>
              </w:rPr>
              <w:fldChar w:fldCharType="begin"/>
            </w:r>
            <w:r w:rsidR="00494B09">
              <w:rPr>
                <w:webHidden/>
              </w:rPr>
              <w:instrText xml:space="preserve"> PAGEREF _Toc417987574 \h </w:instrText>
            </w:r>
            <w:r w:rsidR="00494B09">
              <w:rPr>
                <w:webHidden/>
              </w:rPr>
            </w:r>
            <w:r w:rsidR="00494B09">
              <w:rPr>
                <w:webHidden/>
              </w:rPr>
              <w:fldChar w:fldCharType="separate"/>
            </w:r>
            <w:r w:rsidR="00494B09">
              <w:rPr>
                <w:webHidden/>
              </w:rPr>
              <w:t>25</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5" w:history="1">
            <w:r w:rsidR="00494B09" w:rsidRPr="000D0DAF">
              <w:rPr>
                <w:rStyle w:val="Hyperlink"/>
              </w:rPr>
              <w:t>2.6</w:t>
            </w:r>
            <w:r w:rsidR="00494B09">
              <w:rPr>
                <w:rFonts w:asciiTheme="minorHAnsi" w:eastAsiaTheme="minorEastAsia" w:hAnsiTheme="minorHAnsi"/>
                <w:b w:val="0"/>
                <w:color w:val="auto"/>
                <w:sz w:val="22"/>
                <w:lang w:eastAsia="en-AU"/>
              </w:rPr>
              <w:tab/>
            </w:r>
            <w:r w:rsidR="00494B09" w:rsidRPr="000D0DAF">
              <w:rPr>
                <w:rStyle w:val="Hyperlink"/>
              </w:rPr>
              <w:t>Capital expenditure</w:t>
            </w:r>
            <w:r w:rsidR="00494B09">
              <w:rPr>
                <w:webHidden/>
              </w:rPr>
              <w:tab/>
            </w:r>
            <w:r w:rsidR="00494B09">
              <w:rPr>
                <w:webHidden/>
              </w:rPr>
              <w:fldChar w:fldCharType="begin"/>
            </w:r>
            <w:r w:rsidR="00494B09">
              <w:rPr>
                <w:webHidden/>
              </w:rPr>
              <w:instrText xml:space="preserve"> PAGEREF _Toc417987575 \h </w:instrText>
            </w:r>
            <w:r w:rsidR="00494B09">
              <w:rPr>
                <w:webHidden/>
              </w:rPr>
            </w:r>
            <w:r w:rsidR="00494B09">
              <w:rPr>
                <w:webHidden/>
              </w:rPr>
              <w:fldChar w:fldCharType="separate"/>
            </w:r>
            <w:r w:rsidR="00494B09">
              <w:rPr>
                <w:webHidden/>
              </w:rPr>
              <w:t>26</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6" w:history="1">
            <w:r w:rsidR="00494B09" w:rsidRPr="000D0DAF">
              <w:rPr>
                <w:rStyle w:val="Hyperlink"/>
              </w:rPr>
              <w:t>2.7</w:t>
            </w:r>
            <w:r w:rsidR="00494B09">
              <w:rPr>
                <w:rFonts w:asciiTheme="minorHAnsi" w:eastAsiaTheme="minorEastAsia" w:hAnsiTheme="minorHAnsi"/>
                <w:b w:val="0"/>
                <w:color w:val="auto"/>
                <w:sz w:val="22"/>
                <w:lang w:eastAsia="en-AU"/>
              </w:rPr>
              <w:tab/>
            </w:r>
            <w:r w:rsidR="00494B09" w:rsidRPr="000D0DAF">
              <w:rPr>
                <w:rStyle w:val="Hyperlink"/>
              </w:rPr>
              <w:t>Operating expenditure</w:t>
            </w:r>
            <w:r w:rsidR="00494B09">
              <w:rPr>
                <w:webHidden/>
              </w:rPr>
              <w:tab/>
            </w:r>
            <w:r w:rsidR="00494B09">
              <w:rPr>
                <w:webHidden/>
              </w:rPr>
              <w:fldChar w:fldCharType="begin"/>
            </w:r>
            <w:r w:rsidR="00494B09">
              <w:rPr>
                <w:webHidden/>
              </w:rPr>
              <w:instrText xml:space="preserve"> PAGEREF _Toc417987576 \h </w:instrText>
            </w:r>
            <w:r w:rsidR="00494B09">
              <w:rPr>
                <w:webHidden/>
              </w:rPr>
            </w:r>
            <w:r w:rsidR="00494B09">
              <w:rPr>
                <w:webHidden/>
              </w:rPr>
              <w:fldChar w:fldCharType="separate"/>
            </w:r>
            <w:r w:rsidR="00494B09">
              <w:rPr>
                <w:webHidden/>
              </w:rPr>
              <w:t>27</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7" w:history="1">
            <w:r w:rsidR="00494B09" w:rsidRPr="000D0DAF">
              <w:rPr>
                <w:rStyle w:val="Hyperlink"/>
              </w:rPr>
              <w:t>2.8</w:t>
            </w:r>
            <w:r w:rsidR="00494B09">
              <w:rPr>
                <w:rFonts w:asciiTheme="minorHAnsi" w:eastAsiaTheme="minorEastAsia" w:hAnsiTheme="minorHAnsi"/>
                <w:b w:val="0"/>
                <w:color w:val="auto"/>
                <w:sz w:val="22"/>
                <w:lang w:eastAsia="en-AU"/>
              </w:rPr>
              <w:tab/>
            </w:r>
            <w:r w:rsidR="00494B09" w:rsidRPr="000D0DAF">
              <w:rPr>
                <w:rStyle w:val="Hyperlink"/>
              </w:rPr>
              <w:t>Corporate income tax</w:t>
            </w:r>
            <w:r w:rsidR="00494B09">
              <w:rPr>
                <w:webHidden/>
              </w:rPr>
              <w:tab/>
            </w:r>
            <w:r w:rsidR="00494B09">
              <w:rPr>
                <w:webHidden/>
              </w:rPr>
              <w:fldChar w:fldCharType="begin"/>
            </w:r>
            <w:r w:rsidR="00494B09">
              <w:rPr>
                <w:webHidden/>
              </w:rPr>
              <w:instrText xml:space="preserve"> PAGEREF _Toc417987577 \h </w:instrText>
            </w:r>
            <w:r w:rsidR="00494B09">
              <w:rPr>
                <w:webHidden/>
              </w:rPr>
            </w:r>
            <w:r w:rsidR="00494B09">
              <w:rPr>
                <w:webHidden/>
              </w:rPr>
              <w:fldChar w:fldCharType="separate"/>
            </w:r>
            <w:r w:rsidR="00494B09">
              <w:rPr>
                <w:webHidden/>
              </w:rPr>
              <w:t>29</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78" w:history="1">
            <w:r w:rsidR="00494B09" w:rsidRPr="000D0DAF">
              <w:rPr>
                <w:rStyle w:val="Hyperlink"/>
              </w:rPr>
              <w:t>3</w:t>
            </w:r>
            <w:r w:rsidR="00494B09">
              <w:rPr>
                <w:rFonts w:asciiTheme="minorHAnsi" w:eastAsiaTheme="minorEastAsia" w:hAnsiTheme="minorHAnsi"/>
                <w:b w:val="0"/>
                <w:color w:val="auto"/>
                <w:sz w:val="22"/>
                <w:lang w:val="en-AU" w:eastAsia="en-AU"/>
              </w:rPr>
              <w:tab/>
            </w:r>
            <w:r w:rsidR="00494B09" w:rsidRPr="000D0DAF">
              <w:rPr>
                <w:rStyle w:val="Hyperlink"/>
              </w:rPr>
              <w:t>Incentive schemes</w:t>
            </w:r>
            <w:r w:rsidR="00494B09">
              <w:rPr>
                <w:webHidden/>
              </w:rPr>
              <w:tab/>
            </w:r>
            <w:r w:rsidR="00494B09">
              <w:rPr>
                <w:webHidden/>
              </w:rPr>
              <w:fldChar w:fldCharType="begin"/>
            </w:r>
            <w:r w:rsidR="00494B09">
              <w:rPr>
                <w:webHidden/>
              </w:rPr>
              <w:instrText xml:space="preserve"> PAGEREF _Toc417987578 \h </w:instrText>
            </w:r>
            <w:r w:rsidR="00494B09">
              <w:rPr>
                <w:webHidden/>
              </w:rPr>
            </w:r>
            <w:r w:rsidR="00494B09">
              <w:rPr>
                <w:webHidden/>
              </w:rPr>
              <w:fldChar w:fldCharType="separate"/>
            </w:r>
            <w:r w:rsidR="00494B09">
              <w:rPr>
                <w:webHidden/>
              </w:rPr>
              <w:t>30</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79" w:history="1">
            <w:r w:rsidR="00494B09" w:rsidRPr="000D0DAF">
              <w:rPr>
                <w:rStyle w:val="Hyperlink"/>
              </w:rPr>
              <w:t>3.1</w:t>
            </w:r>
            <w:r w:rsidR="00494B09">
              <w:rPr>
                <w:rFonts w:asciiTheme="minorHAnsi" w:eastAsiaTheme="minorEastAsia" w:hAnsiTheme="minorHAnsi"/>
                <w:b w:val="0"/>
                <w:color w:val="auto"/>
                <w:sz w:val="22"/>
                <w:lang w:eastAsia="en-AU"/>
              </w:rPr>
              <w:tab/>
            </w:r>
            <w:r w:rsidR="00494B09" w:rsidRPr="000D0DAF">
              <w:rPr>
                <w:rStyle w:val="Hyperlink"/>
              </w:rPr>
              <w:t>Efficiency benefit sharing scheme (EBSS)</w:t>
            </w:r>
            <w:r w:rsidR="00494B09">
              <w:rPr>
                <w:webHidden/>
              </w:rPr>
              <w:tab/>
            </w:r>
            <w:r w:rsidR="00494B09">
              <w:rPr>
                <w:webHidden/>
              </w:rPr>
              <w:fldChar w:fldCharType="begin"/>
            </w:r>
            <w:r w:rsidR="00494B09">
              <w:rPr>
                <w:webHidden/>
              </w:rPr>
              <w:instrText xml:space="preserve"> PAGEREF _Toc417987579 \h </w:instrText>
            </w:r>
            <w:r w:rsidR="00494B09">
              <w:rPr>
                <w:webHidden/>
              </w:rPr>
            </w:r>
            <w:r w:rsidR="00494B09">
              <w:rPr>
                <w:webHidden/>
              </w:rPr>
              <w:fldChar w:fldCharType="separate"/>
            </w:r>
            <w:r w:rsidR="00494B09">
              <w:rPr>
                <w:webHidden/>
              </w:rPr>
              <w:t>30</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0" w:history="1">
            <w:r w:rsidR="00494B09" w:rsidRPr="000D0DAF">
              <w:rPr>
                <w:rStyle w:val="Hyperlink"/>
              </w:rPr>
              <w:t>3.2</w:t>
            </w:r>
            <w:r w:rsidR="00494B09">
              <w:rPr>
                <w:rFonts w:asciiTheme="minorHAnsi" w:eastAsiaTheme="minorEastAsia" w:hAnsiTheme="minorHAnsi"/>
                <w:b w:val="0"/>
                <w:color w:val="auto"/>
                <w:sz w:val="22"/>
                <w:lang w:eastAsia="en-AU"/>
              </w:rPr>
              <w:tab/>
            </w:r>
            <w:r w:rsidR="00494B09" w:rsidRPr="000D0DAF">
              <w:rPr>
                <w:rStyle w:val="Hyperlink"/>
              </w:rPr>
              <w:t>Capital expenditure sharing scheme (CESS)</w:t>
            </w:r>
            <w:r w:rsidR="00494B09">
              <w:rPr>
                <w:webHidden/>
              </w:rPr>
              <w:tab/>
            </w:r>
            <w:r w:rsidR="00494B09">
              <w:rPr>
                <w:webHidden/>
              </w:rPr>
              <w:fldChar w:fldCharType="begin"/>
            </w:r>
            <w:r w:rsidR="00494B09">
              <w:rPr>
                <w:webHidden/>
              </w:rPr>
              <w:instrText xml:space="preserve"> PAGEREF _Toc417987580 \h </w:instrText>
            </w:r>
            <w:r w:rsidR="00494B09">
              <w:rPr>
                <w:webHidden/>
              </w:rPr>
            </w:r>
            <w:r w:rsidR="00494B09">
              <w:rPr>
                <w:webHidden/>
              </w:rPr>
              <w:fldChar w:fldCharType="separate"/>
            </w:r>
            <w:r w:rsidR="00494B09">
              <w:rPr>
                <w:webHidden/>
              </w:rPr>
              <w:t>30</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1" w:history="1">
            <w:r w:rsidR="00494B09" w:rsidRPr="000D0DAF">
              <w:rPr>
                <w:rStyle w:val="Hyperlink"/>
              </w:rPr>
              <w:t>3.3</w:t>
            </w:r>
            <w:r w:rsidR="00494B09">
              <w:rPr>
                <w:rFonts w:asciiTheme="minorHAnsi" w:eastAsiaTheme="minorEastAsia" w:hAnsiTheme="minorHAnsi"/>
                <w:b w:val="0"/>
                <w:color w:val="auto"/>
                <w:sz w:val="22"/>
                <w:lang w:eastAsia="en-AU"/>
              </w:rPr>
              <w:tab/>
            </w:r>
            <w:r w:rsidR="00494B09" w:rsidRPr="000D0DAF">
              <w:rPr>
                <w:rStyle w:val="Hyperlink"/>
              </w:rPr>
              <w:t>Service target performance incentive scheme (STPIS)</w:t>
            </w:r>
            <w:r w:rsidR="00494B09">
              <w:rPr>
                <w:webHidden/>
              </w:rPr>
              <w:tab/>
            </w:r>
            <w:r w:rsidR="00494B09">
              <w:rPr>
                <w:webHidden/>
              </w:rPr>
              <w:fldChar w:fldCharType="begin"/>
            </w:r>
            <w:r w:rsidR="00494B09">
              <w:rPr>
                <w:webHidden/>
              </w:rPr>
              <w:instrText xml:space="preserve"> PAGEREF _Toc417987581 \h </w:instrText>
            </w:r>
            <w:r w:rsidR="00494B09">
              <w:rPr>
                <w:webHidden/>
              </w:rPr>
            </w:r>
            <w:r w:rsidR="00494B09">
              <w:rPr>
                <w:webHidden/>
              </w:rPr>
              <w:fldChar w:fldCharType="separate"/>
            </w:r>
            <w:r w:rsidR="00494B09">
              <w:rPr>
                <w:webHidden/>
              </w:rPr>
              <w:t>31</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82" w:history="1">
            <w:r w:rsidR="00494B09" w:rsidRPr="000D0DAF">
              <w:rPr>
                <w:rStyle w:val="Hyperlink"/>
              </w:rPr>
              <w:t>4</w:t>
            </w:r>
            <w:r w:rsidR="00494B09">
              <w:rPr>
                <w:rFonts w:asciiTheme="minorHAnsi" w:eastAsiaTheme="minorEastAsia" w:hAnsiTheme="minorHAnsi"/>
                <w:b w:val="0"/>
                <w:color w:val="auto"/>
                <w:sz w:val="22"/>
                <w:lang w:val="en-AU" w:eastAsia="en-AU"/>
              </w:rPr>
              <w:tab/>
            </w:r>
            <w:r w:rsidR="00494B09" w:rsidRPr="000D0DAF">
              <w:rPr>
                <w:rStyle w:val="Hyperlink"/>
              </w:rPr>
              <w:t>Regulatory framework</w:t>
            </w:r>
            <w:r w:rsidR="00494B09">
              <w:rPr>
                <w:webHidden/>
              </w:rPr>
              <w:tab/>
            </w:r>
            <w:r w:rsidR="00494B09">
              <w:rPr>
                <w:webHidden/>
              </w:rPr>
              <w:fldChar w:fldCharType="begin"/>
            </w:r>
            <w:r w:rsidR="00494B09">
              <w:rPr>
                <w:webHidden/>
              </w:rPr>
              <w:instrText xml:space="preserve"> PAGEREF _Toc417987582 \h </w:instrText>
            </w:r>
            <w:r w:rsidR="00494B09">
              <w:rPr>
                <w:webHidden/>
              </w:rPr>
            </w:r>
            <w:r w:rsidR="00494B09">
              <w:rPr>
                <w:webHidden/>
              </w:rPr>
              <w:fldChar w:fldCharType="separate"/>
            </w:r>
            <w:r w:rsidR="00494B09">
              <w:rPr>
                <w:webHidden/>
              </w:rPr>
              <w:t>32</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3" w:history="1">
            <w:r w:rsidR="00494B09" w:rsidRPr="000D0DAF">
              <w:rPr>
                <w:rStyle w:val="Hyperlink"/>
              </w:rPr>
              <w:t>4.1</w:t>
            </w:r>
            <w:r w:rsidR="00494B09">
              <w:rPr>
                <w:rFonts w:asciiTheme="minorHAnsi" w:eastAsiaTheme="minorEastAsia" w:hAnsiTheme="minorHAnsi"/>
                <w:b w:val="0"/>
                <w:color w:val="auto"/>
                <w:sz w:val="22"/>
                <w:lang w:eastAsia="en-AU"/>
              </w:rPr>
              <w:tab/>
            </w:r>
            <w:r w:rsidR="00494B09" w:rsidRPr="000D0DAF">
              <w:rPr>
                <w:rStyle w:val="Hyperlink"/>
              </w:rPr>
              <w:t>Understanding the NEO</w:t>
            </w:r>
            <w:r w:rsidR="00494B09">
              <w:rPr>
                <w:webHidden/>
              </w:rPr>
              <w:tab/>
            </w:r>
            <w:r w:rsidR="00494B09">
              <w:rPr>
                <w:webHidden/>
              </w:rPr>
              <w:fldChar w:fldCharType="begin"/>
            </w:r>
            <w:r w:rsidR="00494B09">
              <w:rPr>
                <w:webHidden/>
              </w:rPr>
              <w:instrText xml:space="preserve"> PAGEREF _Toc417987583 \h </w:instrText>
            </w:r>
            <w:r w:rsidR="00494B09">
              <w:rPr>
                <w:webHidden/>
              </w:rPr>
            </w:r>
            <w:r w:rsidR="00494B09">
              <w:rPr>
                <w:webHidden/>
              </w:rPr>
              <w:fldChar w:fldCharType="separate"/>
            </w:r>
            <w:r w:rsidR="00494B09">
              <w:rPr>
                <w:webHidden/>
              </w:rPr>
              <w:t>34</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4" w:history="1">
            <w:r w:rsidR="00494B09" w:rsidRPr="000D0DAF">
              <w:rPr>
                <w:rStyle w:val="Hyperlink"/>
              </w:rPr>
              <w:t>4.2</w:t>
            </w:r>
            <w:r w:rsidR="00494B09">
              <w:rPr>
                <w:rFonts w:asciiTheme="minorHAnsi" w:eastAsiaTheme="minorEastAsia" w:hAnsiTheme="minorHAnsi"/>
                <w:b w:val="0"/>
                <w:color w:val="auto"/>
                <w:sz w:val="22"/>
                <w:lang w:eastAsia="en-AU"/>
              </w:rPr>
              <w:tab/>
            </w:r>
            <w:r w:rsidR="00494B09" w:rsidRPr="000D0DAF">
              <w:rPr>
                <w:rStyle w:val="Hyperlink"/>
              </w:rPr>
              <w:t>The 2012 framework changes</w:t>
            </w:r>
            <w:r w:rsidR="00494B09">
              <w:rPr>
                <w:webHidden/>
              </w:rPr>
              <w:tab/>
            </w:r>
            <w:r w:rsidR="00494B09">
              <w:rPr>
                <w:webHidden/>
              </w:rPr>
              <w:fldChar w:fldCharType="begin"/>
            </w:r>
            <w:r w:rsidR="00494B09">
              <w:rPr>
                <w:webHidden/>
              </w:rPr>
              <w:instrText xml:space="preserve"> PAGEREF _Toc417987584 \h </w:instrText>
            </w:r>
            <w:r w:rsidR="00494B09">
              <w:rPr>
                <w:webHidden/>
              </w:rPr>
            </w:r>
            <w:r w:rsidR="00494B09">
              <w:rPr>
                <w:webHidden/>
              </w:rPr>
              <w:fldChar w:fldCharType="separate"/>
            </w:r>
            <w:r w:rsidR="00494B09">
              <w:rPr>
                <w:webHidden/>
              </w:rPr>
              <w:t>35</w:t>
            </w:r>
            <w:r w:rsidR="00494B09">
              <w:rPr>
                <w:webHidden/>
              </w:rPr>
              <w:fldChar w:fldCharType="end"/>
            </w:r>
          </w:hyperlink>
        </w:p>
        <w:p w:rsidR="00494B09" w:rsidRDefault="00314B69">
          <w:pPr>
            <w:pStyle w:val="TOC3"/>
            <w:rPr>
              <w:rFonts w:asciiTheme="minorHAnsi" w:eastAsiaTheme="minorEastAsia" w:hAnsiTheme="minorHAnsi"/>
              <w:lang w:eastAsia="en-AU"/>
            </w:rPr>
          </w:pPr>
          <w:hyperlink w:anchor="_Toc417987585" w:history="1">
            <w:r w:rsidR="00494B09" w:rsidRPr="000D0DAF">
              <w:rPr>
                <w:rStyle w:val="Hyperlink"/>
              </w:rPr>
              <w:t>4.2.1</w:t>
            </w:r>
            <w:r w:rsidR="00494B09">
              <w:rPr>
                <w:rFonts w:asciiTheme="minorHAnsi" w:eastAsiaTheme="minorEastAsia" w:hAnsiTheme="minorHAnsi"/>
                <w:lang w:eastAsia="en-AU"/>
              </w:rPr>
              <w:tab/>
            </w:r>
            <w:r w:rsidR="00494B09" w:rsidRPr="000D0DAF">
              <w:rPr>
                <w:rStyle w:val="Hyperlink"/>
              </w:rPr>
              <w:t>Interrelationships</w:t>
            </w:r>
            <w:r w:rsidR="00494B09">
              <w:rPr>
                <w:webHidden/>
              </w:rPr>
              <w:tab/>
            </w:r>
            <w:r w:rsidR="00494B09">
              <w:rPr>
                <w:webHidden/>
              </w:rPr>
              <w:fldChar w:fldCharType="begin"/>
            </w:r>
            <w:r w:rsidR="00494B09">
              <w:rPr>
                <w:webHidden/>
              </w:rPr>
              <w:instrText xml:space="preserve"> PAGEREF _Toc417987585 \h </w:instrText>
            </w:r>
            <w:r w:rsidR="00494B09">
              <w:rPr>
                <w:webHidden/>
              </w:rPr>
            </w:r>
            <w:r w:rsidR="00494B09">
              <w:rPr>
                <w:webHidden/>
              </w:rPr>
              <w:fldChar w:fldCharType="separate"/>
            </w:r>
            <w:r w:rsidR="00494B09">
              <w:rPr>
                <w:webHidden/>
              </w:rPr>
              <w:t>36</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86" w:history="1">
            <w:r w:rsidR="00494B09" w:rsidRPr="000D0DAF">
              <w:rPr>
                <w:rStyle w:val="Hyperlink"/>
              </w:rPr>
              <w:t>5</w:t>
            </w:r>
            <w:r w:rsidR="00494B09">
              <w:rPr>
                <w:rFonts w:asciiTheme="minorHAnsi" w:eastAsiaTheme="minorEastAsia" w:hAnsiTheme="minorHAnsi"/>
                <w:b w:val="0"/>
                <w:color w:val="auto"/>
                <w:sz w:val="22"/>
                <w:lang w:val="en-AU" w:eastAsia="en-AU"/>
              </w:rPr>
              <w:tab/>
            </w:r>
            <w:r w:rsidR="00494B09" w:rsidRPr="000D0DAF">
              <w:rPr>
                <w:rStyle w:val="Hyperlink"/>
              </w:rPr>
              <w:t>Process</w:t>
            </w:r>
            <w:r w:rsidR="00494B09">
              <w:rPr>
                <w:webHidden/>
              </w:rPr>
              <w:tab/>
            </w:r>
            <w:r w:rsidR="00494B09">
              <w:rPr>
                <w:webHidden/>
              </w:rPr>
              <w:fldChar w:fldCharType="begin"/>
            </w:r>
            <w:r w:rsidR="00494B09">
              <w:rPr>
                <w:webHidden/>
              </w:rPr>
              <w:instrText xml:space="preserve"> PAGEREF _Toc417987586 \h </w:instrText>
            </w:r>
            <w:r w:rsidR="00494B09">
              <w:rPr>
                <w:webHidden/>
              </w:rPr>
            </w:r>
            <w:r w:rsidR="00494B09">
              <w:rPr>
                <w:webHidden/>
              </w:rPr>
              <w:fldChar w:fldCharType="separate"/>
            </w:r>
            <w:r w:rsidR="00494B09">
              <w:rPr>
                <w:webHidden/>
              </w:rPr>
              <w:t>37</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7" w:history="1">
            <w:r w:rsidR="00494B09" w:rsidRPr="000D0DAF">
              <w:rPr>
                <w:rStyle w:val="Hyperlink"/>
              </w:rPr>
              <w:t>5.1</w:t>
            </w:r>
            <w:r w:rsidR="00494B09">
              <w:rPr>
                <w:rFonts w:asciiTheme="minorHAnsi" w:eastAsiaTheme="minorEastAsia" w:hAnsiTheme="minorHAnsi"/>
                <w:b w:val="0"/>
                <w:color w:val="auto"/>
                <w:sz w:val="22"/>
                <w:lang w:eastAsia="en-AU"/>
              </w:rPr>
              <w:tab/>
            </w:r>
            <w:r w:rsidR="00494B09" w:rsidRPr="000D0DAF">
              <w:rPr>
                <w:rStyle w:val="Hyperlink"/>
              </w:rPr>
              <w:t>Better Regulation program</w:t>
            </w:r>
            <w:r w:rsidR="00494B09">
              <w:rPr>
                <w:webHidden/>
              </w:rPr>
              <w:tab/>
            </w:r>
            <w:r w:rsidR="00494B09">
              <w:rPr>
                <w:webHidden/>
              </w:rPr>
              <w:fldChar w:fldCharType="begin"/>
            </w:r>
            <w:r w:rsidR="00494B09">
              <w:rPr>
                <w:webHidden/>
              </w:rPr>
              <w:instrText xml:space="preserve"> PAGEREF _Toc417987587 \h </w:instrText>
            </w:r>
            <w:r w:rsidR="00494B09">
              <w:rPr>
                <w:webHidden/>
              </w:rPr>
            </w:r>
            <w:r w:rsidR="00494B09">
              <w:rPr>
                <w:webHidden/>
              </w:rPr>
              <w:fldChar w:fldCharType="separate"/>
            </w:r>
            <w:r w:rsidR="00494B09">
              <w:rPr>
                <w:webHidden/>
              </w:rPr>
              <w:t>37</w:t>
            </w:r>
            <w:r w:rsidR="00494B09">
              <w:rPr>
                <w:webHidden/>
              </w:rPr>
              <w:fldChar w:fldCharType="end"/>
            </w:r>
          </w:hyperlink>
        </w:p>
        <w:p w:rsidR="00494B09" w:rsidRDefault="00314B69">
          <w:pPr>
            <w:pStyle w:val="TOC2"/>
            <w:rPr>
              <w:rFonts w:asciiTheme="minorHAnsi" w:eastAsiaTheme="minorEastAsia" w:hAnsiTheme="minorHAnsi"/>
              <w:b w:val="0"/>
              <w:color w:val="auto"/>
              <w:sz w:val="22"/>
              <w:lang w:eastAsia="en-AU"/>
            </w:rPr>
          </w:pPr>
          <w:hyperlink w:anchor="_Toc417987588" w:history="1">
            <w:r w:rsidR="00494B09" w:rsidRPr="000D0DAF">
              <w:rPr>
                <w:rStyle w:val="Hyperlink"/>
              </w:rPr>
              <w:t>5.2</w:t>
            </w:r>
            <w:r w:rsidR="00494B09">
              <w:rPr>
                <w:rFonts w:asciiTheme="minorHAnsi" w:eastAsiaTheme="minorEastAsia" w:hAnsiTheme="minorHAnsi"/>
                <w:b w:val="0"/>
                <w:color w:val="auto"/>
                <w:sz w:val="22"/>
                <w:lang w:eastAsia="en-AU"/>
              </w:rPr>
              <w:tab/>
            </w:r>
            <w:r w:rsidR="00494B09" w:rsidRPr="000D0DAF">
              <w:rPr>
                <w:rStyle w:val="Hyperlink"/>
              </w:rPr>
              <w:t>Our engagement during the decision making process</w:t>
            </w:r>
            <w:r w:rsidR="00494B09">
              <w:rPr>
                <w:webHidden/>
              </w:rPr>
              <w:tab/>
            </w:r>
            <w:r w:rsidR="00494B09">
              <w:rPr>
                <w:webHidden/>
              </w:rPr>
              <w:fldChar w:fldCharType="begin"/>
            </w:r>
            <w:r w:rsidR="00494B09">
              <w:rPr>
                <w:webHidden/>
              </w:rPr>
              <w:instrText xml:space="preserve"> PAGEREF _Toc417987588 \h </w:instrText>
            </w:r>
            <w:r w:rsidR="00494B09">
              <w:rPr>
                <w:webHidden/>
              </w:rPr>
            </w:r>
            <w:r w:rsidR="00494B09">
              <w:rPr>
                <w:webHidden/>
              </w:rPr>
              <w:fldChar w:fldCharType="separate"/>
            </w:r>
            <w:r w:rsidR="00494B09">
              <w:rPr>
                <w:webHidden/>
              </w:rPr>
              <w:t>37</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89" w:history="1">
            <w:r w:rsidR="00494B09" w:rsidRPr="000D0DAF">
              <w:rPr>
                <w:rStyle w:val="Hyperlink"/>
              </w:rPr>
              <w:t>A</w:t>
            </w:r>
            <w:r w:rsidR="00494B09">
              <w:rPr>
                <w:rFonts w:asciiTheme="minorHAnsi" w:eastAsiaTheme="minorEastAsia" w:hAnsiTheme="minorHAnsi"/>
                <w:b w:val="0"/>
                <w:color w:val="auto"/>
                <w:sz w:val="22"/>
                <w:lang w:val="en-AU" w:eastAsia="en-AU"/>
              </w:rPr>
              <w:tab/>
            </w:r>
            <w:r w:rsidR="00494B09" w:rsidRPr="000D0DAF">
              <w:rPr>
                <w:rStyle w:val="Hyperlink"/>
              </w:rPr>
              <w:t>Constituent components</w:t>
            </w:r>
            <w:r w:rsidR="00494B09">
              <w:rPr>
                <w:webHidden/>
              </w:rPr>
              <w:tab/>
            </w:r>
            <w:r w:rsidR="00494B09">
              <w:rPr>
                <w:webHidden/>
              </w:rPr>
              <w:fldChar w:fldCharType="begin"/>
            </w:r>
            <w:r w:rsidR="00494B09">
              <w:rPr>
                <w:webHidden/>
              </w:rPr>
              <w:instrText xml:space="preserve"> PAGEREF _Toc417987589 \h </w:instrText>
            </w:r>
            <w:r w:rsidR="00494B09">
              <w:rPr>
                <w:webHidden/>
              </w:rPr>
            </w:r>
            <w:r w:rsidR="00494B09">
              <w:rPr>
                <w:webHidden/>
              </w:rPr>
              <w:fldChar w:fldCharType="separate"/>
            </w:r>
            <w:r w:rsidR="00494B09">
              <w:rPr>
                <w:webHidden/>
              </w:rPr>
              <w:t>39</w:t>
            </w:r>
            <w:r w:rsidR="00494B09">
              <w:rPr>
                <w:webHidden/>
              </w:rPr>
              <w:fldChar w:fldCharType="end"/>
            </w:r>
          </w:hyperlink>
        </w:p>
        <w:p w:rsidR="00494B09" w:rsidRDefault="00314B69">
          <w:pPr>
            <w:pStyle w:val="TOC1"/>
            <w:rPr>
              <w:rFonts w:asciiTheme="minorHAnsi" w:eastAsiaTheme="minorEastAsia" w:hAnsiTheme="minorHAnsi"/>
              <w:b w:val="0"/>
              <w:color w:val="auto"/>
              <w:sz w:val="22"/>
              <w:lang w:val="en-AU" w:eastAsia="en-AU"/>
            </w:rPr>
          </w:pPr>
          <w:hyperlink w:anchor="_Toc417987590" w:history="1">
            <w:r w:rsidR="00494B09" w:rsidRPr="000D0DAF">
              <w:rPr>
                <w:rStyle w:val="Hyperlink"/>
              </w:rPr>
              <w:t>B</w:t>
            </w:r>
            <w:r w:rsidR="00494B09">
              <w:rPr>
                <w:rFonts w:asciiTheme="minorHAnsi" w:eastAsiaTheme="minorEastAsia" w:hAnsiTheme="minorHAnsi"/>
                <w:b w:val="0"/>
                <w:color w:val="auto"/>
                <w:sz w:val="22"/>
                <w:lang w:val="en-AU" w:eastAsia="en-AU"/>
              </w:rPr>
              <w:tab/>
            </w:r>
            <w:r w:rsidR="00494B09" w:rsidRPr="000D0DAF">
              <w:rPr>
                <w:rStyle w:val="Hyperlink"/>
              </w:rPr>
              <w:t>List of submissions</w:t>
            </w:r>
            <w:r w:rsidR="00494B09">
              <w:rPr>
                <w:webHidden/>
              </w:rPr>
              <w:tab/>
            </w:r>
            <w:r w:rsidR="00494B09">
              <w:rPr>
                <w:webHidden/>
              </w:rPr>
              <w:fldChar w:fldCharType="begin"/>
            </w:r>
            <w:r w:rsidR="00494B09">
              <w:rPr>
                <w:webHidden/>
              </w:rPr>
              <w:instrText xml:space="preserve"> PAGEREF _Toc417987590 \h </w:instrText>
            </w:r>
            <w:r w:rsidR="00494B09">
              <w:rPr>
                <w:webHidden/>
              </w:rPr>
            </w:r>
            <w:r w:rsidR="00494B09">
              <w:rPr>
                <w:webHidden/>
              </w:rPr>
              <w:fldChar w:fldCharType="separate"/>
            </w:r>
            <w:r w:rsidR="00494B09">
              <w:rPr>
                <w:webHidden/>
              </w:rPr>
              <w:t>41</w:t>
            </w:r>
            <w:r w:rsidR="00494B09">
              <w:rPr>
                <w:webHidden/>
              </w:rPr>
              <w:fldChar w:fldCharType="end"/>
            </w:r>
          </w:hyperlink>
        </w:p>
        <w:p w:rsidR="00CE2A23" w:rsidRDefault="00B24E51" w:rsidP="00B24E51">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3" w:name="_Toc404700925"/>
      <w:bookmarkStart w:id="14" w:name="_Toc417987562"/>
      <w:r>
        <w:lastRenderedPageBreak/>
        <w:t>Shortened forms</w:t>
      </w:r>
      <w:bookmarkEnd w:id="13"/>
      <w:bookmarkEnd w:id="14"/>
    </w:p>
    <w:tbl>
      <w:tblPr>
        <w:tblStyle w:val="AERtable-text0"/>
        <w:tblW w:w="0" w:type="auto"/>
        <w:tblLook w:val="04A0" w:firstRow="1" w:lastRow="0" w:firstColumn="1" w:lastColumn="0" w:noHBand="0" w:noVBand="1"/>
      </w:tblPr>
      <w:tblGrid>
        <w:gridCol w:w="4349"/>
        <w:gridCol w:w="4344"/>
      </w:tblGrid>
      <w:tr w:rsidR="00FA0851" w:rsidRPr="0087648F" w:rsidTr="00B24E51">
        <w:trPr>
          <w:cnfStyle w:val="100000000000" w:firstRow="1" w:lastRow="0" w:firstColumn="0" w:lastColumn="0" w:oddVBand="0" w:evenVBand="0" w:oddHBand="0" w:evenHBand="0" w:firstRowFirstColumn="0" w:firstRowLastColumn="0" w:lastRowFirstColumn="0" w:lastRowLastColumn="0"/>
          <w:tblHeader/>
        </w:trPr>
        <w:tc>
          <w:tcPr>
            <w:tcW w:w="4349" w:type="dxa"/>
          </w:tcPr>
          <w:p w:rsidR="00FA0851" w:rsidRPr="00FA0851" w:rsidRDefault="00FA0851" w:rsidP="00FA0851">
            <w:r>
              <w:t>S</w:t>
            </w:r>
            <w:r w:rsidRPr="00FA0851">
              <w:t>hortened form</w:t>
            </w:r>
          </w:p>
        </w:tc>
        <w:tc>
          <w:tcPr>
            <w:tcW w:w="4344" w:type="dxa"/>
          </w:tcPr>
          <w:p w:rsidR="00FA0851" w:rsidRPr="00FA0851" w:rsidRDefault="00FA0851" w:rsidP="00FA0851">
            <w:r>
              <w:t>E</w:t>
            </w:r>
            <w:r w:rsidRPr="00FA0851">
              <w:t>xtended form</w:t>
            </w:r>
          </w:p>
        </w:tc>
      </w:tr>
      <w:tr w:rsidR="00FA0851" w:rsidTr="00FA0851">
        <w:tc>
          <w:tcPr>
            <w:tcW w:w="4349" w:type="dxa"/>
          </w:tcPr>
          <w:p w:rsidR="00FA0851" w:rsidRDefault="00FA0851" w:rsidP="00FA0851">
            <w:pPr>
              <w:numPr>
                <w:ilvl w:val="0"/>
                <w:numId w:val="24"/>
              </w:numPr>
            </w:pPr>
            <w:r>
              <w:t>AARR</w:t>
            </w:r>
          </w:p>
        </w:tc>
        <w:tc>
          <w:tcPr>
            <w:tcW w:w="4344" w:type="dxa"/>
          </w:tcPr>
          <w:p w:rsidR="00FA0851" w:rsidRDefault="00FA0851" w:rsidP="00FA0851">
            <w:pPr>
              <w:numPr>
                <w:ilvl w:val="0"/>
                <w:numId w:val="24"/>
              </w:numPr>
            </w:pPr>
            <w:r>
              <w:t>aggregate annual revenue requirement</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AEMC</w:t>
            </w:r>
          </w:p>
        </w:tc>
        <w:tc>
          <w:tcPr>
            <w:tcW w:w="4344" w:type="dxa"/>
          </w:tcPr>
          <w:p w:rsidR="00FA0851" w:rsidRDefault="00FA0851" w:rsidP="00FA0851">
            <w:pPr>
              <w:numPr>
                <w:ilvl w:val="0"/>
                <w:numId w:val="24"/>
              </w:numPr>
            </w:pPr>
            <w:r>
              <w:t>Australian Energy Market Commission</w:t>
            </w:r>
          </w:p>
        </w:tc>
      </w:tr>
      <w:tr w:rsidR="00FA0851" w:rsidTr="00FA0851">
        <w:tc>
          <w:tcPr>
            <w:tcW w:w="4349" w:type="dxa"/>
          </w:tcPr>
          <w:p w:rsidR="00FA0851" w:rsidRDefault="00FA0851" w:rsidP="00FA0851">
            <w:pPr>
              <w:numPr>
                <w:ilvl w:val="0"/>
                <w:numId w:val="24"/>
              </w:numPr>
            </w:pPr>
            <w:r>
              <w:t>AEMO</w:t>
            </w:r>
          </w:p>
        </w:tc>
        <w:tc>
          <w:tcPr>
            <w:tcW w:w="4344" w:type="dxa"/>
          </w:tcPr>
          <w:p w:rsidR="00FA0851" w:rsidRDefault="00FA0851" w:rsidP="00FA0851">
            <w:pPr>
              <w:numPr>
                <w:ilvl w:val="0"/>
                <w:numId w:val="24"/>
              </w:numPr>
            </w:pPr>
            <w:r>
              <w:t>Australian Energy Market Operator</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AER</w:t>
            </w:r>
          </w:p>
        </w:tc>
        <w:tc>
          <w:tcPr>
            <w:tcW w:w="4344" w:type="dxa"/>
          </w:tcPr>
          <w:p w:rsidR="00FA0851" w:rsidRDefault="00FA0851" w:rsidP="00FA0851">
            <w:pPr>
              <w:numPr>
                <w:ilvl w:val="0"/>
                <w:numId w:val="24"/>
              </w:numPr>
            </w:pPr>
            <w:r>
              <w:t>Australian Energy Regulator</w:t>
            </w:r>
          </w:p>
        </w:tc>
      </w:tr>
      <w:tr w:rsidR="00FA0851" w:rsidTr="00FA0851">
        <w:tc>
          <w:tcPr>
            <w:tcW w:w="4349" w:type="dxa"/>
          </w:tcPr>
          <w:p w:rsidR="00FA0851" w:rsidRDefault="00FA0851" w:rsidP="00FA0851">
            <w:pPr>
              <w:numPr>
                <w:ilvl w:val="0"/>
                <w:numId w:val="24"/>
              </w:numPr>
            </w:pPr>
            <w:r>
              <w:t>ASRR</w:t>
            </w:r>
          </w:p>
        </w:tc>
        <w:tc>
          <w:tcPr>
            <w:tcW w:w="4344" w:type="dxa"/>
          </w:tcPr>
          <w:p w:rsidR="00FA0851" w:rsidRDefault="00FA0851" w:rsidP="00FA0851">
            <w:pPr>
              <w:numPr>
                <w:ilvl w:val="0"/>
                <w:numId w:val="24"/>
              </w:numPr>
            </w:pPr>
            <w:r>
              <w:t>annual service revenue requirement</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augex</w:t>
            </w:r>
          </w:p>
        </w:tc>
        <w:tc>
          <w:tcPr>
            <w:tcW w:w="4344" w:type="dxa"/>
          </w:tcPr>
          <w:p w:rsidR="00FA0851" w:rsidRDefault="00FA0851" w:rsidP="00FA0851">
            <w:pPr>
              <w:numPr>
                <w:ilvl w:val="0"/>
                <w:numId w:val="24"/>
              </w:numPr>
            </w:pPr>
            <w:r>
              <w:t>augmentation expenditure</w:t>
            </w:r>
          </w:p>
        </w:tc>
      </w:tr>
      <w:tr w:rsidR="00FA0851" w:rsidTr="00FA0851">
        <w:tc>
          <w:tcPr>
            <w:tcW w:w="4349" w:type="dxa"/>
          </w:tcPr>
          <w:p w:rsidR="00FA0851" w:rsidRDefault="00FA0851" w:rsidP="00FA0851">
            <w:pPr>
              <w:numPr>
                <w:ilvl w:val="0"/>
                <w:numId w:val="24"/>
              </w:numPr>
            </w:pPr>
            <w:r>
              <w:t>capex</w:t>
            </w:r>
          </w:p>
        </w:tc>
        <w:tc>
          <w:tcPr>
            <w:tcW w:w="4344" w:type="dxa"/>
          </w:tcPr>
          <w:p w:rsidR="00FA0851" w:rsidRDefault="00FA0851" w:rsidP="00FA0851">
            <w:pPr>
              <w:numPr>
                <w:ilvl w:val="0"/>
                <w:numId w:val="24"/>
              </w:numPr>
            </w:pPr>
            <w:r>
              <w:t>capital expenditure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CCP</w:t>
            </w:r>
          </w:p>
        </w:tc>
        <w:tc>
          <w:tcPr>
            <w:tcW w:w="4344" w:type="dxa"/>
          </w:tcPr>
          <w:p w:rsidR="00FA0851" w:rsidRDefault="00FA0851" w:rsidP="00FA0851">
            <w:pPr>
              <w:numPr>
                <w:ilvl w:val="0"/>
                <w:numId w:val="24"/>
              </w:numPr>
            </w:pPr>
            <w:r>
              <w:t>Consumer Challenge Panel</w:t>
            </w:r>
          </w:p>
        </w:tc>
      </w:tr>
      <w:tr w:rsidR="00FA0851" w:rsidTr="00FA0851">
        <w:tc>
          <w:tcPr>
            <w:tcW w:w="4349" w:type="dxa"/>
          </w:tcPr>
          <w:p w:rsidR="00FA0851" w:rsidRDefault="00FA0851" w:rsidP="00FA0851">
            <w:pPr>
              <w:numPr>
                <w:ilvl w:val="0"/>
                <w:numId w:val="24"/>
              </w:numPr>
            </w:pPr>
            <w:r>
              <w:t>CESS</w:t>
            </w:r>
          </w:p>
        </w:tc>
        <w:tc>
          <w:tcPr>
            <w:tcW w:w="4344" w:type="dxa"/>
          </w:tcPr>
          <w:p w:rsidR="00FA0851" w:rsidRDefault="00FA0851" w:rsidP="00FA0851">
            <w:pPr>
              <w:numPr>
                <w:ilvl w:val="0"/>
                <w:numId w:val="24"/>
              </w:numPr>
            </w:pPr>
            <w:r>
              <w:t>capital expenditure sharing scheme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CPI</w:t>
            </w:r>
          </w:p>
        </w:tc>
        <w:tc>
          <w:tcPr>
            <w:tcW w:w="4344" w:type="dxa"/>
          </w:tcPr>
          <w:p w:rsidR="00FA0851" w:rsidRDefault="00FA0851" w:rsidP="00FA0851">
            <w:pPr>
              <w:numPr>
                <w:ilvl w:val="0"/>
                <w:numId w:val="24"/>
              </w:numPr>
            </w:pPr>
            <w:r>
              <w:t>consumer price index</w:t>
            </w:r>
          </w:p>
        </w:tc>
      </w:tr>
      <w:tr w:rsidR="00FA0851" w:rsidTr="00FA0851">
        <w:tc>
          <w:tcPr>
            <w:tcW w:w="4349" w:type="dxa"/>
          </w:tcPr>
          <w:p w:rsidR="00FA0851" w:rsidRDefault="00FA0851" w:rsidP="00FA0851">
            <w:pPr>
              <w:numPr>
                <w:ilvl w:val="0"/>
                <w:numId w:val="24"/>
              </w:numPr>
            </w:pPr>
            <w:r>
              <w:t>DMIA</w:t>
            </w:r>
          </w:p>
        </w:tc>
        <w:tc>
          <w:tcPr>
            <w:tcW w:w="4344" w:type="dxa"/>
          </w:tcPr>
          <w:p w:rsidR="00FA0851" w:rsidRDefault="00FA0851" w:rsidP="00FA0851">
            <w:pPr>
              <w:numPr>
                <w:ilvl w:val="0"/>
                <w:numId w:val="24"/>
              </w:numPr>
            </w:pPr>
            <w:r>
              <w:t>demand management innovation allowance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DRP</w:t>
            </w:r>
          </w:p>
        </w:tc>
        <w:tc>
          <w:tcPr>
            <w:tcW w:w="4344" w:type="dxa"/>
          </w:tcPr>
          <w:p w:rsidR="00FA0851" w:rsidRDefault="00FA0851" w:rsidP="00FA0851">
            <w:pPr>
              <w:numPr>
                <w:ilvl w:val="0"/>
                <w:numId w:val="24"/>
              </w:numPr>
            </w:pPr>
            <w:r>
              <w:t>debt risk premium</w:t>
            </w:r>
          </w:p>
        </w:tc>
      </w:tr>
      <w:tr w:rsidR="00FA0851" w:rsidTr="00FA0851">
        <w:tc>
          <w:tcPr>
            <w:tcW w:w="4349" w:type="dxa"/>
          </w:tcPr>
          <w:p w:rsidR="00FA0851" w:rsidRDefault="00FA0851" w:rsidP="00FA0851">
            <w:pPr>
              <w:numPr>
                <w:ilvl w:val="0"/>
                <w:numId w:val="24"/>
              </w:numPr>
            </w:pPr>
            <w:r>
              <w:t>EBSS</w:t>
            </w:r>
          </w:p>
        </w:tc>
        <w:tc>
          <w:tcPr>
            <w:tcW w:w="4344" w:type="dxa"/>
          </w:tcPr>
          <w:p w:rsidR="00FA0851" w:rsidRDefault="00FA0851" w:rsidP="00FA0851">
            <w:pPr>
              <w:numPr>
                <w:ilvl w:val="0"/>
                <w:numId w:val="24"/>
              </w:numPr>
            </w:pPr>
            <w:r>
              <w:t>efficiency benefit sharing scheme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ERP</w:t>
            </w:r>
          </w:p>
        </w:tc>
        <w:tc>
          <w:tcPr>
            <w:tcW w:w="4344" w:type="dxa"/>
          </w:tcPr>
          <w:p w:rsidR="00FA0851" w:rsidRDefault="00FA0851" w:rsidP="00FA0851">
            <w:pPr>
              <w:numPr>
                <w:ilvl w:val="0"/>
                <w:numId w:val="24"/>
              </w:numPr>
            </w:pPr>
            <w:r>
              <w:t>equity risk premium</w:t>
            </w:r>
          </w:p>
        </w:tc>
      </w:tr>
      <w:tr w:rsidR="00FA0851" w:rsidTr="00FA0851">
        <w:tc>
          <w:tcPr>
            <w:tcW w:w="4349" w:type="dxa"/>
          </w:tcPr>
          <w:p w:rsidR="00FA0851" w:rsidRDefault="00FA0851" w:rsidP="00FA0851">
            <w:pPr>
              <w:numPr>
                <w:ilvl w:val="0"/>
                <w:numId w:val="24"/>
              </w:numPr>
            </w:pPr>
            <w:r>
              <w:t>MAR</w:t>
            </w:r>
          </w:p>
        </w:tc>
        <w:tc>
          <w:tcPr>
            <w:tcW w:w="4344" w:type="dxa"/>
          </w:tcPr>
          <w:p w:rsidR="00FA0851" w:rsidRDefault="00FA0851" w:rsidP="00FA0851">
            <w:pPr>
              <w:numPr>
                <w:ilvl w:val="0"/>
                <w:numId w:val="24"/>
              </w:numPr>
            </w:pPr>
            <w:r>
              <w:t>maximum allowed revenue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MRP</w:t>
            </w:r>
          </w:p>
        </w:tc>
        <w:tc>
          <w:tcPr>
            <w:tcW w:w="4344" w:type="dxa"/>
          </w:tcPr>
          <w:p w:rsidR="00FA0851" w:rsidRDefault="00FA0851" w:rsidP="00FA0851">
            <w:pPr>
              <w:numPr>
                <w:ilvl w:val="0"/>
                <w:numId w:val="24"/>
              </w:numPr>
            </w:pPr>
            <w:r>
              <w:t>market risk premium</w:t>
            </w:r>
          </w:p>
        </w:tc>
      </w:tr>
      <w:tr w:rsidR="00FA0851" w:rsidTr="00FA0851">
        <w:tc>
          <w:tcPr>
            <w:tcW w:w="4349" w:type="dxa"/>
          </w:tcPr>
          <w:p w:rsidR="00FA0851" w:rsidRDefault="00FA0851" w:rsidP="00FA0851">
            <w:pPr>
              <w:numPr>
                <w:ilvl w:val="0"/>
                <w:numId w:val="24"/>
              </w:numPr>
            </w:pPr>
            <w:r>
              <w:t>NEL</w:t>
            </w:r>
          </w:p>
        </w:tc>
        <w:tc>
          <w:tcPr>
            <w:tcW w:w="4344" w:type="dxa"/>
          </w:tcPr>
          <w:p w:rsidR="00FA0851" w:rsidRDefault="00FA0851" w:rsidP="00FA0851">
            <w:pPr>
              <w:numPr>
                <w:ilvl w:val="0"/>
                <w:numId w:val="24"/>
              </w:numPr>
            </w:pPr>
            <w:r>
              <w:t>national electricity law</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NEM</w:t>
            </w:r>
          </w:p>
        </w:tc>
        <w:tc>
          <w:tcPr>
            <w:tcW w:w="4344" w:type="dxa"/>
          </w:tcPr>
          <w:p w:rsidR="00FA0851" w:rsidRDefault="00FA0851" w:rsidP="00FA0851">
            <w:pPr>
              <w:numPr>
                <w:ilvl w:val="0"/>
                <w:numId w:val="24"/>
              </w:numPr>
            </w:pPr>
            <w:r>
              <w:t>national electricity market</w:t>
            </w:r>
          </w:p>
        </w:tc>
      </w:tr>
      <w:tr w:rsidR="00FA0851" w:rsidTr="00FA0851">
        <w:tc>
          <w:tcPr>
            <w:tcW w:w="4349" w:type="dxa"/>
          </w:tcPr>
          <w:p w:rsidR="00FA0851" w:rsidRDefault="00FA0851" w:rsidP="00FA0851">
            <w:pPr>
              <w:numPr>
                <w:ilvl w:val="0"/>
                <w:numId w:val="24"/>
              </w:numPr>
            </w:pPr>
            <w:r>
              <w:t>NEO</w:t>
            </w:r>
          </w:p>
        </w:tc>
        <w:tc>
          <w:tcPr>
            <w:tcW w:w="4344" w:type="dxa"/>
          </w:tcPr>
          <w:p w:rsidR="00FA0851" w:rsidRDefault="00FA0851" w:rsidP="00FA0851">
            <w:pPr>
              <w:numPr>
                <w:ilvl w:val="0"/>
                <w:numId w:val="24"/>
              </w:numPr>
            </w:pPr>
            <w:r>
              <w:t>national electricity objective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NER</w:t>
            </w:r>
          </w:p>
        </w:tc>
        <w:tc>
          <w:tcPr>
            <w:tcW w:w="4344" w:type="dxa"/>
          </w:tcPr>
          <w:p w:rsidR="00FA0851" w:rsidRDefault="00FA0851" w:rsidP="00FA0851">
            <w:pPr>
              <w:numPr>
                <w:ilvl w:val="0"/>
                <w:numId w:val="24"/>
              </w:numPr>
            </w:pPr>
            <w:r>
              <w:t>national electricity rules</w:t>
            </w:r>
          </w:p>
        </w:tc>
      </w:tr>
      <w:tr w:rsidR="00FA0851" w:rsidTr="00FA0851">
        <w:tc>
          <w:tcPr>
            <w:tcW w:w="4349" w:type="dxa"/>
          </w:tcPr>
          <w:p w:rsidR="00FA0851" w:rsidRDefault="00FA0851" w:rsidP="00FA0851">
            <w:pPr>
              <w:numPr>
                <w:ilvl w:val="0"/>
                <w:numId w:val="24"/>
              </w:numPr>
            </w:pPr>
            <w:r>
              <w:t>NSP</w:t>
            </w:r>
          </w:p>
        </w:tc>
        <w:tc>
          <w:tcPr>
            <w:tcW w:w="4344" w:type="dxa"/>
          </w:tcPr>
          <w:p w:rsidR="00FA0851" w:rsidRDefault="00FA0851" w:rsidP="00FA0851">
            <w:pPr>
              <w:numPr>
                <w:ilvl w:val="0"/>
                <w:numId w:val="24"/>
              </w:numPr>
            </w:pPr>
            <w:r>
              <w:t>network service provider</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NTSC</w:t>
            </w:r>
          </w:p>
        </w:tc>
        <w:tc>
          <w:tcPr>
            <w:tcW w:w="4344" w:type="dxa"/>
          </w:tcPr>
          <w:p w:rsidR="00FA0851" w:rsidRDefault="00FA0851" w:rsidP="00FA0851">
            <w:pPr>
              <w:numPr>
                <w:ilvl w:val="0"/>
                <w:numId w:val="24"/>
              </w:numPr>
            </w:pPr>
            <w:r>
              <w:t>negotiated transmission service criteria</w:t>
            </w:r>
          </w:p>
        </w:tc>
      </w:tr>
      <w:tr w:rsidR="00FA0851" w:rsidTr="00FA0851">
        <w:tc>
          <w:tcPr>
            <w:tcW w:w="4349" w:type="dxa"/>
          </w:tcPr>
          <w:p w:rsidR="00FA0851" w:rsidRDefault="00FA0851" w:rsidP="00FA0851">
            <w:pPr>
              <w:numPr>
                <w:ilvl w:val="0"/>
                <w:numId w:val="24"/>
              </w:numPr>
            </w:pPr>
            <w:r>
              <w:t>opex</w:t>
            </w:r>
          </w:p>
        </w:tc>
        <w:tc>
          <w:tcPr>
            <w:tcW w:w="4344" w:type="dxa"/>
          </w:tcPr>
          <w:p w:rsidR="00FA0851" w:rsidRDefault="00FA0851" w:rsidP="00FA0851">
            <w:pPr>
              <w:numPr>
                <w:ilvl w:val="0"/>
                <w:numId w:val="24"/>
              </w:numPr>
            </w:pPr>
            <w:r>
              <w:t>operating expenditure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PPI</w:t>
            </w:r>
          </w:p>
        </w:tc>
        <w:tc>
          <w:tcPr>
            <w:tcW w:w="4344" w:type="dxa"/>
          </w:tcPr>
          <w:p w:rsidR="00FA0851" w:rsidRDefault="00FA0851" w:rsidP="00FA0851">
            <w:pPr>
              <w:numPr>
                <w:ilvl w:val="0"/>
                <w:numId w:val="24"/>
              </w:numPr>
            </w:pPr>
            <w:r>
              <w:t>partial performance indicators</w:t>
            </w:r>
          </w:p>
        </w:tc>
      </w:tr>
      <w:tr w:rsidR="00FA0851" w:rsidTr="00FA0851">
        <w:tc>
          <w:tcPr>
            <w:tcW w:w="4349" w:type="dxa"/>
          </w:tcPr>
          <w:p w:rsidR="00FA0851" w:rsidRDefault="00FA0851" w:rsidP="00FA0851">
            <w:pPr>
              <w:numPr>
                <w:ilvl w:val="0"/>
                <w:numId w:val="24"/>
              </w:numPr>
            </w:pPr>
            <w:r>
              <w:t>PTRM</w:t>
            </w:r>
          </w:p>
        </w:tc>
        <w:tc>
          <w:tcPr>
            <w:tcW w:w="4344" w:type="dxa"/>
          </w:tcPr>
          <w:p w:rsidR="00FA0851" w:rsidRDefault="00FA0851" w:rsidP="00FA0851">
            <w:pPr>
              <w:numPr>
                <w:ilvl w:val="0"/>
                <w:numId w:val="24"/>
              </w:numPr>
            </w:pPr>
            <w:r>
              <w:t>post-tax revenue model</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RAB</w:t>
            </w:r>
          </w:p>
        </w:tc>
        <w:tc>
          <w:tcPr>
            <w:tcW w:w="4344" w:type="dxa"/>
          </w:tcPr>
          <w:p w:rsidR="00FA0851" w:rsidRDefault="00FA0851" w:rsidP="00FA0851">
            <w:pPr>
              <w:numPr>
                <w:ilvl w:val="0"/>
                <w:numId w:val="24"/>
              </w:numPr>
            </w:pPr>
            <w:r>
              <w:t>regulatory asset base</w:t>
            </w:r>
          </w:p>
        </w:tc>
      </w:tr>
      <w:tr w:rsidR="00FA0851" w:rsidTr="00FA0851">
        <w:tc>
          <w:tcPr>
            <w:tcW w:w="4349" w:type="dxa"/>
          </w:tcPr>
          <w:p w:rsidR="00FA0851" w:rsidRDefault="00FA0851" w:rsidP="00FA0851">
            <w:pPr>
              <w:numPr>
                <w:ilvl w:val="0"/>
                <w:numId w:val="24"/>
              </w:numPr>
            </w:pPr>
            <w:r>
              <w:t>RBA</w:t>
            </w:r>
          </w:p>
        </w:tc>
        <w:tc>
          <w:tcPr>
            <w:tcW w:w="4344" w:type="dxa"/>
          </w:tcPr>
          <w:p w:rsidR="00FA0851" w:rsidRDefault="00FA0851" w:rsidP="00FA0851">
            <w:pPr>
              <w:numPr>
                <w:ilvl w:val="0"/>
                <w:numId w:val="24"/>
              </w:numPr>
            </w:pPr>
            <w:r>
              <w:t>Reserve Bank of Australia</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repex</w:t>
            </w:r>
          </w:p>
        </w:tc>
        <w:tc>
          <w:tcPr>
            <w:tcW w:w="4344" w:type="dxa"/>
          </w:tcPr>
          <w:p w:rsidR="00FA0851" w:rsidRDefault="00FA0851" w:rsidP="00FA0851">
            <w:pPr>
              <w:numPr>
                <w:ilvl w:val="0"/>
                <w:numId w:val="24"/>
              </w:numPr>
            </w:pPr>
            <w:r>
              <w:t>replacement expenditure</w:t>
            </w:r>
          </w:p>
        </w:tc>
      </w:tr>
      <w:tr w:rsidR="00FA0851" w:rsidTr="00FA0851">
        <w:tc>
          <w:tcPr>
            <w:tcW w:w="4349" w:type="dxa"/>
          </w:tcPr>
          <w:p w:rsidR="00FA0851" w:rsidRDefault="00FA0851" w:rsidP="00FA0851">
            <w:pPr>
              <w:numPr>
                <w:ilvl w:val="0"/>
                <w:numId w:val="24"/>
              </w:numPr>
            </w:pPr>
            <w:r>
              <w:t>RFM</w:t>
            </w:r>
          </w:p>
        </w:tc>
        <w:tc>
          <w:tcPr>
            <w:tcW w:w="4344" w:type="dxa"/>
          </w:tcPr>
          <w:p w:rsidR="00FA0851" w:rsidRDefault="00FA0851" w:rsidP="00FA0851">
            <w:pPr>
              <w:numPr>
                <w:ilvl w:val="0"/>
                <w:numId w:val="24"/>
              </w:numPr>
            </w:pPr>
            <w:r>
              <w:t>roll forward model</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RIN</w:t>
            </w:r>
          </w:p>
        </w:tc>
        <w:tc>
          <w:tcPr>
            <w:tcW w:w="4344" w:type="dxa"/>
          </w:tcPr>
          <w:p w:rsidR="00FA0851" w:rsidRDefault="00FA0851" w:rsidP="00FA0851">
            <w:pPr>
              <w:numPr>
                <w:ilvl w:val="0"/>
                <w:numId w:val="24"/>
              </w:numPr>
            </w:pPr>
            <w:r>
              <w:t>regulatory information notice</w:t>
            </w:r>
          </w:p>
        </w:tc>
      </w:tr>
      <w:tr w:rsidR="00FA0851" w:rsidTr="00FA0851">
        <w:tc>
          <w:tcPr>
            <w:tcW w:w="4349" w:type="dxa"/>
          </w:tcPr>
          <w:p w:rsidR="00FA0851" w:rsidRDefault="00FA0851" w:rsidP="00FA0851">
            <w:pPr>
              <w:numPr>
                <w:ilvl w:val="0"/>
                <w:numId w:val="24"/>
              </w:numPr>
            </w:pPr>
            <w:r>
              <w:t>RPP</w:t>
            </w:r>
          </w:p>
        </w:tc>
        <w:tc>
          <w:tcPr>
            <w:tcW w:w="4344" w:type="dxa"/>
          </w:tcPr>
          <w:p w:rsidR="00FA0851" w:rsidRDefault="00FA0851" w:rsidP="00FA0851">
            <w:pPr>
              <w:numPr>
                <w:ilvl w:val="0"/>
                <w:numId w:val="24"/>
              </w:numPr>
            </w:pPr>
            <w:r>
              <w:t>revenue and pricing principles</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SLCAPM</w:t>
            </w:r>
          </w:p>
        </w:tc>
        <w:tc>
          <w:tcPr>
            <w:tcW w:w="4344" w:type="dxa"/>
          </w:tcPr>
          <w:p w:rsidR="00FA0851" w:rsidRDefault="00FA0851" w:rsidP="00FA0851">
            <w:pPr>
              <w:numPr>
                <w:ilvl w:val="0"/>
                <w:numId w:val="24"/>
              </w:numPr>
            </w:pPr>
            <w:r>
              <w:t>Sharpe-Lintner capital asset pricing model</w:t>
            </w:r>
          </w:p>
        </w:tc>
      </w:tr>
      <w:tr w:rsidR="00FA0851" w:rsidTr="00FA0851">
        <w:tc>
          <w:tcPr>
            <w:tcW w:w="4349" w:type="dxa"/>
          </w:tcPr>
          <w:p w:rsidR="00FA0851" w:rsidRDefault="00FA0851" w:rsidP="00FA0851">
            <w:pPr>
              <w:numPr>
                <w:ilvl w:val="0"/>
                <w:numId w:val="24"/>
              </w:numPr>
            </w:pPr>
            <w:r>
              <w:t>STPIS</w:t>
            </w:r>
          </w:p>
        </w:tc>
        <w:tc>
          <w:tcPr>
            <w:tcW w:w="4344" w:type="dxa"/>
          </w:tcPr>
          <w:p w:rsidR="00FA0851" w:rsidRDefault="00FA0851" w:rsidP="00FA0851">
            <w:pPr>
              <w:numPr>
                <w:ilvl w:val="0"/>
                <w:numId w:val="24"/>
              </w:numPr>
            </w:pPr>
            <w:r>
              <w:t>service target performance incentive scheme</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TNSP</w:t>
            </w:r>
          </w:p>
        </w:tc>
        <w:tc>
          <w:tcPr>
            <w:tcW w:w="4344" w:type="dxa"/>
          </w:tcPr>
          <w:p w:rsidR="00FA0851" w:rsidRDefault="00FA0851" w:rsidP="00FA0851">
            <w:pPr>
              <w:numPr>
                <w:ilvl w:val="0"/>
                <w:numId w:val="24"/>
              </w:numPr>
            </w:pPr>
            <w:r>
              <w:t>transmission network service provider</w:t>
            </w:r>
          </w:p>
        </w:tc>
      </w:tr>
      <w:tr w:rsidR="00FA0851" w:rsidTr="00FA0851">
        <w:tc>
          <w:tcPr>
            <w:tcW w:w="4349" w:type="dxa"/>
          </w:tcPr>
          <w:p w:rsidR="00FA0851" w:rsidRDefault="00FA0851" w:rsidP="00FA0851">
            <w:pPr>
              <w:numPr>
                <w:ilvl w:val="0"/>
                <w:numId w:val="24"/>
              </w:numPr>
            </w:pPr>
            <w:r>
              <w:t>TUoS</w:t>
            </w:r>
          </w:p>
        </w:tc>
        <w:tc>
          <w:tcPr>
            <w:tcW w:w="4344" w:type="dxa"/>
          </w:tcPr>
          <w:p w:rsidR="00FA0851" w:rsidRDefault="00FA0851" w:rsidP="00FA0851">
            <w:pPr>
              <w:numPr>
                <w:ilvl w:val="0"/>
                <w:numId w:val="24"/>
              </w:numPr>
            </w:pPr>
            <w:r>
              <w:t>transmission use of system</w:t>
            </w:r>
          </w:p>
        </w:tc>
      </w:tr>
      <w:tr w:rsidR="00FA0851" w:rsidTr="00FA0851">
        <w:trPr>
          <w:cnfStyle w:val="000000010000" w:firstRow="0" w:lastRow="0" w:firstColumn="0" w:lastColumn="0" w:oddVBand="0" w:evenVBand="0" w:oddHBand="0" w:evenHBand="1" w:firstRowFirstColumn="0" w:firstRowLastColumn="0" w:lastRowFirstColumn="0" w:lastRowLastColumn="0"/>
        </w:trPr>
        <w:tc>
          <w:tcPr>
            <w:tcW w:w="4349" w:type="dxa"/>
          </w:tcPr>
          <w:p w:rsidR="00FA0851" w:rsidRDefault="00FA0851" w:rsidP="00FA0851">
            <w:pPr>
              <w:numPr>
                <w:ilvl w:val="0"/>
                <w:numId w:val="24"/>
              </w:numPr>
            </w:pPr>
            <w:r>
              <w:t>WACC</w:t>
            </w:r>
          </w:p>
        </w:tc>
        <w:tc>
          <w:tcPr>
            <w:tcW w:w="4344" w:type="dxa"/>
          </w:tcPr>
          <w:p w:rsidR="00FA0851" w:rsidRDefault="00FA0851" w:rsidP="00FA0851">
            <w:pPr>
              <w:numPr>
                <w:ilvl w:val="0"/>
                <w:numId w:val="24"/>
              </w:numPr>
            </w:pPr>
            <w:r>
              <w:t>weighted average cost of capital</w:t>
            </w:r>
          </w:p>
        </w:tc>
      </w:tr>
    </w:tbl>
    <w:p w:rsidR="00DE563D" w:rsidRPr="008F3A0D" w:rsidRDefault="003B504B" w:rsidP="008F3A0D">
      <w:pPr>
        <w:pStyle w:val="Heading1"/>
      </w:pPr>
      <w:bookmarkStart w:id="15" w:name="_Ref415823326"/>
      <w:bookmarkStart w:id="16" w:name="_Toc417987563"/>
      <w:r w:rsidRPr="008F3A0D">
        <w:t xml:space="preserve">Our </w:t>
      </w:r>
      <w:r w:rsidR="00180E97">
        <w:t>final</w:t>
      </w:r>
      <w:r w:rsidRPr="008F3A0D">
        <w:t xml:space="preserve"> decision</w:t>
      </w:r>
      <w:bookmarkEnd w:id="1"/>
      <w:bookmarkEnd w:id="15"/>
      <w:bookmarkEnd w:id="16"/>
    </w:p>
    <w:p w:rsidR="003B504B" w:rsidRDefault="003B504B" w:rsidP="005A1268">
      <w:r>
        <w:t xml:space="preserve">The </w:t>
      </w:r>
      <w:r w:rsidR="00CD7432">
        <w:t>Australian Energy Regulator (</w:t>
      </w:r>
      <w:r>
        <w:t>AER</w:t>
      </w:r>
      <w:r w:rsidR="00CD7432">
        <w:t>)</w:t>
      </w:r>
      <w:r>
        <w:t xml:space="preserve"> is responsible for the economic regulation of electricity transmission and distribution systems in all states and territories except Western Australian and the Northern Territory.</w:t>
      </w:r>
      <w:r w:rsidR="00CD7432">
        <w:t xml:space="preserve"> </w:t>
      </w:r>
      <w:r w:rsidR="00DF6C67">
        <w:t>Directlink</w:t>
      </w:r>
      <w:r w:rsidR="005009CD">
        <w:t xml:space="preserve"> is </w:t>
      </w:r>
      <w:r w:rsidR="00CD7432">
        <w:t xml:space="preserve">the </w:t>
      </w:r>
      <w:r w:rsidR="006A66A1">
        <w:t xml:space="preserve">transmission </w:t>
      </w:r>
      <w:r w:rsidR="005009CD">
        <w:t>network service provider (</w:t>
      </w:r>
      <w:r w:rsidR="006A66A1">
        <w:t>TNSP</w:t>
      </w:r>
      <w:r w:rsidR="005009CD">
        <w:t xml:space="preserve">) </w:t>
      </w:r>
      <w:r w:rsidR="005A1268" w:rsidRPr="005A1268">
        <w:t>operating the high voltage electricity</w:t>
      </w:r>
      <w:r w:rsidR="005A1268">
        <w:t xml:space="preserve"> </w:t>
      </w:r>
      <w:r w:rsidR="005A1268" w:rsidRPr="005A1268">
        <w:t xml:space="preserve">interconnector that links the </w:t>
      </w:r>
      <w:r w:rsidR="00B24E51">
        <w:t>New South Wales (</w:t>
      </w:r>
      <w:r w:rsidR="005A1268" w:rsidRPr="005A1268">
        <w:t>NSW</w:t>
      </w:r>
      <w:r w:rsidR="00B24E51">
        <w:t>)</w:t>
      </w:r>
      <w:r w:rsidR="005A1268" w:rsidRPr="005A1268">
        <w:t xml:space="preserve"> and Queensland transmission networks</w:t>
      </w:r>
      <w:r w:rsidR="005009CD">
        <w:t xml:space="preserve">. We regulate the revenues </w:t>
      </w:r>
      <w:r w:rsidR="00DF6C67">
        <w:t>Directlink</w:t>
      </w:r>
      <w:r w:rsidR="00CD7432">
        <w:t xml:space="preserve"> </w:t>
      </w:r>
      <w:r w:rsidR="005009CD">
        <w:t>can recover from customers.</w:t>
      </w:r>
    </w:p>
    <w:p w:rsidR="006D49E9" w:rsidRDefault="006D49E9" w:rsidP="006D49E9">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w:t>
      </w:r>
      <w:r w:rsidR="005719A3">
        <w:t xml:space="preserve">revenue </w:t>
      </w:r>
      <w:r>
        <w:t xml:space="preserve">proposal and make our decision. </w:t>
      </w:r>
    </w:p>
    <w:p w:rsidR="006D49E9" w:rsidRPr="006C7462" w:rsidRDefault="006D49E9" w:rsidP="006D49E9">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r w:rsidR="005B3CA4">
        <w:t>:</w:t>
      </w:r>
      <w:r w:rsidR="005B3CA4" w:rsidRPr="005B3CA4">
        <w:rPr>
          <w:rStyle w:val="FootnoteReference"/>
        </w:rPr>
        <w:t xml:space="preserve"> </w:t>
      </w:r>
      <w:r w:rsidR="005B3CA4" w:rsidRPr="006C7462">
        <w:rPr>
          <w:rStyle w:val="FootnoteReference"/>
        </w:rPr>
        <w:footnoteReference w:id="1"/>
      </w:r>
    </w:p>
    <w:p w:rsidR="006D49E9" w:rsidRPr="006C7462" w:rsidRDefault="005B3CA4" w:rsidP="00D52A87">
      <w:pPr>
        <w:pStyle w:val="AERbulletlistfirststyle"/>
      </w:pPr>
      <w:r>
        <w:t>P</w:t>
      </w:r>
      <w:r w:rsidR="006D49E9" w:rsidRPr="006C7462">
        <w:t>rice, quality, safety, reliability and security of supply of electricity; and</w:t>
      </w:r>
    </w:p>
    <w:p w:rsidR="006D49E9" w:rsidRPr="006C7462" w:rsidRDefault="005B3CA4" w:rsidP="00D52A87">
      <w:pPr>
        <w:pStyle w:val="AERbulletlistfirststyle"/>
      </w:pPr>
      <w:r>
        <w:t>T</w:t>
      </w:r>
      <w:r w:rsidR="006D49E9" w:rsidRPr="006C7462">
        <w:t xml:space="preserve">he reliability, safety and security of the national electricity system.  </w:t>
      </w:r>
    </w:p>
    <w:p w:rsidR="00F9353B" w:rsidRDefault="006D49E9" w:rsidP="003B504B">
      <w:r>
        <w:t>Under the NER</w:t>
      </w:r>
      <w:r w:rsidR="003B504B">
        <w:t xml:space="preserve">, </w:t>
      </w:r>
      <w:r w:rsidR="00DF6C67">
        <w:t>Directlink</w:t>
      </w:r>
      <w:r w:rsidR="003B504B">
        <w:t xml:space="preserve"> must submit a </w:t>
      </w:r>
      <w:r w:rsidR="00CD7432">
        <w:t xml:space="preserve">revenue </w:t>
      </w:r>
      <w:r w:rsidR="003B504B">
        <w:t>proposal</w:t>
      </w:r>
      <w:r w:rsidR="00CD7432">
        <w:t>, pricing methodology and negotiating framework</w:t>
      </w:r>
      <w:r w:rsidR="003B504B">
        <w:t xml:space="preserve"> to us for approval.</w:t>
      </w:r>
      <w:r w:rsidR="003C6A13">
        <w:rPr>
          <w:rStyle w:val="FootnoteReference"/>
        </w:rPr>
        <w:footnoteReference w:id="2"/>
      </w:r>
      <w:r w:rsidR="003B504B">
        <w:t xml:space="preserve"> </w:t>
      </w:r>
      <w:r w:rsidR="003B504B" w:rsidRPr="003B504B">
        <w:t xml:space="preserve">The central component of a </w:t>
      </w:r>
      <w:r w:rsidR="00CD7432">
        <w:t>revenue</w:t>
      </w:r>
      <w:r w:rsidR="00CD7432" w:rsidRPr="003B504B">
        <w:t xml:space="preserve"> </w:t>
      </w:r>
      <w:r w:rsidR="003B504B" w:rsidRPr="003B504B">
        <w:t xml:space="preserve">proposal is the amount of revenue </w:t>
      </w:r>
      <w:r w:rsidR="00DF6C67">
        <w:t>Directlink</w:t>
      </w:r>
      <w:r w:rsidR="003B504B" w:rsidRPr="003B504B">
        <w:t xml:space="preserve"> proposes to recover from consumers over the 2015</w:t>
      </w:r>
      <w:r w:rsidR="00150B1F">
        <w:t>–</w:t>
      </w:r>
      <w:r w:rsidR="00DF6C67">
        <w:t>20</w:t>
      </w:r>
      <w:r w:rsidR="003B504B" w:rsidRPr="003B504B">
        <w:t xml:space="preserve"> regulatory control period.</w:t>
      </w:r>
      <w:r w:rsidR="003C6A13">
        <w:rPr>
          <w:rStyle w:val="FootnoteReference"/>
        </w:rPr>
        <w:footnoteReference w:id="3"/>
      </w:r>
      <w:r w:rsidR="003B504B" w:rsidRPr="003B504B">
        <w:t xml:space="preserve"> </w:t>
      </w:r>
      <w:r w:rsidR="00F9353B">
        <w:t>We</w:t>
      </w:r>
      <w:r w:rsidR="003B504B" w:rsidRPr="003B504B">
        <w:t xml:space="preserve"> must assess </w:t>
      </w:r>
      <w:r w:rsidR="00DF6C67">
        <w:t>Directlink</w:t>
      </w:r>
      <w:r w:rsidR="00F9353B">
        <w:t xml:space="preserve">'s </w:t>
      </w:r>
      <w:r w:rsidR="003B504B" w:rsidRPr="003B504B">
        <w:t>proposal</w:t>
      </w:r>
      <w:r w:rsidR="00E24E90">
        <w:t>, using the NER's detailed rules</w:t>
      </w:r>
      <w:r w:rsidR="002665E4">
        <w:t>.</w:t>
      </w:r>
      <w:r w:rsidR="00E24E90">
        <w:t xml:space="preserve"> </w:t>
      </w:r>
      <w:r w:rsidR="002665E4">
        <w:t>The NER address a range of</w:t>
      </w:r>
      <w:r w:rsidR="00E24E90">
        <w:t xml:space="preserve"> constituent components of a revenue proposal. We must</w:t>
      </w:r>
      <w:r w:rsidR="003B504B" w:rsidRPr="003B504B">
        <w:t xml:space="preserve"> decide whether to accept </w:t>
      </w:r>
      <w:r w:rsidR="00E24E90">
        <w:t>Directlink's proposal</w:t>
      </w:r>
      <w:r w:rsidR="003B504B" w:rsidRPr="003B504B">
        <w:t xml:space="preserve">. If </w:t>
      </w:r>
      <w:r>
        <w:t xml:space="preserve">we do not accept </w:t>
      </w:r>
      <w:r w:rsidR="008F3634">
        <w:t>that Directlink's proposal complies with the requirements</w:t>
      </w:r>
      <w:r w:rsidR="005B3CA4">
        <w:t xml:space="preserve"> of the NER</w:t>
      </w:r>
      <w:r w:rsidR="00E64600">
        <w:t>,</w:t>
      </w:r>
      <w:r w:rsidR="003B504B" w:rsidRPr="003B504B">
        <w:t xml:space="preserve"> </w:t>
      </w:r>
      <w:r w:rsidR="00F9353B">
        <w:t xml:space="preserve">we </w:t>
      </w:r>
      <w:r w:rsidR="003B504B" w:rsidRPr="003B504B">
        <w:t xml:space="preserve">must substitute an alternative amount of revenue that </w:t>
      </w:r>
      <w:r w:rsidR="008F3634">
        <w:t>we are satisfied does comply</w:t>
      </w:r>
      <w:r w:rsidR="00F9353B">
        <w:t>.</w:t>
      </w:r>
      <w:r w:rsidR="008F3634">
        <w:t xml:space="preserve"> We must undertake this assessment and make this decision in a manner that </w:t>
      </w:r>
      <w:r w:rsidR="005F1DCA">
        <w:t xml:space="preserve">will or is likely to </w:t>
      </w:r>
      <w:r w:rsidR="008F3634">
        <w:t>contribute to the achievement of the NEO</w:t>
      </w:r>
      <w:r w:rsidR="005F1DCA">
        <w:t xml:space="preserve"> and, where appropriate, contribute to the greatest degree</w:t>
      </w:r>
      <w:r w:rsidR="008F3634">
        <w:t>.</w:t>
      </w:r>
      <w:r w:rsidR="00F9353B">
        <w:t xml:space="preserve"> </w:t>
      </w:r>
    </w:p>
    <w:p w:rsidR="000266FC" w:rsidRPr="003424EA" w:rsidRDefault="000266FC" w:rsidP="000266FC">
      <w:pPr>
        <w:rPr>
          <w:rStyle w:val="AERbody"/>
        </w:rPr>
      </w:pPr>
      <w:r w:rsidRPr="003424EA">
        <w:rPr>
          <w:rStyle w:val="AERbody"/>
        </w:rPr>
        <w:t xml:space="preserve">We regulate </w:t>
      </w:r>
      <w:r w:rsidR="00DF6C67">
        <w:rPr>
          <w:rStyle w:val="AERbody"/>
        </w:rPr>
        <w:t>Directlink</w:t>
      </w:r>
      <w:r w:rsidRPr="003424EA">
        <w:rPr>
          <w:rStyle w:val="AERbody"/>
        </w:rPr>
        <w:t xml:space="preserve">'s revenue, not its costs. </w:t>
      </w:r>
      <w:r w:rsidR="00DF6C67">
        <w:rPr>
          <w:rStyle w:val="AERbody"/>
        </w:rPr>
        <w:t>Directlink</w:t>
      </w:r>
      <w:r w:rsidRPr="003424EA">
        <w:rPr>
          <w:rStyle w:val="AERbody"/>
        </w:rPr>
        <w:t xml:space="preserve"> </w:t>
      </w:r>
      <w:r w:rsidR="009A38B3">
        <w:rPr>
          <w:rStyle w:val="AERbody"/>
        </w:rPr>
        <w:t>must then decide how best to use this revenue</w:t>
      </w:r>
      <w:r w:rsidRPr="003424EA">
        <w:rPr>
          <w:rStyle w:val="AERbody"/>
        </w:rPr>
        <w:t xml:space="preserve"> in providing </w:t>
      </w:r>
      <w:r w:rsidR="00CD7432">
        <w:rPr>
          <w:rStyle w:val="AERbody"/>
        </w:rPr>
        <w:t>transmission</w:t>
      </w:r>
      <w:r w:rsidR="00CD7432" w:rsidRPr="003424EA">
        <w:rPr>
          <w:rStyle w:val="AERbody"/>
        </w:rPr>
        <w:t xml:space="preserve"> </w:t>
      </w:r>
      <w:r w:rsidRPr="003424EA">
        <w:rPr>
          <w:rStyle w:val="AERbody"/>
        </w:rPr>
        <w:t>services and fulfil</w:t>
      </w:r>
      <w:r w:rsidR="009A38B3">
        <w:rPr>
          <w:rStyle w:val="AERbody"/>
        </w:rPr>
        <w:t>ling</w:t>
      </w:r>
      <w:r w:rsidRPr="003424EA">
        <w:rPr>
          <w:rStyle w:val="AERbody"/>
        </w:rPr>
        <w:t xml:space="preserve"> its obligations. This provides incentives for </w:t>
      </w:r>
      <w:r w:rsidR="006A66A1">
        <w:rPr>
          <w:rStyle w:val="AERbody"/>
        </w:rPr>
        <w:t>TNSPs</w:t>
      </w:r>
      <w:r w:rsidRPr="003424EA">
        <w:rPr>
          <w:rStyle w:val="AERbody"/>
        </w:rPr>
        <w:t xml:space="preserve">, such as </w:t>
      </w:r>
      <w:r w:rsidR="00DF6C67">
        <w:rPr>
          <w:rStyle w:val="AERbody"/>
        </w:rPr>
        <w:t>Directlink</w:t>
      </w:r>
      <w:r w:rsidRPr="003424EA">
        <w:rPr>
          <w:rStyle w:val="AERbody"/>
        </w:rPr>
        <w:t xml:space="preserve">, to operate their businesses efficiently and, in the long run, at least cost to consumers. It also provides incentives for </w:t>
      </w:r>
      <w:r w:rsidR="006A66A1">
        <w:rPr>
          <w:rStyle w:val="AERbody"/>
        </w:rPr>
        <w:t>TNSPs</w:t>
      </w:r>
      <w:r w:rsidRPr="003424EA">
        <w:rPr>
          <w:rStyle w:val="AERbody"/>
        </w:rPr>
        <w:t xml:space="preserve"> to innovate and invest in response to changes in consumer needs and productive opportunities.</w:t>
      </w:r>
      <w:r w:rsidR="00AF3BBA">
        <w:rPr>
          <w:rStyle w:val="FootnoteReference"/>
        </w:rPr>
        <w:footnoteReference w:id="4"/>
      </w:r>
      <w:r w:rsidRPr="003424EA">
        <w:rPr>
          <w:rStyle w:val="AERbody"/>
        </w:rPr>
        <w:t xml:space="preserve"> This is consistent with economic efficiency principles. It</w:t>
      </w:r>
      <w:r w:rsidR="00142C2D">
        <w:rPr>
          <w:rStyle w:val="AERbody"/>
        </w:rPr>
        <w:t xml:space="preserve"> also</w:t>
      </w:r>
      <w:r w:rsidRPr="003424EA">
        <w:rPr>
          <w:rStyle w:val="AERbody"/>
        </w:rPr>
        <w:t xml:space="preserve"> means that the person who is best able to manage a </w:t>
      </w:r>
      <w:r w:rsidR="00E64600" w:rsidRPr="003424EA">
        <w:rPr>
          <w:rStyle w:val="AERbody"/>
        </w:rPr>
        <w:t>risk</w:t>
      </w:r>
      <w:r w:rsidRPr="003424EA">
        <w:rPr>
          <w:rStyle w:val="AERbody"/>
        </w:rPr>
        <w:t xml:space="preserve"> generally carries that risk.</w:t>
      </w:r>
      <w:r w:rsidR="00AF3BBA">
        <w:rPr>
          <w:rStyle w:val="AERbody"/>
        </w:rPr>
        <w:t xml:space="preserve"> </w:t>
      </w:r>
    </w:p>
    <w:p w:rsidR="003B504B" w:rsidRPr="003B504B" w:rsidRDefault="00DF6C67" w:rsidP="003B504B">
      <w:r>
        <w:t>Directlink</w:t>
      </w:r>
      <w:r w:rsidR="008B16B0">
        <w:t xml:space="preserve"> submitted its proposal to us in </w:t>
      </w:r>
      <w:r w:rsidR="00CD7432">
        <w:t xml:space="preserve">June </w:t>
      </w:r>
      <w:r w:rsidR="008B16B0">
        <w:t xml:space="preserve">2014. </w:t>
      </w:r>
      <w:r w:rsidR="00F9353B">
        <w:t xml:space="preserve">In November 2014 we made a draft decision and, in January 2015, </w:t>
      </w:r>
      <w:r>
        <w:t>Directlink</w:t>
      </w:r>
      <w:r w:rsidR="00F9353B">
        <w:t xml:space="preserve"> submitted a </w:t>
      </w:r>
      <w:r w:rsidR="00755084">
        <w:t>revised proposal</w:t>
      </w:r>
      <w:r w:rsidR="00F9353B">
        <w:t>.</w:t>
      </w:r>
      <w:r w:rsidR="005F1DCA">
        <w:t xml:space="preserve"> We also received submissions from various stakeholders on Directlink's revised proposal and our draft decision.</w:t>
      </w:r>
    </w:p>
    <w:p w:rsidR="006734D0" w:rsidRDefault="00F9353B" w:rsidP="00F9353B">
      <w:r>
        <w:t xml:space="preserve">This overview, together with its </w:t>
      </w:r>
      <w:r w:rsidR="006734D0">
        <w:t>A</w:t>
      </w:r>
      <w:r w:rsidRPr="003B504B">
        <w:t>ttachments, constitutes</w:t>
      </w:r>
      <w:r w:rsidR="003B504B" w:rsidRPr="003B504B">
        <w:t xml:space="preserve"> our final decision on </w:t>
      </w:r>
      <w:r w:rsidR="00DF6C67">
        <w:t>Directlink</w:t>
      </w:r>
      <w:r>
        <w:t xml:space="preserve">'s </w:t>
      </w:r>
      <w:r w:rsidR="00755084">
        <w:t>revised proposal</w:t>
      </w:r>
      <w:r w:rsidR="00BE5FCE">
        <w:t xml:space="preserve">. This </w:t>
      </w:r>
      <w:r w:rsidR="00E9409E">
        <w:t>overview</w:t>
      </w:r>
      <w:r w:rsidR="005009CD">
        <w:t xml:space="preserve"> provides</w:t>
      </w:r>
      <w:r w:rsidR="005009CD" w:rsidRPr="003B504B">
        <w:t xml:space="preserve"> a summary</w:t>
      </w:r>
      <w:r w:rsidR="005009CD">
        <w:t xml:space="preserve"> of</w:t>
      </w:r>
      <w:r w:rsidR="005009CD" w:rsidRPr="003B504B">
        <w:t xml:space="preserve"> our decision</w:t>
      </w:r>
      <w:r w:rsidR="005009CD">
        <w:t xml:space="preserve">, including all the constituent </w:t>
      </w:r>
      <w:r w:rsidR="00E966BF">
        <w:t>components</w:t>
      </w:r>
      <w:r w:rsidR="005009CD">
        <w:t xml:space="preserve"> that make up our final decision. It </w:t>
      </w:r>
      <w:r w:rsidR="00C24FB6">
        <w:t>sets out</w:t>
      </w:r>
      <w:r w:rsidR="005009CD">
        <w:t xml:space="preserve"> the issues we covered, the conclusions we made, and how those conclusions were reached.</w:t>
      </w:r>
      <w:r w:rsidR="00B4438A">
        <w:t xml:space="preserve"> </w:t>
      </w:r>
      <w:r>
        <w:t>We also explain</w:t>
      </w:r>
      <w:r w:rsidR="003B504B" w:rsidRPr="003B504B">
        <w:t xml:space="preserve"> why</w:t>
      </w:r>
      <w:r w:rsidR="00D924AE">
        <w:t xml:space="preserve"> </w:t>
      </w:r>
      <w:r>
        <w:t xml:space="preserve">we are satisfied </w:t>
      </w:r>
      <w:r w:rsidR="00DD0D06">
        <w:t>our decision</w:t>
      </w:r>
      <w:r w:rsidR="003B504B" w:rsidRPr="003B504B">
        <w:t xml:space="preserve"> contributes to the achievement of the</w:t>
      </w:r>
      <w:r>
        <w:t xml:space="preserve"> NEO to </w:t>
      </w:r>
      <w:r w:rsidR="00851BCC">
        <w:t>the greatest</w:t>
      </w:r>
      <w:r>
        <w:t xml:space="preserve"> degree</w:t>
      </w:r>
      <w:r w:rsidR="00E9409E">
        <w:t xml:space="preserve"> and why</w:t>
      </w:r>
      <w:r w:rsidR="00D52A87">
        <w:t xml:space="preserve"> </w:t>
      </w:r>
      <w:r w:rsidR="00851BCC">
        <w:t xml:space="preserve">we do not consider that </w:t>
      </w:r>
      <w:r w:rsidR="00DF6C67">
        <w:t>Directlink</w:t>
      </w:r>
      <w:r>
        <w:t xml:space="preserve">'s </w:t>
      </w:r>
      <w:r w:rsidR="00755084">
        <w:t>revised proposal</w:t>
      </w:r>
      <w:r w:rsidR="00851BCC">
        <w:t xml:space="preserve"> contributes to the achievement of the NEO to a satisfactory degree</w:t>
      </w:r>
      <w:r w:rsidR="003B504B" w:rsidRPr="003B504B">
        <w:t xml:space="preserve">. In </w:t>
      </w:r>
      <w:r w:rsidR="002043D0">
        <w:t>our</w:t>
      </w:r>
      <w:r w:rsidR="003B504B" w:rsidRPr="003B504B">
        <w:t xml:space="preserve"> </w:t>
      </w:r>
      <w:r w:rsidR="006734D0">
        <w:t>A</w:t>
      </w:r>
      <w:r w:rsidR="003B504B" w:rsidRPr="003B504B">
        <w:t xml:space="preserve">ttachments we set out detailed analysis of the constituent components that make up </w:t>
      </w:r>
      <w:r w:rsidR="00DF6C67">
        <w:t>Directlink</w:t>
      </w:r>
      <w:r w:rsidR="003B504B" w:rsidRPr="003B504B">
        <w:t xml:space="preserve">'s </w:t>
      </w:r>
      <w:r w:rsidR="00755084">
        <w:t>revised proposal</w:t>
      </w:r>
      <w:r w:rsidR="003B504B" w:rsidRPr="003B504B">
        <w:t xml:space="preserve"> and our decision on each of them.</w:t>
      </w:r>
      <w:r w:rsidR="00D577FF">
        <w:t xml:space="preserve"> </w:t>
      </w:r>
      <w:r w:rsidR="006734D0">
        <w:t xml:space="preserve">There is a full list of the constituent components of this decision in Appendix </w:t>
      </w:r>
      <w:r w:rsidR="00DF3139">
        <w:fldChar w:fldCharType="begin"/>
      </w:r>
      <w:r w:rsidR="00DF3139">
        <w:instrText xml:space="preserve"> REF _Ref417898205 \r \h </w:instrText>
      </w:r>
      <w:r w:rsidR="00DF3139">
        <w:fldChar w:fldCharType="separate"/>
      </w:r>
      <w:r w:rsidR="00EB67D6">
        <w:t>A</w:t>
      </w:r>
      <w:r w:rsidR="00DF3139">
        <w:fldChar w:fldCharType="end"/>
      </w:r>
      <w:r w:rsidR="006734D0">
        <w:t>.</w:t>
      </w:r>
    </w:p>
    <w:p w:rsidR="003B504B" w:rsidRPr="003B504B" w:rsidRDefault="003B504B" w:rsidP="003B504B">
      <w:pPr>
        <w:pStyle w:val="Heading2"/>
      </w:pPr>
      <w:bookmarkStart w:id="17" w:name="_Toc409422582"/>
      <w:bookmarkStart w:id="18" w:name="_Ref411418182"/>
      <w:bookmarkStart w:id="19" w:name="_Toc417987564"/>
      <w:bookmarkStart w:id="20" w:name="_Toc411428009"/>
      <w:r>
        <w:t>Decision</w:t>
      </w:r>
      <w:bookmarkEnd w:id="17"/>
      <w:bookmarkEnd w:id="18"/>
      <w:bookmarkEnd w:id="19"/>
      <w:r w:rsidR="00DB0D00">
        <w:t xml:space="preserve"> </w:t>
      </w:r>
      <w:bookmarkEnd w:id="20"/>
    </w:p>
    <w:p w:rsidR="002665E4" w:rsidRDefault="002665E4" w:rsidP="003B504B">
      <w:r w:rsidRPr="002665E4">
        <w:rPr>
          <w:rStyle w:val="AERbody"/>
        </w:rPr>
        <w:t>Our final decision is that Directlink can recover $</w:t>
      </w:r>
      <w:r w:rsidR="00AC33C8">
        <w:rPr>
          <w:rStyle w:val="AERbody"/>
        </w:rPr>
        <w:t>68.7</w:t>
      </w:r>
      <w:r w:rsidR="007A3589">
        <w:rPr>
          <w:rStyle w:val="AERbody"/>
        </w:rPr>
        <w:t xml:space="preserve"> </w:t>
      </w:r>
      <w:r w:rsidRPr="002665E4">
        <w:rPr>
          <w:rStyle w:val="AERbody"/>
        </w:rPr>
        <w:t>m</w:t>
      </w:r>
      <w:r w:rsidR="007A3589">
        <w:rPr>
          <w:rStyle w:val="AERbody"/>
        </w:rPr>
        <w:t>illion</w:t>
      </w:r>
      <w:r w:rsidRPr="002665E4">
        <w:rPr>
          <w:rStyle w:val="AERbody"/>
        </w:rPr>
        <w:t xml:space="preserve"> </w:t>
      </w:r>
      <w:r w:rsidR="00F878E0">
        <w:rPr>
          <w:rStyle w:val="AERbody"/>
        </w:rPr>
        <w:t xml:space="preserve">($ nominal) </w:t>
      </w:r>
      <w:r w:rsidRPr="002665E4">
        <w:rPr>
          <w:rStyle w:val="AERbody"/>
        </w:rPr>
        <w:t>from consumers</w:t>
      </w:r>
      <w:r w:rsidR="00DD0D06">
        <w:rPr>
          <w:rStyle w:val="FootnoteReference"/>
        </w:rPr>
        <w:footnoteReference w:id="5"/>
      </w:r>
      <w:r w:rsidRPr="002665E4">
        <w:rPr>
          <w:rStyle w:val="AERbody"/>
        </w:rPr>
        <w:t xml:space="preserve"> over the 2015</w:t>
      </w:r>
      <w:r w:rsidR="007A3589">
        <w:rPr>
          <w:rStyle w:val="AERbody"/>
        </w:rPr>
        <w:t>–20</w:t>
      </w:r>
      <w:r w:rsidRPr="002665E4">
        <w:rPr>
          <w:rStyle w:val="AERbody"/>
        </w:rPr>
        <w:t xml:space="preserve"> regulatory control period. </w:t>
      </w:r>
      <w:r w:rsidRPr="002665E4">
        <w:t>Figure 1 below illustrates our overall decision.</w:t>
      </w:r>
    </w:p>
    <w:p w:rsidR="003A371A" w:rsidRPr="003A371A" w:rsidRDefault="00EA2264" w:rsidP="00D577FF">
      <w:pPr>
        <w:pStyle w:val="Caption"/>
        <w:rPr>
          <w:rStyle w:val="Strong"/>
        </w:rPr>
      </w:pPr>
      <w:bookmarkStart w:id="21" w:name="_Ref415834985"/>
      <w:r>
        <w:t xml:space="preserve">Figure </w:t>
      </w:r>
      <w:fldSimple w:instr=" SEQ Figure \* ARABIC ">
        <w:r w:rsidR="00EB67D6">
          <w:rPr>
            <w:noProof/>
          </w:rPr>
          <w:t>1</w:t>
        </w:r>
      </w:fldSimple>
      <w:bookmarkEnd w:id="21"/>
      <w:r>
        <w:t xml:space="preserve"> </w:t>
      </w:r>
      <w:r w:rsidR="00DF6C67" w:rsidRPr="00430C2C">
        <w:rPr>
          <w:rStyle w:val="Strong"/>
          <w:b/>
          <w:bCs/>
        </w:rPr>
        <w:t>Directlink</w:t>
      </w:r>
      <w:r w:rsidR="003A371A" w:rsidRPr="00B44987">
        <w:rPr>
          <w:rStyle w:val="Strong"/>
          <w:b/>
          <w:bCs/>
        </w:rPr>
        <w:t xml:space="preserve">'s past total revenue, proposed total revenue </w:t>
      </w:r>
      <w:r w:rsidR="003A371A" w:rsidRPr="00430C2C">
        <w:rPr>
          <w:rStyle w:val="Strong"/>
          <w:b/>
          <w:bCs/>
        </w:rPr>
        <w:t>and AER total revenue allowance ($ million, 201</w:t>
      </w:r>
      <w:r w:rsidR="007A3589" w:rsidRPr="00B44987">
        <w:rPr>
          <w:rStyle w:val="Strong"/>
          <w:b/>
          <w:bCs/>
        </w:rPr>
        <w:t>4</w:t>
      </w:r>
      <w:r w:rsidR="003A371A" w:rsidRPr="00B44987">
        <w:rPr>
          <w:rStyle w:val="Strong"/>
          <w:b/>
          <w:bCs/>
        </w:rPr>
        <w:t>–1</w:t>
      </w:r>
      <w:r w:rsidR="007A3589" w:rsidRPr="00B44987">
        <w:rPr>
          <w:rStyle w:val="Strong"/>
          <w:b/>
          <w:bCs/>
        </w:rPr>
        <w:t>5</w:t>
      </w:r>
      <w:r w:rsidR="003A371A" w:rsidRPr="00A56F4C">
        <w:rPr>
          <w:rStyle w:val="Strong"/>
          <w:b/>
          <w:bCs/>
        </w:rPr>
        <w:t>)</w:t>
      </w:r>
    </w:p>
    <w:p w:rsidR="003B504B" w:rsidRPr="002B4076" w:rsidRDefault="00AC33C8" w:rsidP="00D577FF">
      <w:pPr>
        <w:keepNext/>
        <w:numPr>
          <w:ilvl w:val="0"/>
          <w:numId w:val="24"/>
        </w:numPr>
        <w:rPr>
          <w:rStyle w:val="Strong"/>
        </w:rPr>
      </w:pPr>
      <w:r w:rsidRPr="00AC33C8">
        <w:rPr>
          <w:noProof/>
          <w:lang w:eastAsia="en-AU"/>
        </w:rPr>
        <w:drawing>
          <wp:inline distT="0" distB="0" distL="0" distR="0" wp14:anchorId="04376490" wp14:editId="5C198B91">
            <wp:extent cx="5382895" cy="295568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955682"/>
                    </a:xfrm>
                    <a:prstGeom prst="rect">
                      <a:avLst/>
                    </a:prstGeom>
                    <a:noFill/>
                    <a:ln>
                      <a:noFill/>
                    </a:ln>
                  </pic:spPr>
                </pic:pic>
              </a:graphicData>
            </a:graphic>
          </wp:inline>
        </w:drawing>
      </w:r>
    </w:p>
    <w:p w:rsidR="003B504B" w:rsidRPr="002B4076" w:rsidRDefault="003B504B" w:rsidP="00D577FF">
      <w:pPr>
        <w:pStyle w:val="AERtablesource"/>
        <w:keepNext/>
      </w:pPr>
      <w:r w:rsidRPr="002B4076">
        <w:t xml:space="preserve">Source: </w:t>
      </w:r>
      <w:r w:rsidRPr="002B4076">
        <w:tab/>
        <w:t>AER analysis.</w:t>
      </w:r>
    </w:p>
    <w:p w:rsidR="00372C85" w:rsidRDefault="00D86DFA" w:rsidP="00372C85">
      <w:pPr>
        <w:pStyle w:val="Heading2"/>
      </w:pPr>
      <w:bookmarkStart w:id="22" w:name="_Toc415815981"/>
      <w:bookmarkStart w:id="23" w:name="_Toc417987565"/>
      <w:bookmarkEnd w:id="22"/>
      <w:r>
        <w:t>Contribution to achievement of the NEO</w:t>
      </w:r>
      <w:bookmarkEnd w:id="23"/>
    </w:p>
    <w:p w:rsidR="00D86DFA" w:rsidRDefault="00D86DFA" w:rsidP="00D86DFA">
      <w:pPr>
        <w:rPr>
          <w:rStyle w:val="AERbody"/>
        </w:rPr>
      </w:pPr>
      <w:r>
        <w:rPr>
          <w:rStyle w:val="AERbody"/>
        </w:rPr>
        <w:t>We are satisfied that the total revenue approved in our final decision contributes to the achievement of the NEO to the greatest degree. This is because our total revenue reflects the efficient, sustainable costs of providing network services in Directlink's operating environment</w:t>
      </w:r>
      <w:r w:rsidR="00EB67D6">
        <w:rPr>
          <w:rStyle w:val="AERbody"/>
        </w:rPr>
        <w:t>,</w:t>
      </w:r>
      <w:r>
        <w:rPr>
          <w:rStyle w:val="AERbody"/>
        </w:rPr>
        <w:t xml:space="preserve"> and the key drivers of </w:t>
      </w:r>
      <w:r w:rsidR="00F64E47">
        <w:rPr>
          <w:rStyle w:val="AERbody"/>
        </w:rPr>
        <w:t xml:space="preserve">efficient </w:t>
      </w:r>
      <w:r>
        <w:rPr>
          <w:rStyle w:val="AERbody"/>
        </w:rPr>
        <w:t>costs facing Directlink.</w:t>
      </w:r>
      <w:r w:rsidRPr="00865F85">
        <w:rPr>
          <w:rStyle w:val="AERbody"/>
        </w:rPr>
        <w:t xml:space="preserve"> </w:t>
      </w:r>
      <w:r>
        <w:rPr>
          <w:rStyle w:val="AERbody"/>
        </w:rPr>
        <w:t xml:space="preserve">For the reasons set out below and in our </w:t>
      </w:r>
      <w:r w:rsidR="006734D0">
        <w:rPr>
          <w:rStyle w:val="AERbody"/>
        </w:rPr>
        <w:t>A</w:t>
      </w:r>
      <w:r>
        <w:rPr>
          <w:rStyle w:val="AERbody"/>
        </w:rPr>
        <w:t xml:space="preserve">ttachments, we consider our decision will promote efficient investment in, and efficient operation and use of, electricity services for the long term interests of consumers, as required by the NEO. </w:t>
      </w:r>
    </w:p>
    <w:p w:rsidR="00D86DFA" w:rsidRDefault="00D86DFA" w:rsidP="00D86DFA">
      <w:pPr>
        <w:rPr>
          <w:rStyle w:val="AERbody"/>
        </w:rPr>
      </w:pPr>
      <w:r>
        <w:rPr>
          <w:rStyle w:val="AERbody"/>
        </w:rPr>
        <w:t>The key drivers of costs facing a network service provider are:</w:t>
      </w:r>
      <w:r>
        <w:rPr>
          <w:rStyle w:val="FootnoteReference"/>
        </w:rPr>
        <w:footnoteReference w:id="6"/>
      </w:r>
    </w:p>
    <w:p w:rsidR="00D86DFA" w:rsidRDefault="00D86DFA" w:rsidP="00D86DFA">
      <w:pPr>
        <w:pStyle w:val="AERbulletlistfirststyle"/>
        <w:rPr>
          <w:rStyle w:val="AERbody"/>
        </w:rPr>
      </w:pPr>
      <w:r>
        <w:rPr>
          <w:rStyle w:val="AERbody"/>
        </w:rPr>
        <w:t>its accumulated network investment (reflected in the size of its Regulatory Asset Base</w:t>
      </w:r>
      <w:r w:rsidR="006734D0">
        <w:rPr>
          <w:rStyle w:val="AERbody"/>
        </w:rPr>
        <w:t xml:space="preserve"> (</w:t>
      </w:r>
      <w:r>
        <w:rPr>
          <w:rStyle w:val="AERbody"/>
        </w:rPr>
        <w:t>RAB</w:t>
      </w:r>
      <w:r w:rsidR="006734D0">
        <w:rPr>
          <w:rStyle w:val="AERbody"/>
        </w:rPr>
        <w:t>)</w:t>
      </w:r>
      <w:r>
        <w:rPr>
          <w:rStyle w:val="AERbody"/>
        </w:rPr>
        <w:t>)</w:t>
      </w:r>
    </w:p>
    <w:p w:rsidR="00D86DFA" w:rsidRDefault="00D86DFA" w:rsidP="00D86DFA">
      <w:pPr>
        <w:pStyle w:val="AERbulletlistfirststyle"/>
        <w:rPr>
          <w:rStyle w:val="AERbody"/>
        </w:rPr>
      </w:pPr>
      <w:r>
        <w:rPr>
          <w:rStyle w:val="AERbody"/>
        </w:rPr>
        <w:t xml:space="preserve">its expected growth in network investment (reflected in its </w:t>
      </w:r>
      <w:r w:rsidR="00F64E47">
        <w:rPr>
          <w:rStyle w:val="AERbody"/>
        </w:rPr>
        <w:t>capital expenditure (</w:t>
      </w:r>
      <w:r>
        <w:rPr>
          <w:rStyle w:val="AERbody"/>
        </w:rPr>
        <w:t>capex</w:t>
      </w:r>
      <w:r w:rsidR="00F64E47">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D86DFA" w:rsidRDefault="00D86DFA" w:rsidP="00D86DFA">
      <w:pPr>
        <w:pStyle w:val="AERbulletlistfirststyle"/>
        <w:rPr>
          <w:rStyle w:val="AERbody"/>
        </w:rPr>
      </w:pPr>
      <w:r>
        <w:rPr>
          <w:rStyle w:val="AERbody"/>
        </w:rPr>
        <w:t xml:space="preserve">its financing costs (interest on borrowings and a return on equity to shareholders) </w:t>
      </w:r>
    </w:p>
    <w:p w:rsidR="00D86DFA" w:rsidRDefault="00D86DFA" w:rsidP="00D86DFA">
      <w:pPr>
        <w:pStyle w:val="AERbulletlistfirststyle"/>
        <w:rPr>
          <w:rStyle w:val="AERbody"/>
        </w:rPr>
      </w:pPr>
      <w:r>
        <w:rPr>
          <w:rStyle w:val="AERbody"/>
        </w:rPr>
        <w:t>its operating expenditure (opex) program (the cost of operating and maintaining its network)</w:t>
      </w:r>
    </w:p>
    <w:p w:rsidR="00F64E47" w:rsidRDefault="00F64E47" w:rsidP="00D86DFA">
      <w:pPr>
        <w:pStyle w:val="AERbulletlistfirststyle"/>
        <w:rPr>
          <w:rStyle w:val="AERbody"/>
        </w:rPr>
      </w:pPr>
      <w:r>
        <w:rPr>
          <w:rStyle w:val="AERbody"/>
        </w:rPr>
        <w:t>its taxation cost (taxable income at the corporate tax rate adjusted for the value of imputation credits).</w:t>
      </w:r>
    </w:p>
    <w:p w:rsidR="00D86DFA" w:rsidRPr="00737FDD" w:rsidRDefault="00D86DFA" w:rsidP="00D86DFA">
      <w:r w:rsidRPr="00737FDD">
        <w:t xml:space="preserve">From one regulatory </w:t>
      </w:r>
      <w:r w:rsidR="006734D0">
        <w:t xml:space="preserve">control </w:t>
      </w:r>
      <w:r w:rsidRPr="00737FDD">
        <w:t>period to the next, the pressures on each of these drivers may change. For example, in periods of high demand growth, a</w:t>
      </w:r>
      <w:r w:rsidR="006734D0">
        <w:t xml:space="preserve"> service provider</w:t>
      </w:r>
      <w:r w:rsidRPr="00737FDD">
        <w:t xml:space="preserve"> would expect to need a larger capex program. Similarly, during periods of high interest rates, a service provider would expect to pay more in financing costs</w:t>
      </w:r>
      <w:r>
        <w:t xml:space="preserve">. </w:t>
      </w:r>
    </w:p>
    <w:p w:rsidR="00D86DFA" w:rsidRPr="00737FDD" w:rsidRDefault="00D86DFA" w:rsidP="00D86DFA">
      <w:r w:rsidRPr="00737FDD">
        <w:t xml:space="preserve">The most important factors we see impacting on </w:t>
      </w:r>
      <w:r>
        <w:t>Directlink's</w:t>
      </w:r>
      <w:r w:rsidRPr="00737FDD">
        <w:t xml:space="preserve"> costs in the 2015–</w:t>
      </w:r>
      <w:r>
        <w:t>20</w:t>
      </w:r>
      <w:r w:rsidR="00A20E0C">
        <w:t xml:space="preserve"> regulatory control</w:t>
      </w:r>
      <w:r w:rsidRPr="00737FDD">
        <w:t xml:space="preserve"> period include:</w:t>
      </w:r>
    </w:p>
    <w:p w:rsidR="00AB279B" w:rsidRDefault="00AB279B" w:rsidP="004F39E4">
      <w:pPr>
        <w:pStyle w:val="AERbulletlistfirststyle"/>
        <w:rPr>
          <w:rStyle w:val="AERbody"/>
        </w:rPr>
      </w:pPr>
      <w:r w:rsidRPr="00AB279B">
        <w:rPr>
          <w:rStyle w:val="AERbody"/>
        </w:rPr>
        <w:t>an improved investment environment, which translates to lower financing costs necessary to attract efficient investment.</w:t>
      </w:r>
    </w:p>
    <w:p w:rsidR="004F39E4" w:rsidRDefault="004F39E4" w:rsidP="004F39E4">
      <w:pPr>
        <w:pStyle w:val="AERbulletlistfirststyle"/>
        <w:rPr>
          <w:rStyle w:val="AERbody"/>
        </w:rPr>
      </w:pPr>
      <w:r>
        <w:rPr>
          <w:rStyle w:val="AERbody"/>
        </w:rPr>
        <w:t xml:space="preserve">higher than expected capex in the 2006-15 regulatory control period, including as a result of </w:t>
      </w:r>
      <w:r w:rsidRPr="004F39E4">
        <w:rPr>
          <w:rStyle w:val="AERbody"/>
        </w:rPr>
        <w:t>a fire at the Mullumbimby converter station in 2012</w:t>
      </w:r>
    </w:p>
    <w:p w:rsidR="004F39E4" w:rsidRDefault="004F39E4" w:rsidP="004F39E4">
      <w:pPr>
        <w:pStyle w:val="AERbulletlistfirststyle"/>
        <w:rPr>
          <w:rStyle w:val="AERbody"/>
        </w:rPr>
      </w:pPr>
      <w:r>
        <w:rPr>
          <w:rStyle w:val="AERbody"/>
        </w:rPr>
        <w:t xml:space="preserve">a reassessment of risk and </w:t>
      </w:r>
      <w:r w:rsidR="008D63D6">
        <w:rPr>
          <w:rStyle w:val="AERbody"/>
        </w:rPr>
        <w:t>o</w:t>
      </w:r>
      <w:r>
        <w:rPr>
          <w:rStyle w:val="AERbody"/>
        </w:rPr>
        <w:t>pex and capex requirements following events in the 2006-15 period, including the 2012 fire.</w:t>
      </w:r>
    </w:p>
    <w:p w:rsidR="00D86DFA" w:rsidRPr="00D86DFA" w:rsidRDefault="00D86DFA" w:rsidP="00A62B7C">
      <w:pPr>
        <w:rPr>
          <w:rStyle w:val="AERbody"/>
        </w:rPr>
      </w:pPr>
      <w:r w:rsidRPr="00D86DFA">
        <w:rPr>
          <w:rStyle w:val="AERbody"/>
        </w:rPr>
        <w:t xml:space="preserve">These factors are reflected throughout our final decision and impact the different constituent components of our decision to varying degrees. At the total revenue level, they provide a consistent picture: </w:t>
      </w:r>
      <w:r w:rsidR="00223A20">
        <w:rPr>
          <w:rStyle w:val="AERbody"/>
        </w:rPr>
        <w:t xml:space="preserve">a prudent and efficient operator of </w:t>
      </w:r>
      <w:r>
        <w:rPr>
          <w:rStyle w:val="AERbody"/>
        </w:rPr>
        <w:t>Directlink</w:t>
      </w:r>
      <w:r w:rsidR="00223A20">
        <w:rPr>
          <w:rStyle w:val="AERbody"/>
        </w:rPr>
        <w:t>'s network</w:t>
      </w:r>
      <w:r w:rsidR="00223A20">
        <w:t>—with efficient costs and realistic expectations of demand and cost inputs—would need</w:t>
      </w:r>
      <w:r w:rsidRPr="00D86DFA">
        <w:rPr>
          <w:rStyle w:val="AERbody"/>
        </w:rPr>
        <w:t xml:space="preserve"> materially less revenue than </w:t>
      </w:r>
      <w:r w:rsidR="00223A20">
        <w:rPr>
          <w:rStyle w:val="AERbody"/>
        </w:rPr>
        <w:t>Directlink</w:t>
      </w:r>
      <w:r w:rsidR="00223A20" w:rsidRPr="00D86DFA">
        <w:rPr>
          <w:rStyle w:val="AERbody"/>
        </w:rPr>
        <w:t xml:space="preserve"> </w:t>
      </w:r>
      <w:r w:rsidRPr="00D86DFA">
        <w:rPr>
          <w:rStyle w:val="AERbody"/>
        </w:rPr>
        <w:t>has proposed for the 2015–</w:t>
      </w:r>
      <w:r>
        <w:rPr>
          <w:rStyle w:val="AERbody"/>
        </w:rPr>
        <w:t>20</w:t>
      </w:r>
      <w:r w:rsidRPr="00D86DFA">
        <w:rPr>
          <w:rStyle w:val="AERbody"/>
        </w:rPr>
        <w:t xml:space="preserve"> regulatory control period. </w:t>
      </w:r>
    </w:p>
    <w:p w:rsidR="00D86DFA" w:rsidRPr="00D86DFA" w:rsidRDefault="00D86DFA" w:rsidP="00A62B7C">
      <w:pPr>
        <w:rPr>
          <w:rStyle w:val="AERbody"/>
        </w:rPr>
      </w:pPr>
      <w:r w:rsidRPr="00D86DFA">
        <w:rPr>
          <w:rStyle w:val="AERbody"/>
        </w:rPr>
        <w:t xml:space="preserve">In our final decision we consider that </w:t>
      </w:r>
      <w:r>
        <w:rPr>
          <w:rStyle w:val="AERbody"/>
        </w:rPr>
        <w:t>Directlink's</w:t>
      </w:r>
      <w:r w:rsidRPr="00D86DFA">
        <w:rPr>
          <w:rStyle w:val="AERbody"/>
        </w:rPr>
        <w:t xml:space="preserve"> proposal does not reflect the factors impacting on its cost drivers to a satisfactory extent. As a consequence, we also consider that </w:t>
      </w:r>
      <w:r>
        <w:rPr>
          <w:rStyle w:val="AERbody"/>
        </w:rPr>
        <w:t>Directlink</w:t>
      </w:r>
      <w:r w:rsidRPr="00D86DFA">
        <w:rPr>
          <w:rStyle w:val="AERbody"/>
        </w:rPr>
        <w:t xml:space="preserve"> has proposed to recover more revenue from customers than is necessary for the safe and reliable operation of its network.</w:t>
      </w:r>
      <w:r w:rsidR="00F464B5">
        <w:rPr>
          <w:rStyle w:val="AERbody"/>
        </w:rPr>
        <w:t xml:space="preserve"> It follows that we consider that Directlink's revised proposal does not contribute to the achievement of the NEO to a satisfactory degree.</w:t>
      </w:r>
    </w:p>
    <w:p w:rsidR="004E4683" w:rsidRPr="004E4683" w:rsidRDefault="004E4683" w:rsidP="004E4683">
      <w:pPr>
        <w:rPr>
          <w:rStyle w:val="AERbody"/>
        </w:rPr>
      </w:pPr>
      <w:r w:rsidRPr="004E4683">
        <w:rPr>
          <w:rStyle w:val="AERbody"/>
        </w:rPr>
        <w:t xml:space="preserve">The constituent decision that has the greatest impact on the total revenue allowance is rate of return. </w:t>
      </w:r>
      <w:r w:rsidR="0016716A">
        <w:rPr>
          <w:rStyle w:val="AERbody"/>
        </w:rPr>
        <w:t xml:space="preserve">We discuss this further below. </w:t>
      </w:r>
      <w:r w:rsidR="00E64600">
        <w:rPr>
          <w:rStyle w:val="AERbody"/>
        </w:rPr>
        <w:fldChar w:fldCharType="begin"/>
      </w:r>
      <w:r w:rsidR="00E64600">
        <w:rPr>
          <w:rStyle w:val="AERbody"/>
        </w:rPr>
        <w:instrText xml:space="preserve"> REF _Ref415835008 \h </w:instrText>
      </w:r>
      <w:r w:rsidR="00E64600">
        <w:rPr>
          <w:rStyle w:val="AERbody"/>
        </w:rPr>
      </w:r>
      <w:r w:rsidR="00E64600">
        <w:rPr>
          <w:rStyle w:val="AERbody"/>
        </w:rPr>
        <w:fldChar w:fldCharType="separate"/>
      </w:r>
      <w:r w:rsidR="00EB67D6" w:rsidRPr="007A3589">
        <w:t xml:space="preserve">Figure </w:t>
      </w:r>
      <w:r w:rsidR="00EB67D6">
        <w:rPr>
          <w:noProof/>
        </w:rPr>
        <w:t>2</w:t>
      </w:r>
      <w:r w:rsidR="00E64600">
        <w:rPr>
          <w:rStyle w:val="AERbody"/>
        </w:rPr>
        <w:fldChar w:fldCharType="end"/>
      </w:r>
      <w:r w:rsidR="00E64600">
        <w:rPr>
          <w:rStyle w:val="AERbody"/>
        </w:rPr>
        <w:t xml:space="preserve"> </w:t>
      </w:r>
      <w:r w:rsidR="00465292" w:rsidRPr="00465292">
        <w:rPr>
          <w:rStyle w:val="AERbody"/>
        </w:rPr>
        <w:t>illustrates the key differences (in terms of constituent components</w:t>
      </w:r>
      <w:r w:rsidR="00465292">
        <w:rPr>
          <w:rStyle w:val="AERbody"/>
        </w:rPr>
        <w:t>,</w:t>
      </w:r>
      <w:r w:rsidR="00465292" w:rsidRPr="00465292">
        <w:rPr>
          <w:rStyle w:val="AERbody"/>
        </w:rPr>
        <w:t xml:space="preserve"> or building blocks</w:t>
      </w:r>
      <w:r w:rsidR="00465292">
        <w:rPr>
          <w:rStyle w:val="AERbody"/>
        </w:rPr>
        <w:t>,</w:t>
      </w:r>
      <w:r w:rsidR="00465292" w:rsidRPr="00465292">
        <w:rPr>
          <w:rStyle w:val="AERbody"/>
        </w:rPr>
        <w:t xml:space="preserve"> making up total revenue) between our decision and </w:t>
      </w:r>
      <w:r w:rsidR="007C6E09">
        <w:rPr>
          <w:rStyle w:val="AERbody"/>
        </w:rPr>
        <w:t>Directlink</w:t>
      </w:r>
      <w:r w:rsidR="007C6E09" w:rsidRPr="00465292">
        <w:rPr>
          <w:rStyle w:val="AERbody"/>
        </w:rPr>
        <w:t xml:space="preserve">'s </w:t>
      </w:r>
      <w:r w:rsidR="007A3589">
        <w:rPr>
          <w:rStyle w:val="AERbody"/>
        </w:rPr>
        <w:t xml:space="preserve">revised </w:t>
      </w:r>
      <w:r w:rsidR="00465292" w:rsidRPr="00465292">
        <w:rPr>
          <w:rStyle w:val="AERbody"/>
        </w:rPr>
        <w:t>propos</w:t>
      </w:r>
      <w:r w:rsidR="007A3589">
        <w:rPr>
          <w:rStyle w:val="AERbody"/>
        </w:rPr>
        <w:t>al</w:t>
      </w:r>
      <w:r w:rsidR="00465292" w:rsidRPr="00465292">
        <w:rPr>
          <w:rStyle w:val="AERbody"/>
        </w:rPr>
        <w:t>.</w:t>
      </w:r>
    </w:p>
    <w:p w:rsidR="004E4683" w:rsidRPr="008E538D" w:rsidRDefault="00EA2264" w:rsidP="007A3589">
      <w:pPr>
        <w:pStyle w:val="Caption"/>
        <w:rPr>
          <w:rStyle w:val="Strong"/>
          <w:b/>
          <w:bCs/>
        </w:rPr>
      </w:pPr>
      <w:bookmarkStart w:id="24" w:name="_Ref415835008"/>
      <w:r w:rsidRPr="007A3589">
        <w:t xml:space="preserve">Figure </w:t>
      </w:r>
      <w:fldSimple w:instr=" SEQ Figure \* ARABIC ">
        <w:r w:rsidR="00EB67D6">
          <w:rPr>
            <w:noProof/>
          </w:rPr>
          <w:t>2</w:t>
        </w:r>
      </w:fldSimple>
      <w:bookmarkEnd w:id="24"/>
      <w:r w:rsidR="004E4683" w:rsidRPr="007A3589">
        <w:tab/>
      </w:r>
      <w:r w:rsidR="004E4683" w:rsidRPr="00430C2C">
        <w:rPr>
          <w:rStyle w:val="Strong"/>
          <w:b/>
          <w:bCs/>
        </w:rPr>
        <w:t>AER's final decision on building block costs ($ million 201</w:t>
      </w:r>
      <w:r w:rsidR="007A3589" w:rsidRPr="00B44987">
        <w:rPr>
          <w:rStyle w:val="Strong"/>
          <w:b/>
          <w:bCs/>
        </w:rPr>
        <w:t>4</w:t>
      </w:r>
      <w:r w:rsidR="004E4683" w:rsidRPr="00B44987">
        <w:rPr>
          <w:rStyle w:val="Strong"/>
          <w:b/>
          <w:bCs/>
        </w:rPr>
        <w:t>–1</w:t>
      </w:r>
      <w:r w:rsidR="007A3589" w:rsidRPr="00B44987">
        <w:rPr>
          <w:rStyle w:val="Strong"/>
          <w:b/>
          <w:bCs/>
        </w:rPr>
        <w:t>5</w:t>
      </w:r>
      <w:r w:rsidR="004E4683" w:rsidRPr="00B44987">
        <w:rPr>
          <w:rStyle w:val="Strong"/>
          <w:b/>
          <w:bCs/>
        </w:rPr>
        <w:t>)</w:t>
      </w:r>
    </w:p>
    <w:p w:rsidR="004E4683" w:rsidRPr="004E4683" w:rsidRDefault="00AC33C8" w:rsidP="00AC33C8">
      <w:pPr>
        <w:numPr>
          <w:ilvl w:val="0"/>
          <w:numId w:val="24"/>
        </w:numPr>
      </w:pPr>
      <w:r w:rsidRPr="00AC33C8">
        <w:rPr>
          <w:noProof/>
          <w:lang w:eastAsia="en-AU"/>
        </w:rPr>
        <w:drawing>
          <wp:inline distT="0" distB="0" distL="0" distR="0" wp14:anchorId="5B0C120D" wp14:editId="791D732E">
            <wp:extent cx="5382895" cy="291764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917644"/>
                    </a:xfrm>
                    <a:prstGeom prst="rect">
                      <a:avLst/>
                    </a:prstGeom>
                    <a:noFill/>
                    <a:ln>
                      <a:noFill/>
                    </a:ln>
                  </pic:spPr>
                </pic:pic>
              </a:graphicData>
            </a:graphic>
          </wp:inline>
        </w:drawing>
      </w:r>
    </w:p>
    <w:p w:rsidR="004E4683" w:rsidRPr="004E4683" w:rsidRDefault="004E4683" w:rsidP="004E4683">
      <w:pPr>
        <w:pStyle w:val="AERtablesource"/>
      </w:pPr>
      <w:r w:rsidRPr="004E4683">
        <w:t>Source:</w:t>
      </w:r>
      <w:r w:rsidRPr="004E4683">
        <w:tab/>
        <w:t>AER analysis.</w:t>
      </w:r>
    </w:p>
    <w:p w:rsidR="00476221" w:rsidRDefault="00476221" w:rsidP="00476221">
      <w:pPr>
        <w:pStyle w:val="Heading3"/>
      </w:pPr>
      <w:bookmarkStart w:id="25" w:name="_Toc411428011"/>
      <w:bookmarkStart w:id="26" w:name="_Ref416260070"/>
      <w:bookmarkStart w:id="27" w:name="_Toc417987566"/>
      <w:r>
        <w:t>Rate of return</w:t>
      </w:r>
      <w:bookmarkEnd w:id="25"/>
      <w:bookmarkEnd w:id="26"/>
      <w:bookmarkEnd w:id="27"/>
    </w:p>
    <w:p w:rsidR="004F2F4B" w:rsidRDefault="0016716A" w:rsidP="0016716A">
      <w:r w:rsidRPr="0016716A">
        <w:t xml:space="preserve">The rate of return </w:t>
      </w:r>
      <w:r w:rsidR="00486693" w:rsidRPr="00486693">
        <w:t xml:space="preserve">provides a service provider with revenue to service the interest on its </w:t>
      </w:r>
      <w:r w:rsidR="00E25820">
        <w:t>borrowings</w:t>
      </w:r>
      <w:r w:rsidR="00E25820" w:rsidRPr="00486693">
        <w:t xml:space="preserve"> </w:t>
      </w:r>
      <w:r w:rsidR="00486693" w:rsidRPr="00486693">
        <w:t>and to give a return on equity to shareholders.</w:t>
      </w:r>
      <w:r w:rsidRPr="0016716A">
        <w:t xml:space="preserve"> </w:t>
      </w:r>
      <w:r w:rsidR="00C24FB6">
        <w:t>The allowed rate of return is usually a key determinant of allowed revenue.</w:t>
      </w:r>
    </w:p>
    <w:p w:rsidR="00823B8F" w:rsidRPr="00823B8F" w:rsidRDefault="00823B8F" w:rsidP="008E538D">
      <w:r w:rsidRPr="00823B8F">
        <w:t xml:space="preserve">The rate of return must be commensurate with the efficient financing costs of a benchmark efficient entity with a similar degree of risk as that which applies to the </w:t>
      </w:r>
      <w:r w:rsidR="008E538D">
        <w:rPr>
          <w:rStyle w:val="AERbody"/>
        </w:rPr>
        <w:t>TNSP</w:t>
      </w:r>
      <w:r w:rsidRPr="008E538D">
        <w:rPr>
          <w:rStyle w:val="AERbody"/>
        </w:rPr>
        <w:t xml:space="preserve"> in respect of the provision of transmission services</w:t>
      </w:r>
      <w:r w:rsidRPr="00823B8F">
        <w:t>.</w:t>
      </w:r>
      <w:r w:rsidRPr="00823B8F">
        <w:rPr>
          <w:rStyle w:val="FootnoteReference"/>
        </w:rPr>
        <w:footnoteReference w:id="7"/>
      </w:r>
      <w:r w:rsidRPr="00823B8F">
        <w:t xml:space="preserve"> The </w:t>
      </w:r>
      <w:r w:rsidRPr="008E538D">
        <w:rPr>
          <w:rStyle w:val="AERbody"/>
        </w:rPr>
        <w:t>NER r</w:t>
      </w:r>
      <w:r w:rsidRPr="00823B8F">
        <w:t>efer</w:t>
      </w:r>
      <w:r w:rsidR="00262292">
        <w:t>s</w:t>
      </w:r>
      <w:r w:rsidRPr="00823B8F">
        <w:t xml:space="preserve"> to this requirement as the </w:t>
      </w:r>
      <w:r w:rsidR="00300D03">
        <w:t>A</w:t>
      </w:r>
      <w:r w:rsidRPr="00823B8F">
        <w:t xml:space="preserve">llowed </w:t>
      </w:r>
      <w:r w:rsidR="00300D03">
        <w:t>R</w:t>
      </w:r>
      <w:r w:rsidRPr="00823B8F">
        <w:t xml:space="preserve">ate of </w:t>
      </w:r>
      <w:r w:rsidR="00300D03">
        <w:t>R</w:t>
      </w:r>
      <w:r w:rsidRPr="00823B8F">
        <w:t xml:space="preserve">eturn </w:t>
      </w:r>
      <w:r w:rsidR="00300D03">
        <w:t>O</w:t>
      </w:r>
      <w:r w:rsidRPr="00823B8F">
        <w:t xml:space="preserve">bjective. </w:t>
      </w:r>
    </w:p>
    <w:p w:rsidR="00823B8F" w:rsidRPr="00823B8F" w:rsidRDefault="00823B8F" w:rsidP="00A56F4C">
      <w:r w:rsidRPr="00A56F4C">
        <w:t>Our final decision is for a rate</w:t>
      </w:r>
      <w:r w:rsidRPr="00FD1836">
        <w:t xml:space="preserve"> of return of </w:t>
      </w:r>
      <w:r w:rsidR="00A56F4C" w:rsidRPr="008E538D">
        <w:t>5.45</w:t>
      </w:r>
      <w:r w:rsidR="00A56F4C" w:rsidRPr="00A56F4C">
        <w:t xml:space="preserve"> </w:t>
      </w:r>
      <w:r w:rsidRPr="00FD1836">
        <w:t>per cent compare</w:t>
      </w:r>
      <w:r w:rsidRPr="00A56F4C">
        <w:t xml:space="preserve">d to </w:t>
      </w:r>
      <w:r w:rsidR="00B44987" w:rsidRPr="008E538D">
        <w:t>6.17</w:t>
      </w:r>
      <w:r w:rsidR="00B44987" w:rsidRPr="00A56F4C">
        <w:t xml:space="preserve"> </w:t>
      </w:r>
      <w:r w:rsidRPr="00FD1836">
        <w:t>per cent</w:t>
      </w:r>
      <w:r w:rsidR="00E9409E">
        <w:rPr>
          <w:rStyle w:val="FootnoteReference"/>
        </w:rPr>
        <w:footnoteReference w:id="8"/>
      </w:r>
      <w:r w:rsidRPr="00823B8F">
        <w:t xml:space="preserve"> put forward by </w:t>
      </w:r>
      <w:r w:rsidR="006B4B87">
        <w:t>Direc</w:t>
      </w:r>
      <w:r w:rsidR="00DD0D06">
        <w:t>t</w:t>
      </w:r>
      <w:r w:rsidR="006B4B87">
        <w:t>link</w:t>
      </w:r>
      <w:r w:rsidRPr="00823B8F">
        <w:t xml:space="preserve"> in its revised proposal.</w:t>
      </w:r>
      <w:r w:rsidR="004F3962">
        <w:rPr>
          <w:rStyle w:val="FootnoteReference"/>
        </w:rPr>
        <w:footnoteReference w:id="9"/>
      </w:r>
    </w:p>
    <w:p w:rsidR="004F2F4B" w:rsidRPr="0016716A" w:rsidRDefault="004F2F4B" w:rsidP="004F2F4B">
      <w:r w:rsidRPr="0016716A">
        <w:t xml:space="preserve">We set out our approach to determining the rate of return in </w:t>
      </w:r>
      <w:r w:rsidR="00300D03">
        <w:t>the Rate of Return Guideline</w:t>
      </w:r>
      <w:r w:rsidR="00300D03" w:rsidRPr="0016716A">
        <w:t xml:space="preserve"> </w:t>
      </w:r>
      <w:r w:rsidR="00300D03">
        <w:t>(</w:t>
      </w:r>
      <w:r w:rsidR="00E25820">
        <w:t>G</w:t>
      </w:r>
      <w:r w:rsidRPr="0016716A">
        <w:t>uideline</w:t>
      </w:r>
      <w:r w:rsidR="00300D03">
        <w:t>)</w:t>
      </w:r>
      <w:r w:rsidRPr="0016716A">
        <w:t xml:space="preserve"> we published in December 20</w:t>
      </w:r>
      <w:r>
        <w:t>1</w:t>
      </w:r>
      <w:r w:rsidRPr="0016716A">
        <w:t>3.</w:t>
      </w:r>
      <w:r w:rsidR="00B44987">
        <w:rPr>
          <w:rStyle w:val="FootnoteReference"/>
        </w:rPr>
        <w:footnoteReference w:id="10"/>
      </w:r>
      <w:r w:rsidRPr="0016716A">
        <w:t xml:space="preserve">  This </w:t>
      </w:r>
      <w:r w:rsidR="00E25820">
        <w:t>G</w:t>
      </w:r>
      <w:r w:rsidRPr="0016716A">
        <w:t xml:space="preserve">uideline is not binding. However, a </w:t>
      </w:r>
      <w:r w:rsidR="008E538D">
        <w:t>TNSP</w:t>
      </w:r>
      <w:r>
        <w:t xml:space="preserve"> </w:t>
      </w:r>
      <w:r w:rsidRPr="0016716A">
        <w:t xml:space="preserve">must provide reasons to justify any departure from the </w:t>
      </w:r>
      <w:r w:rsidR="00E25820">
        <w:t>G</w:t>
      </w:r>
      <w:r w:rsidRPr="0016716A">
        <w:t xml:space="preserve">uideline. </w:t>
      </w:r>
      <w:r w:rsidR="00E25820">
        <w:t xml:space="preserve">Directlink has adopted the Guideline approach for the return on equity. However, </w:t>
      </w:r>
      <w:r>
        <w:t>Directlink</w:t>
      </w:r>
      <w:r w:rsidRPr="0016716A">
        <w:t xml:space="preserve"> has proposed we depart from the </w:t>
      </w:r>
      <w:r w:rsidR="00E25820">
        <w:t>G</w:t>
      </w:r>
      <w:r w:rsidRPr="0016716A">
        <w:t>uideline</w:t>
      </w:r>
      <w:r w:rsidR="00E25820">
        <w:t xml:space="preserve"> for the return on debt</w:t>
      </w:r>
      <w:r w:rsidRPr="0016716A">
        <w:t xml:space="preserve">. We </w:t>
      </w:r>
      <w:r w:rsidR="00223A20">
        <w:t>are not satisfied that there are sufficient grounds to justify doing so</w:t>
      </w:r>
      <w:r w:rsidRPr="0016716A">
        <w:t xml:space="preserve">. </w:t>
      </w:r>
    </w:p>
    <w:p w:rsidR="004F2F4B" w:rsidRPr="0016716A" w:rsidRDefault="004F2F4B" w:rsidP="004F2F4B">
      <w:r w:rsidRPr="0016716A">
        <w:t xml:space="preserve">Prevailing market conditions for debt and equity heavily influence the rate of return. In our draft decision we pointed out that financial conditions have improved markedly since our </w:t>
      </w:r>
      <w:r w:rsidR="008E4437">
        <w:t>last</w:t>
      </w:r>
      <w:r w:rsidRPr="0016716A">
        <w:t xml:space="preserve"> decision</w:t>
      </w:r>
      <w:r w:rsidR="008E4437">
        <w:t xml:space="preserve"> for Directlink</w:t>
      </w:r>
      <w:r w:rsidRPr="0016716A">
        <w:t xml:space="preserve">,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rate of return.  </w:t>
      </w:r>
    </w:p>
    <w:p w:rsidR="0016716A" w:rsidRDefault="004F2F4B" w:rsidP="008E538D">
      <w:r>
        <w:t>On a more technical level, t</w:t>
      </w:r>
      <w:r w:rsidRPr="0016716A">
        <w:t>he</w:t>
      </w:r>
      <w:r w:rsidR="002C1DA9">
        <w:t xml:space="preserve"> </w:t>
      </w:r>
      <w:r w:rsidR="0016716A" w:rsidRPr="0016716A">
        <w:t xml:space="preserve">key difference between our final decision and </w:t>
      </w:r>
      <w:r w:rsidR="0016716A">
        <w:t>Directlink</w:t>
      </w:r>
      <w:r w:rsidR="0016716A" w:rsidRPr="0016716A">
        <w:t>'s revised proposal</w:t>
      </w:r>
      <w:r>
        <w:t xml:space="preserve"> in relation to </w:t>
      </w:r>
      <w:r w:rsidR="00E25820">
        <w:t xml:space="preserve">the </w:t>
      </w:r>
      <w:r>
        <w:t>rate of return</w:t>
      </w:r>
      <w:r w:rsidR="002C1DA9">
        <w:t xml:space="preserve"> is </w:t>
      </w:r>
      <w:r w:rsidR="0016716A" w:rsidRPr="0016716A">
        <w:t xml:space="preserve">whether to use a </w:t>
      </w:r>
      <w:r w:rsidR="002D3064">
        <w:t xml:space="preserve">forwards or </w:t>
      </w:r>
      <w:r w:rsidR="0016716A" w:rsidRPr="0016716A">
        <w:t xml:space="preserve">backwards looking approach </w:t>
      </w:r>
      <w:r>
        <w:t xml:space="preserve">in transitioning between approaches </w:t>
      </w:r>
      <w:r w:rsidR="0016716A" w:rsidRPr="0016716A">
        <w:t xml:space="preserve">to setting our </w:t>
      </w:r>
      <w:r>
        <w:t xml:space="preserve">estimate </w:t>
      </w:r>
      <w:r w:rsidR="0016716A" w:rsidRPr="0016716A">
        <w:t>of the return on debt</w:t>
      </w:r>
      <w:r w:rsidR="002C1DA9">
        <w:t>.</w:t>
      </w:r>
    </w:p>
    <w:p w:rsidR="00D07894" w:rsidRDefault="00CF4698" w:rsidP="0016716A">
      <w:r>
        <w:t xml:space="preserve">The </w:t>
      </w:r>
      <w:r w:rsidR="00262292">
        <w:t>Guideline</w:t>
      </w:r>
      <w:r>
        <w:t xml:space="preserve"> (and indeed</w:t>
      </w:r>
      <w:r w:rsidR="00A26962">
        <w:t>,</w:t>
      </w:r>
      <w:r w:rsidR="00823B8F" w:rsidRPr="00823B8F">
        <w:t xml:space="preserve"> this decision</w:t>
      </w:r>
      <w:r>
        <w:t xml:space="preserve">) marks a departure from </w:t>
      </w:r>
      <w:r w:rsidR="00262292">
        <w:t>our previous approach to</w:t>
      </w:r>
      <w:r w:rsidR="00262292" w:rsidRPr="00823B8F">
        <w:t xml:space="preserve"> </w:t>
      </w:r>
      <w:r w:rsidR="00823B8F" w:rsidRPr="00823B8F">
        <w:t>estimat</w:t>
      </w:r>
      <w:r w:rsidR="00262292">
        <w:t>ing</w:t>
      </w:r>
      <w:r w:rsidR="00823B8F" w:rsidRPr="00823B8F">
        <w:t xml:space="preserve"> the return on debt. </w:t>
      </w:r>
      <w:r w:rsidR="006B4B87">
        <w:t>W</w:t>
      </w:r>
      <w:r w:rsidR="00823B8F" w:rsidRPr="00823B8F">
        <w:t xml:space="preserve">e have used a gradual, forward looking transition to do so. We set out this transition in the </w:t>
      </w:r>
      <w:r w:rsidR="00B828AF">
        <w:t>G</w:t>
      </w:r>
      <w:r w:rsidR="00823B8F" w:rsidRPr="00823B8F">
        <w:t xml:space="preserve">uideline. </w:t>
      </w:r>
      <w:r w:rsidR="00262292">
        <w:t xml:space="preserve">Our approach to setting the return on debt </w:t>
      </w:r>
      <w:r w:rsidR="00823B8F" w:rsidRPr="00823B8F">
        <w:t xml:space="preserve">received broad support </w:t>
      </w:r>
      <w:r w:rsidR="00A26962">
        <w:t>from</w:t>
      </w:r>
      <w:r w:rsidR="00A26962" w:rsidRPr="00823B8F">
        <w:t xml:space="preserve"> </w:t>
      </w:r>
      <w:r w:rsidR="00823B8F" w:rsidRPr="00823B8F">
        <w:t xml:space="preserve">many stakeholders, including </w:t>
      </w:r>
      <w:r>
        <w:t xml:space="preserve">some </w:t>
      </w:r>
      <w:r w:rsidR="00823B8F" w:rsidRPr="00823B8F">
        <w:t>service providers.</w:t>
      </w:r>
      <w:r w:rsidR="00823B8F" w:rsidRPr="00823B8F">
        <w:rPr>
          <w:rStyle w:val="FootnoteReference"/>
        </w:rPr>
        <w:footnoteReference w:id="11"/>
      </w:r>
      <w:r w:rsidR="00823B8F" w:rsidRPr="00823B8F">
        <w:t xml:space="preserve"> The evidence we have received does not convince us that we should depart from the approach in our </w:t>
      </w:r>
      <w:r w:rsidR="00B828AF">
        <w:t>G</w:t>
      </w:r>
      <w:r w:rsidR="00823B8F" w:rsidRPr="00823B8F">
        <w:t>uideline</w:t>
      </w:r>
      <w:r w:rsidR="00B44987">
        <w:t xml:space="preserve"> </w:t>
      </w:r>
      <w:r>
        <w:t xml:space="preserve">for </w:t>
      </w:r>
      <w:r w:rsidR="00823B8F" w:rsidRPr="00823B8F">
        <w:t>this final decision.</w:t>
      </w:r>
      <w:r w:rsidR="00823B8F" w:rsidRPr="00823B8F">
        <w:rPr>
          <w:rStyle w:val="FootnoteReference"/>
        </w:rPr>
        <w:footnoteReference w:id="12"/>
      </w:r>
    </w:p>
    <w:p w:rsidR="006A243D" w:rsidRPr="006A243D" w:rsidRDefault="00AD07A9" w:rsidP="00C46AE5">
      <w:pPr>
        <w:pStyle w:val="Heading2"/>
      </w:pPr>
      <w:bookmarkStart w:id="28" w:name="_Toc414356928"/>
      <w:bookmarkStart w:id="29" w:name="_Toc414356931"/>
      <w:bookmarkStart w:id="30" w:name="_Toc414356933"/>
      <w:bookmarkStart w:id="31" w:name="_Toc414356934"/>
      <w:bookmarkStart w:id="32" w:name="_Toc414356935"/>
      <w:bookmarkStart w:id="33" w:name="_Toc417987567"/>
      <w:bookmarkEnd w:id="28"/>
      <w:bookmarkEnd w:id="29"/>
      <w:bookmarkEnd w:id="30"/>
      <w:bookmarkEnd w:id="31"/>
      <w:bookmarkEnd w:id="32"/>
      <w:r>
        <w:t>Assessment of options under</w:t>
      </w:r>
      <w:r w:rsidR="006A243D">
        <w:t xml:space="preserve"> the NEO</w:t>
      </w:r>
      <w:bookmarkEnd w:id="33"/>
    </w:p>
    <w:p w:rsidR="006A243D" w:rsidRPr="006A243D" w:rsidRDefault="00300D03" w:rsidP="006A243D">
      <w:pPr>
        <w:numPr>
          <w:ilvl w:val="0"/>
          <w:numId w:val="24"/>
        </w:numPr>
      </w:pPr>
      <w:r>
        <w:t>The NER recognise</w:t>
      </w:r>
      <w:r w:rsidR="005F2F65">
        <w:t>s</w:t>
      </w:r>
      <w:r>
        <w:t xml:space="preserve"> that there may be se</w:t>
      </w:r>
      <w:r w:rsidR="007C023C">
        <w:t xml:space="preserve">veral decisions that contribute to the achievement of the NEO. Our role is to make a decision that </w:t>
      </w:r>
      <w:r w:rsidR="006A243D" w:rsidRPr="006A243D">
        <w:t xml:space="preserve">we are satisfied contributes to the achievement of the NEO to the </w:t>
      </w:r>
      <w:r w:rsidR="006A243D" w:rsidRPr="00CF4698">
        <w:rPr>
          <w:rStyle w:val="AERtextitalic"/>
        </w:rPr>
        <w:t>greatest</w:t>
      </w:r>
      <w:r w:rsidR="006A243D" w:rsidRPr="006A243D">
        <w:t xml:space="preserve"> degree.</w:t>
      </w:r>
      <w:r w:rsidR="00B61F54">
        <w:rPr>
          <w:rStyle w:val="FootnoteReference"/>
        </w:rPr>
        <w:footnoteReference w:id="13"/>
      </w:r>
      <w:r w:rsidR="006A243D" w:rsidRPr="006A243D">
        <w:t xml:space="preserve"> </w:t>
      </w:r>
    </w:p>
    <w:p w:rsidR="006A243D" w:rsidRPr="006A243D" w:rsidRDefault="007C023C" w:rsidP="006A243D">
      <w:pPr>
        <w:numPr>
          <w:ilvl w:val="0"/>
          <w:numId w:val="24"/>
        </w:numPr>
      </w:pPr>
      <w:r>
        <w:t>For at least two reasons, w</w:t>
      </w:r>
      <w:r w:rsidR="006A243D" w:rsidRPr="006A243D">
        <w:t xml:space="preserve">e consider that there </w:t>
      </w:r>
      <w:r>
        <w:t xml:space="preserve">will almost always be several </w:t>
      </w:r>
      <w:r w:rsidR="003A3750">
        <w:t xml:space="preserve">potential </w:t>
      </w:r>
      <w:r w:rsidR="006A243D" w:rsidRPr="006A243D">
        <w:t xml:space="preserve">decisions that might contribute to the achievement of the NEO. </w:t>
      </w:r>
      <w:r>
        <w:t xml:space="preserve">First, </w:t>
      </w:r>
      <w:r w:rsidR="006A243D" w:rsidRPr="006A243D">
        <w:t xml:space="preserve">the NER requires us to </w:t>
      </w:r>
      <w:r w:rsidR="00276163">
        <w:t>make</w:t>
      </w:r>
      <w:r w:rsidR="00276163" w:rsidRPr="006A243D">
        <w:t xml:space="preserve"> </w:t>
      </w:r>
      <w:r w:rsidR="006A243D" w:rsidRPr="006A243D">
        <w:t>forecasts</w:t>
      </w:r>
      <w:r>
        <w:t xml:space="preserve">, which are </w:t>
      </w:r>
      <w:r w:rsidR="006A243D" w:rsidRPr="006A243D">
        <w:t>prediction</w:t>
      </w:r>
      <w:r>
        <w:t>s about</w:t>
      </w:r>
      <w:r w:rsidR="006A243D" w:rsidRPr="006A243D">
        <w:t xml:space="preserve"> unknown future circumstances. As a result, there </w:t>
      </w:r>
      <w:r>
        <w:t xml:space="preserve">will </w:t>
      </w:r>
      <w:r w:rsidR="00CF4698">
        <w:t xml:space="preserve">likely </w:t>
      </w:r>
      <w:r>
        <w:t>always</w:t>
      </w:r>
      <w:r w:rsidR="006A243D" w:rsidRPr="006A243D">
        <w:t xml:space="preserve"> be more than one plausible </w:t>
      </w:r>
      <w:r w:rsidR="00B50051">
        <w:t>forecast</w:t>
      </w:r>
      <w:r w:rsidR="006A243D" w:rsidRPr="006A243D">
        <w:t xml:space="preserve">. </w:t>
      </w:r>
      <w:r>
        <w:t>Second, there is substantial debate amongst s</w:t>
      </w:r>
      <w:r w:rsidR="005863C6">
        <w:t>take</w:t>
      </w:r>
      <w:r>
        <w:t>holders about</w:t>
      </w:r>
      <w:r w:rsidR="006A243D" w:rsidRPr="006A243D">
        <w:t xml:space="preserve"> the costs we must forecast</w:t>
      </w:r>
      <w:r>
        <w:t>, with both sides often supported by expert opinion.</w:t>
      </w:r>
      <w:r w:rsidR="006A243D" w:rsidRPr="006A243D">
        <w:t xml:space="preserve"> As a result, for several components of our decision there </w:t>
      </w:r>
      <w:r w:rsidR="00CF4698">
        <w:t>may be</w:t>
      </w:r>
      <w:r w:rsidR="00CF4698" w:rsidRPr="006A243D">
        <w:t xml:space="preserve"> </w:t>
      </w:r>
      <w:r w:rsidR="006A243D" w:rsidRPr="006A243D">
        <w:t>several plausible answers</w:t>
      </w:r>
      <w:r>
        <w:t xml:space="preserve"> or several point estimates within a range</w:t>
      </w:r>
      <w:r w:rsidR="00B50051">
        <w:t>.</w:t>
      </w:r>
      <w:r w:rsidR="006A243D" w:rsidRPr="006A243D">
        <w:t xml:space="preserve"> </w:t>
      </w:r>
      <w:r>
        <w:t>This</w:t>
      </w:r>
      <w:r w:rsidR="00CF4698">
        <w:t xml:space="preserve"> has the potential to</w:t>
      </w:r>
      <w:r>
        <w:t xml:space="preserve"> create a multitude of potential overall decisions.</w:t>
      </w:r>
      <w:r w:rsidR="006A243D" w:rsidRPr="006A243D">
        <w:t xml:space="preserve"> </w:t>
      </w:r>
      <w:r w:rsidR="00CF4698">
        <w:t xml:space="preserve">In this </w:t>
      </w:r>
      <w:r w:rsidR="00E9409E">
        <w:t>decision</w:t>
      </w:r>
      <w:r w:rsidR="00CF4698">
        <w:t xml:space="preserve"> we have</w:t>
      </w:r>
      <w:r w:rsidR="000D4E12">
        <w:t xml:space="preserve"> approached this from a practical perspective accepting that it is not possible to consider every possible permutation specifically. Where there are several plausible answers, we have</w:t>
      </w:r>
      <w:r w:rsidR="00CF4698">
        <w:t xml:space="preserve"> selected what we are satisfied is the best outcome, under the NEL and NER.</w:t>
      </w:r>
    </w:p>
    <w:p w:rsidR="006A243D" w:rsidRPr="006A243D" w:rsidRDefault="00CF4698" w:rsidP="00A62B7C">
      <w:r>
        <w:t>In many cases, our approach results in an outcome towards the end of the range of options materially favourable to Directlink (for example, our choice of equity beta).</w:t>
      </w:r>
      <w:r w:rsidR="006A243D" w:rsidRPr="006A243D">
        <w:t xml:space="preserve"> </w:t>
      </w:r>
      <w:r w:rsidR="00276163">
        <w:t>While i</w:t>
      </w:r>
      <w:r w:rsidR="006A243D" w:rsidRPr="006A243D">
        <w:t xml:space="preserve">t can be difficult to quantify the exact revenue impact of these </w:t>
      </w:r>
      <w:r w:rsidR="00B61F54">
        <w:t xml:space="preserve">individual </w:t>
      </w:r>
      <w:r w:rsidR="006A243D" w:rsidRPr="006A243D">
        <w:t>decisions</w:t>
      </w:r>
      <w:r w:rsidR="00276163">
        <w:t xml:space="preserve">, </w:t>
      </w:r>
      <w:r w:rsidR="006A243D" w:rsidRPr="006A243D">
        <w:t xml:space="preserve">we have </w:t>
      </w:r>
      <w:r w:rsidR="00B61F54">
        <w:t xml:space="preserve">identified where we have done so in our </w:t>
      </w:r>
      <w:r w:rsidR="003A3750">
        <w:t>A</w:t>
      </w:r>
      <w:r w:rsidR="00B61F54">
        <w:t>ttachments</w:t>
      </w:r>
      <w:r w:rsidR="006A243D" w:rsidRPr="006A243D">
        <w:t>. Some of these decisions include:</w:t>
      </w:r>
    </w:p>
    <w:p w:rsidR="006A243D" w:rsidRPr="006A243D" w:rsidRDefault="006A243D" w:rsidP="00C46AE5">
      <w:pPr>
        <w:pStyle w:val="AERbulletlistfirststyle"/>
      </w:pPr>
      <w:r w:rsidRPr="006A243D">
        <w:t xml:space="preserve">selecting </w:t>
      </w:r>
      <w:r w:rsidR="003A3750">
        <w:t>at</w:t>
      </w:r>
      <w:r w:rsidR="003A3750" w:rsidRPr="006A243D">
        <w:t xml:space="preserve"> </w:t>
      </w:r>
      <w:r w:rsidRPr="006A243D">
        <w:t>the top of the range for the equity beta</w:t>
      </w:r>
    </w:p>
    <w:p w:rsidR="006A243D" w:rsidRPr="006A243D" w:rsidRDefault="006A243D" w:rsidP="00C46AE5">
      <w:pPr>
        <w:pStyle w:val="AERbulletlistfirststyle"/>
      </w:pPr>
      <w:r w:rsidRPr="006A243D">
        <w:t>setting the return on debt by reference to data for a BBB broad band credit rating, when the benchmark is BBB+</w:t>
      </w:r>
    </w:p>
    <w:p w:rsidR="006A243D" w:rsidRPr="006A243D" w:rsidRDefault="006A243D" w:rsidP="00C46AE5">
      <w:pPr>
        <w:pStyle w:val="AERbulletlistfirststyle"/>
      </w:pPr>
      <w:r w:rsidRPr="006A243D">
        <w:t>the cash flow timing assumptions in the post-tax revenue model</w:t>
      </w:r>
      <w:r w:rsidR="003A3750">
        <w:t xml:space="preserve"> (PTRM)</w:t>
      </w:r>
      <w:r w:rsidR="008D63D6">
        <w:t>.</w:t>
      </w:r>
    </w:p>
    <w:p w:rsidR="00CF4698" w:rsidRDefault="00CF4698" w:rsidP="00A62B7C">
      <w:r w:rsidRPr="00CF4698">
        <w:t xml:space="preserve">We set out our </w:t>
      </w:r>
      <w:r w:rsidR="00063EA8">
        <w:t xml:space="preserve">detailed </w:t>
      </w:r>
      <w:r w:rsidRPr="00CF4698">
        <w:t xml:space="preserve">reasons in the </w:t>
      </w:r>
      <w:r w:rsidR="003A3750">
        <w:t>A</w:t>
      </w:r>
      <w:r w:rsidRPr="00CF4698">
        <w:t xml:space="preserve">ttachments. They demonstrate that the constituent components of our decision comply with the NER's requirements. At an overall level our decision reflects the key reasons set out above, which indicate that Directlink should recover less revenue </w:t>
      </w:r>
      <w:r w:rsidR="003A3750">
        <w:t xml:space="preserve">from customers </w:t>
      </w:r>
      <w:r w:rsidRPr="00CF4698">
        <w:t>tha</w:t>
      </w:r>
      <w:r w:rsidR="003A3750">
        <w:t>n</w:t>
      </w:r>
      <w:r w:rsidRPr="00CF4698">
        <w:t xml:space="preserve"> it has proposed. Our decision reflects these at both the constituent component and overall revenue levels. </w:t>
      </w:r>
    </w:p>
    <w:p w:rsidR="00966F03" w:rsidRPr="00CF4698" w:rsidRDefault="00966F03" w:rsidP="00A62B7C">
      <w:r>
        <w:t>Given our approach, we are satisfied that our decision will or is likely to contribute to the achievement of the NEO to the greatest degree.</w:t>
      </w:r>
    </w:p>
    <w:p w:rsidR="00E2574F" w:rsidRDefault="00E2574F" w:rsidP="00E2574F">
      <w:pPr>
        <w:pStyle w:val="Heading2"/>
      </w:pPr>
      <w:bookmarkStart w:id="34" w:name="_Toc415740899"/>
      <w:bookmarkStart w:id="35" w:name="_Toc415816066"/>
      <w:bookmarkStart w:id="36" w:name="_Toc415816067"/>
      <w:bookmarkStart w:id="37" w:name="_Toc415816068"/>
      <w:bookmarkStart w:id="38" w:name="_Toc411428015"/>
      <w:bookmarkStart w:id="39" w:name="_Toc417987568"/>
      <w:bookmarkStart w:id="40" w:name="_Toc409422585"/>
      <w:bookmarkEnd w:id="34"/>
      <w:bookmarkEnd w:id="35"/>
      <w:bookmarkEnd w:id="36"/>
      <w:bookmarkEnd w:id="37"/>
      <w:r>
        <w:t xml:space="preserve">Structure of </w:t>
      </w:r>
      <w:bookmarkEnd w:id="38"/>
      <w:r w:rsidR="00D97379">
        <w:t>the overview</w:t>
      </w:r>
      <w:bookmarkEnd w:id="39"/>
    </w:p>
    <w:p w:rsidR="00E2574F" w:rsidRDefault="00D97379" w:rsidP="00E2574F">
      <w:r>
        <w:t>The remainder of this overview</w:t>
      </w:r>
      <w:r w:rsidR="00E2574F">
        <w:t xml:space="preserve"> is structured as follows:</w:t>
      </w:r>
    </w:p>
    <w:p w:rsidR="00E2574F" w:rsidRDefault="00E2574F" w:rsidP="00E2574F">
      <w:pPr>
        <w:pStyle w:val="AERbulletlistfirststyle"/>
      </w:pPr>
      <w:r>
        <w:t xml:space="preserve">Section </w:t>
      </w:r>
      <w:r w:rsidR="00223051">
        <w:fldChar w:fldCharType="begin"/>
      </w:r>
      <w:r w:rsidR="00223051">
        <w:instrText xml:space="preserve"> REF _Ref411507029 \r \h </w:instrText>
      </w:r>
      <w:r w:rsidR="00223051">
        <w:fldChar w:fldCharType="separate"/>
      </w:r>
      <w:r w:rsidR="00EB67D6">
        <w:t>2</w:t>
      </w:r>
      <w:r w:rsidR="00223051">
        <w:fldChar w:fldCharType="end"/>
      </w:r>
      <w:r>
        <w:t xml:space="preserve"> sets out </w:t>
      </w:r>
      <w:r w:rsidR="00D97379">
        <w:t>the key constituent components making up our final decision</w:t>
      </w:r>
    </w:p>
    <w:p w:rsidR="00690661" w:rsidRDefault="00690661" w:rsidP="00E2574F">
      <w:pPr>
        <w:pStyle w:val="AERbulletlistfirststyle"/>
      </w:pPr>
      <w:r>
        <w:t xml:space="preserve">Section </w:t>
      </w:r>
      <w:r>
        <w:fldChar w:fldCharType="begin"/>
      </w:r>
      <w:r>
        <w:instrText xml:space="preserve"> REF _Ref416173995 \r \h </w:instrText>
      </w:r>
      <w:r>
        <w:fldChar w:fldCharType="separate"/>
      </w:r>
      <w:r w:rsidR="00EB67D6">
        <w:t>3</w:t>
      </w:r>
      <w:r>
        <w:fldChar w:fldCharType="end"/>
      </w:r>
      <w:r>
        <w:t xml:space="preserve"> sets out our decision on the incentive schemes that will apply to Directlink</w:t>
      </w:r>
    </w:p>
    <w:p w:rsidR="00E2574F" w:rsidRDefault="00E2574F" w:rsidP="00E2574F">
      <w:pPr>
        <w:pStyle w:val="AERbulletlistfirststyle"/>
      </w:pPr>
      <w:r>
        <w:t xml:space="preserve">Section </w:t>
      </w:r>
      <w:r w:rsidR="00223051">
        <w:fldChar w:fldCharType="begin"/>
      </w:r>
      <w:r w:rsidR="00223051">
        <w:instrText xml:space="preserve"> REF _Ref411507041 \r \h </w:instrText>
      </w:r>
      <w:r w:rsidR="00223051">
        <w:fldChar w:fldCharType="separate"/>
      </w:r>
      <w:r w:rsidR="00EB67D6">
        <w:t>4</w:t>
      </w:r>
      <w:r w:rsidR="00223051">
        <w:fldChar w:fldCharType="end"/>
      </w:r>
      <w:r>
        <w:t xml:space="preserve"> </w:t>
      </w:r>
      <w:r w:rsidR="00D97379">
        <w:t>explains our views on the regulatory framework</w:t>
      </w:r>
    </w:p>
    <w:p w:rsidR="00E2574F" w:rsidRDefault="00E2574F" w:rsidP="00E2574F">
      <w:pPr>
        <w:pStyle w:val="AERbulletlistfirststyle"/>
      </w:pPr>
      <w:r>
        <w:t xml:space="preserve">Section </w:t>
      </w:r>
      <w:r w:rsidR="00223051">
        <w:fldChar w:fldCharType="begin"/>
      </w:r>
      <w:r w:rsidR="00223051">
        <w:instrText xml:space="preserve"> REF _Ref411507049 \r \h </w:instrText>
      </w:r>
      <w:r w:rsidR="00223051">
        <w:fldChar w:fldCharType="separate"/>
      </w:r>
      <w:r w:rsidR="00EB67D6">
        <w:t>5</w:t>
      </w:r>
      <w:r w:rsidR="00223051">
        <w:fldChar w:fldCharType="end"/>
      </w:r>
      <w:r>
        <w:t xml:space="preserve"> </w:t>
      </w:r>
      <w:r w:rsidR="00D97379">
        <w:t>outlines the process we undertook in reaching our final decision</w:t>
      </w:r>
      <w:r w:rsidR="00111266">
        <w:t>.</w:t>
      </w:r>
    </w:p>
    <w:p w:rsidR="008F3A0D" w:rsidRPr="008F3A0D" w:rsidRDefault="008F3A0D" w:rsidP="008F3A0D">
      <w:pPr>
        <w:pStyle w:val="Heading1"/>
      </w:pPr>
      <w:bookmarkStart w:id="41" w:name="_Toc409638420"/>
      <w:bookmarkStart w:id="42" w:name="_Toc410815344"/>
      <w:bookmarkStart w:id="43" w:name="_Toc410818096"/>
      <w:bookmarkStart w:id="44" w:name="_Toc409638421"/>
      <w:bookmarkStart w:id="45" w:name="_Toc410815345"/>
      <w:bookmarkStart w:id="46" w:name="_Toc410818097"/>
      <w:bookmarkStart w:id="47" w:name="_Toc409638422"/>
      <w:bookmarkStart w:id="48" w:name="_Toc410815346"/>
      <w:bookmarkStart w:id="49" w:name="_Toc410818098"/>
      <w:bookmarkStart w:id="50" w:name="_Toc402794974"/>
      <w:bookmarkStart w:id="51" w:name="_Toc402795062"/>
      <w:bookmarkStart w:id="52" w:name="_Toc402869224"/>
      <w:bookmarkStart w:id="53" w:name="_Toc415740908"/>
      <w:bookmarkStart w:id="54" w:name="_Toc415816075"/>
      <w:bookmarkStart w:id="55" w:name="_Toc415740910"/>
      <w:bookmarkStart w:id="56" w:name="_Toc415816077"/>
      <w:bookmarkStart w:id="57" w:name="_Toc415740911"/>
      <w:bookmarkStart w:id="58" w:name="_Toc415816078"/>
      <w:bookmarkStart w:id="59" w:name="_Toc414356947"/>
      <w:bookmarkStart w:id="60" w:name="_Toc415740914"/>
      <w:bookmarkStart w:id="61" w:name="_Toc415816081"/>
      <w:bookmarkStart w:id="62" w:name="_Toc414356948"/>
      <w:bookmarkStart w:id="63" w:name="_Toc415740915"/>
      <w:bookmarkStart w:id="64" w:name="_Toc415816082"/>
      <w:bookmarkStart w:id="65" w:name="_Toc404437124"/>
      <w:bookmarkStart w:id="66" w:name="_Ref411507029"/>
      <w:bookmarkStart w:id="67" w:name="_Toc417987569"/>
      <w:bookmarkStart w:id="68" w:name="_Ref409434592"/>
      <w:bookmarkStart w:id="69" w:name="_Ref409434609"/>
      <w:bookmarkStart w:id="70" w:name="_Toc411428024"/>
      <w:bookmarkStart w:id="71" w:name="_Toc40443710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F3A0D">
        <w:t>Key elements of the building blocks</w:t>
      </w:r>
      <w:bookmarkEnd w:id="65"/>
      <w:bookmarkEnd w:id="66"/>
      <w:bookmarkEnd w:id="67"/>
      <w:r w:rsidRPr="008F3A0D">
        <w:t xml:space="preserve"> </w:t>
      </w:r>
      <w:bookmarkEnd w:id="68"/>
      <w:bookmarkEnd w:id="69"/>
      <w:bookmarkEnd w:id="70"/>
    </w:p>
    <w:p w:rsidR="00E7266D" w:rsidRDefault="00E7266D" w:rsidP="00565402">
      <w:bookmarkStart w:id="72" w:name="_Toc404437125"/>
      <w:bookmarkStart w:id="73" w:name="_Toc411428025"/>
      <w:r>
        <w:t xml:space="preserve">The constituent components of our decision include the building blocks we use to determine </w:t>
      </w:r>
      <w:r w:rsidR="00655528">
        <w:t xml:space="preserve">the revenue Directlink </w:t>
      </w:r>
      <w:r w:rsidR="00B3555A">
        <w:t xml:space="preserve">may </w:t>
      </w:r>
      <w:r w:rsidR="000D4D2B">
        <w:t>recover from its customers</w:t>
      </w:r>
      <w:r>
        <w:t>.</w:t>
      </w:r>
      <w:r w:rsidR="00655528">
        <w:rPr>
          <w:rStyle w:val="FootnoteReference"/>
        </w:rPr>
        <w:footnoteReference w:id="14"/>
      </w:r>
    </w:p>
    <w:bookmarkEnd w:id="72"/>
    <w:bookmarkEnd w:id="73"/>
    <w:p w:rsidR="00565402" w:rsidRDefault="00CB4BB1" w:rsidP="00565402">
      <w:r>
        <w:t>I</w:t>
      </w:r>
      <w:r w:rsidR="00565402">
        <w:t xml:space="preserve">n setting our </w:t>
      </w:r>
      <w:r w:rsidR="00276163">
        <w:t xml:space="preserve">overall </w:t>
      </w:r>
      <w:r w:rsidR="00565402">
        <w:t>revenue for Directlink of $</w:t>
      </w:r>
      <w:r w:rsidR="00AC33C8">
        <w:t>68.7</w:t>
      </w:r>
      <w:r w:rsidR="00565402">
        <w:t> million ($ nominal) for the 2015–20 regulatory control period we:</w:t>
      </w:r>
    </w:p>
    <w:p w:rsidR="00565402" w:rsidRPr="00565402" w:rsidRDefault="00565402" w:rsidP="00565402">
      <w:pPr>
        <w:pStyle w:val="AERbulletlistfirststyle"/>
        <w:rPr>
          <w:rStyle w:val="AERbody"/>
        </w:rPr>
      </w:pPr>
      <w:proofErr w:type="gramStart"/>
      <w:r w:rsidRPr="00EE5F0C">
        <w:rPr>
          <w:rStyle w:val="AERbody"/>
        </w:rPr>
        <w:t>apply</w:t>
      </w:r>
      <w:proofErr w:type="gramEnd"/>
      <w:r w:rsidRPr="00EE5F0C">
        <w:rPr>
          <w:rStyle w:val="AERbody"/>
        </w:rPr>
        <w:t xml:space="preserve"> relevant tests under the NER, the assessment methods and tools developed as part of our Better Regulation guidelines</w:t>
      </w:r>
      <w:r w:rsidR="00F878E0">
        <w:rPr>
          <w:rStyle w:val="FootnoteReference"/>
        </w:rPr>
        <w:footnoteReference w:id="15"/>
      </w:r>
      <w:r w:rsidR="00276163">
        <w:rPr>
          <w:rStyle w:val="AERbody"/>
        </w:rPr>
        <w:t xml:space="preserve"> (see section </w:t>
      </w:r>
      <w:r w:rsidR="00276163">
        <w:rPr>
          <w:rStyle w:val="AERbody"/>
        </w:rPr>
        <w:fldChar w:fldCharType="begin"/>
      </w:r>
      <w:r w:rsidR="00276163">
        <w:rPr>
          <w:rStyle w:val="AERbody"/>
        </w:rPr>
        <w:instrText xml:space="preserve"> REF _Ref399959548 \r \h </w:instrText>
      </w:r>
      <w:r w:rsidR="00276163">
        <w:rPr>
          <w:rStyle w:val="AERbody"/>
        </w:rPr>
      </w:r>
      <w:r w:rsidR="00276163">
        <w:rPr>
          <w:rStyle w:val="AERbody"/>
        </w:rPr>
        <w:fldChar w:fldCharType="separate"/>
      </w:r>
      <w:r w:rsidR="00EB67D6">
        <w:rPr>
          <w:rStyle w:val="AERbody"/>
        </w:rPr>
        <w:t>5.1</w:t>
      </w:r>
      <w:r w:rsidR="00276163">
        <w:rPr>
          <w:rStyle w:val="AERbody"/>
        </w:rPr>
        <w:fldChar w:fldCharType="end"/>
      </w:r>
      <w:r w:rsidR="00276163">
        <w:rPr>
          <w:rStyle w:val="AERbody"/>
        </w:rPr>
        <w:t>)</w:t>
      </w:r>
      <w:r w:rsidR="00DA623D">
        <w:rPr>
          <w:rStyle w:val="AERbody"/>
        </w:rPr>
        <w:t xml:space="preserve">. We also </w:t>
      </w:r>
      <w:r w:rsidRPr="00565402">
        <w:rPr>
          <w:rStyle w:val="AERbody"/>
        </w:rPr>
        <w:t>consider information provided by Directlink</w:t>
      </w:r>
      <w:r w:rsidR="00276163">
        <w:rPr>
          <w:rStyle w:val="AERbody"/>
        </w:rPr>
        <w:t xml:space="preserve">, </w:t>
      </w:r>
      <w:r w:rsidRPr="00565402">
        <w:rPr>
          <w:rStyle w:val="AERbody"/>
        </w:rPr>
        <w:t xml:space="preserve">our consultants and </w:t>
      </w:r>
      <w:r w:rsidR="00276163">
        <w:rPr>
          <w:rStyle w:val="AERbody"/>
        </w:rPr>
        <w:t>stakeholder submissions.</w:t>
      </w:r>
    </w:p>
    <w:p w:rsidR="00565402" w:rsidRDefault="00565402" w:rsidP="00565402">
      <w:pPr>
        <w:pStyle w:val="AERbulletlistfirststyle"/>
        <w:rPr>
          <w:rStyle w:val="AERbody"/>
        </w:rPr>
      </w:pPr>
      <w:proofErr w:type="gramStart"/>
      <w:r w:rsidRPr="00EE5F0C">
        <w:rPr>
          <w:rStyle w:val="AERbody"/>
        </w:rPr>
        <w:t>consider</w:t>
      </w:r>
      <w:proofErr w:type="gramEnd"/>
      <w:r w:rsidRPr="00EE5F0C">
        <w:rPr>
          <w:rStyle w:val="AERbody"/>
        </w:rPr>
        <w:t xml:space="preserve"> our </w:t>
      </w:r>
      <w:r w:rsidR="009C6A7D">
        <w:rPr>
          <w:rStyle w:val="AERbody"/>
        </w:rPr>
        <w:t xml:space="preserve">forecast </w:t>
      </w:r>
      <w:r w:rsidR="00655528">
        <w:rPr>
          <w:rStyle w:val="AERbody"/>
        </w:rPr>
        <w:t>revenue</w:t>
      </w:r>
      <w:r w:rsidRPr="00EE5F0C">
        <w:rPr>
          <w:rStyle w:val="AERbody"/>
        </w:rPr>
        <w:t xml:space="preserve"> against section 16 of the NEL, including the constituent </w:t>
      </w:r>
      <w:r w:rsidRPr="00565402">
        <w:rPr>
          <w:rStyle w:val="AERbody"/>
        </w:rPr>
        <w:t>components and the interrelationships we discussed in section</w:t>
      </w:r>
      <w:r w:rsidR="00A56F4C">
        <w:rPr>
          <w:rStyle w:val="AERbody"/>
        </w:rPr>
        <w:t xml:space="preserve">s </w:t>
      </w:r>
      <w:r w:rsidR="00A56F4C">
        <w:rPr>
          <w:rStyle w:val="AERbody"/>
        </w:rPr>
        <w:fldChar w:fldCharType="begin"/>
      </w:r>
      <w:r w:rsidR="00A56F4C">
        <w:rPr>
          <w:rStyle w:val="AERbody"/>
        </w:rPr>
        <w:instrText xml:space="preserve"> REF _Ref415823326 \r \h </w:instrText>
      </w:r>
      <w:r w:rsidR="00A56F4C">
        <w:rPr>
          <w:rStyle w:val="AERbody"/>
        </w:rPr>
      </w:r>
      <w:r w:rsidR="00A56F4C">
        <w:rPr>
          <w:rStyle w:val="AERbody"/>
        </w:rPr>
        <w:fldChar w:fldCharType="separate"/>
      </w:r>
      <w:r w:rsidR="00EB67D6">
        <w:rPr>
          <w:rStyle w:val="AERbody"/>
        </w:rPr>
        <w:t>1</w:t>
      </w:r>
      <w:r w:rsidR="00A56F4C">
        <w:rPr>
          <w:rStyle w:val="AERbody"/>
        </w:rPr>
        <w:fldChar w:fldCharType="end"/>
      </w:r>
      <w:r w:rsidR="00A56F4C">
        <w:rPr>
          <w:rStyle w:val="AERbody"/>
        </w:rPr>
        <w:t xml:space="preserve"> and </w:t>
      </w:r>
      <w:r w:rsidR="00A56F4C">
        <w:rPr>
          <w:rStyle w:val="AERbody"/>
        </w:rPr>
        <w:fldChar w:fldCharType="begin"/>
      </w:r>
      <w:r w:rsidR="00A56F4C">
        <w:rPr>
          <w:rStyle w:val="AERbody"/>
        </w:rPr>
        <w:instrText xml:space="preserve"> REF _Ref416279522 \r \h </w:instrText>
      </w:r>
      <w:r w:rsidR="00A56F4C">
        <w:rPr>
          <w:rStyle w:val="AERbody"/>
        </w:rPr>
      </w:r>
      <w:r w:rsidR="00A56F4C">
        <w:rPr>
          <w:rStyle w:val="AERbody"/>
        </w:rPr>
        <w:fldChar w:fldCharType="separate"/>
      </w:r>
      <w:r w:rsidR="00EB67D6">
        <w:rPr>
          <w:rStyle w:val="AERbody"/>
        </w:rPr>
        <w:t>4</w:t>
      </w:r>
      <w:r w:rsidR="00A56F4C">
        <w:rPr>
          <w:rStyle w:val="AERbody"/>
        </w:rPr>
        <w:fldChar w:fldCharType="end"/>
      </w:r>
      <w:r w:rsidRPr="00565402">
        <w:rPr>
          <w:rStyle w:val="AERbody"/>
        </w:rPr>
        <w:t>.</w:t>
      </w:r>
    </w:p>
    <w:p w:rsidR="001C7B28" w:rsidRDefault="00EA2264" w:rsidP="00E7266D">
      <w:pPr>
        <w:rPr>
          <w:rStyle w:val="AERbody"/>
        </w:rPr>
      </w:pPr>
      <w:r>
        <w:rPr>
          <w:rStyle w:val="AERbody"/>
        </w:rPr>
        <w:fldChar w:fldCharType="begin"/>
      </w:r>
      <w:r>
        <w:rPr>
          <w:rStyle w:val="AERbody"/>
        </w:rPr>
        <w:instrText xml:space="preserve"> REF _Ref415820784 \h </w:instrText>
      </w:r>
      <w:r>
        <w:rPr>
          <w:rStyle w:val="AERbody"/>
        </w:rPr>
      </w:r>
      <w:r>
        <w:rPr>
          <w:rStyle w:val="AERbody"/>
        </w:rPr>
        <w:fldChar w:fldCharType="separate"/>
      </w:r>
      <w:r w:rsidR="00EB67D6">
        <w:t xml:space="preserve">Figure </w:t>
      </w:r>
      <w:r w:rsidR="00EB67D6">
        <w:rPr>
          <w:noProof/>
        </w:rPr>
        <w:t>3</w:t>
      </w:r>
      <w:r>
        <w:rPr>
          <w:rStyle w:val="AERbody"/>
        </w:rPr>
        <w:fldChar w:fldCharType="end"/>
      </w:r>
      <w:r>
        <w:rPr>
          <w:rStyle w:val="AERbody"/>
        </w:rPr>
        <w:t xml:space="preserve"> </w:t>
      </w:r>
      <w:r w:rsidR="001C7B28">
        <w:rPr>
          <w:rStyle w:val="AERbody"/>
        </w:rPr>
        <w:t xml:space="preserve">and </w:t>
      </w:r>
      <w:r>
        <w:rPr>
          <w:rStyle w:val="AERbody"/>
        </w:rPr>
        <w:fldChar w:fldCharType="begin"/>
      </w:r>
      <w:r>
        <w:rPr>
          <w:rStyle w:val="AERbody"/>
        </w:rPr>
        <w:instrText xml:space="preserve"> REF _Ref415820815 \h </w:instrText>
      </w:r>
      <w:r>
        <w:rPr>
          <w:rStyle w:val="AERbody"/>
        </w:rPr>
      </w:r>
      <w:r>
        <w:rPr>
          <w:rStyle w:val="AERbody"/>
        </w:rPr>
        <w:fldChar w:fldCharType="separate"/>
      </w:r>
      <w:r w:rsidR="00EB67D6">
        <w:t xml:space="preserve">Table </w:t>
      </w:r>
      <w:r w:rsidR="00EB67D6">
        <w:rPr>
          <w:noProof/>
        </w:rPr>
        <w:t>1</w:t>
      </w:r>
      <w:r>
        <w:rPr>
          <w:rStyle w:val="AERbody"/>
        </w:rPr>
        <w:fldChar w:fldCharType="end"/>
      </w:r>
      <w:r>
        <w:rPr>
          <w:rStyle w:val="AERbody"/>
        </w:rPr>
        <w:t xml:space="preserve"> </w:t>
      </w:r>
      <w:r w:rsidR="001C7B28">
        <w:rPr>
          <w:rStyle w:val="AERbody"/>
        </w:rPr>
        <w:t>show our final decision on Directlink's revenues and the contribution of each building block.</w:t>
      </w:r>
    </w:p>
    <w:p w:rsidR="001C7B28" w:rsidRDefault="001C7B28" w:rsidP="001C7B28">
      <w:pPr>
        <w:pStyle w:val="Caption"/>
      </w:pPr>
      <w:bookmarkStart w:id="74" w:name="_Ref415820784"/>
      <w:r>
        <w:t xml:space="preserve">Figure </w:t>
      </w:r>
      <w:fldSimple w:instr=" SEQ Figure \* ARABIC ">
        <w:r w:rsidR="00EB67D6">
          <w:rPr>
            <w:noProof/>
          </w:rPr>
          <w:t>3</w:t>
        </w:r>
      </w:fldSimple>
      <w:bookmarkEnd w:id="74"/>
      <w:r>
        <w:tab/>
      </w:r>
      <w:r w:rsidRPr="00606CDC">
        <w:t xml:space="preserve">AER's </w:t>
      </w:r>
      <w:r>
        <w:t>final</w:t>
      </w:r>
      <w:r w:rsidRPr="00606CDC">
        <w:t xml:space="preserve"> decision and </w:t>
      </w:r>
      <w:r>
        <w:t>Directlink's</w:t>
      </w:r>
      <w:r w:rsidRPr="00606CDC">
        <w:t xml:space="preserve"> proposed annual building block costs </w:t>
      </w:r>
      <w:r>
        <w:t xml:space="preserve">($ million, </w:t>
      </w:r>
      <w:r w:rsidRPr="00606CDC">
        <w:t>201</w:t>
      </w:r>
      <w:r w:rsidR="0080315A">
        <w:t>4</w:t>
      </w:r>
      <w:r w:rsidRPr="00606CDC">
        <w:t>–1</w:t>
      </w:r>
      <w:r w:rsidR="0080315A">
        <w:t>5</w:t>
      </w:r>
      <w:r w:rsidRPr="00606CDC">
        <w:t>)</w:t>
      </w:r>
    </w:p>
    <w:p w:rsidR="001C7B28" w:rsidRPr="000B5711" w:rsidRDefault="00AC33C8" w:rsidP="00AC33C8">
      <w:pPr>
        <w:numPr>
          <w:ilvl w:val="0"/>
          <w:numId w:val="24"/>
        </w:numPr>
      </w:pPr>
      <w:r w:rsidRPr="00AC33C8">
        <w:rPr>
          <w:noProof/>
          <w:lang w:eastAsia="en-AU"/>
        </w:rPr>
        <w:drawing>
          <wp:inline distT="0" distB="0" distL="0" distR="0" wp14:anchorId="79D8B294" wp14:editId="0947D62C">
            <wp:extent cx="5176299" cy="3684852"/>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6165" cy="3684757"/>
                    </a:xfrm>
                    <a:prstGeom prst="rect">
                      <a:avLst/>
                    </a:prstGeom>
                    <a:noFill/>
                    <a:ln>
                      <a:noFill/>
                    </a:ln>
                  </pic:spPr>
                </pic:pic>
              </a:graphicData>
            </a:graphic>
          </wp:inline>
        </w:drawing>
      </w:r>
    </w:p>
    <w:p w:rsidR="001C7B28" w:rsidRDefault="001C7B28" w:rsidP="001C7B28">
      <w:pPr>
        <w:pStyle w:val="AERtablesource"/>
      </w:pPr>
      <w:r>
        <w:t>Source:</w:t>
      </w:r>
      <w:r>
        <w:tab/>
        <w:t>AER analysis.</w:t>
      </w:r>
    </w:p>
    <w:p w:rsidR="001C7B28" w:rsidRPr="003D3763" w:rsidRDefault="001C7B28" w:rsidP="001C7B28">
      <w:pPr>
        <w:pStyle w:val="Caption"/>
        <w:rPr>
          <w:rStyle w:val="Strong"/>
        </w:rPr>
      </w:pPr>
      <w:bookmarkStart w:id="75" w:name="_Ref415820815"/>
      <w:r>
        <w:t xml:space="preserve">Table </w:t>
      </w:r>
      <w:fldSimple w:instr=" SEQ Table \* ARABIC ">
        <w:r w:rsidR="00EB67D6">
          <w:rPr>
            <w:noProof/>
          </w:rPr>
          <w:t>1</w:t>
        </w:r>
      </w:fldSimple>
      <w:bookmarkEnd w:id="75"/>
      <w:r>
        <w:tab/>
        <w:t>AER's final decision on Directlink's revenues ($ million, nominal)</w:t>
      </w:r>
    </w:p>
    <w:tbl>
      <w:tblPr>
        <w:tblStyle w:val="AERtable-text0"/>
        <w:tblW w:w="0" w:type="auto"/>
        <w:tblLook w:val="04A0" w:firstRow="1" w:lastRow="0" w:firstColumn="1" w:lastColumn="0" w:noHBand="0" w:noVBand="1"/>
      </w:tblPr>
      <w:tblGrid>
        <w:gridCol w:w="2922"/>
        <w:gridCol w:w="961"/>
        <w:gridCol w:w="962"/>
        <w:gridCol w:w="962"/>
        <w:gridCol w:w="962"/>
        <w:gridCol w:w="962"/>
        <w:gridCol w:w="962"/>
      </w:tblGrid>
      <w:tr w:rsidR="0080315A" w:rsidRPr="0080315A" w:rsidTr="0080315A">
        <w:trPr>
          <w:cnfStyle w:val="100000000000" w:firstRow="1" w:lastRow="0" w:firstColumn="0" w:lastColumn="0" w:oddVBand="0" w:evenVBand="0" w:oddHBand="0" w:evenHBand="0" w:firstRowFirstColumn="0" w:firstRowLastColumn="0" w:lastRowFirstColumn="0" w:lastRowLastColumn="0"/>
        </w:trPr>
        <w:tc>
          <w:tcPr>
            <w:tcW w:w="2922" w:type="dxa"/>
          </w:tcPr>
          <w:p w:rsidR="0080315A" w:rsidRPr="005B0401" w:rsidRDefault="0080315A" w:rsidP="005B0401">
            <w:bookmarkStart w:id="76" w:name="_Toc404433427"/>
          </w:p>
        </w:tc>
        <w:tc>
          <w:tcPr>
            <w:tcW w:w="961" w:type="dxa"/>
          </w:tcPr>
          <w:p w:rsidR="0080315A" w:rsidRPr="005B0401" w:rsidRDefault="0080315A" w:rsidP="00D52A87">
            <w:pPr>
              <w:jc w:val="right"/>
            </w:pPr>
            <w:r w:rsidRPr="005B0401">
              <w:t>2015–16</w:t>
            </w:r>
          </w:p>
        </w:tc>
        <w:tc>
          <w:tcPr>
            <w:tcW w:w="962" w:type="dxa"/>
          </w:tcPr>
          <w:p w:rsidR="0080315A" w:rsidRPr="005B0401" w:rsidRDefault="0080315A" w:rsidP="00D52A87">
            <w:pPr>
              <w:jc w:val="right"/>
            </w:pPr>
            <w:r w:rsidRPr="005B0401">
              <w:t>2016–17</w:t>
            </w:r>
          </w:p>
        </w:tc>
        <w:tc>
          <w:tcPr>
            <w:tcW w:w="962" w:type="dxa"/>
          </w:tcPr>
          <w:p w:rsidR="0080315A" w:rsidRPr="005B0401" w:rsidRDefault="0080315A" w:rsidP="00D52A87">
            <w:pPr>
              <w:jc w:val="right"/>
            </w:pPr>
            <w:r w:rsidRPr="005B0401">
              <w:t>2017–18</w:t>
            </w:r>
          </w:p>
        </w:tc>
        <w:tc>
          <w:tcPr>
            <w:tcW w:w="962" w:type="dxa"/>
          </w:tcPr>
          <w:p w:rsidR="0080315A" w:rsidRPr="005B0401" w:rsidRDefault="0080315A" w:rsidP="00D52A87">
            <w:pPr>
              <w:jc w:val="right"/>
            </w:pPr>
            <w:r w:rsidRPr="005B0401">
              <w:t>2018–19</w:t>
            </w:r>
          </w:p>
        </w:tc>
        <w:tc>
          <w:tcPr>
            <w:tcW w:w="962" w:type="dxa"/>
          </w:tcPr>
          <w:p w:rsidR="0080315A" w:rsidRPr="005B0401" w:rsidRDefault="0080315A" w:rsidP="00D52A87">
            <w:pPr>
              <w:jc w:val="right"/>
            </w:pPr>
            <w:r w:rsidRPr="005B0401">
              <w:t>2019-20</w:t>
            </w:r>
          </w:p>
        </w:tc>
        <w:tc>
          <w:tcPr>
            <w:tcW w:w="962" w:type="dxa"/>
          </w:tcPr>
          <w:p w:rsidR="0080315A" w:rsidRPr="005B0401" w:rsidRDefault="0080315A" w:rsidP="00D52A87">
            <w:pPr>
              <w:jc w:val="right"/>
            </w:pPr>
            <w:r w:rsidRPr="005B0401">
              <w:t>Total</w:t>
            </w:r>
          </w:p>
        </w:tc>
      </w:tr>
      <w:tr w:rsidR="0080315A" w:rsidRPr="0080315A" w:rsidTr="0080315A">
        <w:trPr>
          <w:trHeight w:val="373"/>
        </w:trPr>
        <w:tc>
          <w:tcPr>
            <w:tcW w:w="2922" w:type="dxa"/>
          </w:tcPr>
          <w:p w:rsidR="0080315A" w:rsidRPr="005B0401" w:rsidRDefault="0080315A" w:rsidP="005B0401">
            <w:r w:rsidRPr="005B0401">
              <w:t>Return on capital</w:t>
            </w:r>
          </w:p>
        </w:tc>
        <w:tc>
          <w:tcPr>
            <w:tcW w:w="961" w:type="dxa"/>
            <w:vAlign w:val="top"/>
          </w:tcPr>
          <w:p w:rsidR="0080315A" w:rsidRPr="005B0401" w:rsidRDefault="00AF6371" w:rsidP="00D52A87">
            <w:pPr>
              <w:jc w:val="right"/>
            </w:pPr>
            <w:r w:rsidRPr="005B0401">
              <w:t>7.1</w:t>
            </w:r>
          </w:p>
        </w:tc>
        <w:tc>
          <w:tcPr>
            <w:tcW w:w="962" w:type="dxa"/>
            <w:vAlign w:val="top"/>
          </w:tcPr>
          <w:p w:rsidR="0080315A" w:rsidRPr="005B0401" w:rsidRDefault="00AF6371" w:rsidP="00D52A87">
            <w:pPr>
              <w:jc w:val="right"/>
            </w:pPr>
            <w:r w:rsidRPr="005B0401">
              <w:t>7.</w:t>
            </w:r>
            <w:r w:rsidR="005C35A3" w:rsidRPr="005B0401">
              <w:t>4</w:t>
            </w:r>
          </w:p>
        </w:tc>
        <w:tc>
          <w:tcPr>
            <w:tcW w:w="962" w:type="dxa"/>
            <w:vAlign w:val="top"/>
          </w:tcPr>
          <w:p w:rsidR="0080315A" w:rsidRPr="005B0401" w:rsidRDefault="00AF6371" w:rsidP="00D52A87">
            <w:pPr>
              <w:jc w:val="right"/>
            </w:pPr>
            <w:r w:rsidRPr="005B0401">
              <w:t>7.4</w:t>
            </w:r>
          </w:p>
        </w:tc>
        <w:tc>
          <w:tcPr>
            <w:tcW w:w="962" w:type="dxa"/>
            <w:vAlign w:val="top"/>
          </w:tcPr>
          <w:p w:rsidR="0080315A" w:rsidRPr="005B0401" w:rsidRDefault="00AF6371" w:rsidP="00D52A87">
            <w:pPr>
              <w:jc w:val="right"/>
            </w:pPr>
            <w:r w:rsidRPr="005B0401">
              <w:t>7.</w:t>
            </w:r>
            <w:r w:rsidR="00150B1F" w:rsidRPr="005B0401">
              <w:t>3</w:t>
            </w:r>
          </w:p>
        </w:tc>
        <w:tc>
          <w:tcPr>
            <w:tcW w:w="962" w:type="dxa"/>
            <w:vAlign w:val="top"/>
          </w:tcPr>
          <w:p w:rsidR="0080315A" w:rsidRPr="005B0401" w:rsidRDefault="00AF6371" w:rsidP="00D52A87">
            <w:pPr>
              <w:jc w:val="right"/>
            </w:pPr>
            <w:r w:rsidRPr="005B0401">
              <w:t>7.4</w:t>
            </w:r>
          </w:p>
        </w:tc>
        <w:tc>
          <w:tcPr>
            <w:tcW w:w="962" w:type="dxa"/>
            <w:vAlign w:val="top"/>
          </w:tcPr>
          <w:p w:rsidR="0080315A" w:rsidRPr="005B0401" w:rsidRDefault="00AF6371" w:rsidP="00D52A87">
            <w:pPr>
              <w:jc w:val="right"/>
            </w:pPr>
            <w:r w:rsidRPr="005B0401">
              <w:t>36.</w:t>
            </w:r>
            <w:r w:rsidR="00150B1F" w:rsidRPr="005B0401">
              <w:t>5</w:t>
            </w:r>
          </w:p>
        </w:tc>
      </w:tr>
      <w:tr w:rsidR="0080315A" w:rsidRPr="0080315A" w:rsidTr="0080315A">
        <w:trPr>
          <w:cnfStyle w:val="000000010000" w:firstRow="0" w:lastRow="0" w:firstColumn="0" w:lastColumn="0" w:oddVBand="0" w:evenVBand="0" w:oddHBand="0" w:evenHBand="1" w:firstRowFirstColumn="0" w:firstRowLastColumn="0" w:lastRowFirstColumn="0" w:lastRowLastColumn="0"/>
        </w:trPr>
        <w:tc>
          <w:tcPr>
            <w:tcW w:w="2922" w:type="dxa"/>
          </w:tcPr>
          <w:p w:rsidR="0080315A" w:rsidRPr="005B0401" w:rsidRDefault="0080315A" w:rsidP="005B0401">
            <w:r w:rsidRPr="005B0401">
              <w:t>Regulatory depreciation</w:t>
            </w:r>
            <w:r w:rsidRPr="005B0401">
              <w:rPr>
                <w:rStyle w:val="AERsuperscript"/>
              </w:rPr>
              <w:t>a</w:t>
            </w:r>
          </w:p>
        </w:tc>
        <w:tc>
          <w:tcPr>
            <w:tcW w:w="961" w:type="dxa"/>
            <w:vAlign w:val="top"/>
          </w:tcPr>
          <w:p w:rsidR="0080315A" w:rsidRPr="005B0401" w:rsidRDefault="0080315A" w:rsidP="00D52A87">
            <w:pPr>
              <w:jc w:val="right"/>
            </w:pPr>
            <w:r w:rsidRPr="005B0401">
              <w:t>1.</w:t>
            </w:r>
            <w:r w:rsidR="00071628" w:rsidRPr="005B0401">
              <w:t>7</w:t>
            </w:r>
          </w:p>
        </w:tc>
        <w:tc>
          <w:tcPr>
            <w:tcW w:w="962" w:type="dxa"/>
            <w:vAlign w:val="top"/>
          </w:tcPr>
          <w:p w:rsidR="0080315A" w:rsidRPr="005B0401" w:rsidRDefault="005C35A3" w:rsidP="00D52A87">
            <w:pPr>
              <w:jc w:val="right"/>
            </w:pPr>
            <w:r w:rsidRPr="005B0401">
              <w:t>1.9</w:t>
            </w:r>
          </w:p>
        </w:tc>
        <w:tc>
          <w:tcPr>
            <w:tcW w:w="962" w:type="dxa"/>
            <w:vAlign w:val="top"/>
          </w:tcPr>
          <w:p w:rsidR="0080315A" w:rsidRPr="005B0401" w:rsidRDefault="0080315A" w:rsidP="00D52A87">
            <w:pPr>
              <w:jc w:val="right"/>
            </w:pPr>
            <w:r w:rsidRPr="005B0401">
              <w:t>2.</w:t>
            </w:r>
            <w:r w:rsidR="005C35A3" w:rsidRPr="005B0401">
              <w:t>1</w:t>
            </w:r>
          </w:p>
        </w:tc>
        <w:tc>
          <w:tcPr>
            <w:tcW w:w="962" w:type="dxa"/>
            <w:vAlign w:val="top"/>
          </w:tcPr>
          <w:p w:rsidR="0080315A" w:rsidRPr="005B0401" w:rsidRDefault="0080315A" w:rsidP="00D52A87">
            <w:pPr>
              <w:jc w:val="right"/>
            </w:pPr>
            <w:r w:rsidRPr="005B0401">
              <w:t>2.</w:t>
            </w:r>
            <w:r w:rsidR="00071628" w:rsidRPr="005B0401">
              <w:t>4</w:t>
            </w:r>
          </w:p>
        </w:tc>
        <w:tc>
          <w:tcPr>
            <w:tcW w:w="962" w:type="dxa"/>
            <w:vAlign w:val="top"/>
          </w:tcPr>
          <w:p w:rsidR="0080315A" w:rsidRPr="005B0401" w:rsidRDefault="0080315A" w:rsidP="00D52A87">
            <w:pPr>
              <w:jc w:val="right"/>
            </w:pPr>
            <w:r w:rsidRPr="005B0401">
              <w:t>2.</w:t>
            </w:r>
            <w:r w:rsidR="00071628" w:rsidRPr="005B0401">
              <w:t>6</w:t>
            </w:r>
          </w:p>
        </w:tc>
        <w:tc>
          <w:tcPr>
            <w:tcW w:w="962" w:type="dxa"/>
            <w:vAlign w:val="top"/>
          </w:tcPr>
          <w:p w:rsidR="0080315A" w:rsidRPr="005B0401" w:rsidRDefault="0080315A" w:rsidP="00D52A87">
            <w:pPr>
              <w:jc w:val="right"/>
            </w:pPr>
            <w:r w:rsidRPr="005B0401">
              <w:t>1</w:t>
            </w:r>
            <w:r w:rsidR="00071628" w:rsidRPr="005B0401">
              <w:t>0</w:t>
            </w:r>
            <w:r w:rsidR="00AF6371" w:rsidRPr="005B0401">
              <w:t>.</w:t>
            </w:r>
            <w:r w:rsidR="00234F45">
              <w:t>7</w:t>
            </w:r>
          </w:p>
        </w:tc>
      </w:tr>
      <w:tr w:rsidR="0080315A" w:rsidRPr="0080315A" w:rsidTr="0080315A">
        <w:tc>
          <w:tcPr>
            <w:tcW w:w="2922" w:type="dxa"/>
          </w:tcPr>
          <w:p w:rsidR="0080315A" w:rsidRPr="005B0401" w:rsidRDefault="0080315A" w:rsidP="005B0401">
            <w:r w:rsidRPr="005B0401">
              <w:t>Operating expenditure</w:t>
            </w:r>
          </w:p>
        </w:tc>
        <w:tc>
          <w:tcPr>
            <w:tcW w:w="961" w:type="dxa"/>
            <w:vAlign w:val="top"/>
          </w:tcPr>
          <w:p w:rsidR="0080315A" w:rsidRPr="005B0401" w:rsidRDefault="0080315A" w:rsidP="00D52A87">
            <w:pPr>
              <w:jc w:val="right"/>
            </w:pPr>
            <w:r w:rsidRPr="005B0401">
              <w:t>4.</w:t>
            </w:r>
            <w:r w:rsidR="00AF6371" w:rsidRPr="005B0401">
              <w:t>3</w:t>
            </w:r>
          </w:p>
        </w:tc>
        <w:tc>
          <w:tcPr>
            <w:tcW w:w="962" w:type="dxa"/>
            <w:vAlign w:val="top"/>
          </w:tcPr>
          <w:p w:rsidR="0080315A" w:rsidRPr="005B0401" w:rsidRDefault="0080315A" w:rsidP="00D52A87">
            <w:pPr>
              <w:jc w:val="right"/>
            </w:pPr>
            <w:r w:rsidRPr="005B0401">
              <w:t>3.</w:t>
            </w:r>
            <w:r w:rsidR="00AF6371" w:rsidRPr="005B0401">
              <w:t>6</w:t>
            </w:r>
          </w:p>
        </w:tc>
        <w:tc>
          <w:tcPr>
            <w:tcW w:w="962" w:type="dxa"/>
            <w:vAlign w:val="top"/>
          </w:tcPr>
          <w:p w:rsidR="0080315A" w:rsidRPr="005B0401" w:rsidRDefault="0080315A" w:rsidP="00D52A87">
            <w:pPr>
              <w:jc w:val="right"/>
            </w:pPr>
            <w:r w:rsidRPr="005B0401">
              <w:t>3.</w:t>
            </w:r>
            <w:r w:rsidR="00AF6371" w:rsidRPr="005B0401">
              <w:t>8</w:t>
            </w:r>
          </w:p>
        </w:tc>
        <w:tc>
          <w:tcPr>
            <w:tcW w:w="962" w:type="dxa"/>
            <w:vAlign w:val="top"/>
          </w:tcPr>
          <w:p w:rsidR="0080315A" w:rsidRPr="005B0401" w:rsidRDefault="0080315A" w:rsidP="00D52A87">
            <w:pPr>
              <w:jc w:val="right"/>
            </w:pPr>
            <w:r w:rsidRPr="005B0401">
              <w:t>3</w:t>
            </w:r>
            <w:r w:rsidR="005C35A3" w:rsidRPr="005B0401">
              <w:t>.8</w:t>
            </w:r>
          </w:p>
        </w:tc>
        <w:tc>
          <w:tcPr>
            <w:tcW w:w="962" w:type="dxa"/>
            <w:vAlign w:val="top"/>
          </w:tcPr>
          <w:p w:rsidR="0080315A" w:rsidRPr="005B0401" w:rsidRDefault="00AF6371" w:rsidP="00D52A87">
            <w:pPr>
              <w:jc w:val="right"/>
            </w:pPr>
            <w:r w:rsidRPr="005B0401">
              <w:t>4.0</w:t>
            </w:r>
          </w:p>
        </w:tc>
        <w:tc>
          <w:tcPr>
            <w:tcW w:w="962" w:type="dxa"/>
            <w:vAlign w:val="top"/>
          </w:tcPr>
          <w:p w:rsidR="0080315A" w:rsidRPr="005B0401" w:rsidRDefault="0080315A" w:rsidP="00D52A87">
            <w:pPr>
              <w:jc w:val="right"/>
            </w:pPr>
            <w:r w:rsidRPr="005B0401">
              <w:t>1</w:t>
            </w:r>
            <w:r w:rsidR="00AF6371" w:rsidRPr="005B0401">
              <w:t>9.</w:t>
            </w:r>
            <w:r w:rsidR="00234F45">
              <w:t>5</w:t>
            </w:r>
          </w:p>
        </w:tc>
      </w:tr>
      <w:tr w:rsidR="0080315A" w:rsidRPr="0080315A" w:rsidTr="0080315A">
        <w:trPr>
          <w:cnfStyle w:val="000000010000" w:firstRow="0" w:lastRow="0" w:firstColumn="0" w:lastColumn="0" w:oddVBand="0" w:evenVBand="0" w:oddHBand="0" w:evenHBand="1" w:firstRowFirstColumn="0" w:firstRowLastColumn="0" w:lastRowFirstColumn="0" w:lastRowLastColumn="0"/>
        </w:trPr>
        <w:tc>
          <w:tcPr>
            <w:tcW w:w="2922" w:type="dxa"/>
          </w:tcPr>
          <w:p w:rsidR="0080315A" w:rsidRPr="005B0401" w:rsidRDefault="0080315A" w:rsidP="005B0401">
            <w:r w:rsidRPr="005B0401">
              <w:t>Net tax allowance</w:t>
            </w:r>
          </w:p>
        </w:tc>
        <w:tc>
          <w:tcPr>
            <w:tcW w:w="961" w:type="dxa"/>
            <w:vAlign w:val="top"/>
          </w:tcPr>
          <w:p w:rsidR="0080315A" w:rsidRPr="005B0401" w:rsidRDefault="0080315A" w:rsidP="00D52A87">
            <w:pPr>
              <w:jc w:val="right"/>
            </w:pPr>
            <w:r w:rsidRPr="005B0401">
              <w:t>0.</w:t>
            </w:r>
            <w:r w:rsidR="00150B1F" w:rsidRPr="005B0401">
              <w:t>3</w:t>
            </w:r>
          </w:p>
        </w:tc>
        <w:tc>
          <w:tcPr>
            <w:tcW w:w="962" w:type="dxa"/>
            <w:vAlign w:val="top"/>
          </w:tcPr>
          <w:p w:rsidR="0080315A" w:rsidRPr="005B0401" w:rsidRDefault="0080315A" w:rsidP="00D52A87">
            <w:pPr>
              <w:jc w:val="right"/>
            </w:pPr>
            <w:r w:rsidRPr="005B0401">
              <w:t>0.</w:t>
            </w:r>
            <w:r w:rsidR="00AF6371" w:rsidRPr="005B0401">
              <w:t>4</w:t>
            </w:r>
          </w:p>
        </w:tc>
        <w:tc>
          <w:tcPr>
            <w:tcW w:w="962" w:type="dxa"/>
            <w:vAlign w:val="top"/>
          </w:tcPr>
          <w:p w:rsidR="0080315A" w:rsidRPr="005B0401" w:rsidRDefault="0080315A" w:rsidP="00D52A87">
            <w:pPr>
              <w:jc w:val="right"/>
            </w:pPr>
            <w:r w:rsidRPr="005B0401">
              <w:t>0.</w:t>
            </w:r>
            <w:r w:rsidR="00071628" w:rsidRPr="005B0401">
              <w:t>4</w:t>
            </w:r>
          </w:p>
        </w:tc>
        <w:tc>
          <w:tcPr>
            <w:tcW w:w="962" w:type="dxa"/>
            <w:vAlign w:val="top"/>
          </w:tcPr>
          <w:p w:rsidR="0080315A" w:rsidRPr="005B0401" w:rsidRDefault="0080315A" w:rsidP="00D52A87">
            <w:pPr>
              <w:jc w:val="right"/>
            </w:pPr>
            <w:r w:rsidRPr="005B0401">
              <w:t>0.</w:t>
            </w:r>
            <w:r w:rsidR="005C35A3" w:rsidRPr="005B0401">
              <w:t>4</w:t>
            </w:r>
          </w:p>
        </w:tc>
        <w:tc>
          <w:tcPr>
            <w:tcW w:w="962" w:type="dxa"/>
            <w:vAlign w:val="top"/>
          </w:tcPr>
          <w:p w:rsidR="0080315A" w:rsidRPr="005B0401" w:rsidRDefault="0080315A" w:rsidP="00D52A87">
            <w:pPr>
              <w:jc w:val="right"/>
            </w:pPr>
            <w:r w:rsidRPr="005B0401">
              <w:t>0.</w:t>
            </w:r>
            <w:r w:rsidR="00AF6371" w:rsidRPr="005B0401">
              <w:t>5</w:t>
            </w:r>
          </w:p>
        </w:tc>
        <w:tc>
          <w:tcPr>
            <w:tcW w:w="962" w:type="dxa"/>
            <w:vAlign w:val="top"/>
          </w:tcPr>
          <w:p w:rsidR="0080315A" w:rsidRPr="005B0401" w:rsidRDefault="0080315A" w:rsidP="00D52A87">
            <w:pPr>
              <w:jc w:val="right"/>
            </w:pPr>
            <w:r w:rsidRPr="005B0401">
              <w:t>2.</w:t>
            </w:r>
            <w:r w:rsidR="00071628" w:rsidRPr="005B0401">
              <w:t>1</w:t>
            </w:r>
          </w:p>
        </w:tc>
      </w:tr>
      <w:tr w:rsidR="0080315A" w:rsidRPr="0080315A" w:rsidTr="0080315A">
        <w:tc>
          <w:tcPr>
            <w:tcW w:w="2922" w:type="dxa"/>
          </w:tcPr>
          <w:p w:rsidR="0080315A" w:rsidRPr="005B0401" w:rsidRDefault="0080315A" w:rsidP="005B0401">
            <w:r w:rsidRPr="005B0401">
              <w:t>Annual building block revenue requirement (unsmoothed)</w:t>
            </w:r>
          </w:p>
        </w:tc>
        <w:tc>
          <w:tcPr>
            <w:tcW w:w="961" w:type="dxa"/>
            <w:vAlign w:val="top"/>
          </w:tcPr>
          <w:p w:rsidR="0080315A" w:rsidRPr="005B0401" w:rsidRDefault="0080315A" w:rsidP="00D52A87">
            <w:pPr>
              <w:jc w:val="right"/>
            </w:pPr>
            <w:r w:rsidRPr="005B0401">
              <w:t>1</w:t>
            </w:r>
            <w:r w:rsidR="00AF6371" w:rsidRPr="005B0401">
              <w:t>3</w:t>
            </w:r>
            <w:r w:rsidRPr="005B0401">
              <w:t>.</w:t>
            </w:r>
            <w:r w:rsidR="005C35A3" w:rsidRPr="005B0401">
              <w:t>3</w:t>
            </w:r>
          </w:p>
        </w:tc>
        <w:tc>
          <w:tcPr>
            <w:tcW w:w="962" w:type="dxa"/>
            <w:vAlign w:val="top"/>
          </w:tcPr>
          <w:p w:rsidR="0080315A" w:rsidRPr="005B0401" w:rsidRDefault="0080315A" w:rsidP="00D52A87">
            <w:pPr>
              <w:jc w:val="right"/>
            </w:pPr>
            <w:r w:rsidRPr="005B0401">
              <w:t>1</w:t>
            </w:r>
            <w:r w:rsidR="00AF6371" w:rsidRPr="005B0401">
              <w:t>3</w:t>
            </w:r>
            <w:r w:rsidRPr="005B0401">
              <w:t>.</w:t>
            </w:r>
            <w:r w:rsidR="005C35A3" w:rsidRPr="005B0401">
              <w:t>3</w:t>
            </w:r>
          </w:p>
        </w:tc>
        <w:tc>
          <w:tcPr>
            <w:tcW w:w="962" w:type="dxa"/>
            <w:vAlign w:val="top"/>
          </w:tcPr>
          <w:p w:rsidR="0080315A" w:rsidRPr="005B0401" w:rsidRDefault="0080315A" w:rsidP="00D52A87">
            <w:pPr>
              <w:jc w:val="right"/>
            </w:pPr>
            <w:r w:rsidRPr="005B0401">
              <w:t>1</w:t>
            </w:r>
            <w:r w:rsidR="00071628" w:rsidRPr="005B0401">
              <w:t>3.</w:t>
            </w:r>
            <w:r w:rsidR="005C35A3" w:rsidRPr="005B0401">
              <w:t>7</w:t>
            </w:r>
          </w:p>
        </w:tc>
        <w:tc>
          <w:tcPr>
            <w:tcW w:w="962" w:type="dxa"/>
            <w:vAlign w:val="top"/>
          </w:tcPr>
          <w:p w:rsidR="0080315A" w:rsidRPr="005B0401" w:rsidRDefault="0080315A" w:rsidP="00D52A87">
            <w:pPr>
              <w:jc w:val="right"/>
            </w:pPr>
            <w:r w:rsidRPr="005B0401">
              <w:t>1</w:t>
            </w:r>
            <w:r w:rsidR="00AF6371" w:rsidRPr="005B0401">
              <w:t>4</w:t>
            </w:r>
            <w:r w:rsidRPr="005B0401">
              <w:t>.</w:t>
            </w:r>
            <w:r w:rsidR="005C35A3" w:rsidRPr="005B0401">
              <w:t>0</w:t>
            </w:r>
          </w:p>
        </w:tc>
        <w:tc>
          <w:tcPr>
            <w:tcW w:w="962" w:type="dxa"/>
            <w:vAlign w:val="top"/>
          </w:tcPr>
          <w:p w:rsidR="0080315A" w:rsidRPr="005B0401" w:rsidRDefault="0080315A" w:rsidP="00D52A87">
            <w:pPr>
              <w:jc w:val="right"/>
            </w:pPr>
            <w:r w:rsidRPr="005B0401">
              <w:t>1</w:t>
            </w:r>
            <w:r w:rsidR="00AF6371" w:rsidRPr="005B0401">
              <w:t>4</w:t>
            </w:r>
            <w:r w:rsidRPr="005B0401">
              <w:t>.</w:t>
            </w:r>
            <w:r w:rsidR="005C35A3" w:rsidRPr="005B0401">
              <w:t>4</w:t>
            </w:r>
          </w:p>
        </w:tc>
        <w:tc>
          <w:tcPr>
            <w:tcW w:w="962" w:type="dxa"/>
            <w:vAlign w:val="top"/>
          </w:tcPr>
          <w:p w:rsidR="0080315A" w:rsidRPr="005B0401" w:rsidRDefault="00071628" w:rsidP="00D52A87">
            <w:pPr>
              <w:jc w:val="right"/>
            </w:pPr>
            <w:r w:rsidRPr="005B0401">
              <w:t>6</w:t>
            </w:r>
            <w:r w:rsidR="00150B1F" w:rsidRPr="005B0401">
              <w:t>8</w:t>
            </w:r>
            <w:r w:rsidRPr="005B0401">
              <w:t>.</w:t>
            </w:r>
            <w:r w:rsidR="00150B1F" w:rsidRPr="005B0401">
              <w:t>7</w:t>
            </w:r>
          </w:p>
        </w:tc>
      </w:tr>
      <w:tr w:rsidR="0080315A" w:rsidRPr="0080315A" w:rsidTr="0080315A">
        <w:trPr>
          <w:cnfStyle w:val="000000010000" w:firstRow="0" w:lastRow="0" w:firstColumn="0" w:lastColumn="0" w:oddVBand="0" w:evenVBand="0" w:oddHBand="0" w:evenHBand="1" w:firstRowFirstColumn="0" w:firstRowLastColumn="0" w:lastRowFirstColumn="0" w:lastRowLastColumn="0"/>
        </w:trPr>
        <w:tc>
          <w:tcPr>
            <w:tcW w:w="2922" w:type="dxa"/>
          </w:tcPr>
          <w:p w:rsidR="0080315A" w:rsidRPr="005B0401" w:rsidRDefault="0080315A" w:rsidP="005B0401">
            <w:pPr>
              <w:rPr>
                <w:rStyle w:val="Strong"/>
              </w:rPr>
            </w:pPr>
            <w:r w:rsidRPr="005B0401">
              <w:rPr>
                <w:rStyle w:val="Strong"/>
              </w:rPr>
              <w:t>Annual expected MAR (smoothed)</w:t>
            </w:r>
          </w:p>
        </w:tc>
        <w:tc>
          <w:tcPr>
            <w:tcW w:w="961" w:type="dxa"/>
            <w:vAlign w:val="top"/>
          </w:tcPr>
          <w:p w:rsidR="0080315A" w:rsidRPr="005B0401" w:rsidRDefault="0080315A" w:rsidP="00D52A87">
            <w:pPr>
              <w:jc w:val="right"/>
              <w:rPr>
                <w:rStyle w:val="Strong"/>
              </w:rPr>
            </w:pPr>
            <w:r w:rsidRPr="005B0401">
              <w:rPr>
                <w:rStyle w:val="Strong"/>
              </w:rPr>
              <w:t>1</w:t>
            </w:r>
            <w:r w:rsidR="00AF6371" w:rsidRPr="005B0401">
              <w:rPr>
                <w:rStyle w:val="Strong"/>
              </w:rPr>
              <w:t>3</w:t>
            </w:r>
            <w:r w:rsidRPr="005B0401">
              <w:rPr>
                <w:rStyle w:val="Strong"/>
              </w:rPr>
              <w:t>.</w:t>
            </w:r>
            <w:r w:rsidR="005C35A3" w:rsidRPr="005B0401">
              <w:rPr>
                <w:rStyle w:val="Strong"/>
              </w:rPr>
              <w:t>1</w:t>
            </w:r>
          </w:p>
        </w:tc>
        <w:tc>
          <w:tcPr>
            <w:tcW w:w="962" w:type="dxa"/>
            <w:vAlign w:val="top"/>
          </w:tcPr>
          <w:p w:rsidR="0080315A" w:rsidRPr="005B0401" w:rsidRDefault="0080315A" w:rsidP="00D52A87">
            <w:pPr>
              <w:jc w:val="right"/>
              <w:rPr>
                <w:rStyle w:val="Strong"/>
              </w:rPr>
            </w:pPr>
            <w:r w:rsidRPr="005B0401">
              <w:rPr>
                <w:rStyle w:val="Strong"/>
              </w:rPr>
              <w:t>1</w:t>
            </w:r>
            <w:r w:rsidR="00AF6371" w:rsidRPr="005B0401">
              <w:rPr>
                <w:rStyle w:val="Strong"/>
              </w:rPr>
              <w:t>3</w:t>
            </w:r>
            <w:r w:rsidRPr="005B0401">
              <w:rPr>
                <w:rStyle w:val="Strong"/>
              </w:rPr>
              <w:t>.</w:t>
            </w:r>
            <w:r w:rsidR="005C35A3" w:rsidRPr="005B0401">
              <w:rPr>
                <w:rStyle w:val="Strong"/>
              </w:rPr>
              <w:t>4</w:t>
            </w:r>
          </w:p>
        </w:tc>
        <w:tc>
          <w:tcPr>
            <w:tcW w:w="962" w:type="dxa"/>
            <w:vAlign w:val="top"/>
          </w:tcPr>
          <w:p w:rsidR="0080315A" w:rsidRPr="005B0401" w:rsidRDefault="0080315A" w:rsidP="00D52A87">
            <w:pPr>
              <w:jc w:val="right"/>
              <w:rPr>
                <w:rStyle w:val="Strong"/>
              </w:rPr>
            </w:pPr>
            <w:r w:rsidRPr="005B0401">
              <w:rPr>
                <w:rStyle w:val="Strong"/>
              </w:rPr>
              <w:t>1</w:t>
            </w:r>
            <w:r w:rsidR="00071628" w:rsidRPr="005B0401">
              <w:rPr>
                <w:rStyle w:val="Strong"/>
              </w:rPr>
              <w:t>3.</w:t>
            </w:r>
            <w:r w:rsidR="005C35A3" w:rsidRPr="005B0401">
              <w:rPr>
                <w:rStyle w:val="Strong"/>
              </w:rPr>
              <w:t>7</w:t>
            </w:r>
          </w:p>
        </w:tc>
        <w:tc>
          <w:tcPr>
            <w:tcW w:w="962" w:type="dxa"/>
            <w:vAlign w:val="top"/>
          </w:tcPr>
          <w:p w:rsidR="0080315A" w:rsidRPr="005B0401" w:rsidRDefault="0080315A" w:rsidP="00D52A87">
            <w:pPr>
              <w:jc w:val="right"/>
              <w:rPr>
                <w:rStyle w:val="Strong"/>
              </w:rPr>
            </w:pPr>
            <w:r w:rsidRPr="005B0401">
              <w:rPr>
                <w:rStyle w:val="Strong"/>
              </w:rPr>
              <w:t>1</w:t>
            </w:r>
            <w:r w:rsidR="00AF6371" w:rsidRPr="005B0401">
              <w:rPr>
                <w:rStyle w:val="Strong"/>
              </w:rPr>
              <w:t>4.</w:t>
            </w:r>
            <w:r w:rsidR="005C35A3" w:rsidRPr="005B0401">
              <w:rPr>
                <w:rStyle w:val="Strong"/>
              </w:rPr>
              <w:t>1</w:t>
            </w:r>
          </w:p>
        </w:tc>
        <w:tc>
          <w:tcPr>
            <w:tcW w:w="962" w:type="dxa"/>
            <w:vAlign w:val="top"/>
          </w:tcPr>
          <w:p w:rsidR="0080315A" w:rsidRPr="005B0401" w:rsidRDefault="0080315A" w:rsidP="00D52A87">
            <w:pPr>
              <w:jc w:val="right"/>
              <w:rPr>
                <w:rStyle w:val="Strong"/>
              </w:rPr>
            </w:pPr>
            <w:r w:rsidRPr="005B0401">
              <w:rPr>
                <w:rStyle w:val="Strong"/>
              </w:rPr>
              <w:t>1</w:t>
            </w:r>
            <w:r w:rsidR="00AF6371" w:rsidRPr="005B0401">
              <w:rPr>
                <w:rStyle w:val="Strong"/>
              </w:rPr>
              <w:t>4.</w:t>
            </w:r>
            <w:r w:rsidR="005C35A3" w:rsidRPr="005B0401">
              <w:rPr>
                <w:rStyle w:val="Strong"/>
              </w:rPr>
              <w:t>4</w:t>
            </w:r>
          </w:p>
        </w:tc>
        <w:tc>
          <w:tcPr>
            <w:tcW w:w="962" w:type="dxa"/>
          </w:tcPr>
          <w:p w:rsidR="0080315A" w:rsidRPr="005B0401" w:rsidRDefault="005C35A3" w:rsidP="00D52A87">
            <w:pPr>
              <w:jc w:val="right"/>
              <w:rPr>
                <w:rStyle w:val="Strong"/>
              </w:rPr>
            </w:pPr>
            <w:r w:rsidRPr="005B0401">
              <w:rPr>
                <w:rStyle w:val="Strong"/>
              </w:rPr>
              <w:t>68.7</w:t>
            </w:r>
          </w:p>
        </w:tc>
      </w:tr>
      <w:tr w:rsidR="0080315A" w:rsidRPr="0080315A" w:rsidTr="0080315A">
        <w:tc>
          <w:tcPr>
            <w:tcW w:w="2922" w:type="dxa"/>
          </w:tcPr>
          <w:p w:rsidR="0080315A" w:rsidRPr="005B0401" w:rsidRDefault="0080315A" w:rsidP="005B0401">
            <w:r w:rsidRPr="005B0401">
              <w:t>X factor (%)</w:t>
            </w:r>
          </w:p>
        </w:tc>
        <w:tc>
          <w:tcPr>
            <w:tcW w:w="961" w:type="dxa"/>
          </w:tcPr>
          <w:p w:rsidR="0080315A" w:rsidRPr="005B0401" w:rsidRDefault="0080315A" w:rsidP="00D52A87">
            <w:pPr>
              <w:jc w:val="right"/>
            </w:pPr>
            <w:r w:rsidRPr="005B0401">
              <w:t>n/a</w:t>
            </w:r>
            <w:r w:rsidRPr="005B0401">
              <w:rPr>
                <w:rStyle w:val="AERsuperscript"/>
              </w:rPr>
              <w:t>b</w:t>
            </w:r>
          </w:p>
        </w:tc>
        <w:tc>
          <w:tcPr>
            <w:tcW w:w="962" w:type="dxa"/>
          </w:tcPr>
          <w:p w:rsidR="0080315A" w:rsidRPr="005B0401" w:rsidRDefault="0080315A" w:rsidP="00D52A87">
            <w:pPr>
              <w:jc w:val="right"/>
            </w:pPr>
            <w:r w:rsidRPr="005B0401">
              <w:t>0.00%c</w:t>
            </w:r>
          </w:p>
        </w:tc>
        <w:tc>
          <w:tcPr>
            <w:tcW w:w="962" w:type="dxa"/>
          </w:tcPr>
          <w:p w:rsidR="0080315A" w:rsidRPr="005B0401" w:rsidRDefault="0080315A" w:rsidP="00D52A87">
            <w:pPr>
              <w:jc w:val="right"/>
            </w:pPr>
            <w:r w:rsidRPr="005B0401">
              <w:t>0.00%</w:t>
            </w:r>
            <w:r w:rsidRPr="005B0401">
              <w:rPr>
                <w:rStyle w:val="AERsuperscript"/>
              </w:rPr>
              <w:t>c</w:t>
            </w:r>
          </w:p>
        </w:tc>
        <w:tc>
          <w:tcPr>
            <w:tcW w:w="962" w:type="dxa"/>
          </w:tcPr>
          <w:p w:rsidR="0080315A" w:rsidRPr="005B0401" w:rsidRDefault="0080315A" w:rsidP="00D52A87">
            <w:pPr>
              <w:jc w:val="right"/>
            </w:pPr>
            <w:r w:rsidRPr="005B0401">
              <w:t>0.00%</w:t>
            </w:r>
            <w:r w:rsidRPr="005B0401">
              <w:rPr>
                <w:rStyle w:val="AERsuperscript"/>
              </w:rPr>
              <w:t>c</w:t>
            </w:r>
          </w:p>
        </w:tc>
        <w:tc>
          <w:tcPr>
            <w:tcW w:w="962" w:type="dxa"/>
          </w:tcPr>
          <w:p w:rsidR="0080315A" w:rsidRPr="005B0401" w:rsidRDefault="0080315A" w:rsidP="00D52A87">
            <w:pPr>
              <w:jc w:val="right"/>
            </w:pPr>
            <w:r w:rsidRPr="005B0401">
              <w:t>0.00%</w:t>
            </w:r>
            <w:r w:rsidRPr="005B0401">
              <w:rPr>
                <w:rStyle w:val="AERsuperscript"/>
              </w:rPr>
              <w:t>c</w:t>
            </w:r>
          </w:p>
        </w:tc>
        <w:tc>
          <w:tcPr>
            <w:tcW w:w="962" w:type="dxa"/>
          </w:tcPr>
          <w:p w:rsidR="0080315A" w:rsidRPr="005B0401" w:rsidRDefault="0080315A" w:rsidP="00D52A87">
            <w:pPr>
              <w:jc w:val="right"/>
            </w:pPr>
            <w:r w:rsidRPr="005B0401">
              <w:t>n/a</w:t>
            </w:r>
          </w:p>
        </w:tc>
      </w:tr>
    </w:tbl>
    <w:p w:rsidR="0080315A" w:rsidRPr="0080315A" w:rsidRDefault="0080315A" w:rsidP="0080315A">
      <w:pPr>
        <w:pStyle w:val="AERtablesource"/>
      </w:pPr>
      <w:r w:rsidRPr="0080315A">
        <w:t xml:space="preserve">Source: </w:t>
      </w:r>
      <w:r w:rsidRPr="0080315A">
        <w:tab/>
        <w:t>AER analysis</w:t>
      </w:r>
      <w:r>
        <w:t>.</w:t>
      </w:r>
    </w:p>
    <w:p w:rsidR="0080315A" w:rsidRPr="0080315A" w:rsidRDefault="0080315A" w:rsidP="0080315A">
      <w:pPr>
        <w:pStyle w:val="AERtablesource"/>
      </w:pPr>
      <w:r w:rsidRPr="0080315A">
        <w:t xml:space="preserve">(a) </w:t>
      </w:r>
      <w:r w:rsidRPr="0080315A">
        <w:tab/>
        <w:t>Regulatory depreciation is straight-line depreciation net of the inflation indexation on the opening RAB.</w:t>
      </w:r>
    </w:p>
    <w:p w:rsidR="0080315A" w:rsidRPr="0080315A" w:rsidRDefault="0080315A" w:rsidP="0080315A">
      <w:pPr>
        <w:pStyle w:val="AERtablesource"/>
      </w:pPr>
      <w:r w:rsidRPr="0080315A">
        <w:t>(b)</w:t>
      </w:r>
      <w:r w:rsidRPr="0080315A">
        <w:tab/>
        <w:t xml:space="preserve">Directlink is not required to apply an X factor for 2015–16 because the MAR is set in this decision. </w:t>
      </w:r>
      <w:r w:rsidR="00AF6371">
        <w:t xml:space="preserve">The MAR for 2015–16 is around </w:t>
      </w:r>
      <w:r w:rsidR="00150B1F">
        <w:t>10.1</w:t>
      </w:r>
      <w:r w:rsidRPr="0080315A">
        <w:t xml:space="preserve"> per cent </w:t>
      </w:r>
      <w:r w:rsidR="00AF6371">
        <w:t>lower</w:t>
      </w:r>
      <w:r w:rsidRPr="0080315A">
        <w:t xml:space="preserve"> than the approved MAR ($14.2 million, nominal) in the final year of the 2005–15 regulatory control period (2014–15) in </w:t>
      </w:r>
      <w:r w:rsidR="00150B1F">
        <w:t>real</w:t>
      </w:r>
      <w:r w:rsidRPr="0080315A">
        <w:t xml:space="preserve"> terms, or </w:t>
      </w:r>
      <w:r w:rsidR="00150B1F">
        <w:t>7.8</w:t>
      </w:r>
      <w:r w:rsidRPr="0080315A">
        <w:t xml:space="preserve"> per cent lower in </w:t>
      </w:r>
      <w:r w:rsidR="00150B1F">
        <w:t>nominal</w:t>
      </w:r>
      <w:r w:rsidRPr="0080315A">
        <w:t xml:space="preserve"> terms.</w:t>
      </w:r>
    </w:p>
    <w:p w:rsidR="0080315A" w:rsidRPr="0080315A" w:rsidRDefault="0080315A" w:rsidP="0080315A">
      <w:pPr>
        <w:pStyle w:val="AERtablesource"/>
      </w:pPr>
      <w:r w:rsidRPr="0080315A">
        <w:t xml:space="preserve">(c) </w:t>
      </w:r>
      <w:r w:rsidRPr="0080315A">
        <w:tab/>
        <w:t>The X factor will be revised to reflect the annual return on debt update.</w:t>
      </w:r>
    </w:p>
    <w:p w:rsidR="00565402" w:rsidRPr="00565402" w:rsidRDefault="00565402" w:rsidP="00565402">
      <w:pPr>
        <w:pStyle w:val="Heading2"/>
      </w:pPr>
      <w:bookmarkStart w:id="77" w:name="_Toc417987570"/>
      <w:r>
        <w:t>The building block approach</w:t>
      </w:r>
      <w:bookmarkEnd w:id="76"/>
      <w:bookmarkEnd w:id="77"/>
    </w:p>
    <w:p w:rsidR="00565402" w:rsidRPr="00EE5F0C" w:rsidRDefault="00565402" w:rsidP="00565402">
      <w:pPr>
        <w:numPr>
          <w:ilvl w:val="0"/>
          <w:numId w:val="24"/>
        </w:numPr>
      </w:pPr>
      <w:r w:rsidRPr="00EE5F0C">
        <w:t xml:space="preserve">We have employed the building block approach to determine </w:t>
      </w:r>
      <w:r>
        <w:t>Directlink</w:t>
      </w:r>
      <w:r w:rsidRPr="00EE5F0C">
        <w:t>'s annual revenue requirement. The building block costs</w:t>
      </w:r>
      <w:r>
        <w:t xml:space="preserve">, illustrated in </w:t>
      </w:r>
      <w:r w:rsidR="00EA2264">
        <w:fldChar w:fldCharType="begin"/>
      </w:r>
      <w:r w:rsidR="00EA2264">
        <w:instrText xml:space="preserve"> REF _Ref402944929 \h </w:instrText>
      </w:r>
      <w:r w:rsidR="00EA2264">
        <w:fldChar w:fldCharType="separate"/>
      </w:r>
      <w:r w:rsidR="00EB67D6" w:rsidRPr="00D577FF">
        <w:t xml:space="preserve">Figure </w:t>
      </w:r>
      <w:r w:rsidR="00EB67D6">
        <w:rPr>
          <w:noProof/>
        </w:rPr>
        <w:t>4</w:t>
      </w:r>
      <w:r w:rsidR="00EA2264">
        <w:fldChar w:fldCharType="end"/>
      </w:r>
      <w:r w:rsidR="00EA2264">
        <w:t xml:space="preserve"> </w:t>
      </w:r>
      <w:r w:rsidRPr="00EE5F0C">
        <w:t>include:</w:t>
      </w:r>
      <w:r w:rsidRPr="00EE5F0C">
        <w:rPr>
          <w:rStyle w:val="FootnoteReference"/>
        </w:rPr>
        <w:footnoteReference w:id="16"/>
      </w:r>
    </w:p>
    <w:p w:rsidR="00565402" w:rsidRPr="00565402" w:rsidRDefault="00565402" w:rsidP="00565402">
      <w:pPr>
        <w:pStyle w:val="AERbulletlistfirststyle"/>
      </w:pPr>
      <w:r w:rsidRPr="00EE5F0C">
        <w:t>a return on the RAB (return on capital)</w:t>
      </w:r>
    </w:p>
    <w:p w:rsidR="00565402" w:rsidRPr="00565402" w:rsidRDefault="00565402" w:rsidP="00565402">
      <w:pPr>
        <w:pStyle w:val="AERbulletlistfirststyle"/>
      </w:pPr>
      <w:r w:rsidRPr="00EE5F0C">
        <w:t>depreciation of the RAB (return of capital)</w:t>
      </w:r>
    </w:p>
    <w:p w:rsidR="00565402" w:rsidRPr="00565402" w:rsidRDefault="00565402" w:rsidP="00565402">
      <w:pPr>
        <w:pStyle w:val="AERbulletlistfirststyle"/>
      </w:pPr>
      <w:r w:rsidRPr="00EE5F0C">
        <w:t>forecast opex</w:t>
      </w:r>
    </w:p>
    <w:p w:rsidR="00565402" w:rsidRPr="00565402" w:rsidRDefault="00565402" w:rsidP="00565402">
      <w:pPr>
        <w:pStyle w:val="AERbulletlistfirststyle"/>
      </w:pPr>
      <w:r w:rsidRPr="00EE5F0C">
        <w:t>increments or decrements resulting from incentive schemes such as the efficiency benefit sharing scheme (EBSS)</w:t>
      </w:r>
    </w:p>
    <w:p w:rsidR="00565402" w:rsidRPr="00565402" w:rsidRDefault="00565402" w:rsidP="00565402">
      <w:pPr>
        <w:pStyle w:val="AERbulletlistfirststyle"/>
      </w:pPr>
      <w:r w:rsidRPr="00EE5F0C">
        <w:t xml:space="preserve">the estimated cost of corporate income tax. </w:t>
      </w:r>
    </w:p>
    <w:p w:rsidR="00565402" w:rsidRPr="00EE5F0C" w:rsidRDefault="00565402" w:rsidP="00565402">
      <w:pPr>
        <w:numPr>
          <w:ilvl w:val="0"/>
          <w:numId w:val="24"/>
        </w:numPr>
      </w:pPr>
      <w:r w:rsidRPr="00EE5F0C">
        <w:t xml:space="preserve">Our assessment of capex directly affects the size of the RAB and therefore, the revenue generated from the return on capital and return of capital building blocks. </w:t>
      </w:r>
    </w:p>
    <w:p w:rsidR="00565402" w:rsidRPr="00D577FF" w:rsidRDefault="00565402" w:rsidP="00D577FF">
      <w:pPr>
        <w:pStyle w:val="Caption"/>
        <w:rPr>
          <w:rStyle w:val="Strong"/>
          <w:b/>
          <w:bCs/>
        </w:rPr>
      </w:pPr>
      <w:bookmarkStart w:id="78" w:name="_Ref402944929"/>
      <w:bookmarkStart w:id="79" w:name="_Ref415835115"/>
      <w:r w:rsidRPr="00D577FF">
        <w:t xml:space="preserve">Figure </w:t>
      </w:r>
      <w:fldSimple w:instr=" SEQ Figure \* ARABIC ">
        <w:r w:rsidR="00EB67D6">
          <w:rPr>
            <w:noProof/>
          </w:rPr>
          <w:t>4</w:t>
        </w:r>
      </w:fldSimple>
      <w:bookmarkEnd w:id="78"/>
      <w:r w:rsidRPr="00D577FF">
        <w:tab/>
      </w:r>
      <w:r w:rsidRPr="00D577FF">
        <w:rPr>
          <w:rStyle w:val="Strong"/>
          <w:b/>
          <w:bCs/>
        </w:rPr>
        <w:t>The building block approach for determining total revenue</w:t>
      </w:r>
      <w:bookmarkEnd w:id="79"/>
    </w:p>
    <w:p w:rsidR="00565402" w:rsidRPr="00EE5F0C" w:rsidRDefault="00565402" w:rsidP="00565402">
      <w:r w:rsidRPr="00565402">
        <w:rPr>
          <w:noProof/>
          <w:lang w:eastAsia="en-AU"/>
        </w:rPr>
        <mc:AlternateContent>
          <mc:Choice Requires="wpc">
            <w:drawing>
              <wp:inline distT="0" distB="0" distL="0" distR="0" wp14:anchorId="23F019F2" wp14:editId="4D202916">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C75C25" w:rsidRPr="001C2CD9" w:rsidRDefault="00C75C25" w:rsidP="00565402">
                              <w:pPr>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C75C25" w:rsidRPr="00E4098A" w:rsidRDefault="00C75C25" w:rsidP="0056540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3C6491">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C75C25" w:rsidRDefault="00C75C25" w:rsidP="00565402">
                              <w:pPr>
                                <w:spacing w:after="200"/>
                                <w:rPr>
                                  <w:rStyle w:val="AERbody"/>
                                </w:rPr>
                              </w:pPr>
                              <w:r w:rsidRPr="007F7192">
                                <w:rPr>
                                  <w:rStyle w:val="AERbody"/>
                                  <w:color w:val="FFFFFF"/>
                                </w:rPr>
                                <w:t>Corporate income tax (net of value of imputation credits)</w:t>
                              </w:r>
                            </w:p>
                            <w:p w:rsidR="00C75C25" w:rsidRPr="007F7192" w:rsidRDefault="00C75C25" w:rsidP="00565402">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7"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4"/>
                            <a:ext cx="1026795" cy="598805"/>
                          </a:xfrm>
                          <a:prstGeom prst="rect">
                            <a:avLst/>
                          </a:prstGeom>
                          <a:solidFill>
                            <a:srgbClr val="FFFFFF"/>
                          </a:solidFill>
                          <a:ln w="9525">
                            <a:solidFill>
                              <a:srgbClr val="FFFFFF"/>
                            </a:solidFill>
                            <a:miter lim="800000"/>
                            <a:headEnd/>
                            <a:tailEnd/>
                          </a:ln>
                        </wps:spPr>
                        <wps:txbx>
                          <w:txbxContent>
                            <w:p w:rsidR="00C75C25" w:rsidRPr="002569F7" w:rsidRDefault="00C75C25" w:rsidP="00565402">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C75C25" w:rsidRPr="008D2606" w:rsidRDefault="00C75C25" w:rsidP="0056540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C75C25" w:rsidRPr="004414F4" w:rsidRDefault="00C75C25" w:rsidP="00565402">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C75C25" w:rsidRPr="008D2606" w:rsidRDefault="00C75C25" w:rsidP="0056540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C75C25" w:rsidRPr="00F51767" w:rsidRDefault="00C75C25" w:rsidP="00565402"/>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C75C25" w:rsidRPr="00E91FF0" w:rsidRDefault="00C75C25" w:rsidP="00565402">
                              <w:pPr>
                                <w:pStyle w:val="AERtabletextleft"/>
                              </w:pPr>
                              <w:r w:rsidRPr="00E91FF0">
                                <w:t xml:space="preserve">Total </w:t>
                              </w:r>
                              <w:r>
                                <w:t>r</w:t>
                              </w:r>
                              <w:r w:rsidRPr="00E91FF0">
                                <w:t>evenue</w:t>
                              </w:r>
                            </w:p>
                            <w:p w:rsidR="00C75C25" w:rsidRDefault="00C75C25" w:rsidP="00565402"/>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4p8QA&#10;AADaAAAADwAAAGRycy9kb3ducmV2LnhtbESPQWsCMRCF74L/IYzQi9RsbStlNYoIQqFYrJaCt2Ez&#10;bmI3k2WTrtt/bwTB0zC89715M1t0rhItNcF6VvA0ykAQF15bLhV879ePbyBCRNZYeSYF/xRgMe/3&#10;Zphrf+YvanexFCmEQ44KTIx1LmUoDDkMI18TJ+3oG4cxrU0pdYPnFO4qOc6yiXRoOV0wWNPKUPG7&#10;+3Opxut22R5WJuBw8/P88nmyFD+sUg+DbjkFEamLd/ONfteJg+sr1yn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b+KfEAAAA2gAAAA8AAAAAAAAAAAAAAAAAmAIAAGRycy9k&#10;b3ducmV2LnhtbFBLBQYAAAAABAAEAPUAAACJAwAAAAA=&#10;" fillcolor="#c00000" strokecolor="#c00000" strokeweight="0">
                  <v:fill opacity=".5" color2="#c71e1e" focusposition=".5,.5" focussize="" focus="100%" type="gradientRadial"/>
                  <v:shadow on="t" color="#622423" offset="1pt"/>
                  <v:textbox>
                    <w:txbxContent>
                      <w:p w:rsidR="00C75C25" w:rsidRPr="001C2CD9" w:rsidRDefault="00C75C25" w:rsidP="00565402">
                        <w:pPr>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lcQA&#10;AADaAAAADwAAAGRycy9kb3ducmV2LnhtbESPQWvCQBSE7wX/w/IK3urGIlWjq1il1EsFo+D1kX1m&#10;Y7NvQ3Y1qb++KxR6HGbmG2a+7GwlbtT40rGC4SABQZw7XXKh4Hj4eJmA8AFZY+WYFPyQh+Wi9zTH&#10;VLuW93TLQiEihH2KCkwIdSqlzw1Z9ANXE0fv7BqLIcqmkLrBNsJtJV+T5E1aLDkuGKxpbSj/zq5W&#10;wXV8TIb5ZfNlpqfP3SjjbnNv35XqP3erGYhAXfgP/7W3WsEIHlfi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uZXEAAAA2gAAAA8AAAAAAAAAAAAAAAAAmAIAAGRycy9k&#10;b3ducmV2LnhtbFBLBQYAAAAABAAEAPUAAACJAwAAAAA=&#10;" fillcolor="#c0504d" strokecolor="#d99594" strokeweight="1pt">
                  <v:fill color2="#c15451" focus="50%" type="gradient"/>
                  <v:shadow on="t" color="#622423" offset="1pt"/>
                  <v:textbox>
                    <w:txbxContent>
                      <w:p w:rsidR="00C75C25" w:rsidRPr="00E4098A" w:rsidRDefault="00C75C25" w:rsidP="0056540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3C6491">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UfCsYA&#10;AADaAAAADwAAAGRycy9kb3ducmV2LnhtbESPT2sCMRTE74V+h/AKXopmtUVla5QiCEvtxX/o8XXz&#10;3I3dvCybVNd++kYQehxm5jfMZNbaSpyp8caxgn4vAUGcO224ULDdLLpjED4ga6wck4IreZhNHx8m&#10;mGp34RWd16EQEcI+RQVlCHUqpc9Lsuh7riaO3tE1FkOUTSF1g5cIt5UcJMlQWjQcF0qsaV5S/r3+&#10;sQp+n7PR0mQfX6+1XJj9y/F02H2elOo8te9vIAK14T98b2dawRBuV+IN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UfCsYAAADaAAAADwAAAAAAAAAAAAAAAACYAgAAZHJz&#10;L2Rvd25yZXYueG1sUEsFBgAAAAAEAAQA9QAAAIsDAAAAAA==&#10;" fillcolor="#76923c" strokecolor="#548dd4" strokeweight="1pt">
                  <v:fill color2="#738f3b" focus="100%" type="gradient"/>
                  <v:shadow on="t" color="#622423" opacity=".5" offset="1pt"/>
                  <v:textbox>
                    <w:txbxContent>
                      <w:p w:rsidR="00C75C25" w:rsidRDefault="00C75C25" w:rsidP="00565402">
                        <w:pPr>
                          <w:spacing w:after="200"/>
                          <w:rPr>
                            <w:rStyle w:val="AERbody"/>
                          </w:rPr>
                        </w:pPr>
                        <w:r w:rsidRPr="007F7192">
                          <w:rPr>
                            <w:rStyle w:val="AERbody"/>
                            <w:color w:val="FFFFFF"/>
                          </w:rPr>
                          <w:t>Corporate income tax (net of value of imputation credits)</w:t>
                        </w:r>
                      </w:p>
                      <w:p w:rsidR="00C75C25" w:rsidRPr="007F7192" w:rsidRDefault="00C75C25" w:rsidP="00565402">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75C25" w:rsidRPr="002569F7" w:rsidRDefault="00C75C25" w:rsidP="00565402">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C75C25" w:rsidRPr="008D2606" w:rsidRDefault="00C75C25" w:rsidP="0056540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C75C25" w:rsidRPr="004414F4" w:rsidRDefault="00C75C25" w:rsidP="00565402">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C75C25" w:rsidRPr="008D2606" w:rsidRDefault="00C75C25" w:rsidP="0056540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C75C25" w:rsidRPr="00F51767" w:rsidRDefault="00C75C25" w:rsidP="00565402"/>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C75C25" w:rsidRPr="00E91FF0" w:rsidRDefault="00C75C25" w:rsidP="00565402">
                        <w:pPr>
                          <w:pStyle w:val="AERtabletextleft"/>
                        </w:pPr>
                        <w:r w:rsidRPr="00E91FF0">
                          <w:t xml:space="preserve">Total </w:t>
                        </w:r>
                        <w:r>
                          <w:t>r</w:t>
                        </w:r>
                        <w:r w:rsidRPr="00E91FF0">
                          <w:t>evenue</w:t>
                        </w:r>
                      </w:p>
                      <w:p w:rsidR="00C75C25" w:rsidRDefault="00C75C25" w:rsidP="00565402"/>
                    </w:txbxContent>
                  </v:textbox>
                </v:shape>
                <w10:anchorlock/>
              </v:group>
            </w:pict>
          </mc:Fallback>
        </mc:AlternateContent>
      </w:r>
    </w:p>
    <w:p w:rsidR="00565402" w:rsidRPr="00EE5F0C" w:rsidRDefault="00565402" w:rsidP="00565402">
      <w:r>
        <w:t xml:space="preserve">The following section summarises our decision </w:t>
      </w:r>
      <w:r w:rsidR="009C6A7D">
        <w:t xml:space="preserve">in relation to each </w:t>
      </w:r>
      <w:r>
        <w:t xml:space="preserve">building block and provides our high level reasons and analysis. </w:t>
      </w:r>
      <w:r w:rsidR="00B3555A">
        <w:t xml:space="preserve">The </w:t>
      </w:r>
      <w:r w:rsidR="009C6A7D">
        <w:t>A</w:t>
      </w:r>
      <w:r w:rsidR="00B3555A">
        <w:t>ttachments provide a more detailed explanation of our analysis and findings.</w:t>
      </w:r>
    </w:p>
    <w:p w:rsidR="008F3A0D" w:rsidRPr="00FE296E" w:rsidRDefault="008F3A0D" w:rsidP="00274C7E">
      <w:pPr>
        <w:pStyle w:val="Heading2"/>
      </w:pPr>
      <w:bookmarkStart w:id="80" w:name="_Toc404437126"/>
      <w:bookmarkStart w:id="81" w:name="_Toc411428026"/>
      <w:bookmarkStart w:id="82" w:name="_Toc417987571"/>
      <w:r>
        <w:t>Regulatory asset base</w:t>
      </w:r>
      <w:bookmarkEnd w:id="80"/>
      <w:bookmarkEnd w:id="81"/>
      <w:r w:rsidR="00111266">
        <w:t xml:space="preserve"> (RAB)</w:t>
      </w:r>
      <w:bookmarkEnd w:id="82"/>
    </w:p>
    <w:p w:rsidR="00565402" w:rsidRPr="009F4C42" w:rsidRDefault="00565402" w:rsidP="00B15682">
      <w:pPr>
        <w:numPr>
          <w:ilvl w:val="0"/>
          <w:numId w:val="24"/>
        </w:numPr>
      </w:pPr>
      <w:bookmarkStart w:id="83" w:name="_Toc390936279"/>
      <w:bookmarkStart w:id="84" w:name="_Toc404437129"/>
      <w:bookmarkStart w:id="85" w:name="_Toc411428029"/>
      <w:r w:rsidRPr="009F4C42">
        <w:t xml:space="preserve">The RAB is the value of </w:t>
      </w:r>
      <w:r>
        <w:t>Directlink</w:t>
      </w:r>
      <w:r w:rsidRPr="009F4C42">
        <w:t xml:space="preserve">'s assets that are used to provide </w:t>
      </w:r>
      <w:r>
        <w:t>transmission</w:t>
      </w:r>
      <w:r w:rsidRPr="009F4C42">
        <w:t xml:space="preserve"> network services. </w:t>
      </w:r>
      <w:r w:rsidR="002F4AE0">
        <w:t xml:space="preserve">It </w:t>
      </w:r>
      <w:r w:rsidRPr="009F4C42">
        <w:t xml:space="preserve">is the value on which </w:t>
      </w:r>
      <w:r>
        <w:t>Directlink</w:t>
      </w:r>
      <w:r w:rsidRPr="009F4C42">
        <w:t xml:space="preserve"> earns a return on capital</w:t>
      </w:r>
      <w:r w:rsidR="002F4AE0">
        <w:t xml:space="preserve">, and </w:t>
      </w:r>
      <w:r w:rsidRPr="009F4C42">
        <w:t xml:space="preserve">a depreciation allowance (or a return of capital). </w:t>
      </w:r>
      <w:r w:rsidR="002F4AE0">
        <w:t>W</w:t>
      </w:r>
      <w:r w:rsidRPr="009F4C42">
        <w:t xml:space="preserve">e are required to assess </w:t>
      </w:r>
      <w:r>
        <w:t>Directlink</w:t>
      </w:r>
      <w:r w:rsidRPr="009F4C42">
        <w:t>'s proposed opening value for the RAB for each year of the 201</w:t>
      </w:r>
      <w:r>
        <w:t>5</w:t>
      </w:r>
      <w:r w:rsidRPr="009F4C42">
        <w:t>–</w:t>
      </w:r>
      <w:r>
        <w:t>20</w:t>
      </w:r>
      <w:r w:rsidRPr="009F4C42">
        <w:t xml:space="preserve"> regulatory control period.</w:t>
      </w:r>
      <w:r w:rsidRPr="009F4C42">
        <w:rPr>
          <w:rStyle w:val="FootnoteReference"/>
        </w:rPr>
        <w:footnoteReference w:id="17"/>
      </w:r>
      <w:r w:rsidRPr="009F4C42">
        <w:t xml:space="preserve"> </w:t>
      </w:r>
    </w:p>
    <w:p w:rsidR="00565402" w:rsidRDefault="00565402" w:rsidP="00B31EBC">
      <w:pPr>
        <w:numPr>
          <w:ilvl w:val="0"/>
          <w:numId w:val="24"/>
        </w:numPr>
        <w:rPr>
          <w:rStyle w:val="AERbody"/>
        </w:rPr>
      </w:pPr>
      <w:bookmarkStart w:id="86" w:name="_Toc415816103"/>
      <w:bookmarkStart w:id="87" w:name="_Toc415820746"/>
      <w:bookmarkStart w:id="88" w:name="_Toc415822096"/>
      <w:bookmarkStart w:id="89" w:name="_Toc415834843"/>
      <w:bookmarkStart w:id="90" w:name="_Toc415816104"/>
      <w:bookmarkStart w:id="91" w:name="_Toc415820747"/>
      <w:bookmarkStart w:id="92" w:name="_Toc415822097"/>
      <w:bookmarkStart w:id="93" w:name="_Toc415834844"/>
      <w:bookmarkEnd w:id="86"/>
      <w:bookmarkEnd w:id="87"/>
      <w:bookmarkEnd w:id="88"/>
      <w:bookmarkEnd w:id="89"/>
      <w:bookmarkEnd w:id="90"/>
      <w:bookmarkEnd w:id="91"/>
      <w:bookmarkEnd w:id="92"/>
      <w:bookmarkEnd w:id="93"/>
      <w:r w:rsidRPr="009F4C42">
        <w:rPr>
          <w:rStyle w:val="AERbody"/>
        </w:rPr>
        <w:t xml:space="preserve">Our </w:t>
      </w:r>
      <w:r>
        <w:rPr>
          <w:rStyle w:val="AERbody"/>
        </w:rPr>
        <w:t xml:space="preserve">final </w:t>
      </w:r>
      <w:r w:rsidRPr="009F4C42">
        <w:rPr>
          <w:rStyle w:val="AERbody"/>
        </w:rPr>
        <w:t xml:space="preserve">decision is to set </w:t>
      </w:r>
      <w:r>
        <w:rPr>
          <w:rStyle w:val="AERbody"/>
        </w:rPr>
        <w:t>Directlink</w:t>
      </w:r>
      <w:r w:rsidRPr="009F4C42">
        <w:rPr>
          <w:rStyle w:val="AERbody"/>
        </w:rPr>
        <w:t>'s opening RAB at $</w:t>
      </w:r>
      <w:r w:rsidR="005C35A3">
        <w:rPr>
          <w:rStyle w:val="AERbody"/>
        </w:rPr>
        <w:t>129.4</w:t>
      </w:r>
      <w:r w:rsidRPr="009F4C42">
        <w:rPr>
          <w:rStyle w:val="AERbody"/>
        </w:rPr>
        <w:t xml:space="preserve"> million at 1 </w:t>
      </w:r>
      <w:r>
        <w:rPr>
          <w:rStyle w:val="AERbody"/>
        </w:rPr>
        <w:t>July</w:t>
      </w:r>
      <w:r w:rsidRPr="009F4C42">
        <w:rPr>
          <w:rStyle w:val="AERbody"/>
        </w:rPr>
        <w:t xml:space="preserve"> 20</w:t>
      </w:r>
      <w:r>
        <w:rPr>
          <w:rStyle w:val="AERbody"/>
        </w:rPr>
        <w:t>15</w:t>
      </w:r>
      <w:r w:rsidRPr="009F4C42">
        <w:rPr>
          <w:rStyle w:val="AERbody"/>
        </w:rPr>
        <w:t xml:space="preserve">. </w:t>
      </w:r>
      <w:r w:rsidR="00B31EBC" w:rsidRPr="00B31EBC">
        <w:rPr>
          <w:rStyle w:val="AERbody"/>
        </w:rPr>
        <w:t>We forecast a closing RAB at 30 June 20</w:t>
      </w:r>
      <w:r w:rsidR="00B31EBC">
        <w:rPr>
          <w:rStyle w:val="AERbody"/>
        </w:rPr>
        <w:t>20</w:t>
      </w:r>
      <w:r w:rsidR="00B31EBC" w:rsidRPr="00B31EBC">
        <w:rPr>
          <w:rStyle w:val="AERbody"/>
        </w:rPr>
        <w:t xml:space="preserve"> of $</w:t>
      </w:r>
      <w:r w:rsidR="009B2F5C">
        <w:rPr>
          <w:rStyle w:val="AERbody"/>
        </w:rPr>
        <w:t>148.6</w:t>
      </w:r>
      <w:r w:rsidR="00B31EBC" w:rsidRPr="00B31EBC">
        <w:rPr>
          <w:rStyle w:val="AERbody"/>
        </w:rPr>
        <w:t xml:space="preserve"> million.</w:t>
      </w:r>
    </w:p>
    <w:p w:rsidR="00107417" w:rsidRDefault="00B31EBC" w:rsidP="00565402">
      <w:pPr>
        <w:numPr>
          <w:ilvl w:val="0"/>
          <w:numId w:val="24"/>
        </w:numPr>
      </w:pPr>
      <w:r>
        <w:t>The</w:t>
      </w:r>
      <w:r w:rsidR="006E64D8" w:rsidRPr="00EF1EAC">
        <w:t xml:space="preserve"> forecast depreciation </w:t>
      </w:r>
      <w:r>
        <w:t>approach will be used to</w:t>
      </w:r>
      <w:r w:rsidR="006E64D8" w:rsidRPr="00EF1EAC">
        <w:t xml:space="preserve"> establish </w:t>
      </w:r>
      <w:r>
        <w:t>Directlink's</w:t>
      </w:r>
      <w:r w:rsidR="006E64D8" w:rsidRPr="00EF1EAC">
        <w:t xml:space="preserve"> RAB at the commencement of the </w:t>
      </w:r>
      <w:r>
        <w:t xml:space="preserve">following </w:t>
      </w:r>
      <w:r w:rsidR="006E64D8" w:rsidRPr="00EF1EAC">
        <w:t xml:space="preserve">regulatory control period </w:t>
      </w:r>
      <w:r>
        <w:t>on</w:t>
      </w:r>
      <w:r w:rsidR="006E64D8">
        <w:t xml:space="preserve"> 1 July 2020</w:t>
      </w:r>
      <w:r w:rsidR="006E64D8" w:rsidRPr="00EF1EAC">
        <w:t>.</w:t>
      </w:r>
    </w:p>
    <w:p w:rsidR="00565402" w:rsidRPr="009F4C42" w:rsidRDefault="00EA2264" w:rsidP="00565402">
      <w:pPr>
        <w:numPr>
          <w:ilvl w:val="0"/>
          <w:numId w:val="24"/>
        </w:numPr>
      </w:pPr>
      <w:r>
        <w:rPr>
          <w:rStyle w:val="AERbody"/>
        </w:rPr>
        <w:fldChar w:fldCharType="begin"/>
      </w:r>
      <w:r>
        <w:rPr>
          <w:rStyle w:val="AERbody"/>
        </w:rPr>
        <w:instrText xml:space="preserve"> REF _Ref402343090 \h </w:instrText>
      </w:r>
      <w:r>
        <w:rPr>
          <w:rStyle w:val="AERbody"/>
        </w:rPr>
      </w:r>
      <w:r>
        <w:rPr>
          <w:rStyle w:val="AERbody"/>
        </w:rPr>
        <w:fldChar w:fldCharType="separate"/>
      </w:r>
      <w:r w:rsidR="00EB67D6">
        <w:t xml:space="preserve">Table </w:t>
      </w:r>
      <w:r w:rsidR="00EB67D6">
        <w:rPr>
          <w:noProof/>
        </w:rPr>
        <w:t>2</w:t>
      </w:r>
      <w:r>
        <w:rPr>
          <w:rStyle w:val="AERbody"/>
        </w:rPr>
        <w:fldChar w:fldCharType="end"/>
      </w:r>
      <w:r>
        <w:rPr>
          <w:rStyle w:val="AERbody"/>
        </w:rPr>
        <w:t xml:space="preserve"> </w:t>
      </w:r>
      <w:r w:rsidR="00E7266D">
        <w:rPr>
          <w:rStyle w:val="AERbody"/>
        </w:rPr>
        <w:t xml:space="preserve">and </w:t>
      </w:r>
      <w:r>
        <w:rPr>
          <w:rStyle w:val="AERbody"/>
        </w:rPr>
        <w:fldChar w:fldCharType="begin"/>
      </w:r>
      <w:r>
        <w:rPr>
          <w:rStyle w:val="AERbody"/>
        </w:rPr>
        <w:instrText xml:space="preserve"> REF _Ref402343095 \h </w:instrText>
      </w:r>
      <w:r>
        <w:rPr>
          <w:rStyle w:val="AERbody"/>
        </w:rPr>
      </w:r>
      <w:r>
        <w:rPr>
          <w:rStyle w:val="AERbody"/>
        </w:rPr>
        <w:fldChar w:fldCharType="separate"/>
      </w:r>
      <w:r w:rsidR="00EB67D6">
        <w:t xml:space="preserve">Table </w:t>
      </w:r>
      <w:r w:rsidR="00EB67D6">
        <w:rPr>
          <w:noProof/>
        </w:rPr>
        <w:t>3</w:t>
      </w:r>
      <w:r>
        <w:rPr>
          <w:rStyle w:val="AERbody"/>
        </w:rPr>
        <w:fldChar w:fldCharType="end"/>
      </w:r>
      <w:r>
        <w:t xml:space="preserve"> </w:t>
      </w:r>
      <w:r w:rsidR="00565402" w:rsidRPr="009F4C42">
        <w:t xml:space="preserve">set out our </w:t>
      </w:r>
      <w:r w:rsidR="00565402">
        <w:t>final</w:t>
      </w:r>
      <w:r w:rsidR="00565402" w:rsidRPr="009F4C42">
        <w:t xml:space="preserve"> decision on the roll forward of </w:t>
      </w:r>
      <w:r w:rsidR="00565402">
        <w:t>the</w:t>
      </w:r>
      <w:r w:rsidR="00565402" w:rsidRPr="009F4C42">
        <w:t xml:space="preserve"> RAB </w:t>
      </w:r>
      <w:r w:rsidR="00565402">
        <w:t xml:space="preserve">values for Directlink's </w:t>
      </w:r>
      <w:r w:rsidR="00565402" w:rsidRPr="009F4C42">
        <w:t>200</w:t>
      </w:r>
      <w:r w:rsidR="00565402">
        <w:t>5</w:t>
      </w:r>
      <w:r w:rsidR="00565402" w:rsidRPr="009F4C42">
        <w:t>–1</w:t>
      </w:r>
      <w:r w:rsidR="00565402">
        <w:t>5</w:t>
      </w:r>
      <w:r w:rsidR="00565402" w:rsidRPr="009F4C42">
        <w:t xml:space="preserve"> regulatory control period and the forecast RAB </w:t>
      </w:r>
      <w:r w:rsidR="00B31EBC">
        <w:t xml:space="preserve">values </w:t>
      </w:r>
      <w:r w:rsidR="00565402" w:rsidRPr="009F4C42">
        <w:t xml:space="preserve">for </w:t>
      </w:r>
      <w:r w:rsidR="00565402">
        <w:t xml:space="preserve">Directlink's </w:t>
      </w:r>
      <w:r w:rsidR="00565402" w:rsidRPr="009F4C42">
        <w:t>201</w:t>
      </w:r>
      <w:r w:rsidR="00565402">
        <w:t>5</w:t>
      </w:r>
      <w:r w:rsidR="00565402" w:rsidRPr="009F4C42">
        <w:t>–</w:t>
      </w:r>
      <w:r w:rsidR="00565402">
        <w:t>20</w:t>
      </w:r>
      <w:r w:rsidR="00565402" w:rsidRPr="009F4C42">
        <w:t xml:space="preserve"> </w:t>
      </w:r>
      <w:r w:rsidR="009C6A7D">
        <w:t xml:space="preserve">regulatory control </w:t>
      </w:r>
      <w:r w:rsidR="00565402" w:rsidRPr="009F4C42">
        <w:t>period respectively.</w:t>
      </w:r>
    </w:p>
    <w:p w:rsidR="00565402" w:rsidRDefault="00565402" w:rsidP="00565402">
      <w:pPr>
        <w:pStyle w:val="Caption"/>
        <w:numPr>
          <w:ilvl w:val="0"/>
          <w:numId w:val="24"/>
        </w:numPr>
      </w:pPr>
      <w:bookmarkStart w:id="94" w:name="_Ref402343090"/>
      <w:r>
        <w:t xml:space="preserve">Table </w:t>
      </w:r>
      <w:fldSimple w:instr=" SEQ Table \* ARABIC ">
        <w:r w:rsidR="00EB67D6">
          <w:rPr>
            <w:noProof/>
          </w:rPr>
          <w:t>2</w:t>
        </w:r>
      </w:fldSimple>
      <w:bookmarkEnd w:id="94"/>
      <w:r>
        <w:tab/>
      </w:r>
      <w:r w:rsidRPr="002452D2">
        <w:t xml:space="preserve">AER's </w:t>
      </w:r>
      <w:r>
        <w:t xml:space="preserve">final </w:t>
      </w:r>
      <w:r w:rsidRPr="002452D2">
        <w:t xml:space="preserve">decision on </w:t>
      </w:r>
      <w:r>
        <w:t>Directlink</w:t>
      </w:r>
      <w:r w:rsidRPr="002452D2">
        <w:t>'s RAB for the 200</w:t>
      </w:r>
      <w:r>
        <w:t>5</w:t>
      </w:r>
      <w:r w:rsidRPr="002452D2">
        <w:t>–1</w:t>
      </w:r>
      <w:r>
        <w:t>5</w:t>
      </w:r>
      <w:r w:rsidRPr="002452D2">
        <w:t xml:space="preserve"> regulatory control period ($ million, nominal)</w:t>
      </w:r>
      <w:r w:rsidR="00111266">
        <w:t xml:space="preserve"> </w:t>
      </w:r>
    </w:p>
    <w:tbl>
      <w:tblPr>
        <w:tblStyle w:val="AERtable-numbers"/>
        <w:tblW w:w="5000" w:type="pct"/>
        <w:tblLayout w:type="fixed"/>
        <w:tblLook w:val="01E0" w:firstRow="1" w:lastRow="1" w:firstColumn="1" w:lastColumn="1" w:noHBand="0" w:noVBand="0"/>
      </w:tblPr>
      <w:tblGrid>
        <w:gridCol w:w="1527"/>
        <w:gridCol w:w="717"/>
        <w:gridCol w:w="717"/>
        <w:gridCol w:w="717"/>
        <w:gridCol w:w="717"/>
        <w:gridCol w:w="717"/>
        <w:gridCol w:w="717"/>
        <w:gridCol w:w="716"/>
        <w:gridCol w:w="716"/>
        <w:gridCol w:w="716"/>
        <w:gridCol w:w="716"/>
      </w:tblGrid>
      <w:tr w:rsidR="00B31EBC" w:rsidRPr="0009562E" w:rsidTr="008E4437">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pPr>
              <w:pStyle w:val="ListParagraph"/>
              <w:numPr>
                <w:ilvl w:val="0"/>
                <w:numId w:val="24"/>
              </w:numPr>
            </w:pP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2005–06</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2006–07</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2007–08</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2008–09</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2009–10</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2010–11</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2011–12</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2012–13</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2013–14</w:t>
            </w:r>
          </w:p>
        </w:tc>
        <w:tc>
          <w:tcPr>
            <w:tcW w:w="412" w:type="pct"/>
          </w:tcPr>
          <w:p w:rsidR="00B31EBC" w:rsidRPr="00B31EBC" w:rsidRDefault="00B31EBC" w:rsidP="00B31EBC">
            <w:pPr>
              <w:cnfStyle w:val="100000000000" w:firstRow="1" w:lastRow="0" w:firstColumn="0" w:lastColumn="0" w:oddVBand="0" w:evenVBand="0" w:oddHBand="0" w:evenHBand="0" w:firstRowFirstColumn="0" w:firstRowLastColumn="0" w:lastRowFirstColumn="0" w:lastRowLastColumn="0"/>
            </w:pPr>
            <w:r w:rsidRPr="0009562E">
              <w:t>2014–15</w:t>
            </w:r>
            <w:r w:rsidRPr="00B31EBC">
              <w:rPr>
                <w:rStyle w:val="AERsuperscript"/>
              </w:rPr>
              <w:t>a</w:t>
            </w:r>
          </w:p>
        </w:tc>
      </w:tr>
      <w:tr w:rsidR="00B31EBC" w:rsidRPr="0009562E" w:rsidTr="008E4437">
        <w:trPr>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r w:rsidRPr="0009562E">
              <w:t>Opening RAB</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116.7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119.</w:t>
            </w:r>
            <w:r w:rsidRPr="00B31EBC">
              <w:t>2</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119.7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121.5</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t>127.1</w:t>
            </w:r>
          </w:p>
        </w:tc>
      </w:tr>
      <w:tr w:rsidR="00B31EBC" w:rsidRPr="0009562E" w:rsidTr="008E4437">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r w:rsidRPr="0009562E">
              <w:t>Capital expenditure</w:t>
            </w:r>
            <w:r w:rsidRPr="00B31EBC">
              <w:rPr>
                <w:rStyle w:val="AERsuperscript"/>
              </w:rPr>
              <w:t>b</w:t>
            </w:r>
            <w:r w:rsidRPr="00B31EBC">
              <w:t xml:space="preserve"> </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2.1</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0.</w:t>
            </w:r>
            <w:r w:rsidRPr="00B31EBC">
              <w:t>9</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2.2</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1.7</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0.7</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w:t>
            </w:r>
            <w:r w:rsidRPr="00B31EBC">
              <w:t>7</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t>4.6</w:t>
            </w:r>
          </w:p>
        </w:tc>
      </w:tr>
      <w:tr w:rsidR="00B31EBC" w:rsidRPr="0009562E" w:rsidTr="008E4437">
        <w:trPr>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r w:rsidRPr="0009562E">
              <w:t>CPI indexation on opening RAB</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3.5</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2.9</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5.1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3.0</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3.5</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4.0</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2.0</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3.1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3.6</w:t>
            </w:r>
          </w:p>
        </w:tc>
        <w:tc>
          <w:tcPr>
            <w:tcW w:w="412" w:type="pct"/>
          </w:tcPr>
          <w:p w:rsidR="00B31EBC" w:rsidRPr="00B31EBC" w:rsidRDefault="005C35A3" w:rsidP="00B31EBC">
            <w:pPr>
              <w:cnfStyle w:val="000000000000" w:firstRow="0" w:lastRow="0" w:firstColumn="0" w:lastColumn="0" w:oddVBand="0" w:evenVBand="0" w:oddHBand="0" w:evenHBand="0" w:firstRowFirstColumn="0" w:firstRowLastColumn="0" w:lastRowFirstColumn="0" w:lastRowLastColumn="0"/>
            </w:pPr>
            <w:r>
              <w:t>1.7</w:t>
            </w:r>
          </w:p>
        </w:tc>
      </w:tr>
      <w:tr w:rsidR="00B31EBC" w:rsidRPr="0009562E" w:rsidTr="008E4437">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r w:rsidRPr="0009562E">
              <w:t>Straight-line depreciation</w:t>
            </w:r>
            <w:r w:rsidRPr="00B31EBC">
              <w:rPr>
                <w:rStyle w:val="AERsuperscript"/>
              </w:rPr>
              <w:t>c</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–3.1</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–3.2</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–3.3</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–3.4</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–3.5</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–3.6</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–3.7</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–3.8</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–3.9</w:t>
            </w:r>
          </w:p>
        </w:tc>
        <w:tc>
          <w:tcPr>
            <w:tcW w:w="412" w:type="pct"/>
          </w:tcPr>
          <w:p w:rsidR="00B31EBC" w:rsidRPr="00B31EBC" w:rsidRDefault="00B31EBC" w:rsidP="00B31EBC">
            <w:pPr>
              <w:cnfStyle w:val="000000010000" w:firstRow="0" w:lastRow="0" w:firstColumn="0" w:lastColumn="0" w:oddVBand="0" w:evenVBand="0" w:oddHBand="0" w:evenHBand="1" w:firstRowFirstColumn="0" w:firstRowLastColumn="0" w:lastRowFirstColumn="0" w:lastRowLastColumn="0"/>
            </w:pPr>
            <w:r w:rsidRPr="0009562E">
              <w:t>–4.0</w:t>
            </w:r>
          </w:p>
        </w:tc>
      </w:tr>
      <w:tr w:rsidR="00B31EBC" w:rsidRPr="0009562E" w:rsidTr="008E4437">
        <w:trPr>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B31EBC" w:rsidRDefault="00B31EBC" w:rsidP="00B31EBC">
            <w:r w:rsidRPr="0009562E">
              <w:t>Closing RAB</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t>119.2</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119.7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121.5</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121.1</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rsidRPr="0009562E">
              <w:t>123.</w:t>
            </w:r>
            <w:r w:rsidRPr="00B31EBC">
              <w:t>7</w:t>
            </w:r>
          </w:p>
        </w:tc>
        <w:tc>
          <w:tcPr>
            <w:tcW w:w="412" w:type="pct"/>
          </w:tcPr>
          <w:p w:rsidR="00B31EBC" w:rsidRPr="00B31EBC" w:rsidRDefault="00B31EBC" w:rsidP="00B31EBC">
            <w:pPr>
              <w:cnfStyle w:val="000000000000" w:firstRow="0" w:lastRow="0" w:firstColumn="0" w:lastColumn="0" w:oddVBand="0" w:evenVBand="0" w:oddHBand="0" w:evenHBand="0" w:firstRowFirstColumn="0" w:firstRowLastColumn="0" w:lastRowFirstColumn="0" w:lastRowLastColumn="0"/>
            </w:pPr>
            <w:r>
              <w:t>127.1</w:t>
            </w:r>
          </w:p>
        </w:tc>
        <w:tc>
          <w:tcPr>
            <w:tcW w:w="412" w:type="pct"/>
          </w:tcPr>
          <w:p w:rsidR="00B31EBC" w:rsidRPr="00B31EBC" w:rsidRDefault="005C35A3" w:rsidP="00B31EBC">
            <w:pPr>
              <w:cnfStyle w:val="000000000000" w:firstRow="0" w:lastRow="0" w:firstColumn="0" w:lastColumn="0" w:oddVBand="0" w:evenVBand="0" w:oddHBand="0" w:evenHBand="0" w:firstRowFirstColumn="0" w:firstRowLastColumn="0" w:lastRowFirstColumn="0" w:lastRowLastColumn="0"/>
            </w:pPr>
            <w:r>
              <w:t>129.4</w:t>
            </w:r>
          </w:p>
        </w:tc>
      </w:tr>
      <w:tr w:rsidR="00B31EBC" w:rsidRPr="00E95A54" w:rsidTr="008E4437">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78" w:type="pct"/>
          </w:tcPr>
          <w:p w:rsidR="00B31EBC" w:rsidRPr="00111266" w:rsidRDefault="00B31EBC" w:rsidP="00E95A54">
            <w:r w:rsidRPr="00111266">
              <w:t>Opening RAB as at 1 July 2015</w:t>
            </w:r>
          </w:p>
        </w:tc>
        <w:tc>
          <w:tcPr>
            <w:tcW w:w="412" w:type="pct"/>
          </w:tcPr>
          <w:p w:rsidR="00B31EBC" w:rsidRPr="00111266" w:rsidRDefault="00B31EBC" w:rsidP="00E95A54">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rsidP="00E95A54">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rsidP="00F62923">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rsidP="00F62923">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rsidP="00F62923">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B31EBC">
            <w:pPr>
              <w:cnfStyle w:val="000000010000" w:firstRow="0" w:lastRow="0" w:firstColumn="0" w:lastColumn="0" w:oddVBand="0" w:evenVBand="0" w:oddHBand="0" w:evenHBand="1" w:firstRowFirstColumn="0" w:firstRowLastColumn="0" w:lastRowFirstColumn="0" w:lastRowLastColumn="0"/>
            </w:pPr>
          </w:p>
        </w:tc>
        <w:tc>
          <w:tcPr>
            <w:tcW w:w="412" w:type="pct"/>
          </w:tcPr>
          <w:p w:rsidR="00B31EBC" w:rsidRPr="00111266" w:rsidRDefault="005C35A3">
            <w:pPr>
              <w:cnfStyle w:val="000000010000" w:firstRow="0" w:lastRow="0" w:firstColumn="0" w:lastColumn="0" w:oddVBand="0" w:evenVBand="0" w:oddHBand="0" w:evenHBand="1" w:firstRowFirstColumn="0" w:firstRowLastColumn="0" w:lastRowFirstColumn="0" w:lastRowLastColumn="0"/>
            </w:pPr>
            <w:r>
              <w:t>129.4</w:t>
            </w:r>
          </w:p>
        </w:tc>
      </w:tr>
    </w:tbl>
    <w:p w:rsidR="00B31EBC" w:rsidRPr="0009562E" w:rsidRDefault="00B31EBC" w:rsidP="00B31EBC">
      <w:pPr>
        <w:pStyle w:val="AERtablesource"/>
      </w:pPr>
      <w:r w:rsidRPr="0009562E">
        <w:t>Source:</w:t>
      </w:r>
      <w:r w:rsidRPr="0009562E">
        <w:tab/>
        <w:t>AER analysis.</w:t>
      </w:r>
    </w:p>
    <w:p w:rsidR="00B31EBC" w:rsidRDefault="00B31EBC" w:rsidP="00B31EBC">
      <w:pPr>
        <w:pStyle w:val="AERtablesource"/>
      </w:pPr>
      <w:r w:rsidRPr="0009562E">
        <w:t>(a)</w:t>
      </w:r>
      <w:r w:rsidRPr="0009562E">
        <w:tab/>
        <w:t>Based on</w:t>
      </w:r>
      <w:r>
        <w:t xml:space="preserve"> revised</w:t>
      </w:r>
      <w:r w:rsidRPr="0009562E">
        <w:t xml:space="preserve"> </w:t>
      </w:r>
      <w:r>
        <w:t xml:space="preserve">estimated capex and actual inflation. </w:t>
      </w:r>
      <w:r w:rsidRPr="0009562E">
        <w:t xml:space="preserve"> </w:t>
      </w:r>
      <w:r>
        <w:t xml:space="preserve">We will update for actual capex at the next reset. </w:t>
      </w:r>
    </w:p>
    <w:p w:rsidR="00B31EBC" w:rsidRDefault="00B31EBC" w:rsidP="00B31EBC">
      <w:pPr>
        <w:pStyle w:val="AERtablesource"/>
      </w:pPr>
      <w:r w:rsidRPr="0009562E">
        <w:t>(b)</w:t>
      </w:r>
      <w:r w:rsidRPr="0009562E">
        <w:tab/>
        <w:t>As incurred, net of disposals, and adjusted for actual CPI.</w:t>
      </w:r>
    </w:p>
    <w:p w:rsidR="00B31EBC" w:rsidRPr="0009562E" w:rsidRDefault="00B31EBC" w:rsidP="00B31EBC">
      <w:pPr>
        <w:pStyle w:val="AERtablesource"/>
      </w:pPr>
      <w:r w:rsidRPr="0009562E">
        <w:t xml:space="preserve">(c) </w:t>
      </w:r>
      <w:r w:rsidRPr="0009562E">
        <w:tab/>
        <w:t>Based on forecast depreciation and adjusted for actual CPI.</w:t>
      </w:r>
    </w:p>
    <w:p w:rsidR="00565402" w:rsidRDefault="00565402" w:rsidP="00565402">
      <w:pPr>
        <w:pStyle w:val="Caption"/>
        <w:numPr>
          <w:ilvl w:val="0"/>
          <w:numId w:val="24"/>
        </w:numPr>
      </w:pPr>
      <w:bookmarkStart w:id="95" w:name="_Ref402343095"/>
      <w:r>
        <w:t xml:space="preserve">Table </w:t>
      </w:r>
      <w:fldSimple w:instr=" SEQ Table \* ARABIC ">
        <w:r w:rsidR="00EB67D6">
          <w:rPr>
            <w:noProof/>
          </w:rPr>
          <w:t>3</w:t>
        </w:r>
      </w:fldSimple>
      <w:bookmarkEnd w:id="95"/>
      <w:r>
        <w:tab/>
      </w:r>
      <w:r w:rsidRPr="009275BB">
        <w:t xml:space="preserve">AER's </w:t>
      </w:r>
      <w:r>
        <w:t xml:space="preserve">final </w:t>
      </w:r>
      <w:r w:rsidRPr="009275BB">
        <w:t xml:space="preserve">decision on </w:t>
      </w:r>
      <w:r>
        <w:t>Directlink</w:t>
      </w:r>
      <w:r w:rsidRPr="009275BB">
        <w:t>'s RAB for the 201</w:t>
      </w:r>
      <w:r>
        <w:t>5–20</w:t>
      </w:r>
      <w:r w:rsidRPr="009275BB">
        <w:t xml:space="preserve"> regulatory control period ($ million, nominal)</w:t>
      </w:r>
    </w:p>
    <w:tbl>
      <w:tblPr>
        <w:tblStyle w:val="AERtable-numbers"/>
        <w:tblW w:w="4995" w:type="pct"/>
        <w:tblLook w:val="01E0" w:firstRow="1" w:lastRow="1" w:firstColumn="1" w:lastColumn="1" w:noHBand="0" w:noVBand="0"/>
      </w:tblPr>
      <w:tblGrid>
        <w:gridCol w:w="3436"/>
        <w:gridCol w:w="1053"/>
        <w:gridCol w:w="1051"/>
        <w:gridCol w:w="1049"/>
        <w:gridCol w:w="1049"/>
        <w:gridCol w:w="1046"/>
      </w:tblGrid>
      <w:tr w:rsidR="00E95A54" w:rsidRPr="0009562E" w:rsidTr="00BE53D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pPr>
              <w:pStyle w:val="ListParagraph"/>
              <w:numPr>
                <w:ilvl w:val="0"/>
                <w:numId w:val="24"/>
              </w:numPr>
            </w:pPr>
          </w:p>
        </w:tc>
        <w:tc>
          <w:tcPr>
            <w:tcW w:w="606" w:type="pct"/>
          </w:tcPr>
          <w:p w:rsidR="00E95A54" w:rsidRPr="00E95A54" w:rsidRDefault="00E95A54" w:rsidP="00E95A54">
            <w:pPr>
              <w:cnfStyle w:val="100000000000" w:firstRow="1" w:lastRow="0" w:firstColumn="0" w:lastColumn="0" w:oddVBand="0" w:evenVBand="0" w:oddHBand="0" w:evenHBand="0" w:firstRowFirstColumn="0" w:firstRowLastColumn="0" w:lastRowFirstColumn="0" w:lastRowLastColumn="0"/>
            </w:pPr>
            <w:r w:rsidRPr="0009562E">
              <w:t>2015–16</w:t>
            </w:r>
          </w:p>
        </w:tc>
        <w:tc>
          <w:tcPr>
            <w:tcW w:w="605" w:type="pct"/>
          </w:tcPr>
          <w:p w:rsidR="00E95A54" w:rsidRPr="00E95A54" w:rsidRDefault="00E95A54" w:rsidP="00E95A54">
            <w:pPr>
              <w:cnfStyle w:val="100000000000" w:firstRow="1" w:lastRow="0" w:firstColumn="0" w:lastColumn="0" w:oddVBand="0" w:evenVBand="0" w:oddHBand="0" w:evenHBand="0" w:firstRowFirstColumn="0" w:firstRowLastColumn="0" w:lastRowFirstColumn="0" w:lastRowLastColumn="0"/>
            </w:pPr>
            <w:r w:rsidRPr="0009562E">
              <w:t>2016–17</w:t>
            </w:r>
          </w:p>
        </w:tc>
        <w:tc>
          <w:tcPr>
            <w:tcW w:w="604" w:type="pct"/>
          </w:tcPr>
          <w:p w:rsidR="00E95A54" w:rsidRPr="00E95A54" w:rsidRDefault="00E95A54" w:rsidP="00E95A54">
            <w:pPr>
              <w:cnfStyle w:val="100000000000" w:firstRow="1" w:lastRow="0" w:firstColumn="0" w:lastColumn="0" w:oddVBand="0" w:evenVBand="0" w:oddHBand="0" w:evenHBand="0" w:firstRowFirstColumn="0" w:firstRowLastColumn="0" w:lastRowFirstColumn="0" w:lastRowLastColumn="0"/>
            </w:pPr>
            <w:r w:rsidRPr="0009562E">
              <w:t>2017–18</w:t>
            </w:r>
          </w:p>
        </w:tc>
        <w:tc>
          <w:tcPr>
            <w:tcW w:w="604" w:type="pct"/>
          </w:tcPr>
          <w:p w:rsidR="00E95A54" w:rsidRPr="00E95A54" w:rsidRDefault="00E95A54" w:rsidP="00E95A54">
            <w:pPr>
              <w:cnfStyle w:val="100000000000" w:firstRow="1" w:lastRow="0" w:firstColumn="0" w:lastColumn="0" w:oddVBand="0" w:evenVBand="0" w:oddHBand="0" w:evenHBand="0" w:firstRowFirstColumn="0" w:firstRowLastColumn="0" w:lastRowFirstColumn="0" w:lastRowLastColumn="0"/>
            </w:pPr>
            <w:r w:rsidRPr="0009562E">
              <w:t>2018–19</w:t>
            </w:r>
          </w:p>
        </w:tc>
        <w:tc>
          <w:tcPr>
            <w:tcW w:w="602" w:type="pct"/>
          </w:tcPr>
          <w:p w:rsidR="00E95A54" w:rsidRPr="00E95A54" w:rsidRDefault="00E95A54" w:rsidP="00E95A54">
            <w:pPr>
              <w:cnfStyle w:val="100000000000" w:firstRow="1" w:lastRow="0" w:firstColumn="0" w:lastColumn="0" w:oddVBand="0" w:evenVBand="0" w:oddHBand="0" w:evenHBand="0" w:firstRowFirstColumn="0" w:firstRowLastColumn="0" w:lastRowFirstColumn="0" w:lastRowLastColumn="0"/>
            </w:pPr>
            <w:r w:rsidRPr="0009562E">
              <w:t>2019–20</w:t>
            </w:r>
          </w:p>
        </w:tc>
      </w:tr>
      <w:tr w:rsidR="00E95A54" w:rsidRPr="0009562E" w:rsidTr="00BE53DB">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r w:rsidRPr="0009562E">
              <w:t xml:space="preserve">Opening RAB </w:t>
            </w:r>
          </w:p>
        </w:tc>
        <w:tc>
          <w:tcPr>
            <w:tcW w:w="606" w:type="pct"/>
          </w:tcPr>
          <w:p w:rsidR="00E95A54" w:rsidRPr="00E95A54" w:rsidRDefault="005C35A3" w:rsidP="00E95A54">
            <w:pPr>
              <w:cnfStyle w:val="000000000000" w:firstRow="0" w:lastRow="0" w:firstColumn="0" w:lastColumn="0" w:oddVBand="0" w:evenVBand="0" w:oddHBand="0" w:evenHBand="0" w:firstRowFirstColumn="0" w:firstRowLastColumn="0" w:lastRowFirstColumn="0" w:lastRowLastColumn="0"/>
            </w:pPr>
            <w:r>
              <w:t>129.4</w:t>
            </w:r>
          </w:p>
        </w:tc>
        <w:tc>
          <w:tcPr>
            <w:tcW w:w="605" w:type="pct"/>
          </w:tcPr>
          <w:p w:rsidR="00E95A54" w:rsidRPr="00E95A54" w:rsidRDefault="005C35A3" w:rsidP="00071628">
            <w:pPr>
              <w:cnfStyle w:val="000000000000" w:firstRow="0" w:lastRow="0" w:firstColumn="0" w:lastColumn="0" w:oddVBand="0" w:evenVBand="0" w:oddHBand="0" w:evenHBand="0" w:firstRowFirstColumn="0" w:firstRowLastColumn="0" w:lastRowFirstColumn="0" w:lastRowLastColumn="0"/>
            </w:pPr>
            <w:r>
              <w:t>135.1</w:t>
            </w:r>
          </w:p>
        </w:tc>
        <w:tc>
          <w:tcPr>
            <w:tcW w:w="604"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13</w:t>
            </w:r>
            <w:r w:rsidR="00071628">
              <w:t>6</w:t>
            </w:r>
            <w:r w:rsidR="005C35A3">
              <w:t>4.9</w:t>
            </w:r>
          </w:p>
        </w:tc>
        <w:tc>
          <w:tcPr>
            <w:tcW w:w="604"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13</w:t>
            </w:r>
            <w:r w:rsidR="009B2F5C">
              <w:t>4.8</w:t>
            </w:r>
          </w:p>
        </w:tc>
        <w:tc>
          <w:tcPr>
            <w:tcW w:w="602" w:type="pct"/>
          </w:tcPr>
          <w:p w:rsidR="00E95A54" w:rsidRPr="00E95A54" w:rsidRDefault="00E95A54" w:rsidP="009B2F5C">
            <w:pPr>
              <w:cnfStyle w:val="000000000000" w:firstRow="0" w:lastRow="0" w:firstColumn="0" w:lastColumn="0" w:oddVBand="0" w:evenVBand="0" w:oddHBand="0" w:evenHBand="0" w:firstRowFirstColumn="0" w:firstRowLastColumn="0" w:lastRowFirstColumn="0" w:lastRowLastColumn="0"/>
            </w:pPr>
            <w:r>
              <w:t>13</w:t>
            </w:r>
            <w:r w:rsidR="009B2F5C">
              <w:t>5.5</w:t>
            </w:r>
          </w:p>
        </w:tc>
      </w:tr>
      <w:tr w:rsidR="00E95A54" w:rsidRPr="0009562E" w:rsidTr="00BE53DB">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r w:rsidRPr="0009562E">
              <w:t>Capital expenditure</w:t>
            </w:r>
            <w:r w:rsidRPr="00E95A54">
              <w:rPr>
                <w:rStyle w:val="AERsuperscript"/>
              </w:rPr>
              <w:t xml:space="preserve">a </w:t>
            </w:r>
          </w:p>
        </w:tc>
        <w:tc>
          <w:tcPr>
            <w:tcW w:w="606"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7.3</w:t>
            </w:r>
          </w:p>
        </w:tc>
        <w:tc>
          <w:tcPr>
            <w:tcW w:w="605"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1.7</w:t>
            </w:r>
          </w:p>
        </w:tc>
        <w:tc>
          <w:tcPr>
            <w:tcW w:w="604"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2.1</w:t>
            </w:r>
          </w:p>
        </w:tc>
        <w:tc>
          <w:tcPr>
            <w:tcW w:w="604"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3.0</w:t>
            </w:r>
          </w:p>
        </w:tc>
        <w:tc>
          <w:tcPr>
            <w:tcW w:w="602" w:type="pct"/>
          </w:tcPr>
          <w:p w:rsidR="00E95A54" w:rsidRPr="00E95A54" w:rsidRDefault="00E95A54" w:rsidP="00071628">
            <w:pPr>
              <w:cnfStyle w:val="000000010000" w:firstRow="0" w:lastRow="0" w:firstColumn="0" w:lastColumn="0" w:oddVBand="0" w:evenVBand="0" w:oddHBand="0" w:evenHBand="1" w:firstRowFirstColumn="0" w:firstRowLastColumn="0" w:lastRowFirstColumn="0" w:lastRowLastColumn="0"/>
            </w:pPr>
            <w:r>
              <w:t>15.</w:t>
            </w:r>
            <w:r w:rsidR="00071628">
              <w:t>8</w:t>
            </w:r>
          </w:p>
        </w:tc>
      </w:tr>
      <w:tr w:rsidR="00E95A54" w:rsidRPr="0009562E" w:rsidTr="00BE53DB">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r w:rsidRPr="0009562E">
              <w:t>Inflation indexation on opening RAB</w:t>
            </w:r>
          </w:p>
        </w:tc>
        <w:tc>
          <w:tcPr>
            <w:tcW w:w="606"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3.</w:t>
            </w:r>
            <w:r w:rsidR="00071628">
              <w:t>3</w:t>
            </w:r>
          </w:p>
        </w:tc>
        <w:tc>
          <w:tcPr>
            <w:tcW w:w="605"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3.</w:t>
            </w:r>
            <w:r w:rsidR="005C35A3">
              <w:t>4</w:t>
            </w:r>
          </w:p>
        </w:tc>
        <w:tc>
          <w:tcPr>
            <w:tcW w:w="604" w:type="pct"/>
          </w:tcPr>
          <w:p w:rsidR="00E95A54" w:rsidRPr="00E95A54" w:rsidRDefault="00E95A54" w:rsidP="005C35A3">
            <w:pPr>
              <w:cnfStyle w:val="000000000000" w:firstRow="0" w:lastRow="0" w:firstColumn="0" w:lastColumn="0" w:oddVBand="0" w:evenVBand="0" w:oddHBand="0" w:evenHBand="0" w:firstRowFirstColumn="0" w:firstRowLastColumn="0" w:lastRowFirstColumn="0" w:lastRowLastColumn="0"/>
            </w:pPr>
            <w:r>
              <w:t>3.</w:t>
            </w:r>
            <w:r w:rsidR="005C35A3">
              <w:t>4</w:t>
            </w:r>
          </w:p>
        </w:tc>
        <w:tc>
          <w:tcPr>
            <w:tcW w:w="604"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3.</w:t>
            </w:r>
            <w:r w:rsidR="009B2F5C">
              <w:t>4</w:t>
            </w:r>
          </w:p>
        </w:tc>
        <w:tc>
          <w:tcPr>
            <w:tcW w:w="602"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t>3.</w:t>
            </w:r>
            <w:r w:rsidR="00071628">
              <w:t>5</w:t>
            </w:r>
          </w:p>
        </w:tc>
      </w:tr>
      <w:tr w:rsidR="00E95A54" w:rsidRPr="0009562E" w:rsidTr="00BE53DB">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r w:rsidRPr="0009562E">
              <w:t>Straight-line depreciation</w:t>
            </w:r>
          </w:p>
        </w:tc>
        <w:tc>
          <w:tcPr>
            <w:tcW w:w="606"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rsidRPr="0009562E">
              <w:t>–</w:t>
            </w:r>
            <w:r w:rsidRPr="00E95A54">
              <w:t>5.0</w:t>
            </w:r>
          </w:p>
        </w:tc>
        <w:tc>
          <w:tcPr>
            <w:tcW w:w="605"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–5.4</w:t>
            </w:r>
          </w:p>
        </w:tc>
        <w:tc>
          <w:tcPr>
            <w:tcW w:w="604"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rsidRPr="0009562E">
              <w:t>–</w:t>
            </w:r>
            <w:r>
              <w:t>5.</w:t>
            </w:r>
            <w:r w:rsidRPr="00E95A54">
              <w:t>6</w:t>
            </w:r>
          </w:p>
        </w:tc>
        <w:tc>
          <w:tcPr>
            <w:tcW w:w="604" w:type="pct"/>
          </w:tcPr>
          <w:p w:rsidR="00E95A54" w:rsidRPr="00E95A54" w:rsidRDefault="00E95A54" w:rsidP="00071628">
            <w:pPr>
              <w:cnfStyle w:val="000000010000" w:firstRow="0" w:lastRow="0" w:firstColumn="0" w:lastColumn="0" w:oddVBand="0" w:evenVBand="0" w:oddHBand="0" w:evenHBand="1" w:firstRowFirstColumn="0" w:firstRowLastColumn="0" w:lastRowFirstColumn="0" w:lastRowLastColumn="0"/>
            </w:pPr>
            <w:r w:rsidRPr="0009562E">
              <w:t>–</w:t>
            </w:r>
            <w:r>
              <w:t>5.</w:t>
            </w:r>
            <w:r w:rsidR="009B2F5C">
              <w:t>8</w:t>
            </w:r>
          </w:p>
        </w:tc>
        <w:tc>
          <w:tcPr>
            <w:tcW w:w="602" w:type="pct"/>
          </w:tcPr>
          <w:p w:rsidR="00E95A54" w:rsidRPr="00E95A54" w:rsidRDefault="00E95A54" w:rsidP="00E95A54">
            <w:pPr>
              <w:cnfStyle w:val="000000010000" w:firstRow="0" w:lastRow="0" w:firstColumn="0" w:lastColumn="0" w:oddVBand="0" w:evenVBand="0" w:oddHBand="0" w:evenHBand="1" w:firstRowFirstColumn="0" w:firstRowLastColumn="0" w:lastRowFirstColumn="0" w:lastRowLastColumn="0"/>
            </w:pPr>
            <w:r>
              <w:t>–6.1</w:t>
            </w:r>
          </w:p>
        </w:tc>
      </w:tr>
      <w:tr w:rsidR="00E95A54" w:rsidRPr="00BE63ED" w:rsidTr="00BE53DB">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E95A54" w:rsidRPr="00E95A54" w:rsidRDefault="00E95A54" w:rsidP="00E95A54">
            <w:r w:rsidRPr="00BE63ED">
              <w:t xml:space="preserve">Closing RAB </w:t>
            </w:r>
          </w:p>
        </w:tc>
        <w:tc>
          <w:tcPr>
            <w:tcW w:w="606"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rsidRPr="00BE63ED">
              <w:t>1</w:t>
            </w:r>
            <w:r>
              <w:t>3</w:t>
            </w:r>
            <w:r w:rsidR="005C35A3">
              <w:t>5.1</w:t>
            </w:r>
          </w:p>
        </w:tc>
        <w:tc>
          <w:tcPr>
            <w:tcW w:w="605"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rsidRPr="00BE63ED">
              <w:t>13</w:t>
            </w:r>
            <w:r w:rsidR="005C35A3">
              <w:t>4.9</w:t>
            </w:r>
          </w:p>
        </w:tc>
        <w:tc>
          <w:tcPr>
            <w:tcW w:w="604"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rsidRPr="00BE63ED">
              <w:t>1</w:t>
            </w:r>
            <w:r>
              <w:t>3</w:t>
            </w:r>
            <w:r w:rsidR="009B2F5C">
              <w:t>4.8</w:t>
            </w:r>
          </w:p>
        </w:tc>
        <w:tc>
          <w:tcPr>
            <w:tcW w:w="604" w:type="pct"/>
          </w:tcPr>
          <w:p w:rsidR="00E95A54" w:rsidRPr="00E95A54" w:rsidRDefault="00E95A54" w:rsidP="009B2F5C">
            <w:pPr>
              <w:cnfStyle w:val="000000000000" w:firstRow="0" w:lastRow="0" w:firstColumn="0" w:lastColumn="0" w:oddVBand="0" w:evenVBand="0" w:oddHBand="0" w:evenHBand="0" w:firstRowFirstColumn="0" w:firstRowLastColumn="0" w:lastRowFirstColumn="0" w:lastRowLastColumn="0"/>
            </w:pPr>
            <w:r w:rsidRPr="00BE63ED">
              <w:t>1</w:t>
            </w:r>
            <w:r>
              <w:t>3</w:t>
            </w:r>
            <w:r w:rsidR="009B2F5C">
              <w:t>5.5</w:t>
            </w:r>
          </w:p>
        </w:tc>
        <w:tc>
          <w:tcPr>
            <w:tcW w:w="602" w:type="pct"/>
          </w:tcPr>
          <w:p w:rsidR="00E95A54" w:rsidRPr="00E95A54" w:rsidRDefault="00E95A54" w:rsidP="00071628">
            <w:pPr>
              <w:cnfStyle w:val="000000000000" w:firstRow="0" w:lastRow="0" w:firstColumn="0" w:lastColumn="0" w:oddVBand="0" w:evenVBand="0" w:oddHBand="0" w:evenHBand="0" w:firstRowFirstColumn="0" w:firstRowLastColumn="0" w:lastRowFirstColumn="0" w:lastRowLastColumn="0"/>
            </w:pPr>
            <w:r w:rsidRPr="00BE63ED">
              <w:t>1</w:t>
            </w:r>
            <w:r w:rsidR="009B2F5C">
              <w:t>48.6</w:t>
            </w:r>
          </w:p>
        </w:tc>
      </w:tr>
    </w:tbl>
    <w:p w:rsidR="00E95A54" w:rsidRPr="0009562E" w:rsidRDefault="00E95A54" w:rsidP="00E95A54">
      <w:pPr>
        <w:pStyle w:val="AERtablesource"/>
      </w:pPr>
      <w:r w:rsidRPr="0009562E">
        <w:t xml:space="preserve">Source: </w:t>
      </w:r>
      <w:r w:rsidRPr="0009562E">
        <w:tab/>
        <w:t>AER analysis.</w:t>
      </w:r>
    </w:p>
    <w:p w:rsidR="00E95A54" w:rsidRPr="00AF1F9E" w:rsidRDefault="00E95A54" w:rsidP="00E95A54">
      <w:pPr>
        <w:pStyle w:val="AERtablesource"/>
      </w:pPr>
      <w:r w:rsidRPr="0009562E">
        <w:t xml:space="preserve">(a) </w:t>
      </w:r>
      <w:r w:rsidRPr="0009562E">
        <w:tab/>
        <w:t xml:space="preserve">As incurred, and net of disposals. In accordance with the timing assumptions of the </w:t>
      </w:r>
      <w:r>
        <w:t>PTRM</w:t>
      </w:r>
      <w:r w:rsidRPr="0009562E">
        <w:t>, the capex includes a half-WACC allowance to compensate for the six month period before capex is added to the RAB for revenue modelling.</w:t>
      </w:r>
    </w:p>
    <w:p w:rsidR="005D37EF" w:rsidRPr="00A62B7C" w:rsidRDefault="00B15682" w:rsidP="005D37EF">
      <w:pPr>
        <w:numPr>
          <w:ilvl w:val="0"/>
          <w:numId w:val="24"/>
        </w:numPr>
        <w:rPr>
          <w:rStyle w:val="AERbody"/>
        </w:rPr>
      </w:pPr>
      <w:r w:rsidRPr="00A62B7C">
        <w:rPr>
          <w:rStyle w:val="AERbody"/>
        </w:rPr>
        <w:t xml:space="preserve">We roll forward the opening RAB at 1 July 2005 to determine the closing RAB at 30 June 2015. </w:t>
      </w:r>
      <w:r w:rsidR="002F4AE0" w:rsidRPr="00A62B7C">
        <w:rPr>
          <w:rStyle w:val="AERbody"/>
        </w:rPr>
        <w:t>Our</w:t>
      </w:r>
      <w:r w:rsidR="005D37EF" w:rsidRPr="00A62B7C">
        <w:rPr>
          <w:rStyle w:val="AERbody"/>
        </w:rPr>
        <w:t xml:space="preserve"> opening RAB value of $</w:t>
      </w:r>
      <w:r w:rsidR="009B2F5C" w:rsidRPr="00A62B7C">
        <w:rPr>
          <w:rStyle w:val="AERbody"/>
        </w:rPr>
        <w:t>129.4</w:t>
      </w:r>
      <w:r w:rsidR="005D37EF" w:rsidRPr="00A62B7C">
        <w:rPr>
          <w:rStyle w:val="AERbody"/>
        </w:rPr>
        <w:t xml:space="preserve"> million as at 1 July 2015</w:t>
      </w:r>
      <w:r w:rsidR="002F4AE0" w:rsidRPr="00D52A87">
        <w:rPr>
          <w:rStyle w:val="AERsuperscript"/>
        </w:rPr>
        <w:footnoteReference w:id="18"/>
      </w:r>
      <w:r w:rsidR="005D37EF" w:rsidRPr="00A62B7C">
        <w:rPr>
          <w:rStyle w:val="AERbody"/>
        </w:rPr>
        <w:t xml:space="preserve"> is $</w:t>
      </w:r>
      <w:r w:rsidR="004929E6" w:rsidRPr="00A62B7C">
        <w:rPr>
          <w:rStyle w:val="AERbody"/>
        </w:rPr>
        <w:t>1.5</w:t>
      </w:r>
      <w:r w:rsidR="001E4EF6" w:rsidRPr="00A62B7C">
        <w:rPr>
          <w:rStyle w:val="AERbody"/>
        </w:rPr>
        <w:t xml:space="preserve"> </w:t>
      </w:r>
      <w:r w:rsidR="005D37EF" w:rsidRPr="00A62B7C">
        <w:rPr>
          <w:rStyle w:val="AERbody"/>
        </w:rPr>
        <w:t xml:space="preserve">million (or </w:t>
      </w:r>
      <w:r w:rsidR="009B2F5C" w:rsidRPr="00A62B7C">
        <w:rPr>
          <w:rStyle w:val="AERbody"/>
        </w:rPr>
        <w:t xml:space="preserve">1.2 </w:t>
      </w:r>
      <w:r w:rsidR="005D37EF" w:rsidRPr="00A62B7C">
        <w:rPr>
          <w:rStyle w:val="AERbody"/>
        </w:rPr>
        <w:t xml:space="preserve">per cent) lower than </w:t>
      </w:r>
      <w:r w:rsidR="002F4AE0" w:rsidRPr="00A62B7C">
        <w:rPr>
          <w:rStyle w:val="AERbody"/>
        </w:rPr>
        <w:t xml:space="preserve">the </w:t>
      </w:r>
      <w:r w:rsidR="005D37EF" w:rsidRPr="00A62B7C">
        <w:rPr>
          <w:rStyle w:val="AERbody"/>
        </w:rPr>
        <w:t xml:space="preserve">$131.0 million in </w:t>
      </w:r>
      <w:r w:rsidR="002F4AE0" w:rsidRPr="00A62B7C">
        <w:rPr>
          <w:rStyle w:val="AERbody"/>
        </w:rPr>
        <w:t>Directlink's</w:t>
      </w:r>
      <w:r w:rsidR="005D37EF" w:rsidRPr="00A62B7C">
        <w:rPr>
          <w:rStyle w:val="AERbody"/>
        </w:rPr>
        <w:t xml:space="preserve"> revised proposal. This is because we have updated the RAB roll forward for the recent availability of the 2014–15 actual inflation input.</w:t>
      </w:r>
      <w:r w:rsidR="00FA0851" w:rsidRPr="00A62B7C">
        <w:rPr>
          <w:rStyle w:val="AERbody"/>
        </w:rPr>
        <w:t xml:space="preserve"> </w:t>
      </w:r>
    </w:p>
    <w:p w:rsidR="00565402" w:rsidRPr="009F4C42" w:rsidRDefault="00B15682" w:rsidP="00EA2264">
      <w:pPr>
        <w:pStyle w:val="AERbulletlistfirststyle"/>
        <w:numPr>
          <w:ilvl w:val="0"/>
          <w:numId w:val="24"/>
        </w:numPr>
      </w:pPr>
      <w:r w:rsidRPr="00F869C5">
        <w:rPr>
          <w:rStyle w:val="AERbody"/>
        </w:rPr>
        <w:t xml:space="preserve">We used our forecasts of depreciation, capex, disposals and inflation for the 2015–20 regulatory control period to roll forward Directlink's forecast RAB for each year of that period. </w:t>
      </w:r>
      <w:r w:rsidR="002F4AE0" w:rsidRPr="00F869C5">
        <w:rPr>
          <w:rStyle w:val="AERbody"/>
        </w:rPr>
        <w:t xml:space="preserve">Our </w:t>
      </w:r>
      <w:r w:rsidR="00565402" w:rsidRPr="00F869C5">
        <w:rPr>
          <w:rStyle w:val="AERbody"/>
        </w:rPr>
        <w:t xml:space="preserve">forecast closing RAB </w:t>
      </w:r>
      <w:r w:rsidR="002F4AE0" w:rsidRPr="00F869C5">
        <w:rPr>
          <w:rStyle w:val="AERbody"/>
        </w:rPr>
        <w:t xml:space="preserve">for Directlink </w:t>
      </w:r>
      <w:r w:rsidRPr="00F869C5">
        <w:rPr>
          <w:rStyle w:val="AERbody"/>
        </w:rPr>
        <w:t xml:space="preserve">at 30 June 2020 </w:t>
      </w:r>
      <w:r w:rsidR="002F4AE0" w:rsidRPr="00F869C5">
        <w:rPr>
          <w:rStyle w:val="AERbody"/>
        </w:rPr>
        <w:t xml:space="preserve">is </w:t>
      </w:r>
      <w:r w:rsidR="00565402" w:rsidRPr="00F869C5">
        <w:rPr>
          <w:rStyle w:val="AERbody"/>
        </w:rPr>
        <w:t>$</w:t>
      </w:r>
      <w:r w:rsidR="009B2F5C">
        <w:rPr>
          <w:rStyle w:val="AERbody"/>
        </w:rPr>
        <w:t>148.6</w:t>
      </w:r>
      <w:r w:rsidR="00565402" w:rsidRPr="00F869C5">
        <w:rPr>
          <w:rStyle w:val="AERbody"/>
        </w:rPr>
        <w:t> million ($ nominal)</w:t>
      </w:r>
      <w:r w:rsidR="00E95A54" w:rsidRPr="00F869C5">
        <w:rPr>
          <w:rStyle w:val="AERbody"/>
        </w:rPr>
        <w:t>, which represents</w:t>
      </w:r>
      <w:r w:rsidR="002F4AE0" w:rsidRPr="00F869C5">
        <w:rPr>
          <w:rStyle w:val="AERbody"/>
        </w:rPr>
        <w:t xml:space="preserve"> </w:t>
      </w:r>
      <w:r w:rsidR="00565402" w:rsidRPr="00F869C5">
        <w:rPr>
          <w:rStyle w:val="AERbody"/>
        </w:rPr>
        <w:t xml:space="preserve">a reduction </w:t>
      </w:r>
      <w:r w:rsidR="00E95A54" w:rsidRPr="00F869C5">
        <w:rPr>
          <w:rStyle w:val="AERbody"/>
        </w:rPr>
        <w:t xml:space="preserve">of around </w:t>
      </w:r>
      <w:r w:rsidR="00071628" w:rsidRPr="00F869C5">
        <w:rPr>
          <w:rStyle w:val="AERbody"/>
        </w:rPr>
        <w:t>8.</w:t>
      </w:r>
      <w:r w:rsidR="009B2F5C">
        <w:rPr>
          <w:rStyle w:val="AERbody"/>
        </w:rPr>
        <w:t>9</w:t>
      </w:r>
      <w:r w:rsidR="009B2F5C" w:rsidRPr="00F869C5">
        <w:rPr>
          <w:rStyle w:val="AERbody"/>
        </w:rPr>
        <w:t xml:space="preserve"> </w:t>
      </w:r>
      <w:r w:rsidR="00071628" w:rsidRPr="00F869C5">
        <w:rPr>
          <w:rStyle w:val="AERbody"/>
        </w:rPr>
        <w:t xml:space="preserve">per cent </w:t>
      </w:r>
      <w:r w:rsidR="00E95A54" w:rsidRPr="00F869C5">
        <w:rPr>
          <w:rStyle w:val="AERbody"/>
        </w:rPr>
        <w:t>from</w:t>
      </w:r>
      <w:r w:rsidR="00565402" w:rsidRPr="00F869C5">
        <w:rPr>
          <w:rStyle w:val="AERbody"/>
        </w:rPr>
        <w:t xml:space="preserve"> Directlink's </w:t>
      </w:r>
      <w:r w:rsidR="005D37EF" w:rsidRPr="00F869C5">
        <w:rPr>
          <w:rStyle w:val="AERbody"/>
        </w:rPr>
        <w:t>revised proposal</w:t>
      </w:r>
      <w:r w:rsidR="00565402" w:rsidRPr="00F869C5">
        <w:rPr>
          <w:rStyle w:val="AERbody"/>
        </w:rPr>
        <w:t xml:space="preserve"> amount. The main</w:t>
      </w:r>
      <w:r w:rsidR="00565402" w:rsidRPr="00F37DDE">
        <w:t xml:space="preserve"> reasons for this</w:t>
      </w:r>
      <w:r w:rsidR="00565402" w:rsidRPr="009F4C42">
        <w:t xml:space="preserve"> reduction are our adjustments to:</w:t>
      </w:r>
    </w:p>
    <w:p w:rsidR="00565402" w:rsidRPr="00C153C9" w:rsidRDefault="00565402" w:rsidP="00C153C9">
      <w:pPr>
        <w:pStyle w:val="AERbulletlistfirststyle"/>
        <w:rPr>
          <w:rStyle w:val="AERtexthighlight"/>
          <w:shd w:val="clear" w:color="auto" w:fill="auto"/>
        </w:rPr>
      </w:pPr>
      <w:r w:rsidRPr="00C153C9">
        <w:rPr>
          <w:rStyle w:val="AERtexthighlight"/>
          <w:shd w:val="clear" w:color="auto" w:fill="auto"/>
        </w:rPr>
        <w:t>forecast capex (</w:t>
      </w:r>
      <w:r w:rsidR="00C153C9" w:rsidRPr="005719A3">
        <w:rPr>
          <w:rStyle w:val="AERtexthighlight"/>
          <w:shd w:val="clear" w:color="auto" w:fill="auto"/>
        </w:rPr>
        <w:t>A</w:t>
      </w:r>
      <w:r w:rsidRPr="00C153C9">
        <w:rPr>
          <w:rStyle w:val="AERtexthighlight"/>
          <w:shd w:val="clear" w:color="auto" w:fill="auto"/>
        </w:rPr>
        <w:t>ttachment 6)</w:t>
      </w:r>
    </w:p>
    <w:p w:rsidR="00565402" w:rsidRPr="00C153C9" w:rsidRDefault="00565402" w:rsidP="00C153C9">
      <w:pPr>
        <w:pStyle w:val="AERbulletlistfirststyle"/>
        <w:rPr>
          <w:rStyle w:val="AERtexthighlight"/>
          <w:shd w:val="clear" w:color="auto" w:fill="auto"/>
        </w:rPr>
      </w:pPr>
      <w:r w:rsidRPr="00C153C9">
        <w:rPr>
          <w:rStyle w:val="AERtexthighlight"/>
          <w:shd w:val="clear" w:color="auto" w:fill="auto"/>
        </w:rPr>
        <w:t>the opening RAB at 1 July 2015 (</w:t>
      </w:r>
      <w:r w:rsidR="00C153C9" w:rsidRPr="005719A3">
        <w:rPr>
          <w:rStyle w:val="AERtexthighlight"/>
          <w:shd w:val="clear" w:color="auto" w:fill="auto"/>
        </w:rPr>
        <w:t>A</w:t>
      </w:r>
      <w:r w:rsidRPr="00C153C9">
        <w:rPr>
          <w:rStyle w:val="AERtexthighlight"/>
          <w:shd w:val="clear" w:color="auto" w:fill="auto"/>
        </w:rPr>
        <w:t>ttachment 2)</w:t>
      </w:r>
    </w:p>
    <w:p w:rsidR="00565402" w:rsidRPr="00C153C9" w:rsidRDefault="00565402" w:rsidP="00C153C9">
      <w:pPr>
        <w:pStyle w:val="AERbulletlistfirststyle"/>
        <w:rPr>
          <w:rStyle w:val="AERtexthighlight"/>
          <w:shd w:val="clear" w:color="auto" w:fill="auto"/>
        </w:rPr>
      </w:pPr>
      <w:r w:rsidRPr="00C153C9">
        <w:rPr>
          <w:rStyle w:val="AERtexthighlight"/>
          <w:shd w:val="clear" w:color="auto" w:fill="auto"/>
        </w:rPr>
        <w:t>forecast depreciation (</w:t>
      </w:r>
      <w:r w:rsidR="00C153C9" w:rsidRPr="005719A3">
        <w:rPr>
          <w:rStyle w:val="AERtexthighlight"/>
          <w:shd w:val="clear" w:color="auto" w:fill="auto"/>
        </w:rPr>
        <w:t>A</w:t>
      </w:r>
      <w:r w:rsidRPr="00C153C9">
        <w:rPr>
          <w:rStyle w:val="AERtexthighlight"/>
          <w:shd w:val="clear" w:color="auto" w:fill="auto"/>
        </w:rPr>
        <w:t xml:space="preserve">ttachment 5). </w:t>
      </w:r>
    </w:p>
    <w:p w:rsidR="00565402" w:rsidRPr="00F869C5" w:rsidRDefault="00565402" w:rsidP="00565402">
      <w:pPr>
        <w:rPr>
          <w:rStyle w:val="AERbody"/>
        </w:rPr>
      </w:pPr>
      <w:r w:rsidRPr="00F869C5">
        <w:rPr>
          <w:rStyle w:val="AERbody"/>
        </w:rPr>
        <w:t xml:space="preserve">Details of our </w:t>
      </w:r>
      <w:r w:rsidR="008E27AD" w:rsidRPr="00F869C5">
        <w:rPr>
          <w:rStyle w:val="AERbody"/>
        </w:rPr>
        <w:t>final decision on</w:t>
      </w:r>
      <w:r w:rsidRPr="00F869C5">
        <w:rPr>
          <w:rStyle w:val="AERbody"/>
        </w:rPr>
        <w:t xml:space="preserve"> the value of the RAB are set out in </w:t>
      </w:r>
      <w:r w:rsidR="00C153C9">
        <w:rPr>
          <w:rStyle w:val="AERbody"/>
        </w:rPr>
        <w:t>A</w:t>
      </w:r>
      <w:r w:rsidRPr="00F869C5">
        <w:rPr>
          <w:rStyle w:val="AERbody"/>
        </w:rPr>
        <w:t>ttachment 2.</w:t>
      </w:r>
    </w:p>
    <w:p w:rsidR="005B749D" w:rsidRPr="005B749D" w:rsidRDefault="005B749D" w:rsidP="005B749D">
      <w:pPr>
        <w:pStyle w:val="Heading2"/>
      </w:pPr>
      <w:bookmarkStart w:id="96" w:name="_Toc415740939"/>
      <w:bookmarkStart w:id="97" w:name="_Toc415816107"/>
      <w:bookmarkStart w:id="98" w:name="_Toc415820750"/>
      <w:bookmarkStart w:id="99" w:name="_Toc415822100"/>
      <w:bookmarkStart w:id="100" w:name="_Toc415834846"/>
      <w:bookmarkStart w:id="101" w:name="_Toc405387391"/>
      <w:bookmarkStart w:id="102" w:name="_Toc417987572"/>
      <w:bookmarkStart w:id="103" w:name="_Toc404437132"/>
      <w:bookmarkStart w:id="104" w:name="_Toc411428035"/>
      <w:bookmarkStart w:id="105" w:name="_Toc390936283"/>
      <w:bookmarkEnd w:id="83"/>
      <w:bookmarkEnd w:id="84"/>
      <w:bookmarkEnd w:id="85"/>
      <w:bookmarkEnd w:id="96"/>
      <w:bookmarkEnd w:id="97"/>
      <w:bookmarkEnd w:id="98"/>
      <w:bookmarkEnd w:id="99"/>
      <w:bookmarkEnd w:id="100"/>
      <w:r w:rsidRPr="009F4C42">
        <w:t xml:space="preserve">Rate of </w:t>
      </w:r>
      <w:r w:rsidRPr="005B749D">
        <w:t>return</w:t>
      </w:r>
      <w:bookmarkEnd w:id="101"/>
      <w:r w:rsidR="00A31491">
        <w:t xml:space="preserve"> (return on capital)</w:t>
      </w:r>
      <w:bookmarkEnd w:id="102"/>
    </w:p>
    <w:p w:rsidR="005B749D" w:rsidRDefault="005B749D" w:rsidP="005B749D">
      <w:pPr>
        <w:numPr>
          <w:ilvl w:val="0"/>
          <w:numId w:val="24"/>
        </w:numPr>
      </w:pPr>
      <w:r w:rsidRPr="00D16140">
        <w:t xml:space="preserve">The return </w:t>
      </w:r>
      <w:r>
        <w:t xml:space="preserve">on capital </w:t>
      </w:r>
      <w:r w:rsidRPr="00D16140">
        <w:t xml:space="preserve">provides a service provider </w:t>
      </w:r>
      <w:r>
        <w:t>with revenue</w:t>
      </w:r>
      <w:r w:rsidRPr="00D16140">
        <w:t xml:space="preserve"> to service the interest on its </w:t>
      </w:r>
      <w:r w:rsidR="00B828AF">
        <w:t>borrowings</w:t>
      </w:r>
      <w:r w:rsidR="00B828AF" w:rsidRPr="00D16140">
        <w:t xml:space="preserve"> </w:t>
      </w:r>
      <w:r w:rsidRPr="00D16140">
        <w:t xml:space="preserve">and </w:t>
      </w:r>
      <w:r>
        <w:t xml:space="preserve">to </w:t>
      </w:r>
      <w:r w:rsidRPr="00D16140">
        <w:t xml:space="preserve">give a return on equity to </w:t>
      </w:r>
      <w:r w:rsidR="00486693">
        <w:t>shareholders</w:t>
      </w:r>
      <w:r w:rsidRPr="00D16140">
        <w:t>. Th</w:t>
      </w:r>
      <w:r>
        <w:t>is</w:t>
      </w:r>
      <w:r w:rsidRPr="00D16140">
        <w:t xml:space="preserve"> building block is calculated as a product of the rate of return and the value of the RAB.</w:t>
      </w:r>
      <w:r w:rsidRPr="00D16140">
        <w:rPr>
          <w:rStyle w:val="FootnoteReference"/>
        </w:rPr>
        <w:footnoteReference w:id="19"/>
      </w:r>
    </w:p>
    <w:p w:rsidR="005B749D" w:rsidRPr="00D16140" w:rsidRDefault="005B749D" w:rsidP="005B749D">
      <w:pPr>
        <w:numPr>
          <w:ilvl w:val="0"/>
          <w:numId w:val="24"/>
        </w:numPr>
      </w:pPr>
      <w:r>
        <w:t xml:space="preserve">The </w:t>
      </w:r>
      <w:r w:rsidR="00000515">
        <w:t>NER set</w:t>
      </w:r>
      <w:r w:rsidR="008C29EB">
        <w:t>s</w:t>
      </w:r>
      <w:r w:rsidR="00000515">
        <w:t xml:space="preserve"> out that the </w:t>
      </w:r>
      <w:r>
        <w:t xml:space="preserve">rate of return must be commensurate with the efficient financing costs of a benchmark efficient entity with a similar degree of risk as that which applies to the </w:t>
      </w:r>
      <w:r w:rsidR="00F869C5" w:rsidRPr="00F869C5">
        <w:rPr>
          <w:rStyle w:val="AERbody"/>
        </w:rPr>
        <w:t>TNSP</w:t>
      </w:r>
      <w:r w:rsidRPr="00F869C5">
        <w:rPr>
          <w:rStyle w:val="AERbody"/>
        </w:rPr>
        <w:t xml:space="preserve"> in respect of the provision of</w:t>
      </w:r>
      <w:r w:rsidR="00823B8F" w:rsidRPr="00F869C5">
        <w:rPr>
          <w:rStyle w:val="AERbody"/>
        </w:rPr>
        <w:t xml:space="preserve"> transmission</w:t>
      </w:r>
      <w:r w:rsidRPr="00F869C5">
        <w:rPr>
          <w:rStyle w:val="AERbody"/>
        </w:rPr>
        <w:t xml:space="preserve"> services</w:t>
      </w:r>
      <w:r>
        <w:t>.</w:t>
      </w:r>
      <w:r>
        <w:rPr>
          <w:rStyle w:val="FootnoteReference"/>
        </w:rPr>
        <w:footnoteReference w:id="20"/>
      </w:r>
      <w:r>
        <w:t xml:space="preserve"> </w:t>
      </w:r>
      <w:r w:rsidRPr="00F869C5">
        <w:rPr>
          <w:rStyle w:val="AERbody"/>
        </w:rPr>
        <w:t>The NER</w:t>
      </w:r>
      <w:r w:rsidR="00F869C5" w:rsidRPr="00F869C5">
        <w:rPr>
          <w:rStyle w:val="AERbody"/>
        </w:rPr>
        <w:t xml:space="preserve"> refer</w:t>
      </w:r>
      <w:r>
        <w:t xml:space="preserve"> to this requirement as </w:t>
      </w:r>
      <w:r w:rsidR="00D52A87">
        <w:t xml:space="preserve">the </w:t>
      </w:r>
      <w:r w:rsidR="00D52A87" w:rsidRPr="00C153C9">
        <w:t>Allowed</w:t>
      </w:r>
      <w:r w:rsidR="00C153C9" w:rsidRPr="00823B8F">
        <w:t xml:space="preserve"> </w:t>
      </w:r>
      <w:r w:rsidR="00C153C9">
        <w:t>R</w:t>
      </w:r>
      <w:r w:rsidR="00C153C9" w:rsidRPr="00823B8F">
        <w:t xml:space="preserve">ate of </w:t>
      </w:r>
      <w:r w:rsidR="00C153C9">
        <w:t>R</w:t>
      </w:r>
      <w:r w:rsidR="00C153C9" w:rsidRPr="00823B8F">
        <w:t xml:space="preserve">eturn </w:t>
      </w:r>
      <w:r w:rsidR="00C153C9">
        <w:t>O</w:t>
      </w:r>
      <w:r w:rsidR="00C153C9" w:rsidRPr="00823B8F">
        <w:t>bjective</w:t>
      </w:r>
      <w:r>
        <w:t>.</w:t>
      </w:r>
    </w:p>
    <w:p w:rsidR="005B749D" w:rsidRDefault="005B749D" w:rsidP="00F869C5">
      <w:bookmarkStart w:id="106" w:name="_Toc402864659"/>
      <w:bookmarkStart w:id="107" w:name="_Toc404180624"/>
      <w:bookmarkEnd w:id="106"/>
      <w:bookmarkEnd w:id="107"/>
      <w:r>
        <w:t xml:space="preserve">We have determined an allowed </w:t>
      </w:r>
      <w:r w:rsidRPr="00F869C5">
        <w:rPr>
          <w:rStyle w:val="AERbody"/>
        </w:rPr>
        <w:t xml:space="preserve">rate of return of </w:t>
      </w:r>
      <w:r w:rsidR="00A56F4C" w:rsidRPr="00F869C5">
        <w:rPr>
          <w:rStyle w:val="AERbody"/>
        </w:rPr>
        <w:t>5.45</w:t>
      </w:r>
      <w:r w:rsidRPr="00F869C5">
        <w:rPr>
          <w:rStyle w:val="AERbody"/>
        </w:rPr>
        <w:t xml:space="preserve"> per cent</w:t>
      </w:r>
      <w:r>
        <w:t xml:space="preserve"> (nominal vanilla</w:t>
      </w:r>
      <w:r w:rsidR="00C153C9">
        <w:t>)</w:t>
      </w:r>
      <w:r>
        <w:rPr>
          <w:rStyle w:val="FootnoteReference"/>
        </w:rPr>
        <w:footnoteReference w:id="21"/>
      </w:r>
      <w:r>
        <w:t xml:space="preserve">, subject to updating. We have not </w:t>
      </w:r>
      <w:r w:rsidRPr="00F869C5">
        <w:rPr>
          <w:rStyle w:val="AERbody"/>
        </w:rPr>
        <w:t>accepted Directlink's proposed</w:t>
      </w:r>
      <w:r w:rsidR="00467C11">
        <w:rPr>
          <w:rStyle w:val="AERbody"/>
        </w:rPr>
        <w:t xml:space="preserve"> </w:t>
      </w:r>
      <w:r w:rsidR="00FD1836" w:rsidRPr="00F869C5">
        <w:rPr>
          <w:rStyle w:val="AERbody"/>
        </w:rPr>
        <w:t>6.17</w:t>
      </w:r>
      <w:r w:rsidRPr="00F869C5">
        <w:rPr>
          <w:rStyle w:val="AERbody"/>
        </w:rPr>
        <w:t xml:space="preserve"> per cent return.</w:t>
      </w:r>
      <w:r w:rsidR="00E9409E">
        <w:rPr>
          <w:rStyle w:val="FootnoteReference"/>
        </w:rPr>
        <w:footnoteReference w:id="22"/>
      </w:r>
      <w:r w:rsidRPr="00F869C5">
        <w:rPr>
          <w:rStyle w:val="AERbody"/>
        </w:rPr>
        <w:t xml:space="preserve"> </w:t>
      </w:r>
      <w:r w:rsidR="00000515">
        <w:rPr>
          <w:rStyle w:val="AERbody"/>
        </w:rPr>
        <w:t xml:space="preserve">In accordance with the </w:t>
      </w:r>
      <w:proofErr w:type="gramStart"/>
      <w:r w:rsidR="00000515">
        <w:rPr>
          <w:rStyle w:val="AERbody"/>
        </w:rPr>
        <w:t>Guideline</w:t>
      </w:r>
      <w:proofErr w:type="gramEnd"/>
      <w:r w:rsidR="00000515">
        <w:rPr>
          <w:rStyle w:val="AERbody"/>
        </w:rPr>
        <w:t xml:space="preserve"> w</w:t>
      </w:r>
      <w:r w:rsidRPr="00F869C5">
        <w:rPr>
          <w:rStyle w:val="AERbody"/>
        </w:rPr>
        <w:t>e will update the rate of return annually, consistent with Directlink's</w:t>
      </w:r>
      <w:r>
        <w:t xml:space="preserve"> revised proposal and our approach to </w:t>
      </w:r>
      <w:r w:rsidRPr="00854388">
        <w:t>the return on debt</w:t>
      </w:r>
      <w:r>
        <w:t>.</w:t>
      </w:r>
      <w:r>
        <w:rPr>
          <w:rStyle w:val="FootnoteReference"/>
        </w:rPr>
        <w:footnoteReference w:id="23"/>
      </w:r>
      <w:r>
        <w:t xml:space="preserve"> </w:t>
      </w:r>
      <w:r w:rsidR="00F869C5">
        <w:fldChar w:fldCharType="begin"/>
      </w:r>
      <w:r w:rsidR="00F869C5">
        <w:instrText xml:space="preserve"> REF _Ref416353513 \h </w:instrText>
      </w:r>
      <w:r w:rsidR="00F869C5">
        <w:fldChar w:fldCharType="separate"/>
      </w:r>
      <w:r w:rsidR="00EB67D6">
        <w:t xml:space="preserve">Table </w:t>
      </w:r>
      <w:r w:rsidR="00EB67D6">
        <w:rPr>
          <w:noProof/>
        </w:rPr>
        <w:t>4</w:t>
      </w:r>
      <w:r w:rsidR="00F869C5">
        <w:fldChar w:fldCharType="end"/>
      </w:r>
      <w:r w:rsidR="00F869C5">
        <w:t xml:space="preserve"> </w:t>
      </w:r>
      <w:r>
        <w:t>sets out the parameters we have used to determine the rate of return.</w:t>
      </w:r>
    </w:p>
    <w:p w:rsidR="005B749D" w:rsidRDefault="00F869C5" w:rsidP="00467C11">
      <w:pPr>
        <w:pStyle w:val="Caption"/>
      </w:pPr>
      <w:bookmarkStart w:id="108" w:name="_Ref416353513"/>
      <w:r>
        <w:t xml:space="preserve">Table </w:t>
      </w:r>
      <w:fldSimple w:instr=" SEQ Table \* ARABIC ">
        <w:r w:rsidR="00EB67D6">
          <w:rPr>
            <w:noProof/>
          </w:rPr>
          <w:t>4</w:t>
        </w:r>
      </w:fldSimple>
      <w:bookmarkEnd w:id="108"/>
      <w:r w:rsidR="005B749D">
        <w:tab/>
        <w:t xml:space="preserve">AER's </w:t>
      </w:r>
      <w:r w:rsidR="009C7429">
        <w:t xml:space="preserve">final </w:t>
      </w:r>
      <w:r w:rsidR="005B749D">
        <w:t xml:space="preserve">decision on </w:t>
      </w:r>
      <w:r w:rsidR="009F1227">
        <w:t xml:space="preserve">Directlink's </w:t>
      </w:r>
      <w:r w:rsidR="005B749D">
        <w:t>rate of return (nominal)</w:t>
      </w:r>
    </w:p>
    <w:tbl>
      <w:tblPr>
        <w:tblStyle w:val="AERtable-numbers"/>
        <w:tblW w:w="5000" w:type="pct"/>
        <w:tblLayout w:type="fixed"/>
        <w:tblLook w:val="04A0" w:firstRow="1" w:lastRow="0" w:firstColumn="1" w:lastColumn="0" w:noHBand="0" w:noVBand="1"/>
      </w:tblPr>
      <w:tblGrid>
        <w:gridCol w:w="3701"/>
        <w:gridCol w:w="1068"/>
        <w:gridCol w:w="1732"/>
        <w:gridCol w:w="1095"/>
        <w:gridCol w:w="1097"/>
      </w:tblGrid>
      <w:tr w:rsidR="00C75C25" w:rsidRPr="00494B09" w:rsidTr="00494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bookmarkStart w:id="109" w:name="_Toc416355126"/>
          </w:p>
        </w:tc>
        <w:tc>
          <w:tcPr>
            <w:tcW w:w="614" w:type="pct"/>
          </w:tcPr>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AER decision</w:t>
            </w:r>
          </w:p>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2006–15</w:t>
            </w:r>
          </w:p>
        </w:tc>
        <w:tc>
          <w:tcPr>
            <w:tcW w:w="996" w:type="pct"/>
          </w:tcPr>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Directlink's revised proposal</w:t>
            </w:r>
          </w:p>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2015–20</w:t>
            </w:r>
          </w:p>
        </w:tc>
        <w:tc>
          <w:tcPr>
            <w:tcW w:w="630" w:type="pct"/>
          </w:tcPr>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AER final decision</w:t>
            </w:r>
          </w:p>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2015–16</w:t>
            </w:r>
          </w:p>
        </w:tc>
        <w:tc>
          <w:tcPr>
            <w:tcW w:w="631" w:type="pct"/>
          </w:tcPr>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AER final decision</w:t>
            </w:r>
          </w:p>
          <w:p w:rsidR="00C75C25" w:rsidRPr="00494B09" w:rsidRDefault="00C75C25" w:rsidP="00494B09">
            <w:pPr>
              <w:cnfStyle w:val="100000000000" w:firstRow="1" w:lastRow="0" w:firstColumn="0" w:lastColumn="0" w:oddVBand="0" w:evenVBand="0" w:oddHBand="0" w:evenHBand="0" w:firstRowFirstColumn="0" w:firstRowLastColumn="0" w:lastRowFirstColumn="0" w:lastRowLastColumn="0"/>
            </w:pPr>
            <w:r w:rsidRPr="00494B09">
              <w:t>2016–20</w:t>
            </w:r>
          </w:p>
        </w:tc>
      </w:tr>
      <w:tr w:rsidR="00C75C25" w:rsidRPr="00494B09" w:rsidTr="00494B09">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Nominal risk free rate (return on equity)(a)</w:t>
            </w:r>
          </w:p>
        </w:tc>
        <w:tc>
          <w:tcPr>
            <w:tcW w:w="614"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5.32%</w:t>
            </w:r>
          </w:p>
        </w:tc>
        <w:tc>
          <w:tcPr>
            <w:tcW w:w="996"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2.90%</w:t>
            </w:r>
          </w:p>
        </w:tc>
        <w:tc>
          <w:tcPr>
            <w:tcW w:w="630"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2.55%</w:t>
            </w:r>
          </w:p>
        </w:tc>
        <w:tc>
          <w:tcPr>
            <w:tcW w:w="631"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2.55%</w:t>
            </w:r>
          </w:p>
        </w:tc>
      </w:tr>
      <w:tr w:rsidR="00C75C25" w:rsidRPr="00494B09" w:rsidTr="00494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 xml:space="preserve">Equity risk premium </w:t>
            </w:r>
          </w:p>
        </w:tc>
        <w:tc>
          <w:tcPr>
            <w:tcW w:w="614"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6.00%</w:t>
            </w:r>
          </w:p>
        </w:tc>
        <w:tc>
          <w:tcPr>
            <w:tcW w:w="996"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4.55%</w:t>
            </w:r>
          </w:p>
        </w:tc>
        <w:tc>
          <w:tcPr>
            <w:tcW w:w="630"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4.55%</w:t>
            </w:r>
          </w:p>
        </w:tc>
        <w:tc>
          <w:tcPr>
            <w:tcW w:w="631"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4.55%</w:t>
            </w:r>
          </w:p>
        </w:tc>
      </w:tr>
      <w:tr w:rsidR="00C75C25" w:rsidRPr="00494B09" w:rsidTr="00494B09">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MRP</w:t>
            </w:r>
          </w:p>
        </w:tc>
        <w:tc>
          <w:tcPr>
            <w:tcW w:w="614"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6.00%</w:t>
            </w:r>
          </w:p>
        </w:tc>
        <w:tc>
          <w:tcPr>
            <w:tcW w:w="996"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6.50%</w:t>
            </w:r>
          </w:p>
        </w:tc>
        <w:tc>
          <w:tcPr>
            <w:tcW w:w="630"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6.50%</w:t>
            </w:r>
          </w:p>
        </w:tc>
        <w:tc>
          <w:tcPr>
            <w:tcW w:w="631"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6.50%</w:t>
            </w:r>
          </w:p>
        </w:tc>
      </w:tr>
      <w:tr w:rsidR="00C75C25" w:rsidRPr="00494B09" w:rsidTr="00494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Equity beta</w:t>
            </w:r>
          </w:p>
        </w:tc>
        <w:tc>
          <w:tcPr>
            <w:tcW w:w="614"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1.0</w:t>
            </w:r>
          </w:p>
        </w:tc>
        <w:tc>
          <w:tcPr>
            <w:tcW w:w="996"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0.7</w:t>
            </w:r>
          </w:p>
        </w:tc>
        <w:tc>
          <w:tcPr>
            <w:tcW w:w="630"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0.7</w:t>
            </w:r>
          </w:p>
        </w:tc>
        <w:tc>
          <w:tcPr>
            <w:tcW w:w="631"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0.7</w:t>
            </w:r>
          </w:p>
        </w:tc>
      </w:tr>
      <w:tr w:rsidR="00C75C25" w:rsidRPr="00494B09" w:rsidTr="00494B09">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 xml:space="preserve">Nominal post–tax return on equity </w:t>
            </w:r>
          </w:p>
        </w:tc>
        <w:tc>
          <w:tcPr>
            <w:tcW w:w="614"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11.32%</w:t>
            </w:r>
          </w:p>
        </w:tc>
        <w:tc>
          <w:tcPr>
            <w:tcW w:w="996"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7.45%</w:t>
            </w:r>
          </w:p>
        </w:tc>
        <w:tc>
          <w:tcPr>
            <w:tcW w:w="630"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7.1%</w:t>
            </w:r>
          </w:p>
        </w:tc>
        <w:tc>
          <w:tcPr>
            <w:tcW w:w="631"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7.1%</w:t>
            </w:r>
          </w:p>
        </w:tc>
      </w:tr>
      <w:tr w:rsidR="00C75C25" w:rsidRPr="00494B09" w:rsidTr="00494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Nominal pre–tax return on debt</w:t>
            </w:r>
          </w:p>
        </w:tc>
        <w:tc>
          <w:tcPr>
            <w:tcW w:w="614"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6.32%</w:t>
            </w:r>
          </w:p>
        </w:tc>
        <w:tc>
          <w:tcPr>
            <w:tcW w:w="996"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5.28%</w:t>
            </w:r>
          </w:p>
        </w:tc>
        <w:tc>
          <w:tcPr>
            <w:tcW w:w="630"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4.35%</w:t>
            </w:r>
          </w:p>
        </w:tc>
        <w:tc>
          <w:tcPr>
            <w:tcW w:w="631"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Updated annually(b)</w:t>
            </w:r>
          </w:p>
        </w:tc>
      </w:tr>
      <w:tr w:rsidR="00C75C25" w:rsidRPr="00494B09" w:rsidTr="00494B09">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Gearing</w:t>
            </w:r>
          </w:p>
        </w:tc>
        <w:tc>
          <w:tcPr>
            <w:tcW w:w="614"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60%</w:t>
            </w:r>
          </w:p>
        </w:tc>
        <w:tc>
          <w:tcPr>
            <w:tcW w:w="996"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60%</w:t>
            </w:r>
          </w:p>
        </w:tc>
        <w:tc>
          <w:tcPr>
            <w:tcW w:w="630"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60%</w:t>
            </w:r>
          </w:p>
        </w:tc>
        <w:tc>
          <w:tcPr>
            <w:tcW w:w="631"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60%</w:t>
            </w:r>
          </w:p>
        </w:tc>
      </w:tr>
      <w:tr w:rsidR="00C75C25" w:rsidRPr="00494B09" w:rsidTr="00494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Nominal vanilla WACC</w:t>
            </w:r>
          </w:p>
        </w:tc>
        <w:tc>
          <w:tcPr>
            <w:tcW w:w="614"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8.32%</w:t>
            </w:r>
          </w:p>
        </w:tc>
        <w:tc>
          <w:tcPr>
            <w:tcW w:w="996"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6.17%</w:t>
            </w:r>
          </w:p>
        </w:tc>
        <w:tc>
          <w:tcPr>
            <w:tcW w:w="630"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5.45%</w:t>
            </w:r>
          </w:p>
        </w:tc>
        <w:tc>
          <w:tcPr>
            <w:tcW w:w="631" w:type="pct"/>
          </w:tcPr>
          <w:p w:rsidR="00C75C25" w:rsidRPr="00494B09" w:rsidRDefault="00C75C25" w:rsidP="00494B09">
            <w:pPr>
              <w:cnfStyle w:val="000000010000" w:firstRow="0" w:lastRow="0" w:firstColumn="0" w:lastColumn="0" w:oddVBand="0" w:evenVBand="0" w:oddHBand="0" w:evenHBand="1" w:firstRowFirstColumn="0" w:firstRowLastColumn="0" w:lastRowFirstColumn="0" w:lastRowLastColumn="0"/>
            </w:pPr>
            <w:r w:rsidRPr="00494B09">
              <w:t>Updated annually(b)</w:t>
            </w:r>
          </w:p>
        </w:tc>
      </w:tr>
      <w:tr w:rsidR="00C75C25" w:rsidRPr="00494B09" w:rsidTr="00494B09">
        <w:tc>
          <w:tcPr>
            <w:cnfStyle w:val="001000000000" w:firstRow="0" w:lastRow="0" w:firstColumn="1" w:lastColumn="0" w:oddVBand="0" w:evenVBand="0" w:oddHBand="0" w:evenHBand="0" w:firstRowFirstColumn="0" w:firstRowLastColumn="0" w:lastRowFirstColumn="0" w:lastRowLastColumn="0"/>
            <w:tcW w:w="2129" w:type="pct"/>
          </w:tcPr>
          <w:p w:rsidR="00C75C25" w:rsidRPr="00494B09" w:rsidRDefault="00C75C25" w:rsidP="00494B09">
            <w:r w:rsidRPr="00494B09">
              <w:t>Forecast inflation</w:t>
            </w:r>
          </w:p>
        </w:tc>
        <w:tc>
          <w:tcPr>
            <w:tcW w:w="614"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2.97%</w:t>
            </w:r>
          </w:p>
        </w:tc>
        <w:tc>
          <w:tcPr>
            <w:tcW w:w="996"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2.55%</w:t>
            </w:r>
          </w:p>
        </w:tc>
        <w:tc>
          <w:tcPr>
            <w:tcW w:w="630"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2.55%</w:t>
            </w:r>
          </w:p>
        </w:tc>
        <w:tc>
          <w:tcPr>
            <w:tcW w:w="631" w:type="pct"/>
          </w:tcPr>
          <w:p w:rsidR="00C75C25" w:rsidRPr="00494B09" w:rsidRDefault="00C75C25" w:rsidP="00494B09">
            <w:pPr>
              <w:cnfStyle w:val="000000000000" w:firstRow="0" w:lastRow="0" w:firstColumn="0" w:lastColumn="0" w:oddVBand="0" w:evenVBand="0" w:oddHBand="0" w:evenHBand="0" w:firstRowFirstColumn="0" w:firstRowLastColumn="0" w:lastRowFirstColumn="0" w:lastRowLastColumn="0"/>
            </w:pPr>
            <w:r w:rsidRPr="00494B09">
              <w:t>2.55%</w:t>
            </w:r>
          </w:p>
        </w:tc>
      </w:tr>
    </w:tbl>
    <w:p w:rsidR="00C75C25" w:rsidRPr="00467C11" w:rsidRDefault="00C75C25" w:rsidP="00467C11">
      <w:pPr>
        <w:pStyle w:val="AERtablesource"/>
      </w:pPr>
      <w:r w:rsidRPr="00467C11">
        <w:t>Source:</w:t>
      </w:r>
      <w:r w:rsidRPr="00467C11">
        <w:tab/>
        <w:t xml:space="preserve">AER analysis; Directlink, </w:t>
      </w:r>
      <w:r w:rsidRPr="00467C11">
        <w:rPr>
          <w:rStyle w:val="AERtextitalic"/>
          <w:i w:val="0"/>
        </w:rPr>
        <w:t>Revised</w:t>
      </w:r>
      <w:r w:rsidRPr="00467C11">
        <w:t xml:space="preserve"> </w:t>
      </w:r>
      <w:r w:rsidRPr="00467C11">
        <w:rPr>
          <w:rStyle w:val="AERtextitalic"/>
          <w:i w:val="0"/>
        </w:rPr>
        <w:t>regulatory proposal</w:t>
      </w:r>
      <w:r w:rsidRPr="00467C11">
        <w:t xml:space="preserve">, January 2015; AER, </w:t>
      </w:r>
      <w:r w:rsidRPr="00467C11">
        <w:rPr>
          <w:rStyle w:val="AERtextitalic"/>
          <w:i w:val="0"/>
        </w:rPr>
        <w:t>Decision: Directlink Joint Venture's application for conversion and revenue cap</w:t>
      </w:r>
      <w:r w:rsidRPr="00467C11">
        <w:t>, March 2006.</w:t>
      </w:r>
    </w:p>
    <w:p w:rsidR="00C75C25" w:rsidRPr="00467C11" w:rsidRDefault="00C75C25" w:rsidP="00467C11">
      <w:pPr>
        <w:pStyle w:val="AERtablesource"/>
      </w:pPr>
      <w:r w:rsidRPr="00467C11">
        <w:t>(a)</w:t>
      </w:r>
      <w:r w:rsidRPr="00467C11">
        <w:tab/>
        <w:t xml:space="preserve">Directlink's revised proposal risk free rate estimate was based on an averaging period of the last 10 business days of December 2014. AER final decision risk free rate estimate is based on a 20 business day averaging period from 9 February to 6 March 2015. </w:t>
      </w:r>
    </w:p>
    <w:p w:rsidR="00C75C25" w:rsidRPr="00467C11" w:rsidRDefault="00C75C25" w:rsidP="00467C11">
      <w:pPr>
        <w:pStyle w:val="AERtablesource"/>
      </w:pPr>
      <w:r w:rsidRPr="00467C11">
        <w:t>(b)</w:t>
      </w:r>
      <w:r w:rsidRPr="00467C11">
        <w:tab/>
        <w:t xml:space="preserve">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w:t>
      </w:r>
      <w:r w:rsidR="00494B09">
        <w:t>Attachment 3, A</w:t>
      </w:r>
      <w:r w:rsidRPr="00467C11">
        <w:t xml:space="preserve">ppendix I. </w:t>
      </w:r>
    </w:p>
    <w:p w:rsidR="00C75C25" w:rsidRDefault="00C75C25" w:rsidP="005B749D">
      <w:pPr>
        <w:pStyle w:val="HeadingBoldBlue"/>
        <w:numPr>
          <w:ilvl w:val="0"/>
          <w:numId w:val="24"/>
        </w:numPr>
      </w:pPr>
    </w:p>
    <w:p w:rsidR="005B749D" w:rsidRPr="00D16140" w:rsidRDefault="005B749D" w:rsidP="005B749D">
      <w:pPr>
        <w:pStyle w:val="HeadingBoldBlue"/>
        <w:numPr>
          <w:ilvl w:val="0"/>
          <w:numId w:val="24"/>
        </w:numPr>
      </w:pPr>
      <w:r w:rsidRPr="00D16140">
        <w:t>Our approach</w:t>
      </w:r>
      <w:bookmarkEnd w:id="109"/>
    </w:p>
    <w:p w:rsidR="005B749D" w:rsidRPr="00D16140" w:rsidRDefault="005B749D" w:rsidP="005B749D">
      <w:pPr>
        <w:numPr>
          <w:ilvl w:val="0"/>
          <w:numId w:val="24"/>
        </w:numPr>
      </w:pPr>
      <w:r>
        <w:t>All</w:t>
      </w:r>
      <w:r w:rsidRPr="00D16140">
        <w:t xml:space="preserve"> NER</w:t>
      </w:r>
      <w:r>
        <w:t xml:space="preserve"> requirements relating to the rate of return are subject to the overall rate of return achieving the </w:t>
      </w:r>
      <w:r w:rsidR="00C153C9">
        <w:t>A</w:t>
      </w:r>
      <w:r w:rsidR="00C153C9" w:rsidRPr="00823B8F">
        <w:t xml:space="preserve">llowed </w:t>
      </w:r>
      <w:r w:rsidR="00C153C9">
        <w:t>R</w:t>
      </w:r>
      <w:r w:rsidR="00C153C9" w:rsidRPr="00823B8F">
        <w:t xml:space="preserve">ate of </w:t>
      </w:r>
      <w:r w:rsidR="00C153C9">
        <w:t>R</w:t>
      </w:r>
      <w:r w:rsidR="00C153C9" w:rsidRPr="00823B8F">
        <w:t xml:space="preserve">eturn </w:t>
      </w:r>
      <w:r w:rsidR="00C153C9">
        <w:t>O</w:t>
      </w:r>
      <w:r w:rsidR="00C153C9" w:rsidRPr="00823B8F">
        <w:t>bjective</w:t>
      </w:r>
      <w:r w:rsidR="0049255D">
        <w:t>.</w:t>
      </w:r>
      <w:r w:rsidRPr="00D16140">
        <w:rPr>
          <w:rStyle w:val="FootnoteReference"/>
        </w:rPr>
        <w:footnoteReference w:id="24"/>
      </w:r>
      <w:r w:rsidRPr="00D16140">
        <w:t xml:space="preserve"> </w:t>
      </w:r>
      <w:r>
        <w:t xml:space="preserve">The NER recognise that </w:t>
      </w:r>
      <w:r w:rsidRPr="00D16140">
        <w:t xml:space="preserve">there </w:t>
      </w:r>
      <w:r w:rsidR="00B828AF">
        <w:t xml:space="preserve">are </w:t>
      </w:r>
      <w:r>
        <w:t>several plausible</w:t>
      </w:r>
      <w:r w:rsidRPr="00D16140">
        <w:t xml:space="preserve"> answer</w:t>
      </w:r>
      <w:r>
        <w:t>s</w:t>
      </w:r>
      <w:r w:rsidRPr="00D16140">
        <w:t xml:space="preserve"> that </w:t>
      </w:r>
      <w:r>
        <w:t xml:space="preserve">could </w:t>
      </w:r>
      <w:r w:rsidRPr="00D16140">
        <w:t xml:space="preserve">achieve the </w:t>
      </w:r>
      <w:r w:rsidR="00C153C9">
        <w:t>A</w:t>
      </w:r>
      <w:r w:rsidR="00C153C9" w:rsidRPr="00823B8F">
        <w:t xml:space="preserve">llowed </w:t>
      </w:r>
      <w:r w:rsidR="00C153C9">
        <w:t>R</w:t>
      </w:r>
      <w:r w:rsidR="00C153C9" w:rsidRPr="00823B8F">
        <w:t xml:space="preserve">ate of </w:t>
      </w:r>
      <w:r w:rsidR="00C153C9">
        <w:t>R</w:t>
      </w:r>
      <w:r w:rsidR="00C153C9" w:rsidRPr="00823B8F">
        <w:t xml:space="preserve">eturn </w:t>
      </w:r>
      <w:r w:rsidR="00C153C9">
        <w:t>O</w:t>
      </w:r>
      <w:r w:rsidR="00C153C9" w:rsidRPr="00823B8F">
        <w:t>bjective</w:t>
      </w:r>
      <w:r w:rsidRPr="00D16140">
        <w:t>.</w:t>
      </w:r>
      <w:r w:rsidRPr="00D16140">
        <w:rPr>
          <w:rStyle w:val="FootnoteReference"/>
        </w:rPr>
        <w:footnoteReference w:id="25"/>
      </w:r>
      <w:r w:rsidRPr="00D16140">
        <w:t xml:space="preserve"> </w:t>
      </w:r>
      <w:r>
        <w:t xml:space="preserve">We </w:t>
      </w:r>
      <w:r w:rsidRPr="00D16140">
        <w:t>agree with stakeholders that predictability of outcomes in rate of return issues could materially benefit the long term interest of consumers.</w:t>
      </w:r>
      <w:r w:rsidRPr="00D16140">
        <w:rPr>
          <w:rStyle w:val="FootnoteReference"/>
        </w:rPr>
        <w:footnoteReference w:id="26"/>
      </w:r>
      <w:r>
        <w:t xml:space="preserve"> </w:t>
      </w:r>
    </w:p>
    <w:p w:rsidR="005B749D" w:rsidRPr="00D16140" w:rsidRDefault="005B749D" w:rsidP="005B749D">
      <w:pPr>
        <w:numPr>
          <w:ilvl w:val="0"/>
          <w:numId w:val="24"/>
        </w:numPr>
      </w:pPr>
      <w:r>
        <w:t>We developed our approach p</w:t>
      </w:r>
      <w:r w:rsidRPr="00D16140">
        <w:t xml:space="preserve">rior to the submission of </w:t>
      </w:r>
      <w:r w:rsidR="00C153C9">
        <w:t>Directlink's revenue</w:t>
      </w:r>
      <w:r w:rsidRPr="00D16140">
        <w:t xml:space="preserve"> proposal</w:t>
      </w:r>
      <w:r w:rsidR="00F869C5">
        <w:t>. A</w:t>
      </w:r>
      <w:r w:rsidRPr="00D16140">
        <w:t>s required by the rate of return framework</w:t>
      </w:r>
      <w:r w:rsidR="00C153C9" w:rsidRPr="00D16140">
        <w:rPr>
          <w:rStyle w:val="FootnoteReference"/>
        </w:rPr>
        <w:footnoteReference w:id="27"/>
      </w:r>
      <w:r w:rsidRPr="00D16140">
        <w:t>, in December 2013 we published the Guideline</w:t>
      </w:r>
      <w:r w:rsidR="00C153C9" w:rsidRPr="00C153C9">
        <w:rPr>
          <w:rStyle w:val="FootnoteReference"/>
        </w:rPr>
        <w:t xml:space="preserve"> </w:t>
      </w:r>
      <w:r w:rsidR="00C153C9" w:rsidRPr="00D16140">
        <w:rPr>
          <w:rStyle w:val="FootnoteReference"/>
        </w:rPr>
        <w:footnoteReference w:id="28"/>
      </w:r>
      <w:r w:rsidR="00C153C9">
        <w:t xml:space="preserve"> as contemplated by the NER.</w:t>
      </w:r>
      <w:r w:rsidR="00C153C9">
        <w:rPr>
          <w:rStyle w:val="FootnoteReference"/>
        </w:rPr>
        <w:footnoteReference w:id="29"/>
      </w:r>
      <w:r w:rsidRPr="00D16140">
        <w:t xml:space="preserve"> The Guideline was designed through extensive consultation and </w:t>
      </w:r>
      <w:r w:rsidR="00C153C9">
        <w:t>involved</w:t>
      </w:r>
      <w:r w:rsidR="00C153C9" w:rsidRPr="00D16140">
        <w:t xml:space="preserve"> </w:t>
      </w:r>
      <w:r w:rsidRPr="00D16140">
        <w:t xml:space="preserve">effective and inclusive consumer participation. </w:t>
      </w:r>
    </w:p>
    <w:p w:rsidR="005B749D" w:rsidRPr="00D16140" w:rsidRDefault="005B749D" w:rsidP="005B749D">
      <w:pPr>
        <w:pStyle w:val="HeadingBoldBlue"/>
        <w:numPr>
          <w:ilvl w:val="0"/>
          <w:numId w:val="24"/>
        </w:numPr>
      </w:pPr>
      <w:bookmarkStart w:id="110" w:name="_Toc416355127"/>
      <w:r w:rsidRPr="00D16140">
        <w:t>Return on debt</w:t>
      </w:r>
      <w:bookmarkEnd w:id="110"/>
    </w:p>
    <w:p w:rsidR="000F513F" w:rsidRDefault="00DA0CEF" w:rsidP="005B749D">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30"/>
      </w:r>
      <w:r w:rsidR="000F513F">
        <w:t xml:space="preserve"> This is the approach that </w:t>
      </w:r>
      <w:r w:rsidR="00E25FCB">
        <w:t xml:space="preserve">many </w:t>
      </w:r>
      <w:r w:rsidR="000F513F">
        <w:t>Australian regulators continue to use.</w:t>
      </w:r>
      <w:r w:rsidRPr="00D16140">
        <w:t xml:space="preserve"> </w:t>
      </w:r>
      <w:r w:rsidR="000F513F">
        <w:t>However, for this decision, w</w:t>
      </w:r>
      <w:r>
        <w:t xml:space="preserve">e have determined a return on debt estimate that gradually transitions </w:t>
      </w:r>
      <w:r w:rsidR="000F513F">
        <w:t xml:space="preserve">from an on-the-day approach </w:t>
      </w:r>
      <w:r>
        <w:t>to a trailing average approach</w:t>
      </w:r>
      <w:r w:rsidR="005B749D" w:rsidRPr="00D16140">
        <w:t>.</w:t>
      </w:r>
      <w:r>
        <w:rPr>
          <w:rStyle w:val="FootnoteReference"/>
        </w:rPr>
        <w:footnoteReference w:id="31"/>
      </w:r>
      <w:r w:rsidR="005B749D" w:rsidRPr="00D16140">
        <w:t xml:space="preserve"> </w:t>
      </w:r>
      <w:r w:rsidR="00E25FCB">
        <w:t>This is consistent with the views most stakeholders expressed during the Guideline development process</w:t>
      </w:r>
      <w:r w:rsidR="000F513F">
        <w:t xml:space="preserve">. </w:t>
      </w:r>
    </w:p>
    <w:p w:rsidR="009B1E6B" w:rsidRDefault="000F513F" w:rsidP="009B1E6B">
      <w:r w:rsidRPr="00F869C5">
        <w:rPr>
          <w:rStyle w:val="AERbody"/>
        </w:rPr>
        <w:t xml:space="preserve">Directlink proposed that we use a backwards looking approach to move from the on-the-day approach to the trailing average approach. </w:t>
      </w:r>
      <w:r w:rsidR="009B1E6B" w:rsidRPr="00F869C5">
        <w:rPr>
          <w:rStyle w:val="AERbody"/>
        </w:rPr>
        <w:t>This involved using data from the last ten years to set the return on debt for the 2015-</w:t>
      </w:r>
      <w:r w:rsidR="009F1227" w:rsidRPr="00F869C5">
        <w:rPr>
          <w:rStyle w:val="AERbody"/>
        </w:rPr>
        <w:t>20</w:t>
      </w:r>
      <w:r w:rsidR="009B1E6B" w:rsidRPr="00F869C5">
        <w:rPr>
          <w:rStyle w:val="AERbody"/>
        </w:rPr>
        <w:t xml:space="preserve"> regulatory control period. </w:t>
      </w:r>
      <w:r w:rsidRPr="00F869C5">
        <w:rPr>
          <w:rStyle w:val="AERbody"/>
        </w:rPr>
        <w:t>We disagree</w:t>
      </w:r>
      <w:r w:rsidR="00A4648E" w:rsidRPr="00F869C5">
        <w:rPr>
          <w:rStyle w:val="AERbody"/>
        </w:rPr>
        <w:t>. Instead</w:t>
      </w:r>
      <w:r w:rsidRPr="00F869C5">
        <w:rPr>
          <w:rStyle w:val="AERbody"/>
        </w:rPr>
        <w:t xml:space="preserve"> </w:t>
      </w:r>
      <w:r w:rsidR="009B1E6B" w:rsidRPr="00F869C5">
        <w:rPr>
          <w:rStyle w:val="AERbody"/>
        </w:rPr>
        <w:t>we have determined a gradual, forward looking transition to a trailing</w:t>
      </w:r>
      <w:r w:rsidR="009B1E6B">
        <w:t xml:space="preserve"> average.</w:t>
      </w:r>
      <w:r w:rsidR="009B1E6B">
        <w:rPr>
          <w:rStyle w:val="FootnoteReference"/>
        </w:rPr>
        <w:footnoteReference w:id="32"/>
      </w:r>
      <w:r w:rsidR="009B1E6B">
        <w:t xml:space="preserve"> </w:t>
      </w:r>
    </w:p>
    <w:p w:rsidR="00A4648E" w:rsidRDefault="00A4648E" w:rsidP="00A4648E">
      <w:pPr>
        <w:numPr>
          <w:ilvl w:val="0"/>
          <w:numId w:val="24"/>
        </w:numPr>
      </w:pPr>
      <w:r>
        <w:t>As mentioned in section</w:t>
      </w:r>
      <w:r w:rsidR="00591F56">
        <w:t xml:space="preserve"> </w:t>
      </w:r>
      <w:r w:rsidR="00591F56">
        <w:fldChar w:fldCharType="begin"/>
      </w:r>
      <w:r w:rsidR="00591F56">
        <w:instrText xml:space="preserve"> REF _Ref415823326 \r \h </w:instrText>
      </w:r>
      <w:r w:rsidR="00591F56">
        <w:fldChar w:fldCharType="separate"/>
      </w:r>
      <w:r w:rsidR="00EB67D6">
        <w:t>1</w:t>
      </w:r>
      <w:r w:rsidR="00591F56">
        <w:fldChar w:fldCharType="end"/>
      </w:r>
      <w:r>
        <w:t xml:space="preserve">, </w:t>
      </w:r>
      <w:r w:rsidR="00591F56">
        <w:t xml:space="preserve">rate of return </w:t>
      </w:r>
      <w:r>
        <w:t>is the most material revenue</w:t>
      </w:r>
      <w:r w:rsidRPr="0016716A">
        <w:t xml:space="preserve"> difference between our </w:t>
      </w:r>
      <w:r w:rsidRPr="00F869C5">
        <w:rPr>
          <w:rStyle w:val="AERbody"/>
        </w:rPr>
        <w:t>final decision and Directlink's revised proposal. As a result, we summarise our reasons</w:t>
      </w:r>
      <w:r>
        <w:t xml:space="preserve"> in some detail below.</w:t>
      </w:r>
    </w:p>
    <w:p w:rsidR="00591F56" w:rsidRDefault="005B749D" w:rsidP="008B6422">
      <w:pPr>
        <w:numPr>
          <w:ilvl w:val="0"/>
          <w:numId w:val="24"/>
        </w:numPr>
      </w:pPr>
      <w:r w:rsidRPr="00D16140">
        <w:t xml:space="preserve">We are satisfied that </w:t>
      </w:r>
      <w:r w:rsidR="00A4648E">
        <w:t xml:space="preserve">a gradual, forward looking transition to a trailing average </w:t>
      </w:r>
      <w:r w:rsidR="00A4648E" w:rsidRPr="00F869C5">
        <w:rPr>
          <w:rStyle w:val="AERbody"/>
        </w:rPr>
        <w:t xml:space="preserve">approach </w:t>
      </w:r>
      <w:r w:rsidR="008B6422">
        <w:rPr>
          <w:rStyle w:val="AERbody"/>
        </w:rPr>
        <w:t xml:space="preserve">results in a return on debt that contributes to the </w:t>
      </w:r>
      <w:r w:rsidR="005719A3">
        <w:rPr>
          <w:rStyle w:val="AERbody"/>
        </w:rPr>
        <w:t>Allowed Rate of Return Objective</w:t>
      </w:r>
      <w:r w:rsidR="008B6422">
        <w:rPr>
          <w:rStyle w:val="AERbody"/>
        </w:rPr>
        <w:t>. In particular, this approach</w:t>
      </w:r>
      <w:r w:rsidR="00A4648E" w:rsidRPr="00F869C5">
        <w:rPr>
          <w:rStyle w:val="AERbody"/>
        </w:rPr>
        <w:t xml:space="preserve"> takes account of any impacts</w:t>
      </w:r>
      <w:r w:rsidR="008B6422">
        <w:rPr>
          <w:rStyle w:val="AERbody"/>
        </w:rPr>
        <w:t xml:space="preserve"> </w:t>
      </w:r>
      <w:r w:rsidR="00A4648E" w:rsidRPr="00F869C5">
        <w:rPr>
          <w:rStyle w:val="AERbody"/>
        </w:rPr>
        <w:t xml:space="preserve">on a </w:t>
      </w:r>
      <w:r w:rsidR="00A4648E" w:rsidRPr="00A62B7C">
        <w:rPr>
          <w:rStyle w:val="Emphasis"/>
        </w:rPr>
        <w:t>benchmark efficient entity</w:t>
      </w:r>
      <w:r w:rsidR="00A4648E" w:rsidRPr="00F869C5">
        <w:rPr>
          <w:rStyle w:val="AERbody"/>
        </w:rPr>
        <w:t xml:space="preserve"> that could arise as a result of changing</w:t>
      </w:r>
      <w:r w:rsidR="00A4648E">
        <w:t xml:space="preserve"> the methodology that is used to estimate the return on debt</w:t>
      </w:r>
      <w:r w:rsidR="00A4648E" w:rsidRPr="00D16140">
        <w:t>.</w:t>
      </w:r>
      <w:r w:rsidR="00A4648E">
        <w:rPr>
          <w:rStyle w:val="FootnoteReference"/>
        </w:rPr>
        <w:footnoteReference w:id="33"/>
      </w:r>
      <w:r w:rsidR="00A4648E">
        <w:t xml:space="preserve"> </w:t>
      </w:r>
      <w:r w:rsidR="008B6422">
        <w:t xml:space="preserve">This includes impacts that occur across regulatory control periods. </w:t>
      </w:r>
    </w:p>
    <w:p w:rsidR="00A4648E" w:rsidRPr="00D16140" w:rsidRDefault="00A4648E" w:rsidP="008B6422">
      <w:pPr>
        <w:numPr>
          <w:ilvl w:val="0"/>
          <w:numId w:val="24"/>
        </w:numPr>
      </w:pPr>
      <w:r>
        <w:t>In particular, a gradual</w:t>
      </w:r>
      <w:r w:rsidR="00B76D2D">
        <w:t>,</w:t>
      </w:r>
      <w:r>
        <w:t xml:space="preserve"> forward looking transition</w:t>
      </w:r>
      <w:r w:rsidRPr="00D16140">
        <w:t>:</w:t>
      </w:r>
    </w:p>
    <w:p w:rsidR="00B7172E" w:rsidRPr="00B7172E" w:rsidRDefault="00B7172E" w:rsidP="00B7172E">
      <w:pPr>
        <w:pStyle w:val="AERbulletlistfirststyle"/>
      </w:pPr>
      <w:r w:rsidRPr="00B7172E">
        <w:t>Has regard to the impact on a benchmark efficient entity of changing the method for estimating the return on debt</w:t>
      </w:r>
    </w:p>
    <w:p w:rsidR="00B7172E" w:rsidRPr="00B7172E" w:rsidRDefault="00B7172E" w:rsidP="00B7172E">
      <w:pPr>
        <w:pStyle w:val="AERbulletlistfirststyle"/>
      </w:pPr>
      <w:r w:rsidRPr="00B7172E">
        <w:t>Promotes efficient financing practices consistent with the principles of incentive based regulation</w:t>
      </w:r>
    </w:p>
    <w:p w:rsidR="00B7172E" w:rsidRPr="00B7172E" w:rsidRDefault="00B7172E" w:rsidP="00B7172E">
      <w:pPr>
        <w:pStyle w:val="AERbulletlistfirststyle"/>
      </w:pPr>
      <w:r w:rsidRPr="00B7172E">
        <w:t>Provides a benchmark efficient entity with a reasonable opportunity to recover at least the efficient financing costs it incurs in financing its assets. And as a result it:</w:t>
      </w:r>
    </w:p>
    <w:p w:rsidR="00B7172E" w:rsidRPr="00B7172E" w:rsidRDefault="00B7172E" w:rsidP="00B7172E">
      <w:pPr>
        <w:pStyle w:val="AERbulletlistsecondstyle"/>
      </w:pPr>
      <w:r w:rsidRPr="00B7172E">
        <w:t>Promotes efficient investment, and</w:t>
      </w:r>
    </w:p>
    <w:p w:rsidR="00B7172E" w:rsidRPr="00B7172E" w:rsidRDefault="00B7172E" w:rsidP="00B7172E">
      <w:pPr>
        <w:pStyle w:val="AERbulletlistsecondstyle"/>
      </w:pPr>
      <w:r w:rsidRPr="00B7172E">
        <w:t>Promotes consumers not paying more than necessary for a safe and reliable network</w:t>
      </w:r>
    </w:p>
    <w:p w:rsidR="00B7172E" w:rsidRPr="00B7172E" w:rsidRDefault="00B7172E" w:rsidP="00B7172E">
      <w:pPr>
        <w:pStyle w:val="AERbulletlistfirststyle"/>
      </w:pPr>
      <w:r w:rsidRPr="00B7172E">
        <w:t>Avoids a potential bias in regulatory decision making that can arise from choosing an approach that uses historical data after the results of that historical data are already known</w:t>
      </w:r>
    </w:p>
    <w:p w:rsidR="00A4648E" w:rsidRPr="005B749D" w:rsidRDefault="00B7172E" w:rsidP="00B7172E">
      <w:pPr>
        <w:pStyle w:val="AERbulletlistfirststyle"/>
      </w:pPr>
      <w:r w:rsidRPr="00B7172E">
        <w:t>Avoids practical problems with the use of historical data as estimating the return on debt during the global financial crisis is a difficult and contentious exercise</w:t>
      </w:r>
      <w:r w:rsidR="00A4648E" w:rsidRPr="00D16140">
        <w:t>.</w:t>
      </w:r>
    </w:p>
    <w:p w:rsidR="005B749D" w:rsidRPr="00D16140" w:rsidRDefault="005B749D" w:rsidP="005B749D">
      <w:pPr>
        <w:pStyle w:val="HeadingBoldBlue"/>
        <w:numPr>
          <w:ilvl w:val="0"/>
          <w:numId w:val="24"/>
        </w:numPr>
      </w:pPr>
      <w:bookmarkStart w:id="111" w:name="_Toc416355128"/>
      <w:r w:rsidRPr="00D16140">
        <w:t>Return on equity</w:t>
      </w:r>
      <w:bookmarkEnd w:id="111"/>
    </w:p>
    <w:p w:rsidR="005B749D" w:rsidRPr="00D16140" w:rsidRDefault="005B749D" w:rsidP="005B749D">
      <w:pPr>
        <w:numPr>
          <w:ilvl w:val="0"/>
          <w:numId w:val="24"/>
        </w:numPr>
      </w:pPr>
      <w:r w:rsidRPr="000E386E">
        <w:rPr>
          <w:rStyle w:val="AERbody"/>
        </w:rPr>
        <w:t>Directlink agrees with our approach to determining the return on equity. It involves</w:t>
      </w:r>
      <w:r w:rsidRPr="00D16140">
        <w:t xml:space="preserve"> </w:t>
      </w:r>
      <w:r>
        <w:t xml:space="preserve">considering all of the information before us, through </w:t>
      </w:r>
      <w:r w:rsidRPr="00D16140">
        <w:t xml:space="preserve">a six step process as set out in the Guideline (foundation model approach). </w:t>
      </w:r>
      <w:r>
        <w:t xml:space="preserve">This includes detailed consideration of a number of financial models for determining the return on </w:t>
      </w:r>
      <w:r w:rsidRPr="00D16140">
        <w:t xml:space="preserve">equity. </w:t>
      </w:r>
      <w:r>
        <w:t>Considering all of this material helps inform</w:t>
      </w:r>
      <w:r w:rsidRPr="00D16140">
        <w:t xml:space="preserve"> </w:t>
      </w:r>
      <w:r>
        <w:t xml:space="preserve">a </w:t>
      </w:r>
      <w:r w:rsidRPr="00D16140">
        <w:t>return on equity estimate that contribute</w:t>
      </w:r>
      <w:r>
        <w:t>s</w:t>
      </w:r>
      <w:r w:rsidRPr="00D16140">
        <w:t xml:space="preserve"> to the </w:t>
      </w:r>
      <w:r>
        <w:t xml:space="preserve">achievement of the </w:t>
      </w:r>
      <w:r w:rsidR="005719A3">
        <w:t>Allowed Rate of Return Objective</w:t>
      </w:r>
      <w:r w:rsidRPr="00D16140">
        <w:t>.</w:t>
      </w:r>
    </w:p>
    <w:p w:rsidR="005B749D" w:rsidRPr="00D16140" w:rsidRDefault="00366A5E" w:rsidP="005B749D">
      <w:pPr>
        <w:numPr>
          <w:ilvl w:val="0"/>
          <w:numId w:val="24"/>
        </w:numPr>
      </w:pPr>
      <w:r>
        <w:t>We consider</w:t>
      </w:r>
      <w:r w:rsidR="005B749D" w:rsidRPr="00D16140">
        <w:t xml:space="preserve"> that the </w:t>
      </w:r>
      <w:r w:rsidR="005B749D">
        <w:t>Sharpe–Lintner capital asset pricing model (</w:t>
      </w:r>
      <w:r w:rsidR="005B749D" w:rsidRPr="00D16140">
        <w:t>SLCAPM</w:t>
      </w:r>
      <w:r w:rsidR="005B749D">
        <w:t>)</w:t>
      </w:r>
      <w:r w:rsidR="005B749D" w:rsidRPr="00D16140">
        <w:t xml:space="preserve"> is the superior </w:t>
      </w:r>
      <w:r w:rsidR="005B749D">
        <w:t xml:space="preserve">financial </w:t>
      </w:r>
      <w:r w:rsidR="005B749D" w:rsidRPr="00D16140">
        <w:t>model in terms of estimating expected equity returns. We have therefore adopted this model as our foundatio</w:t>
      </w:r>
      <w:r w:rsidR="005B749D">
        <w:t>n model. The expert evidence before us</w:t>
      </w:r>
      <w:r w:rsidR="005B749D" w:rsidRPr="00D16140">
        <w:t xml:space="preserve"> </w:t>
      </w:r>
      <w:r w:rsidR="00FC4802">
        <w:t>also indicates</w:t>
      </w:r>
      <w:r w:rsidR="005B749D" w:rsidRPr="00D16140">
        <w:t xml:space="preserve"> that </w:t>
      </w:r>
      <w:r w:rsidR="001A0ABD">
        <w:t xml:space="preserve">on balance </w:t>
      </w:r>
      <w:r w:rsidR="005B749D" w:rsidRPr="00D16140">
        <w:t xml:space="preserve">employing our foundation model approach and using the SLCAPM as the foundation model is expected to lead to a rate of return that </w:t>
      </w:r>
      <w:r w:rsidR="005B749D">
        <w:t>achieves</w:t>
      </w:r>
      <w:r w:rsidR="005B749D" w:rsidRPr="00D16140">
        <w:t xml:space="preserve"> the </w:t>
      </w:r>
      <w:r w:rsidR="005719A3">
        <w:t>Allowed Rate of Return Objective</w:t>
      </w:r>
      <w:r w:rsidR="005B749D" w:rsidRPr="00D16140">
        <w:t>.</w:t>
      </w:r>
      <w:r w:rsidR="005B749D" w:rsidRPr="00D16140">
        <w:rPr>
          <w:rStyle w:val="FootnoteReference"/>
        </w:rPr>
        <w:footnoteReference w:id="34"/>
      </w:r>
    </w:p>
    <w:p w:rsidR="00CD728B" w:rsidRPr="00CD728B" w:rsidRDefault="005B749D" w:rsidP="00A62B7C">
      <w:r w:rsidRPr="00D16140">
        <w:t xml:space="preserve">We </w:t>
      </w:r>
      <w:r w:rsidR="00FC4802">
        <w:t xml:space="preserve">also </w:t>
      </w:r>
      <w:r w:rsidRPr="00D16140">
        <w:t xml:space="preserve">evaluated our point estimate </w:t>
      </w:r>
      <w:r w:rsidR="00FC4802">
        <w:t xml:space="preserve">from the SLCAPM </w:t>
      </w:r>
      <w:r w:rsidRPr="00D16140">
        <w:t>against other information. The critical allowance for an equity investor in a benchmark efficient entity is the allowed equity risk premium (ERP) over and above the estimated risk free rate at a</w:t>
      </w:r>
      <w:r w:rsidR="00366A5E">
        <w:t>ny</w:t>
      </w:r>
      <w:r w:rsidRPr="00D16140">
        <w:t xml:space="preserve"> given time.</w:t>
      </w:r>
      <w:r w:rsidRPr="00D16140">
        <w:rPr>
          <w:rStyle w:val="FootnoteReference"/>
        </w:rPr>
        <w:footnoteReference w:id="35"/>
      </w:r>
      <w:r w:rsidRPr="00D16140">
        <w:t xml:space="preserve"> Our estimate of the ERP for the benchmark efficient entity is 4.55 per cent</w:t>
      </w:r>
      <w:r w:rsidR="00366A5E">
        <w:t>, which</w:t>
      </w:r>
      <w:r w:rsidRPr="00D16140">
        <w:t xml:space="preserve"> is within the range of other information available to inform the return on equity</w:t>
      </w:r>
      <w:r w:rsidR="00366A5E">
        <w:t xml:space="preserve"> (see </w:t>
      </w:r>
      <w:r w:rsidR="00366A5E">
        <w:rPr>
          <w:color w:val="076A92" w:themeColor="text1"/>
          <w:sz w:val="24"/>
          <w:szCs w:val="18"/>
        </w:rPr>
        <w:fldChar w:fldCharType="begin"/>
      </w:r>
      <w:r w:rsidR="00366A5E">
        <w:instrText xml:space="preserve"> REF _Ref416353809 \h </w:instrText>
      </w:r>
      <w:r w:rsidR="001A0ABD">
        <w:rPr>
          <w:color w:val="076A92" w:themeColor="text1"/>
          <w:sz w:val="24"/>
          <w:szCs w:val="18"/>
        </w:rPr>
        <w:instrText xml:space="preserve"> \* MERGEFORMAT </w:instrText>
      </w:r>
      <w:r w:rsidR="00366A5E">
        <w:rPr>
          <w:color w:val="076A92" w:themeColor="text1"/>
          <w:sz w:val="24"/>
          <w:szCs w:val="18"/>
        </w:rPr>
      </w:r>
      <w:r w:rsidR="00366A5E">
        <w:rPr>
          <w:color w:val="076A92" w:themeColor="text1"/>
          <w:sz w:val="24"/>
          <w:szCs w:val="18"/>
        </w:rPr>
        <w:fldChar w:fldCharType="separate"/>
      </w:r>
      <w:r w:rsidR="00EB67D6">
        <w:t xml:space="preserve">Figure </w:t>
      </w:r>
      <w:r w:rsidR="00EB67D6">
        <w:rPr>
          <w:noProof/>
        </w:rPr>
        <w:t>5</w:t>
      </w:r>
      <w:r w:rsidR="00366A5E">
        <w:rPr>
          <w:color w:val="076A92" w:themeColor="text1"/>
          <w:sz w:val="24"/>
          <w:szCs w:val="18"/>
        </w:rPr>
        <w:fldChar w:fldCharType="end"/>
      </w:r>
      <w:r w:rsidR="00366A5E">
        <w:t>)</w:t>
      </w:r>
      <w:r w:rsidRPr="00D16140">
        <w:t>.</w:t>
      </w:r>
    </w:p>
    <w:p w:rsidR="004633BA" w:rsidRDefault="00E24A37" w:rsidP="004633BA">
      <w:pPr>
        <w:pStyle w:val="Caption"/>
      </w:pPr>
      <w:bookmarkStart w:id="112" w:name="_Ref416353809"/>
      <w:r>
        <w:t xml:space="preserve">Figure </w:t>
      </w:r>
      <w:fldSimple w:instr=" SEQ Figure \* ARABIC ">
        <w:r w:rsidR="00EB67D6">
          <w:rPr>
            <w:noProof/>
          </w:rPr>
          <w:t>5</w:t>
        </w:r>
      </w:fldSimple>
      <w:bookmarkEnd w:id="112"/>
      <w:r w:rsidR="005B749D">
        <w:tab/>
      </w:r>
      <w:r w:rsidR="004633BA">
        <w:t>Equity risk premium comparison</w:t>
      </w:r>
    </w:p>
    <w:p w:rsidR="004633BA" w:rsidRPr="00636470" w:rsidRDefault="004633BA" w:rsidP="004633BA">
      <w:pPr>
        <w:numPr>
          <w:ilvl w:val="0"/>
          <w:numId w:val="24"/>
        </w:numPr>
      </w:pPr>
      <w:r w:rsidRPr="004633BA">
        <w:rPr>
          <w:noProof/>
          <w:lang w:eastAsia="en-AU"/>
        </w:rPr>
        <w:drawing>
          <wp:inline distT="0" distB="0" distL="0" distR="0" wp14:anchorId="65D51877" wp14:editId="3B188784">
            <wp:extent cx="5382895" cy="4286160"/>
            <wp:effectExtent l="0" t="0" r="825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4286160"/>
                    </a:xfrm>
                    <a:prstGeom prst="rect">
                      <a:avLst/>
                    </a:prstGeom>
                    <a:noFill/>
                    <a:ln>
                      <a:noFill/>
                    </a:ln>
                  </pic:spPr>
                </pic:pic>
              </a:graphicData>
            </a:graphic>
          </wp:inline>
        </w:drawing>
      </w:r>
    </w:p>
    <w:p w:rsidR="004633BA" w:rsidRPr="00E5005D" w:rsidRDefault="004633BA" w:rsidP="004633BA">
      <w:pPr>
        <w:pStyle w:val="AERtablesource"/>
      </w:pPr>
      <w:r w:rsidRPr="00E5005D">
        <w:t>Source:</w:t>
      </w:r>
      <w:r w:rsidRPr="00E5005D">
        <w:tab/>
        <w:t>AER analysis and various submissions and reports.</w:t>
      </w:r>
    </w:p>
    <w:p w:rsidR="004633BA" w:rsidRPr="00E5005D" w:rsidRDefault="004633BA" w:rsidP="004633BA">
      <w:pPr>
        <w:pStyle w:val="AERtablesource"/>
      </w:pPr>
      <w:r>
        <w:t xml:space="preserve">Notes: </w:t>
      </w:r>
      <w:r>
        <w:tab/>
        <w:t>The AER</w:t>
      </w:r>
      <w:r w:rsidRPr="00E5005D">
        <w:t xml:space="preserve"> foundation model </w:t>
      </w:r>
      <w:r>
        <w:t>equity risk premium (</w:t>
      </w:r>
      <w:r w:rsidRPr="00E5005D">
        <w:t>ERP</w:t>
      </w:r>
      <w:r>
        <w:t>)</w:t>
      </w:r>
      <w:r w:rsidRPr="00E5005D">
        <w:t xml:space="preserve"> range uses </w:t>
      </w:r>
      <w:r>
        <w:t>the</w:t>
      </w:r>
      <w:r w:rsidRPr="00E5005D">
        <w:t xml:space="preserve"> range</w:t>
      </w:r>
      <w:r>
        <w:t xml:space="preserve"> and point estimate for MRP and equity beta as set out in step three.</w:t>
      </w:r>
      <w:r w:rsidRPr="00E5005D">
        <w:t xml:space="preserve"> The </w:t>
      </w:r>
      <w:r>
        <w:t xml:space="preserve">calculation of the </w:t>
      </w:r>
      <w:r w:rsidRPr="00E5005D">
        <w:t>Wrig</w:t>
      </w:r>
      <w:r>
        <w:t xml:space="preserve">ht approach, debt premium, brokers, and other regulators ranges is outlined in </w:t>
      </w:r>
      <w:r w:rsidR="00502531">
        <w:t>more detail in our final decision on TransGrid's transmission determination 2015-18, which was released at the same time as this decision.</w:t>
      </w:r>
      <w:r w:rsidR="00502531" w:rsidRPr="00502531">
        <w:rPr>
          <w:rStyle w:val="FootnoteReference"/>
        </w:rPr>
        <w:footnoteReference w:id="36"/>
      </w:r>
      <w:r w:rsidR="00502531">
        <w:t xml:space="preserve"> </w:t>
      </w:r>
    </w:p>
    <w:p w:rsidR="004633BA" w:rsidRPr="00E5005D" w:rsidRDefault="004633BA" w:rsidP="004633BA">
      <w:pPr>
        <w:pStyle w:val="AERtablesource"/>
      </w:pPr>
      <w:r w:rsidRPr="00E5005D">
        <w:tab/>
      </w:r>
      <w:r>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Pr>
          <w:rStyle w:val="FootnoteReference"/>
        </w:rPr>
        <w:footnoteReference w:id="37"/>
      </w:r>
      <w:r w:rsidRPr="00E5005D">
        <w:t xml:space="preserve"> </w:t>
      </w:r>
    </w:p>
    <w:p w:rsidR="004633BA" w:rsidRPr="00E5005D" w:rsidRDefault="004633BA" w:rsidP="004633BA">
      <w:pPr>
        <w:pStyle w:val="AERtablesource"/>
      </w:pPr>
      <w:r w:rsidRPr="00E5005D">
        <w:tab/>
        <w:t xml:space="preserve">The </w:t>
      </w:r>
      <w:r>
        <w:t>service provider proposals</w:t>
      </w:r>
      <w:r w:rsidRPr="00E5005D">
        <w:t xml:space="preserve"> range </w:t>
      </w:r>
      <w:r>
        <w:t xml:space="preserve">is based on the proposals from </w:t>
      </w:r>
      <w:r w:rsidR="007C2DB6">
        <w:t xml:space="preserve">service providers </w:t>
      </w:r>
      <w:r>
        <w:t>for which we are making final or preliminary decisions in April–May 2015</w:t>
      </w:r>
      <w:r w:rsidRPr="00E5005D">
        <w:t>.</w:t>
      </w:r>
      <w:r>
        <w:rPr>
          <w:rStyle w:val="FootnoteReference"/>
        </w:rPr>
        <w:footnoteReference w:id="38"/>
      </w:r>
      <w:r>
        <w:t xml:space="preserve"> </w:t>
      </w:r>
      <w:r w:rsidR="007C2DB6">
        <w:t>ERPs</w:t>
      </w:r>
      <w:r>
        <w:t xml:space="preserve"> were calculated as the proposed return on equity less the risk free rate utilised in the service provider's proposed estimation approach.</w:t>
      </w:r>
      <w:r w:rsidRPr="00E5005D">
        <w:t xml:space="preserve"> </w:t>
      </w:r>
    </w:p>
    <w:p w:rsidR="004633BA" w:rsidRPr="00E5005D" w:rsidRDefault="004633BA" w:rsidP="004633BA">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 decisions in April–May 2015</w:t>
      </w:r>
      <w:r w:rsidRPr="00E5005D">
        <w:t xml:space="preserve">. </w:t>
      </w:r>
      <w:r w:rsidRPr="00B84D85">
        <w:t xml:space="preserve">The lower bound is based on </w:t>
      </w:r>
      <w:r>
        <w:t>the Energy Users Association of Australia</w:t>
      </w:r>
      <w:r w:rsidRPr="00B84D85">
        <w:t xml:space="preserve"> submission</w:t>
      </w:r>
      <w:r>
        <w:t xml:space="preserve"> on NSW distributors</w:t>
      </w:r>
      <w:r w:rsidR="008D3CC7">
        <w:t>'</w:t>
      </w:r>
      <w:r>
        <w:t xml:space="preserve"> revised proposals</w:t>
      </w:r>
      <w:r w:rsidRPr="00B84D85">
        <w:t>. The upper bound is based on Origin’s submission on ActewAGL’s proposal.</w:t>
      </w:r>
      <w:r w:rsidRPr="001E283E">
        <w:rPr>
          <w:rStyle w:val="FootnoteReference"/>
        </w:rPr>
        <w:footnoteReference w:id="39"/>
      </w:r>
    </w:p>
    <w:p w:rsidR="008F3A0D" w:rsidRDefault="008F3A0D" w:rsidP="00274C7E">
      <w:pPr>
        <w:pStyle w:val="Heading2"/>
      </w:pPr>
      <w:bookmarkStart w:id="113" w:name="_Ref417903378"/>
      <w:bookmarkStart w:id="114" w:name="_Ref417903380"/>
      <w:bookmarkStart w:id="115" w:name="_Toc417987573"/>
      <w:r>
        <w:t>Value of imputation credits (gamma)</w:t>
      </w:r>
      <w:bookmarkEnd w:id="103"/>
      <w:bookmarkEnd w:id="104"/>
      <w:bookmarkEnd w:id="113"/>
      <w:bookmarkEnd w:id="114"/>
      <w:bookmarkEnd w:id="115"/>
    </w:p>
    <w:p w:rsidR="00DF4FDB" w:rsidRDefault="00DF4FDB" w:rsidP="00DF4FDB">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40"/>
      </w:r>
      <w:r w:rsidRPr="00A3318E">
        <w:t xml:space="preserve"> </w:t>
      </w:r>
      <w:r w:rsidR="006445B6">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DF4FDB" w:rsidRDefault="00DF4FDB" w:rsidP="00DF4FDB">
      <w:pPr>
        <w:numPr>
          <w:ilvl w:val="0"/>
          <w:numId w:val="24"/>
        </w:numPr>
      </w:pPr>
      <w:r>
        <w:t xml:space="preserve">In determining a service provider's revenue allowance, the </w:t>
      </w:r>
      <w:r w:rsidR="008D3CC7">
        <w:t xml:space="preserve">NER </w:t>
      </w:r>
      <w:r>
        <w:t>require that the estimated cost of corporate income tax be estimated in accordance with a formula that reduces the estimated cost by the 'value of imputation credits'.</w:t>
      </w:r>
      <w:r>
        <w:rPr>
          <w:rStyle w:val="FootnoteReference"/>
        </w:rPr>
        <w:footnoteReference w:id="41"/>
      </w:r>
      <w:r>
        <w:t xml:space="preserve"> That is, the revenue a service provider </w:t>
      </w:r>
      <w:r w:rsidR="003139B9">
        <w:t>recovers from customers in respect of</w:t>
      </w:r>
      <w:r>
        <w:t xml:space="preserve"> its expected tax liability must be reduced in a manner consistent with the value of imputation credits.</w:t>
      </w:r>
    </w:p>
    <w:p w:rsidR="00DF4FDB" w:rsidRDefault="00DF4FDB" w:rsidP="00DF4FDB">
      <w:pPr>
        <w:numPr>
          <w:ilvl w:val="0"/>
          <w:numId w:val="24"/>
        </w:numPr>
      </w:pPr>
      <w:r>
        <w:t>We do not accept Directlink's proposed value of imputation credits of 0.25. Instead, we adopt a value of imputation credits of 0.4.</w:t>
      </w:r>
    </w:p>
    <w:p w:rsidR="00DF4FDB" w:rsidRPr="003C2542" w:rsidRDefault="00DF4FDB" w:rsidP="00591F56">
      <w:pPr>
        <w:numPr>
          <w:ilvl w:val="0"/>
          <w:numId w:val="24"/>
        </w:numPr>
      </w:pPr>
      <w:r>
        <w:t xml:space="preserve">Although we have broadly maintained the approach to determining the value of imputation credits set out in the </w:t>
      </w:r>
      <w:r w:rsidR="006445B6">
        <w:t>R</w:t>
      </w:r>
      <w:r>
        <w:t xml:space="preserve">ate of </w:t>
      </w:r>
      <w:r w:rsidR="006445B6">
        <w:t>R</w:t>
      </w:r>
      <w:r>
        <w:t xml:space="preserve">eturn </w:t>
      </w:r>
      <w:r w:rsidR="006445B6">
        <w:t>G</w:t>
      </w:r>
      <w:r>
        <w:t xml:space="preserve">uideline, we have re-examined the relevant evidence and estimates. This re-examination, and new evidence and advice considered since the </w:t>
      </w:r>
      <w:r w:rsidR="005719A3">
        <w:t>G</w:t>
      </w:r>
      <w:r>
        <w:t xml:space="preserve">uideline, led us to depart from the value of 0.5 in the </w:t>
      </w:r>
      <w:r w:rsidR="005719A3">
        <w:t>G</w:t>
      </w:r>
      <w:r>
        <w:t>uideline.</w:t>
      </w:r>
      <w:r w:rsidR="00D463C6">
        <w:t xml:space="preserve"> </w:t>
      </w:r>
      <w:r w:rsidR="00D463C6" w:rsidRPr="00FC0F63">
        <w:t xml:space="preserve">Most notably, our updated consideration of the relevant advice and evidence led us to generally lower estimates of the ‘utilisation rate’ than the 0.7 estimate in the </w:t>
      </w:r>
      <w:r w:rsidR="00D463C6">
        <w:t>Guideline</w:t>
      </w:r>
      <w:r w:rsidR="00D463C6" w:rsidRPr="00FC0F63">
        <w:t>.</w:t>
      </w:r>
      <w:r w:rsidR="00591F56">
        <w:t xml:space="preserve"> </w:t>
      </w:r>
      <w:r>
        <w:t xml:space="preserve">Estimating the value of imputation credits is a complex and </w:t>
      </w:r>
      <w:r w:rsidR="00591F56">
        <w:t xml:space="preserve">somewhat </w:t>
      </w:r>
      <w:r>
        <w:t xml:space="preserve">imprecise task. There is no consensus among experts on the appropriate value or estimation techniques to use. </w:t>
      </w:r>
    </w:p>
    <w:p w:rsidR="00DF4FDB" w:rsidRDefault="00DF4FDB" w:rsidP="00DF4FDB">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rsidR="00122B69">
        <w:t>. T</w:t>
      </w:r>
      <w:r>
        <w:t>here is a range of evidence relevant to the utilisation rate. This includes:</w:t>
      </w:r>
    </w:p>
    <w:p w:rsidR="00DF4FDB" w:rsidRPr="00B10087" w:rsidRDefault="00122B69" w:rsidP="00DF4FDB">
      <w:pPr>
        <w:pStyle w:val="AERbulletlistfirststyle"/>
      </w:pPr>
      <w:r>
        <w:t>t</w:t>
      </w:r>
      <w:r w:rsidR="00DF4FDB" w:rsidRPr="00222B8F">
        <w:t>he proportion of Australian equity held by domestic investors (the 'equity ownership approach')</w:t>
      </w:r>
    </w:p>
    <w:p w:rsidR="00DF4FDB" w:rsidRPr="00B10087" w:rsidRDefault="00122B69" w:rsidP="00DF4FDB">
      <w:pPr>
        <w:pStyle w:val="AERbulletlistfirststyle"/>
      </w:pPr>
      <w:r>
        <w:t>t</w:t>
      </w:r>
      <w:r w:rsidR="00DF4FDB" w:rsidRPr="00222B8F">
        <w:t xml:space="preserve">he reported value of credits utilised by investors in </w:t>
      </w:r>
      <w:r w:rsidR="00DF4FDB" w:rsidRPr="00B10087">
        <w:t>Australian Taxation Office (ATO) statistics ('tax statistics')</w:t>
      </w:r>
    </w:p>
    <w:p w:rsidR="00DF4FDB" w:rsidRPr="00B10087" w:rsidRDefault="00122B69" w:rsidP="00DF4FDB">
      <w:pPr>
        <w:pStyle w:val="AERbulletlistfirststyle"/>
      </w:pPr>
      <w:r>
        <w:t>i</w:t>
      </w:r>
      <w:r w:rsidR="00DF4FDB">
        <w:t>mplied market value studies—there is no separate market in which imputation credits are traded, and therefore there is no observable market price for imputation credits.</w:t>
      </w:r>
    </w:p>
    <w:p w:rsidR="00DF4FDB" w:rsidRPr="009229E7" w:rsidRDefault="00DF4FDB" w:rsidP="00DF4FDB">
      <w:pPr>
        <w:numPr>
          <w:ilvl w:val="0"/>
          <w:numId w:val="24"/>
        </w:numPr>
      </w:pPr>
      <w:r>
        <w:t>In estimating the utilisation rate, we place:</w:t>
      </w:r>
    </w:p>
    <w:p w:rsidR="00DF4FDB" w:rsidRPr="00B10087" w:rsidRDefault="00DF4FDB" w:rsidP="00DF4FDB">
      <w:pPr>
        <w:pStyle w:val="AERbulletlistfirststyle"/>
      </w:pPr>
      <w:r>
        <w:t>significant reliance upon the equity ownership approach</w:t>
      </w:r>
    </w:p>
    <w:p w:rsidR="00DF4FDB" w:rsidRPr="00B10087" w:rsidRDefault="00DF4FDB" w:rsidP="00DF4FDB">
      <w:pPr>
        <w:pStyle w:val="AERbulletlistfirststyle"/>
      </w:pPr>
      <w:r>
        <w:t>some reliance upon tax statistics</w:t>
      </w:r>
    </w:p>
    <w:p w:rsidR="00DF4FDB" w:rsidRPr="00B10087" w:rsidRDefault="00DF4FDB" w:rsidP="00DF4FDB">
      <w:pPr>
        <w:pStyle w:val="AERbulletlistfirststyle"/>
      </w:pPr>
      <w:r>
        <w:t>less reliance upon implied market value studies.</w:t>
      </w:r>
    </w:p>
    <w:p w:rsidR="00DF4FDB" w:rsidRDefault="00DF4FDB" w:rsidP="00DF4FDB">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873506" w:rsidRPr="00873506" w:rsidRDefault="00873506" w:rsidP="006074AD">
      <w:pPr>
        <w:pStyle w:val="AERbulletlistfirststyle"/>
      </w:pPr>
      <w:r w:rsidRPr="00873506">
        <w:t>The equity ownership approach, on which we have placed the most reliance, suggests a value between 0.40 and 0.47 when applied to all equity and betwe</w:t>
      </w:r>
      <w:r w:rsidRPr="006074AD">
        <w:t>en 0.31 and 0.44 when applied to only listed equity. Therefore, the overlap</w:t>
      </w:r>
      <w:r w:rsidRPr="00873506">
        <w:t xml:space="preserve"> of the evidence from the equity ownership approach suggests a value between 0.40 and 0.44.</w:t>
      </w:r>
    </w:p>
    <w:p w:rsidR="00873506" w:rsidRPr="00873506" w:rsidRDefault="00873506" w:rsidP="006074AD">
      <w:pPr>
        <w:pStyle w:val="AERbulletlistfirststyle"/>
      </w:pPr>
      <w:r w:rsidRPr="00873506">
        <w:t>The evidence from tax statistics suggests the value could be lower than 0.4. Therefore, with regard to this evidence and the less</w:t>
      </w:r>
      <w:r w:rsidR="00122B69">
        <w:t>er</w:t>
      </w:r>
      <w:r w:rsidRPr="00873506">
        <w:t xml:space="preserve"> reliance we place on it, we choose a value at the lower end of the range suggested by the overlap of evidence from the equity ownership approach (that is, 0.4).</w:t>
      </w:r>
    </w:p>
    <w:p w:rsidR="00873506" w:rsidRPr="00730504" w:rsidRDefault="00873506" w:rsidP="006074AD">
      <w:pPr>
        <w:pStyle w:val="AERbulletlistfirststyle"/>
      </w:pPr>
      <w:r w:rsidRPr="00873506">
        <w:t>An estimate of 0.4 is reasonable in light of both higher and lower estimates from implied market value studies and the lesser degree of reliance we place on these studies</w:t>
      </w:r>
      <w:r w:rsidRPr="00884B75">
        <w:t xml:space="preserve">. </w:t>
      </w:r>
      <w:r>
        <w:t>T</w:t>
      </w:r>
      <w:r w:rsidRPr="00884B75">
        <w:t>he service providers submitted evidence to support placing more reliance on SFG</w:t>
      </w:r>
      <w:r w:rsidR="00BF1CA1">
        <w:t xml:space="preserve"> Consulting</w:t>
      </w:r>
      <w:r w:rsidRPr="00884B75">
        <w:t xml:space="preserve">’s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8F3A0D" w:rsidRPr="009F4C42" w:rsidRDefault="008F3A0D" w:rsidP="00274C7E">
      <w:pPr>
        <w:pStyle w:val="Heading2"/>
      </w:pPr>
      <w:bookmarkStart w:id="116" w:name="_Toc404437135"/>
      <w:bookmarkStart w:id="117" w:name="_Toc411428038"/>
      <w:bookmarkStart w:id="118" w:name="_Toc417987574"/>
      <w:r w:rsidRPr="009F4C42">
        <w:t>Regulatory depreciation</w:t>
      </w:r>
      <w:bookmarkEnd w:id="105"/>
      <w:r>
        <w:t xml:space="preserve"> (return of capital)</w:t>
      </w:r>
      <w:bookmarkEnd w:id="116"/>
      <w:bookmarkEnd w:id="117"/>
      <w:bookmarkEnd w:id="118"/>
    </w:p>
    <w:p w:rsidR="00107417" w:rsidRPr="009F4C42" w:rsidRDefault="00107417" w:rsidP="00107417">
      <w:r w:rsidRPr="009F4C42">
        <w:t>We use regulatory depreciation to model the nominal asset values over the 201</w:t>
      </w:r>
      <w:r>
        <w:t>5</w:t>
      </w:r>
      <w:r w:rsidRPr="009F4C42">
        <w:t>–</w:t>
      </w:r>
      <w:r>
        <w:t>20</w:t>
      </w:r>
      <w:r w:rsidRPr="009F4C42">
        <w:t xml:space="preserve"> </w:t>
      </w:r>
      <w:r>
        <w:t xml:space="preserve">regulatory control </w:t>
      </w:r>
      <w:r w:rsidRPr="009F4C42">
        <w:t>period and set the depreciation allowance as part of the over</w:t>
      </w:r>
      <w:r>
        <w:t>all</w:t>
      </w:r>
      <w:r w:rsidRPr="009F4C42">
        <w:t xml:space="preserve"> revenue allowance for </w:t>
      </w:r>
      <w:r>
        <w:t>Directlink</w:t>
      </w:r>
      <w:r w:rsidRPr="009F4C42">
        <w:t xml:space="preserve">. The regulatory depreciation allowance (or return of capital) is the net total of the straight-line depreciation (negative) amount and the (positive) amount from indexation of the RAB. </w:t>
      </w:r>
    </w:p>
    <w:p w:rsidR="00107417" w:rsidRPr="009F4C42" w:rsidRDefault="00107417" w:rsidP="00107417">
      <w:r w:rsidRPr="009F4C42">
        <w:t xml:space="preserve">We </w:t>
      </w:r>
      <w:r>
        <w:t xml:space="preserve">have to </w:t>
      </w:r>
      <w:r w:rsidRPr="009F4C42">
        <w:t xml:space="preserve">decide </w:t>
      </w:r>
      <w:r>
        <w:t xml:space="preserve">on whether </w:t>
      </w:r>
      <w:r w:rsidRPr="009F4C42">
        <w:t xml:space="preserve">to approve the depreciation schedules submitted by </w:t>
      </w:r>
      <w:r>
        <w:t>Directlink</w:t>
      </w:r>
      <w:r w:rsidRPr="009F4C42">
        <w:t xml:space="preserve"> setting out its proposed allowance. If we </w:t>
      </w:r>
      <w:r>
        <w:t>do not approve</w:t>
      </w:r>
      <w:r w:rsidRPr="009F4C42">
        <w:t xml:space="preserve"> </w:t>
      </w:r>
      <w:r>
        <w:t>Directlink</w:t>
      </w:r>
      <w:r w:rsidRPr="009F4C42">
        <w:t xml:space="preserve">'s depreciation schedules we must determine </w:t>
      </w:r>
      <w:r>
        <w:t xml:space="preserve">alternative </w:t>
      </w:r>
      <w:r w:rsidRPr="009F4C42">
        <w:t xml:space="preserve">depreciation schedules to apply to </w:t>
      </w:r>
      <w:r>
        <w:t>Directlink</w:t>
      </w:r>
      <w:r w:rsidRPr="009F4C42">
        <w:t xml:space="preserve"> as set out in the </w:t>
      </w:r>
      <w:r>
        <w:t>NER</w:t>
      </w:r>
      <w:r w:rsidRPr="009F4C42">
        <w:t>.</w:t>
      </w:r>
      <w:r w:rsidRPr="009F4C42">
        <w:rPr>
          <w:rStyle w:val="FootnoteReference"/>
        </w:rPr>
        <w:footnoteReference w:id="42"/>
      </w:r>
      <w:r w:rsidRPr="009F4C42">
        <w:t xml:space="preserve"> </w:t>
      </w:r>
    </w:p>
    <w:p w:rsidR="006C609E" w:rsidRDefault="00C605BF" w:rsidP="00107417">
      <w:pPr>
        <w:numPr>
          <w:ilvl w:val="0"/>
          <w:numId w:val="24"/>
        </w:numPr>
      </w:pPr>
      <w:r>
        <w:t xml:space="preserve">Our final </w:t>
      </w:r>
      <w:r w:rsidR="00107417" w:rsidRPr="009F4C42">
        <w:t xml:space="preserve">decision is to determine </w:t>
      </w:r>
      <w:r w:rsidR="00107417">
        <w:t xml:space="preserve">alternative </w:t>
      </w:r>
      <w:r w:rsidR="00107417" w:rsidRPr="009F4C42">
        <w:t xml:space="preserve">depreciation schedules, and hence, the depreciation allowance, to apply to </w:t>
      </w:r>
      <w:r w:rsidR="00107417">
        <w:t>Directlink</w:t>
      </w:r>
      <w:r w:rsidR="00107417" w:rsidRPr="009F4C42">
        <w:t>.</w:t>
      </w:r>
      <w:r w:rsidR="00107417" w:rsidRPr="009F4C42">
        <w:rPr>
          <w:rStyle w:val="FootnoteReference"/>
        </w:rPr>
        <w:footnoteReference w:id="43"/>
      </w:r>
      <w:r w:rsidR="00107417" w:rsidRPr="009F4C42">
        <w:t xml:space="preserve"> </w:t>
      </w:r>
      <w:r w:rsidR="006C609E">
        <w:t>We have set</w:t>
      </w:r>
      <w:r w:rsidR="00107417" w:rsidRPr="008E7F5B">
        <w:t xml:space="preserve"> the allowance at $</w:t>
      </w:r>
      <w:r w:rsidR="00071628">
        <w:t>10.</w:t>
      </w:r>
      <w:r w:rsidR="009C06B8">
        <w:t>7</w:t>
      </w:r>
      <w:r w:rsidR="00107417" w:rsidRPr="008E7F5B">
        <w:t> million ($ nominal)</w:t>
      </w:r>
      <w:r w:rsidR="00107417" w:rsidRPr="009F4C42">
        <w:t>.</w:t>
      </w:r>
    </w:p>
    <w:p w:rsidR="00107417" w:rsidRDefault="00EA2264" w:rsidP="00E81031">
      <w:r>
        <w:fldChar w:fldCharType="begin"/>
      </w:r>
      <w:r>
        <w:instrText xml:space="preserve"> REF _Ref402344195 \h </w:instrText>
      </w:r>
      <w:r>
        <w:fldChar w:fldCharType="separate"/>
      </w:r>
      <w:r w:rsidR="00EB67D6" w:rsidRPr="00174AD6">
        <w:t xml:space="preserve">Table </w:t>
      </w:r>
      <w:r w:rsidR="00EB67D6">
        <w:rPr>
          <w:noProof/>
        </w:rPr>
        <w:t>5</w:t>
      </w:r>
      <w:r>
        <w:fldChar w:fldCharType="end"/>
      </w:r>
      <w:r>
        <w:t xml:space="preserve"> </w:t>
      </w:r>
      <w:r w:rsidR="006C609E" w:rsidRPr="006C609E">
        <w:t xml:space="preserve">sets out our final decision on Directlink's depreciation allowance for the 2015–20 regulatory control </w:t>
      </w:r>
      <w:proofErr w:type="gramStart"/>
      <w:r w:rsidR="006C609E" w:rsidRPr="006C609E">
        <w:t>period</w:t>
      </w:r>
      <w:proofErr w:type="gramEnd"/>
      <w:r w:rsidR="006C609E" w:rsidRPr="006C609E">
        <w:t>.</w:t>
      </w:r>
    </w:p>
    <w:p w:rsidR="00107417" w:rsidRDefault="00107417" w:rsidP="00107417">
      <w:pPr>
        <w:pStyle w:val="Caption"/>
        <w:numPr>
          <w:ilvl w:val="0"/>
          <w:numId w:val="24"/>
        </w:numPr>
        <w:rPr>
          <w:rStyle w:val="Strong"/>
        </w:rPr>
      </w:pPr>
      <w:bookmarkStart w:id="119" w:name="_Ref402344195"/>
      <w:r w:rsidRPr="00174AD6">
        <w:t xml:space="preserve">Table </w:t>
      </w:r>
      <w:fldSimple w:instr=" SEQ Table \* ARABIC ">
        <w:r w:rsidR="00EB67D6">
          <w:rPr>
            <w:noProof/>
          </w:rPr>
          <w:t>5</w:t>
        </w:r>
      </w:fldSimple>
      <w:bookmarkEnd w:id="119"/>
      <w:r w:rsidRPr="00174AD6">
        <w:tab/>
      </w:r>
      <w:r w:rsidRPr="00EE4058">
        <w:t xml:space="preserve">AER's </w:t>
      </w:r>
      <w:r w:rsidR="00C605BF">
        <w:t xml:space="preserve">final </w:t>
      </w:r>
      <w:r w:rsidRPr="00EE4058">
        <w:t xml:space="preserve">decision on </w:t>
      </w:r>
      <w:r>
        <w:t>Directlink</w:t>
      </w:r>
      <w:r w:rsidRPr="00EE4058">
        <w:t>'s depreciation allowance</w:t>
      </w:r>
      <w:r>
        <w:t xml:space="preserve"> for the</w:t>
      </w:r>
      <w:r w:rsidRPr="00EE4058">
        <w:t xml:space="preserve"> 201</w:t>
      </w:r>
      <w:r>
        <w:t>5</w:t>
      </w:r>
      <w:r w:rsidRPr="00EE4058">
        <w:t>–</w:t>
      </w:r>
      <w:r>
        <w:t>20</w:t>
      </w:r>
      <w:r w:rsidRPr="00EE4058">
        <w:t xml:space="preserve"> regulatory control period ($ million, nominal)</w:t>
      </w:r>
    </w:p>
    <w:tbl>
      <w:tblPr>
        <w:tblStyle w:val="AERtable-numbers"/>
        <w:tblW w:w="8661" w:type="dxa"/>
        <w:tblLayout w:type="fixed"/>
        <w:tblLook w:val="01E0" w:firstRow="1" w:lastRow="1" w:firstColumn="1" w:lastColumn="1" w:noHBand="0" w:noVBand="0"/>
      </w:tblPr>
      <w:tblGrid>
        <w:gridCol w:w="3227"/>
        <w:gridCol w:w="905"/>
        <w:gridCol w:w="906"/>
        <w:gridCol w:w="906"/>
        <w:gridCol w:w="905"/>
        <w:gridCol w:w="906"/>
        <w:gridCol w:w="906"/>
      </w:tblGrid>
      <w:tr w:rsidR="00F62923" w:rsidRPr="00E91865" w:rsidTr="00BE53DB">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227" w:type="dxa"/>
          </w:tcPr>
          <w:p w:rsidR="00F62923" w:rsidRPr="00F62923" w:rsidRDefault="00F62923" w:rsidP="00F62923">
            <w:pPr>
              <w:pStyle w:val="ListParagraph"/>
              <w:numPr>
                <w:ilvl w:val="0"/>
                <w:numId w:val="24"/>
              </w:numPr>
            </w:pPr>
          </w:p>
        </w:tc>
        <w:tc>
          <w:tcPr>
            <w:tcW w:w="905"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2015–16</w:t>
            </w:r>
          </w:p>
        </w:tc>
        <w:tc>
          <w:tcPr>
            <w:tcW w:w="906"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2016–17</w:t>
            </w:r>
          </w:p>
        </w:tc>
        <w:tc>
          <w:tcPr>
            <w:tcW w:w="906"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2017–18</w:t>
            </w:r>
          </w:p>
        </w:tc>
        <w:tc>
          <w:tcPr>
            <w:tcW w:w="905"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2018–19</w:t>
            </w:r>
          </w:p>
        </w:tc>
        <w:tc>
          <w:tcPr>
            <w:tcW w:w="906"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2019–20</w:t>
            </w:r>
          </w:p>
        </w:tc>
        <w:tc>
          <w:tcPr>
            <w:tcW w:w="906" w:type="dxa"/>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E91865">
              <w:t>Total</w:t>
            </w:r>
          </w:p>
        </w:tc>
      </w:tr>
      <w:tr w:rsidR="00F62923" w:rsidRPr="00E91865" w:rsidTr="00BE53DB">
        <w:trPr>
          <w:trHeight w:val="408"/>
        </w:trPr>
        <w:tc>
          <w:tcPr>
            <w:cnfStyle w:val="001000000000" w:firstRow="0" w:lastRow="0" w:firstColumn="1" w:lastColumn="0" w:oddVBand="0" w:evenVBand="0" w:oddHBand="0" w:evenHBand="0" w:firstRowFirstColumn="0" w:firstRowLastColumn="0" w:lastRowFirstColumn="0" w:lastRowLastColumn="0"/>
            <w:tcW w:w="3227" w:type="dxa"/>
          </w:tcPr>
          <w:p w:rsidR="00F62923" w:rsidRPr="00F62923" w:rsidRDefault="00F62923" w:rsidP="00F62923">
            <w:r w:rsidRPr="00E91865">
              <w:t>Straight-line depreciation</w:t>
            </w:r>
          </w:p>
        </w:tc>
        <w:tc>
          <w:tcPr>
            <w:tcW w:w="905" w:type="dxa"/>
          </w:tcPr>
          <w:p w:rsidR="00F62923" w:rsidRPr="00E91865" w:rsidRDefault="00F62923" w:rsidP="00F62923">
            <w:pPr>
              <w:cnfStyle w:val="000000000000" w:firstRow="0" w:lastRow="0" w:firstColumn="0" w:lastColumn="0" w:oddVBand="0" w:evenVBand="0" w:oddHBand="0" w:evenHBand="0" w:firstRowFirstColumn="0" w:firstRowLastColumn="0" w:lastRowFirstColumn="0" w:lastRowLastColumn="0"/>
            </w:pPr>
            <w:r>
              <w:t>5.0</w:t>
            </w:r>
          </w:p>
        </w:tc>
        <w:tc>
          <w:tcPr>
            <w:tcW w:w="906" w:type="dxa"/>
          </w:tcPr>
          <w:p w:rsidR="00F62923" w:rsidRPr="00E91865" w:rsidRDefault="00F62923" w:rsidP="00F62923">
            <w:pPr>
              <w:cnfStyle w:val="000000000000" w:firstRow="0" w:lastRow="0" w:firstColumn="0" w:lastColumn="0" w:oddVBand="0" w:evenVBand="0" w:oddHBand="0" w:evenHBand="0" w:firstRowFirstColumn="0" w:firstRowLastColumn="0" w:lastRowFirstColumn="0" w:lastRowLastColumn="0"/>
            </w:pPr>
            <w:r>
              <w:t>5.4</w:t>
            </w:r>
          </w:p>
        </w:tc>
        <w:tc>
          <w:tcPr>
            <w:tcW w:w="906" w:type="dxa"/>
          </w:tcPr>
          <w:p w:rsidR="00F62923" w:rsidRPr="00E91865" w:rsidRDefault="00F62923" w:rsidP="00F62923">
            <w:pPr>
              <w:cnfStyle w:val="000000000000" w:firstRow="0" w:lastRow="0" w:firstColumn="0" w:lastColumn="0" w:oddVBand="0" w:evenVBand="0" w:oddHBand="0" w:evenHBand="0" w:firstRowFirstColumn="0" w:firstRowLastColumn="0" w:lastRowFirstColumn="0" w:lastRowLastColumn="0"/>
            </w:pPr>
            <w:r>
              <w:t>5.6</w:t>
            </w:r>
          </w:p>
        </w:tc>
        <w:tc>
          <w:tcPr>
            <w:tcW w:w="905" w:type="dxa"/>
          </w:tcPr>
          <w:p w:rsidR="00F62923" w:rsidRPr="00E91865" w:rsidRDefault="00F62923" w:rsidP="00F62923">
            <w:pPr>
              <w:cnfStyle w:val="000000000000" w:firstRow="0" w:lastRow="0" w:firstColumn="0" w:lastColumn="0" w:oddVBand="0" w:evenVBand="0" w:oddHBand="0" w:evenHBand="0" w:firstRowFirstColumn="0" w:firstRowLastColumn="0" w:lastRowFirstColumn="0" w:lastRowLastColumn="0"/>
            </w:pPr>
            <w:r>
              <w:t>5.</w:t>
            </w:r>
            <w:r w:rsidR="003B4120">
              <w:t>8</w:t>
            </w:r>
          </w:p>
        </w:tc>
        <w:tc>
          <w:tcPr>
            <w:tcW w:w="906" w:type="dxa"/>
          </w:tcPr>
          <w:p w:rsidR="00F62923" w:rsidRPr="00E91865" w:rsidRDefault="00F62923" w:rsidP="00F62923">
            <w:pPr>
              <w:cnfStyle w:val="000000000000" w:firstRow="0" w:lastRow="0" w:firstColumn="0" w:lastColumn="0" w:oddVBand="0" w:evenVBand="0" w:oddHBand="0" w:evenHBand="0" w:firstRowFirstColumn="0" w:firstRowLastColumn="0" w:lastRowFirstColumn="0" w:lastRowLastColumn="0"/>
            </w:pPr>
            <w:r>
              <w:t>6.1</w:t>
            </w:r>
          </w:p>
        </w:tc>
        <w:tc>
          <w:tcPr>
            <w:tcW w:w="906" w:type="dxa"/>
          </w:tcPr>
          <w:p w:rsidR="00F62923" w:rsidRPr="00E91865" w:rsidRDefault="003B4120" w:rsidP="00F62923">
            <w:pPr>
              <w:cnfStyle w:val="000000000000" w:firstRow="0" w:lastRow="0" w:firstColumn="0" w:lastColumn="0" w:oddVBand="0" w:evenVBand="0" w:oddHBand="0" w:evenHBand="0" w:firstRowFirstColumn="0" w:firstRowLastColumn="0" w:lastRowFirstColumn="0" w:lastRowLastColumn="0"/>
            </w:pPr>
            <w:r>
              <w:t>27.7</w:t>
            </w:r>
          </w:p>
        </w:tc>
      </w:tr>
      <w:tr w:rsidR="00F62923" w:rsidRPr="00E91865" w:rsidTr="00BE53DB">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27" w:type="dxa"/>
          </w:tcPr>
          <w:p w:rsidR="00F62923" w:rsidRPr="00F62923" w:rsidRDefault="00F62923" w:rsidP="00F62923">
            <w:r w:rsidRPr="00E91865">
              <w:rPr>
                <w:rStyle w:val="AERtextitalic"/>
              </w:rPr>
              <w:t>Less</w:t>
            </w:r>
            <w:r w:rsidRPr="00F62923">
              <w:t>: inflation indexation on opening RAB</w:t>
            </w:r>
          </w:p>
        </w:tc>
        <w:tc>
          <w:tcPr>
            <w:tcW w:w="905" w:type="dxa"/>
          </w:tcPr>
          <w:p w:rsidR="00F62923" w:rsidRPr="00E91865" w:rsidRDefault="00F62923" w:rsidP="00F62923">
            <w:pPr>
              <w:cnfStyle w:val="000000010000" w:firstRow="0" w:lastRow="0" w:firstColumn="0" w:lastColumn="0" w:oddVBand="0" w:evenVBand="0" w:oddHBand="0" w:evenHBand="1" w:firstRowFirstColumn="0" w:firstRowLastColumn="0" w:lastRowFirstColumn="0" w:lastRowLastColumn="0"/>
            </w:pPr>
            <w:r>
              <w:t>3.3</w:t>
            </w:r>
          </w:p>
        </w:tc>
        <w:tc>
          <w:tcPr>
            <w:tcW w:w="906" w:type="dxa"/>
          </w:tcPr>
          <w:p w:rsidR="00F62923" w:rsidRPr="00E91865" w:rsidRDefault="00F62923" w:rsidP="00F62923">
            <w:pPr>
              <w:cnfStyle w:val="000000010000" w:firstRow="0" w:lastRow="0" w:firstColumn="0" w:lastColumn="0" w:oddVBand="0" w:evenVBand="0" w:oddHBand="0" w:evenHBand="1" w:firstRowFirstColumn="0" w:firstRowLastColumn="0" w:lastRowFirstColumn="0" w:lastRowLastColumn="0"/>
            </w:pPr>
            <w:r>
              <w:t>3.</w:t>
            </w:r>
            <w:r w:rsidR="003B4120">
              <w:t>4</w:t>
            </w:r>
          </w:p>
        </w:tc>
        <w:tc>
          <w:tcPr>
            <w:tcW w:w="906" w:type="dxa"/>
          </w:tcPr>
          <w:p w:rsidR="00F62923" w:rsidRPr="00E91865" w:rsidRDefault="00F62923" w:rsidP="003B4120">
            <w:pPr>
              <w:cnfStyle w:val="000000010000" w:firstRow="0" w:lastRow="0" w:firstColumn="0" w:lastColumn="0" w:oddVBand="0" w:evenVBand="0" w:oddHBand="0" w:evenHBand="1" w:firstRowFirstColumn="0" w:firstRowLastColumn="0" w:lastRowFirstColumn="0" w:lastRowLastColumn="0"/>
            </w:pPr>
            <w:r>
              <w:t>3.</w:t>
            </w:r>
            <w:r w:rsidR="003B4120">
              <w:t>4</w:t>
            </w:r>
          </w:p>
        </w:tc>
        <w:tc>
          <w:tcPr>
            <w:tcW w:w="905" w:type="dxa"/>
          </w:tcPr>
          <w:p w:rsidR="00F62923" w:rsidRPr="00E91865" w:rsidRDefault="00F62923" w:rsidP="003B4120">
            <w:pPr>
              <w:cnfStyle w:val="000000010000" w:firstRow="0" w:lastRow="0" w:firstColumn="0" w:lastColumn="0" w:oddVBand="0" w:evenVBand="0" w:oddHBand="0" w:evenHBand="1" w:firstRowFirstColumn="0" w:firstRowLastColumn="0" w:lastRowFirstColumn="0" w:lastRowLastColumn="0"/>
            </w:pPr>
            <w:r>
              <w:t>3.</w:t>
            </w:r>
            <w:r w:rsidR="003B4120">
              <w:t>4</w:t>
            </w:r>
          </w:p>
        </w:tc>
        <w:tc>
          <w:tcPr>
            <w:tcW w:w="906" w:type="dxa"/>
          </w:tcPr>
          <w:p w:rsidR="00F62923" w:rsidRPr="00E91865" w:rsidRDefault="00F62923" w:rsidP="00F62923">
            <w:pPr>
              <w:cnfStyle w:val="000000010000" w:firstRow="0" w:lastRow="0" w:firstColumn="0" w:lastColumn="0" w:oddVBand="0" w:evenVBand="0" w:oddHBand="0" w:evenHBand="1" w:firstRowFirstColumn="0" w:firstRowLastColumn="0" w:lastRowFirstColumn="0" w:lastRowLastColumn="0"/>
            </w:pPr>
            <w:r>
              <w:t>3.5</w:t>
            </w:r>
          </w:p>
        </w:tc>
        <w:tc>
          <w:tcPr>
            <w:tcW w:w="906" w:type="dxa"/>
          </w:tcPr>
          <w:p w:rsidR="00F62923" w:rsidRPr="00E91865" w:rsidRDefault="00F62923" w:rsidP="00F62923">
            <w:pPr>
              <w:cnfStyle w:val="000000010000" w:firstRow="0" w:lastRow="0" w:firstColumn="0" w:lastColumn="0" w:oddVBand="0" w:evenVBand="0" w:oddHBand="0" w:evenHBand="1" w:firstRowFirstColumn="0" w:firstRowLastColumn="0" w:lastRowFirstColumn="0" w:lastRowLastColumn="0"/>
            </w:pPr>
            <w:r>
              <w:t>17.</w:t>
            </w:r>
            <w:r w:rsidR="003B4120">
              <w:t>1</w:t>
            </w:r>
          </w:p>
        </w:tc>
      </w:tr>
      <w:tr w:rsidR="00F62923" w:rsidRPr="00F62923" w:rsidTr="00BE53DB">
        <w:trPr>
          <w:trHeight w:val="418"/>
        </w:trPr>
        <w:tc>
          <w:tcPr>
            <w:cnfStyle w:val="001000000000" w:firstRow="0" w:lastRow="0" w:firstColumn="1" w:lastColumn="0" w:oddVBand="0" w:evenVBand="0" w:oddHBand="0" w:evenHBand="0" w:firstRowFirstColumn="0" w:firstRowLastColumn="0" w:lastRowFirstColumn="0" w:lastRowLastColumn="0"/>
            <w:tcW w:w="3227" w:type="dxa"/>
          </w:tcPr>
          <w:p w:rsidR="00F62923" w:rsidRPr="00F62923" w:rsidRDefault="00F62923" w:rsidP="00F62923">
            <w:r w:rsidRPr="00F62923">
              <w:t>Regulatory depreciation</w:t>
            </w:r>
          </w:p>
        </w:tc>
        <w:tc>
          <w:tcPr>
            <w:tcW w:w="905"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1.7</w:t>
            </w:r>
          </w:p>
        </w:tc>
        <w:tc>
          <w:tcPr>
            <w:tcW w:w="906"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1.9</w:t>
            </w:r>
          </w:p>
        </w:tc>
        <w:tc>
          <w:tcPr>
            <w:tcW w:w="906"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2.</w:t>
            </w:r>
            <w:r w:rsidR="003B4120">
              <w:t>1</w:t>
            </w:r>
          </w:p>
        </w:tc>
        <w:tc>
          <w:tcPr>
            <w:tcW w:w="905"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2.4</w:t>
            </w:r>
          </w:p>
        </w:tc>
        <w:tc>
          <w:tcPr>
            <w:tcW w:w="906"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2.6</w:t>
            </w:r>
          </w:p>
        </w:tc>
        <w:tc>
          <w:tcPr>
            <w:tcW w:w="906" w:type="dxa"/>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10.</w:t>
            </w:r>
            <w:r w:rsidR="003B4120">
              <w:t>7</w:t>
            </w:r>
          </w:p>
        </w:tc>
      </w:tr>
    </w:tbl>
    <w:p w:rsidR="00F62923" w:rsidRPr="00AF1F9E" w:rsidRDefault="00F62923" w:rsidP="00F62923">
      <w:pPr>
        <w:pStyle w:val="AERtablesource"/>
      </w:pPr>
      <w:r w:rsidRPr="00E91865">
        <w:t>Source:</w:t>
      </w:r>
      <w:r w:rsidRPr="00E91865">
        <w:tab/>
        <w:t>AER analysis.</w:t>
      </w:r>
    </w:p>
    <w:p w:rsidR="00107417" w:rsidRDefault="00107417" w:rsidP="00107417">
      <w:pPr>
        <w:numPr>
          <w:ilvl w:val="0"/>
          <w:numId w:val="24"/>
        </w:numPr>
      </w:pPr>
      <w:r>
        <w:t>We do</w:t>
      </w:r>
      <w:r w:rsidRPr="00B63AFD">
        <w:t xml:space="preserve"> not accept </w:t>
      </w:r>
      <w:r>
        <w:t xml:space="preserve">Directlink's </w:t>
      </w:r>
      <w:r w:rsidR="00C605BF">
        <w:t xml:space="preserve">revised </w:t>
      </w:r>
      <w:r w:rsidRPr="00B63AFD">
        <w:t>propos</w:t>
      </w:r>
      <w:r w:rsidR="00C605BF">
        <w:t>al</w:t>
      </w:r>
      <w:r w:rsidRPr="00B63AFD">
        <w:t xml:space="preserve"> </w:t>
      </w:r>
      <w:r w:rsidR="00BF1CA1">
        <w:t xml:space="preserve">for a </w:t>
      </w:r>
      <w:r w:rsidRPr="00B63AFD">
        <w:t xml:space="preserve">regulatory depreciation allowance </w:t>
      </w:r>
      <w:r>
        <w:t>of $11.</w:t>
      </w:r>
      <w:r w:rsidR="00C605BF">
        <w:t>3</w:t>
      </w:r>
      <w:r>
        <w:t xml:space="preserve"> million ($ nominal) for the 2015–20 regulatory control period</w:t>
      </w:r>
      <w:r w:rsidRPr="00B63AFD">
        <w:t>. Instead, we determine a regulatory depreciation allowance of</w:t>
      </w:r>
      <w:r>
        <w:t xml:space="preserve"> </w:t>
      </w:r>
      <w:r w:rsidRPr="00B63AFD">
        <w:t>$</w:t>
      </w:r>
      <w:r w:rsidR="00F62923">
        <w:t>10.</w:t>
      </w:r>
      <w:r w:rsidR="003B4120">
        <w:t>7</w:t>
      </w:r>
      <w:r>
        <w:t> </w:t>
      </w:r>
      <w:r w:rsidRPr="00B63AFD">
        <w:t>million ($ nominal)</w:t>
      </w:r>
      <w:r>
        <w:t xml:space="preserve"> for Directlink, a reduction of $</w:t>
      </w:r>
      <w:r w:rsidR="00F62923">
        <w:t>0.</w:t>
      </w:r>
      <w:r w:rsidR="009C06B8">
        <w:t>5</w:t>
      </w:r>
      <w:r>
        <w:t xml:space="preserve"> million (or </w:t>
      </w:r>
      <w:r w:rsidR="003B4120">
        <w:t>5.5</w:t>
      </w:r>
      <w:r>
        <w:t xml:space="preserve"> per cent) from the proposal. Our </w:t>
      </w:r>
      <w:r w:rsidRPr="00617AED">
        <w:t>amendment</w:t>
      </w:r>
      <w:r>
        <w:t xml:space="preserve"> </w:t>
      </w:r>
      <w:r w:rsidRPr="00617AED">
        <w:t xml:space="preserve">reflects our </w:t>
      </w:r>
      <w:r w:rsidR="00D87A0F">
        <w:t>decisions</w:t>
      </w:r>
      <w:r w:rsidR="00D87A0F" w:rsidRPr="00617AED">
        <w:t xml:space="preserve"> </w:t>
      </w:r>
      <w:r w:rsidRPr="00617AED">
        <w:t xml:space="preserve">on other components of </w:t>
      </w:r>
      <w:r>
        <w:t>Directlink</w:t>
      </w:r>
      <w:r w:rsidRPr="00617AED">
        <w:t>'</w:t>
      </w:r>
      <w:r>
        <w:t>s</w:t>
      </w:r>
      <w:r w:rsidRPr="00617AED">
        <w:t xml:space="preserve"> proposal that affect the</w:t>
      </w:r>
      <w:r>
        <w:t xml:space="preserve"> forecast</w:t>
      </w:r>
      <w:r w:rsidRPr="00617AED">
        <w:t xml:space="preserve"> regulatory depreciation allowance—for example, capex (</w:t>
      </w:r>
      <w:r w:rsidR="00BF1CA1">
        <w:t>A</w:t>
      </w:r>
      <w:r w:rsidRPr="00617AED">
        <w:t xml:space="preserve">ttachment </w:t>
      </w:r>
      <w:r>
        <w:t>6</w:t>
      </w:r>
      <w:r w:rsidRPr="00617AED">
        <w:t>).</w:t>
      </w:r>
    </w:p>
    <w:p w:rsidR="00107417" w:rsidRPr="00E24A37" w:rsidRDefault="00107417" w:rsidP="00C605BF">
      <w:pPr>
        <w:numPr>
          <w:ilvl w:val="0"/>
          <w:numId w:val="24"/>
        </w:numPr>
        <w:rPr>
          <w:rStyle w:val="AERbody"/>
        </w:rPr>
      </w:pPr>
      <w:r w:rsidRPr="00864963">
        <w:t xml:space="preserve">Details of our </w:t>
      </w:r>
      <w:r w:rsidR="008E27AD">
        <w:t>final decision on</w:t>
      </w:r>
      <w:r w:rsidRPr="00864963">
        <w:t xml:space="preserve"> the regulatory depreciation allowance are set out in </w:t>
      </w:r>
      <w:r w:rsidR="002F2D4A">
        <w:rPr>
          <w:rStyle w:val="AERbody"/>
        </w:rPr>
        <w:t>A</w:t>
      </w:r>
      <w:r w:rsidRPr="00E24A37">
        <w:rPr>
          <w:rStyle w:val="AERbody"/>
        </w:rPr>
        <w:t xml:space="preserve">ttachment 5. </w:t>
      </w:r>
    </w:p>
    <w:p w:rsidR="008F3A0D" w:rsidRDefault="008F3A0D" w:rsidP="00274C7E">
      <w:pPr>
        <w:pStyle w:val="Heading2"/>
      </w:pPr>
      <w:bookmarkStart w:id="120" w:name="_Toc402535821"/>
      <w:bookmarkStart w:id="121" w:name="_Toc402535822"/>
      <w:bookmarkStart w:id="122" w:name="_Toc390936287"/>
      <w:bookmarkStart w:id="123" w:name="_Toc404437138"/>
      <w:bookmarkStart w:id="124" w:name="_Toc411428041"/>
      <w:bookmarkStart w:id="125" w:name="_Toc417987575"/>
      <w:bookmarkEnd w:id="120"/>
      <w:bookmarkEnd w:id="121"/>
      <w:r w:rsidRPr="009F4C42">
        <w:t>Capital expenditure</w:t>
      </w:r>
      <w:bookmarkEnd w:id="122"/>
      <w:bookmarkEnd w:id="123"/>
      <w:bookmarkEnd w:id="124"/>
      <w:bookmarkEnd w:id="125"/>
    </w:p>
    <w:p w:rsidR="00B96931" w:rsidRPr="00B96931" w:rsidRDefault="00B96931" w:rsidP="00B96931">
      <w:pPr>
        <w:rPr>
          <w:rStyle w:val="AERbody"/>
        </w:rPr>
      </w:pPr>
      <w:r w:rsidRPr="00B96931">
        <w:rPr>
          <w:rStyle w:val="AERbody"/>
        </w:rPr>
        <w:t xml:space="preserve">Capex refers to the capital expenses incurred in the provision of network services. The return on and of forecast capex are two of the building blocks we use to determine a TNSP's total revenue requirement.  </w:t>
      </w:r>
    </w:p>
    <w:p w:rsidR="00B96931" w:rsidRDefault="000922A8" w:rsidP="00DF4FDB">
      <w:r>
        <w:t xml:space="preserve">We </w:t>
      </w:r>
      <w:r w:rsidR="00BA1A77" w:rsidRPr="00F40C31">
        <w:rPr>
          <w:rStyle w:val="AERbody"/>
        </w:rPr>
        <w:t>estimate</w:t>
      </w:r>
      <w:r w:rsidRPr="00F40C31">
        <w:rPr>
          <w:rStyle w:val="AERbody"/>
        </w:rPr>
        <w:t xml:space="preserve"> total forecast capex of $26.86 million ($2014-15) for Directlink's 2015-20 regulatory control period</w:t>
      </w:r>
      <w:r w:rsidR="00341ED6">
        <w:rPr>
          <w:rStyle w:val="AERbody"/>
        </w:rPr>
        <w:t>. This represents</w:t>
      </w:r>
      <w:r w:rsidR="00341ED6" w:rsidRPr="00F40C31">
        <w:rPr>
          <w:rStyle w:val="AERbody"/>
        </w:rPr>
        <w:t xml:space="preserve"> </w:t>
      </w:r>
      <w:r w:rsidR="00FD4B57">
        <w:rPr>
          <w:rStyle w:val="AERbody"/>
        </w:rPr>
        <w:t>a 27.5</w:t>
      </w:r>
      <w:r w:rsidRPr="00F40C31">
        <w:rPr>
          <w:rStyle w:val="AERbody"/>
        </w:rPr>
        <w:t xml:space="preserve"> per cent </w:t>
      </w:r>
      <w:r w:rsidR="00FD4B57">
        <w:rPr>
          <w:rStyle w:val="AERbody"/>
        </w:rPr>
        <w:t xml:space="preserve">reduction to </w:t>
      </w:r>
      <w:r>
        <w:t>Directlink's proposed capex.</w:t>
      </w:r>
    </w:p>
    <w:p w:rsidR="000922A8" w:rsidRDefault="00EA2264" w:rsidP="00DF4FDB">
      <w:r>
        <w:fldChar w:fldCharType="begin"/>
      </w:r>
      <w:r>
        <w:instrText xml:space="preserve"> REF _Ref415828548 \h </w:instrText>
      </w:r>
      <w:r>
        <w:fldChar w:fldCharType="separate"/>
      </w:r>
      <w:r w:rsidR="00EB67D6">
        <w:t xml:space="preserve">Table </w:t>
      </w:r>
      <w:r w:rsidR="00EB67D6">
        <w:rPr>
          <w:noProof/>
        </w:rPr>
        <w:t>6</w:t>
      </w:r>
      <w:r>
        <w:fldChar w:fldCharType="end"/>
      </w:r>
      <w:r>
        <w:t xml:space="preserve"> </w:t>
      </w:r>
      <w:r w:rsidR="000922A8">
        <w:t>shows our final decision compared to Directlink's revised proposal.</w:t>
      </w:r>
    </w:p>
    <w:p w:rsidR="000922A8" w:rsidRPr="000922A8" w:rsidRDefault="000922A8" w:rsidP="000922A8">
      <w:pPr>
        <w:pStyle w:val="Caption"/>
      </w:pPr>
      <w:bookmarkStart w:id="126" w:name="_Ref415828548"/>
      <w:r>
        <w:t xml:space="preserve">Table </w:t>
      </w:r>
      <w:fldSimple w:instr=" SEQ Table \* ARABIC ">
        <w:r w:rsidR="00EB67D6">
          <w:rPr>
            <w:noProof/>
          </w:rPr>
          <w:t>6</w:t>
        </w:r>
      </w:fldSimple>
      <w:bookmarkEnd w:id="126"/>
      <w:r w:rsidRPr="000922A8">
        <w:tab/>
        <w:t>AER final decision on Directlink's total capex ($ million 2014 </w:t>
      </w:r>
      <w:r w:rsidRPr="000922A8">
        <w:noBreakHyphen/>
        <w:t>15)</w:t>
      </w:r>
    </w:p>
    <w:tbl>
      <w:tblPr>
        <w:tblStyle w:val="AERtable-numbers"/>
        <w:tblW w:w="0" w:type="auto"/>
        <w:tblLook w:val="04A0" w:firstRow="1" w:lastRow="0" w:firstColumn="1" w:lastColumn="0" w:noHBand="0" w:noVBand="1"/>
      </w:tblPr>
      <w:tblGrid>
        <w:gridCol w:w="2122"/>
        <w:gridCol w:w="1176"/>
        <w:gridCol w:w="1080"/>
        <w:gridCol w:w="1080"/>
        <w:gridCol w:w="1080"/>
        <w:gridCol w:w="1122"/>
        <w:gridCol w:w="1033"/>
      </w:tblGrid>
      <w:tr w:rsidR="000922A8" w:rsidRPr="00DB3227" w:rsidTr="00277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922A8" w:rsidRPr="000922A8" w:rsidRDefault="000922A8" w:rsidP="000922A8"/>
        </w:tc>
        <w:tc>
          <w:tcPr>
            <w:tcW w:w="1176"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2015–16</w:t>
            </w:r>
          </w:p>
        </w:tc>
        <w:tc>
          <w:tcPr>
            <w:tcW w:w="1080"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2016–17</w:t>
            </w:r>
          </w:p>
        </w:tc>
        <w:tc>
          <w:tcPr>
            <w:tcW w:w="1080"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2017–18</w:t>
            </w:r>
          </w:p>
        </w:tc>
        <w:tc>
          <w:tcPr>
            <w:tcW w:w="1080"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2018–19</w:t>
            </w:r>
          </w:p>
        </w:tc>
        <w:tc>
          <w:tcPr>
            <w:tcW w:w="1122"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2019–20</w:t>
            </w:r>
          </w:p>
        </w:tc>
        <w:tc>
          <w:tcPr>
            <w:tcW w:w="1033" w:type="dxa"/>
          </w:tcPr>
          <w:p w:rsidR="000922A8" w:rsidRPr="000922A8" w:rsidRDefault="000922A8" w:rsidP="000922A8">
            <w:pPr>
              <w:cnfStyle w:val="100000000000" w:firstRow="1" w:lastRow="0" w:firstColumn="0" w:lastColumn="0" w:oddVBand="0" w:evenVBand="0" w:oddHBand="0" w:evenHBand="0" w:firstRowFirstColumn="0" w:firstRowLastColumn="0" w:lastRowFirstColumn="0" w:lastRowLastColumn="0"/>
            </w:pPr>
            <w:r w:rsidRPr="000922A8">
              <w:t>Total</w:t>
            </w:r>
          </w:p>
        </w:tc>
      </w:tr>
      <w:tr w:rsidR="000922A8" w:rsidRPr="00DB3227" w:rsidTr="0027738A">
        <w:tc>
          <w:tcPr>
            <w:cnfStyle w:val="001000000000" w:firstRow="0" w:lastRow="0" w:firstColumn="1" w:lastColumn="0" w:oddVBand="0" w:evenVBand="0" w:oddHBand="0" w:evenHBand="0" w:firstRowFirstColumn="0" w:firstRowLastColumn="0" w:lastRowFirstColumn="0" w:lastRowLastColumn="0"/>
            <w:tcW w:w="2122" w:type="dxa"/>
          </w:tcPr>
          <w:p w:rsidR="000922A8" w:rsidRPr="000922A8" w:rsidRDefault="000922A8" w:rsidP="000922A8">
            <w:r w:rsidRPr="000922A8">
              <w:t>Directlink's revised proposal</w:t>
            </w:r>
          </w:p>
        </w:tc>
        <w:tc>
          <w:tcPr>
            <w:tcW w:w="1176"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10.14</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3.71</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3.55</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4.33</w:t>
            </w:r>
          </w:p>
        </w:tc>
        <w:tc>
          <w:tcPr>
            <w:tcW w:w="1122"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 xml:space="preserve">15.33 </w:t>
            </w:r>
          </w:p>
        </w:tc>
        <w:tc>
          <w:tcPr>
            <w:tcW w:w="1033"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37.06</w:t>
            </w:r>
          </w:p>
        </w:tc>
      </w:tr>
      <w:tr w:rsidR="000922A8" w:rsidRPr="00DB3227" w:rsidTr="00277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922A8" w:rsidRPr="000922A8" w:rsidRDefault="000922A8" w:rsidP="000922A8">
            <w:r w:rsidRPr="000922A8">
              <w:t>AER final decision</w:t>
            </w:r>
          </w:p>
        </w:tc>
        <w:tc>
          <w:tcPr>
            <w:tcW w:w="1176"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7.0</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1.6</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1.9</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2.7</w:t>
            </w:r>
          </w:p>
        </w:tc>
        <w:tc>
          <w:tcPr>
            <w:tcW w:w="1122"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13.7</w:t>
            </w:r>
          </w:p>
        </w:tc>
        <w:tc>
          <w:tcPr>
            <w:tcW w:w="1033"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26.86</w:t>
            </w:r>
          </w:p>
        </w:tc>
      </w:tr>
      <w:tr w:rsidR="000922A8" w:rsidRPr="00DB3227" w:rsidTr="0027738A">
        <w:trPr>
          <w:trHeight w:val="80"/>
        </w:trPr>
        <w:tc>
          <w:tcPr>
            <w:cnfStyle w:val="001000000000" w:firstRow="0" w:lastRow="0" w:firstColumn="1" w:lastColumn="0" w:oddVBand="0" w:evenVBand="0" w:oddHBand="0" w:evenHBand="0" w:firstRowFirstColumn="0" w:firstRowLastColumn="0" w:lastRowFirstColumn="0" w:lastRowLastColumn="0"/>
            <w:tcW w:w="2122" w:type="dxa"/>
          </w:tcPr>
          <w:p w:rsidR="000922A8" w:rsidRPr="000922A8" w:rsidRDefault="000922A8" w:rsidP="000922A8">
            <w:r w:rsidRPr="000922A8">
              <w:t>Difference ($million)</w:t>
            </w:r>
          </w:p>
        </w:tc>
        <w:tc>
          <w:tcPr>
            <w:tcW w:w="1176"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3.18</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2.11</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1.65</w:t>
            </w:r>
          </w:p>
        </w:tc>
        <w:tc>
          <w:tcPr>
            <w:tcW w:w="1080"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1.63</w:t>
            </w:r>
          </w:p>
        </w:tc>
        <w:tc>
          <w:tcPr>
            <w:tcW w:w="1122"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1.63</w:t>
            </w:r>
          </w:p>
        </w:tc>
        <w:tc>
          <w:tcPr>
            <w:tcW w:w="1033" w:type="dxa"/>
            <w:vAlign w:val="bottom"/>
          </w:tcPr>
          <w:p w:rsidR="000922A8" w:rsidRPr="000922A8" w:rsidRDefault="000922A8" w:rsidP="000922A8">
            <w:pPr>
              <w:cnfStyle w:val="000000000000" w:firstRow="0" w:lastRow="0" w:firstColumn="0" w:lastColumn="0" w:oddVBand="0" w:evenVBand="0" w:oddHBand="0" w:evenHBand="0" w:firstRowFirstColumn="0" w:firstRowLastColumn="0" w:lastRowFirstColumn="0" w:lastRowLastColumn="0"/>
            </w:pPr>
            <w:r w:rsidRPr="000922A8">
              <w:t>10.20</w:t>
            </w:r>
          </w:p>
        </w:tc>
      </w:tr>
      <w:tr w:rsidR="000922A8" w:rsidRPr="00DB3227" w:rsidTr="0027738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2" w:type="dxa"/>
          </w:tcPr>
          <w:p w:rsidR="000922A8" w:rsidRPr="000922A8" w:rsidRDefault="000922A8" w:rsidP="000922A8">
            <w:r w:rsidRPr="000922A8">
              <w:t>Difference (per cent)</w:t>
            </w:r>
          </w:p>
        </w:tc>
        <w:tc>
          <w:tcPr>
            <w:tcW w:w="1176"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30.1</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56.9</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46.5</w:t>
            </w:r>
          </w:p>
        </w:tc>
        <w:tc>
          <w:tcPr>
            <w:tcW w:w="1080"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37.6</w:t>
            </w:r>
          </w:p>
        </w:tc>
        <w:tc>
          <w:tcPr>
            <w:tcW w:w="1122"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10.6</w:t>
            </w:r>
          </w:p>
        </w:tc>
        <w:tc>
          <w:tcPr>
            <w:tcW w:w="1033" w:type="dxa"/>
            <w:vAlign w:val="bottom"/>
          </w:tcPr>
          <w:p w:rsidR="000922A8" w:rsidRPr="000922A8" w:rsidRDefault="000922A8" w:rsidP="000922A8">
            <w:pPr>
              <w:cnfStyle w:val="000000010000" w:firstRow="0" w:lastRow="0" w:firstColumn="0" w:lastColumn="0" w:oddVBand="0" w:evenVBand="0" w:oddHBand="0" w:evenHBand="1" w:firstRowFirstColumn="0" w:firstRowLastColumn="0" w:lastRowFirstColumn="0" w:lastRowLastColumn="0"/>
            </w:pPr>
            <w:r w:rsidRPr="000922A8">
              <w:t>27.52</w:t>
            </w:r>
          </w:p>
        </w:tc>
      </w:tr>
    </w:tbl>
    <w:p w:rsidR="00EA2264" w:rsidRDefault="000922A8" w:rsidP="000922A8">
      <w:pPr>
        <w:pStyle w:val="AERtablesource"/>
      </w:pPr>
      <w:r w:rsidRPr="000922A8">
        <w:t>Source:</w:t>
      </w:r>
      <w:r w:rsidRPr="000922A8">
        <w:tab/>
        <w:t>Directlink, Revised revenue proposal; Directlink responses to AER Information Requests; AER analysis.</w:t>
      </w:r>
      <w:r w:rsidR="00EA2264" w:rsidRPr="00EA2264">
        <w:t xml:space="preserve"> </w:t>
      </w:r>
    </w:p>
    <w:p w:rsidR="000922A8" w:rsidRPr="000922A8" w:rsidRDefault="00EA2264" w:rsidP="000922A8">
      <w:pPr>
        <w:pStyle w:val="AERtablesource"/>
      </w:pPr>
      <w:r>
        <w:t>Not</w:t>
      </w:r>
      <w:r w:rsidRPr="000922A8">
        <w:t>e:</w:t>
      </w:r>
      <w:r w:rsidRPr="000922A8">
        <w:tab/>
        <w:t>Numbers may not add to total due to rounding</w:t>
      </w:r>
    </w:p>
    <w:p w:rsidR="0027738A" w:rsidRPr="0027738A" w:rsidRDefault="0027738A" w:rsidP="0027738A">
      <w:pPr>
        <w:numPr>
          <w:ilvl w:val="0"/>
          <w:numId w:val="24"/>
        </w:numPr>
      </w:pPr>
      <w:r w:rsidRPr="0027738A">
        <w:t xml:space="preserve">Attachment </w:t>
      </w:r>
      <w:r>
        <w:t>6</w:t>
      </w:r>
      <w:r w:rsidRPr="0027738A">
        <w:t xml:space="preserve"> sets out our detailed reasons for our final decision on Directlink's total forecast </w:t>
      </w:r>
      <w:r>
        <w:t>ca</w:t>
      </w:r>
      <w:r w:rsidRPr="0027738A">
        <w:t xml:space="preserve">pex. The key areas of difference between our </w:t>
      </w:r>
      <w:r w:rsidR="00115251">
        <w:t>substitute</w:t>
      </w:r>
      <w:r w:rsidR="00115251" w:rsidRPr="0027738A">
        <w:t xml:space="preserve"> </w:t>
      </w:r>
      <w:r w:rsidRPr="0027738A">
        <w:t xml:space="preserve">estimate </w:t>
      </w:r>
      <w:r w:rsidRPr="0027738A">
        <w:rPr>
          <w:rStyle w:val="AERbody"/>
        </w:rPr>
        <w:t>and Directlink's</w:t>
      </w:r>
      <w:r w:rsidRPr="0027738A">
        <w:t xml:space="preserve"> revised proposal are</w:t>
      </w:r>
      <w:r w:rsidR="00BA1A77">
        <w:t xml:space="preserve"> that our estimate </w:t>
      </w:r>
      <w:r w:rsidR="00341ED6">
        <w:t xml:space="preserve">does </w:t>
      </w:r>
      <w:r w:rsidR="00BA1A77">
        <w:t>not include</w:t>
      </w:r>
      <w:r w:rsidRPr="0027738A">
        <w:t>:</w:t>
      </w:r>
    </w:p>
    <w:p w:rsidR="00C77687" w:rsidRPr="00C77687" w:rsidRDefault="00C77687" w:rsidP="00C77687">
      <w:pPr>
        <w:pStyle w:val="AERbulletlistfirststyle"/>
      </w:pPr>
      <w:r w:rsidRPr="00C77687">
        <w:t xml:space="preserve">Directlink's proposed capex cable replacement program of $8.37 million ($2014-15) </w:t>
      </w:r>
      <w:r w:rsidR="00BA1A77">
        <w:t xml:space="preserve">which we instead reviewed </w:t>
      </w:r>
      <w:r w:rsidRPr="00C77687">
        <w:t xml:space="preserve">as </w:t>
      </w:r>
      <w:proofErr w:type="spellStart"/>
      <w:r w:rsidR="002F2D4A">
        <w:t>opex</w:t>
      </w:r>
      <w:proofErr w:type="spellEnd"/>
      <w:r w:rsidR="00557F9D">
        <w:t xml:space="preserve"> (see section </w:t>
      </w:r>
      <w:r w:rsidR="00557F9D">
        <w:fldChar w:fldCharType="begin"/>
      </w:r>
      <w:r w:rsidR="00557F9D">
        <w:instrText xml:space="preserve"> REF _Ref415831983 \r \h </w:instrText>
      </w:r>
      <w:r w:rsidR="00557F9D">
        <w:fldChar w:fldCharType="separate"/>
      </w:r>
      <w:r w:rsidR="00EB67D6">
        <w:t>2.7</w:t>
      </w:r>
      <w:r w:rsidR="00557F9D">
        <w:fldChar w:fldCharType="end"/>
      </w:r>
      <w:r w:rsidR="00557F9D">
        <w:t xml:space="preserve"> below)</w:t>
      </w:r>
      <w:r>
        <w:t xml:space="preserve">. This accounts for </w:t>
      </w:r>
      <w:r w:rsidR="00DF4FDB">
        <w:t>82 per cent of the difference between us and Directlink</w:t>
      </w:r>
    </w:p>
    <w:p w:rsidR="00DF4FDB" w:rsidRPr="00C77687" w:rsidRDefault="00C77687" w:rsidP="00DF4FDB">
      <w:pPr>
        <w:pStyle w:val="AERbulletlistfirststyle"/>
      </w:pPr>
      <w:r w:rsidRPr="00C77687">
        <w:t xml:space="preserve">$1.25 million ($2014-15) </w:t>
      </w:r>
      <w:r w:rsidR="00BA1A77">
        <w:t>of</w:t>
      </w:r>
      <w:r w:rsidR="00BA1A77" w:rsidRPr="00C77687">
        <w:t xml:space="preserve"> </w:t>
      </w:r>
      <w:r w:rsidRPr="00C77687">
        <w:t>Directlink's proposed fire suppression system on the basis of adjustments to proposed contingencies, project management and supervision costs and labour hour estimates</w:t>
      </w:r>
      <w:r w:rsidR="00DF4FDB">
        <w:t>. This accounts for 12 per cent of the difference between us and Directlink</w:t>
      </w:r>
    </w:p>
    <w:p w:rsidR="00C77687" w:rsidRPr="00C77687" w:rsidRDefault="00C77687" w:rsidP="00C77687">
      <w:pPr>
        <w:pStyle w:val="AERbulletlistfirststyle"/>
      </w:pPr>
      <w:r w:rsidRPr="00C77687">
        <w:t xml:space="preserve">$0.40 million ($2014-15) </w:t>
      </w:r>
      <w:r w:rsidR="00BA1A77">
        <w:t>of</w:t>
      </w:r>
      <w:r w:rsidR="00BA1A77" w:rsidRPr="00C77687">
        <w:t xml:space="preserve"> </w:t>
      </w:r>
      <w:r w:rsidRPr="00C77687">
        <w:t>Directlink's proposed phase reactor cooling system upgrade on the basis of adjustments to proposed contingencies, labour hour estimates, design outsourcing costs and adjustments for economies of scale in sundry materials costs</w:t>
      </w:r>
      <w:r w:rsidR="00DF4FDB">
        <w:t>. This accounts for 4 per cent of the difference between us and Directlink</w:t>
      </w:r>
    </w:p>
    <w:p w:rsidR="00DF4FDB" w:rsidRPr="00C77687" w:rsidRDefault="00C77687" w:rsidP="00DF4FDB">
      <w:pPr>
        <w:pStyle w:val="AERbulletlistfirststyle"/>
      </w:pPr>
      <w:r w:rsidRPr="00C77687">
        <w:t xml:space="preserve">$0.18 million ($2014-15) </w:t>
      </w:r>
      <w:r w:rsidR="00BA1A77">
        <w:t>of</w:t>
      </w:r>
      <w:r w:rsidR="00BA1A77" w:rsidRPr="00C77687">
        <w:t xml:space="preserve"> </w:t>
      </w:r>
      <w:r w:rsidRPr="00C77687">
        <w:t>Directlink's proposed converter station roof repair on the basis of a lower suitable quote for the proposed work.</w:t>
      </w:r>
      <w:r w:rsidR="00DF4FDB">
        <w:t xml:space="preserve"> This accounts for 2 per cent of the difference between us and Directlink.</w:t>
      </w:r>
    </w:p>
    <w:p w:rsidR="008F3A0D" w:rsidRPr="009F4C42" w:rsidRDefault="008F3A0D" w:rsidP="00274C7E">
      <w:pPr>
        <w:pStyle w:val="Heading2"/>
      </w:pPr>
      <w:bookmarkStart w:id="127" w:name="_Toc404154748"/>
      <w:bookmarkStart w:id="128" w:name="_Toc404437142"/>
      <w:bookmarkStart w:id="129" w:name="_Toc411428050"/>
      <w:bookmarkStart w:id="130" w:name="_Ref415831983"/>
      <w:bookmarkStart w:id="131" w:name="_Toc417987576"/>
      <w:bookmarkEnd w:id="127"/>
      <w:r w:rsidRPr="009F4C42">
        <w:t>Operating expenditure</w:t>
      </w:r>
      <w:bookmarkEnd w:id="128"/>
      <w:bookmarkEnd w:id="129"/>
      <w:bookmarkEnd w:id="130"/>
      <w:bookmarkEnd w:id="131"/>
    </w:p>
    <w:p w:rsidR="006C609E" w:rsidRPr="006C609E" w:rsidRDefault="006C609E" w:rsidP="006C609E">
      <w:pPr>
        <w:numPr>
          <w:ilvl w:val="0"/>
          <w:numId w:val="24"/>
        </w:numPr>
      </w:pPr>
      <w:r w:rsidRPr="006C609E">
        <w:t>Opex includes forecast operating, maintenance and other non-capital costs incurred in the provision of transmission network services. It includes labour costs and other non-</w:t>
      </w:r>
      <w:r w:rsidRPr="002935E9">
        <w:rPr>
          <w:rStyle w:val="AERbody"/>
        </w:rPr>
        <w:t xml:space="preserve">capital costs that </w:t>
      </w:r>
      <w:r w:rsidR="00F6756A" w:rsidRPr="002935E9">
        <w:rPr>
          <w:rStyle w:val="AERbody"/>
        </w:rPr>
        <w:t>Directlink</w:t>
      </w:r>
      <w:r w:rsidRPr="002935E9">
        <w:rPr>
          <w:rStyle w:val="AERbody"/>
        </w:rPr>
        <w:t xml:space="preserve"> is likely to require during the 201</w:t>
      </w:r>
      <w:r w:rsidR="00F6756A" w:rsidRPr="002935E9">
        <w:rPr>
          <w:rStyle w:val="AERbody"/>
        </w:rPr>
        <w:t>5</w:t>
      </w:r>
      <w:r w:rsidRPr="002935E9">
        <w:rPr>
          <w:rStyle w:val="AERbody"/>
        </w:rPr>
        <w:t>–</w:t>
      </w:r>
      <w:r w:rsidR="00F6756A" w:rsidRPr="002935E9">
        <w:rPr>
          <w:rStyle w:val="AERbody"/>
        </w:rPr>
        <w:t>20 regulatory control</w:t>
      </w:r>
      <w:r w:rsidR="00F6756A">
        <w:t xml:space="preserve"> </w:t>
      </w:r>
      <w:r w:rsidRPr="006C609E">
        <w:t xml:space="preserve">period for the operation of its network. </w:t>
      </w:r>
    </w:p>
    <w:p w:rsidR="002935E9" w:rsidRDefault="006C609E" w:rsidP="00277C46">
      <w:pPr>
        <w:rPr>
          <w:rStyle w:val="AERbody"/>
        </w:rPr>
      </w:pPr>
      <w:r w:rsidRPr="006C609E">
        <w:t xml:space="preserve">We </w:t>
      </w:r>
      <w:r w:rsidR="00BA1A77">
        <w:t>estimate</w:t>
      </w:r>
      <w:r w:rsidRPr="006C609E">
        <w:t xml:space="preserve"> total </w:t>
      </w:r>
      <w:r w:rsidRPr="00F40C31">
        <w:rPr>
          <w:rStyle w:val="AERbody"/>
        </w:rPr>
        <w:t>forecast opex</w:t>
      </w:r>
      <w:r w:rsidR="00B06458">
        <w:rPr>
          <w:rStyle w:val="AERbody"/>
        </w:rPr>
        <w:t xml:space="preserve"> (excluding debt raising costs)</w:t>
      </w:r>
      <w:r w:rsidRPr="00F40C31">
        <w:rPr>
          <w:rStyle w:val="AERbody"/>
        </w:rPr>
        <w:t xml:space="preserve"> of $</w:t>
      </w:r>
      <w:r w:rsidR="00F6756A" w:rsidRPr="00F40C31">
        <w:rPr>
          <w:rStyle w:val="AERbody"/>
        </w:rPr>
        <w:t>17.</w:t>
      </w:r>
      <w:r w:rsidR="00987691">
        <w:rPr>
          <w:rStyle w:val="AERbody"/>
        </w:rPr>
        <w:t>7</w:t>
      </w:r>
      <w:r w:rsidR="00987691" w:rsidRPr="00F40C31">
        <w:rPr>
          <w:rStyle w:val="AERbody"/>
        </w:rPr>
        <w:t xml:space="preserve"> </w:t>
      </w:r>
      <w:r w:rsidRPr="00F40C31">
        <w:rPr>
          <w:rStyle w:val="AERbody"/>
        </w:rPr>
        <w:t>million ($201</w:t>
      </w:r>
      <w:r w:rsidR="00F6756A" w:rsidRPr="00F40C31">
        <w:rPr>
          <w:rStyle w:val="AERbody"/>
        </w:rPr>
        <w:t>4</w:t>
      </w:r>
      <w:r w:rsidRPr="00F40C31">
        <w:rPr>
          <w:rStyle w:val="AERbody"/>
        </w:rPr>
        <w:t>–1</w:t>
      </w:r>
      <w:r w:rsidR="00F6756A" w:rsidRPr="00F40C31">
        <w:rPr>
          <w:rStyle w:val="AERbody"/>
        </w:rPr>
        <w:t>5</w:t>
      </w:r>
      <w:r w:rsidRPr="00F40C31">
        <w:rPr>
          <w:rStyle w:val="AERbody"/>
        </w:rPr>
        <w:t>)</w:t>
      </w:r>
      <w:r w:rsidR="000922A8" w:rsidRPr="00F40C31">
        <w:rPr>
          <w:rStyle w:val="AERbody"/>
        </w:rPr>
        <w:t xml:space="preserve"> for the 2015–20 regulatory control period</w:t>
      </w:r>
      <w:r w:rsidRPr="00F40C31">
        <w:rPr>
          <w:rStyle w:val="AERbody"/>
        </w:rPr>
        <w:t>.</w:t>
      </w:r>
      <w:r w:rsidR="001308E1" w:rsidRPr="00F40C31">
        <w:rPr>
          <w:rStyle w:val="AERbody"/>
        </w:rPr>
        <w:t xml:space="preserve"> This includes an allowance for Directlink's proposed cable replacement expenditure, which we consider Directlink had incorrectly classified as capex in its revised proposal. When these elements of Directlink's proposal are combined, our total forecast opex </w:t>
      </w:r>
      <w:r w:rsidR="006452C2" w:rsidRPr="00F40C31">
        <w:rPr>
          <w:rStyle w:val="AERbody"/>
        </w:rPr>
        <w:t xml:space="preserve">is </w:t>
      </w:r>
      <w:r w:rsidR="00FD4B57">
        <w:rPr>
          <w:rStyle w:val="AERbody"/>
        </w:rPr>
        <w:t>33.7</w:t>
      </w:r>
      <w:r w:rsidR="002935E9" w:rsidRPr="00F40C31">
        <w:rPr>
          <w:rStyle w:val="AERbody"/>
        </w:rPr>
        <w:t xml:space="preserve"> per cent </w:t>
      </w:r>
      <w:r w:rsidR="00FD4B57">
        <w:rPr>
          <w:rStyle w:val="AERbody"/>
        </w:rPr>
        <w:t>lower than</w:t>
      </w:r>
      <w:r w:rsidR="002935E9">
        <w:rPr>
          <w:rStyle w:val="AERbody"/>
        </w:rPr>
        <w:t xml:space="preserve"> proposed by Directlink.</w:t>
      </w:r>
    </w:p>
    <w:p w:rsidR="00B06458" w:rsidRDefault="00B06458" w:rsidP="00277C46">
      <w:pPr>
        <w:rPr>
          <w:rStyle w:val="AERbody"/>
        </w:rPr>
      </w:pPr>
      <w:r>
        <w:t>W</w:t>
      </w:r>
      <w:r w:rsidRPr="006D46CA">
        <w:t xml:space="preserve">e </w:t>
      </w:r>
      <w:r>
        <w:t xml:space="preserve">have included $0.3 million for the 2015-20 period for debt raising costs (see </w:t>
      </w:r>
      <w:r w:rsidR="005719A3">
        <w:t>A</w:t>
      </w:r>
      <w:r>
        <w:t>ttachment 3).</w:t>
      </w:r>
    </w:p>
    <w:p w:rsidR="006C609E" w:rsidRDefault="00EA2264" w:rsidP="00277C46">
      <w:r>
        <w:rPr>
          <w:rStyle w:val="AERbody"/>
        </w:rPr>
        <w:fldChar w:fldCharType="begin"/>
      </w:r>
      <w:r>
        <w:rPr>
          <w:rStyle w:val="AERbody"/>
        </w:rPr>
        <w:instrText xml:space="preserve"> REF _Ref409694068 \h </w:instrText>
      </w:r>
      <w:r>
        <w:rPr>
          <w:rStyle w:val="AERbody"/>
        </w:rPr>
      </w:r>
      <w:r>
        <w:rPr>
          <w:rStyle w:val="AERbody"/>
        </w:rPr>
        <w:fldChar w:fldCharType="separate"/>
      </w:r>
      <w:r w:rsidR="00EB67D6" w:rsidRPr="00F6756A">
        <w:t xml:space="preserve">Table </w:t>
      </w:r>
      <w:r w:rsidR="00EB67D6">
        <w:rPr>
          <w:noProof/>
        </w:rPr>
        <w:t>7</w:t>
      </w:r>
      <w:r>
        <w:rPr>
          <w:rStyle w:val="AERbody"/>
        </w:rPr>
        <w:fldChar w:fldCharType="end"/>
      </w:r>
      <w:r>
        <w:rPr>
          <w:rStyle w:val="AERbody"/>
        </w:rPr>
        <w:t xml:space="preserve"> </w:t>
      </w:r>
      <w:r w:rsidR="001A6D34">
        <w:rPr>
          <w:rStyle w:val="AERbody"/>
        </w:rPr>
        <w:t xml:space="preserve">and </w:t>
      </w:r>
      <w:r w:rsidR="001A6D34">
        <w:rPr>
          <w:rStyle w:val="AERbody"/>
        </w:rPr>
        <w:fldChar w:fldCharType="begin"/>
      </w:r>
      <w:r w:rsidR="001A6D34">
        <w:rPr>
          <w:rStyle w:val="AERbody"/>
        </w:rPr>
        <w:instrText xml:space="preserve"> REF _Ref417493974 \h </w:instrText>
      </w:r>
      <w:r w:rsidR="001A6D34">
        <w:rPr>
          <w:rStyle w:val="AERbody"/>
        </w:rPr>
      </w:r>
      <w:r w:rsidR="001A6D34">
        <w:rPr>
          <w:rStyle w:val="AERbody"/>
        </w:rPr>
        <w:fldChar w:fldCharType="separate"/>
      </w:r>
      <w:r w:rsidR="00EB67D6">
        <w:t xml:space="preserve">Figure </w:t>
      </w:r>
      <w:r w:rsidR="00EB67D6">
        <w:rPr>
          <w:noProof/>
        </w:rPr>
        <w:t>6</w:t>
      </w:r>
      <w:r w:rsidR="001A6D34">
        <w:rPr>
          <w:rStyle w:val="AERbody"/>
        </w:rPr>
        <w:fldChar w:fldCharType="end"/>
      </w:r>
      <w:r w:rsidR="001A6D34">
        <w:rPr>
          <w:rStyle w:val="AERbody"/>
        </w:rPr>
        <w:t xml:space="preserve"> </w:t>
      </w:r>
      <w:r w:rsidR="006C609E" w:rsidRPr="00FB4241">
        <w:rPr>
          <w:rStyle w:val="AERbody"/>
        </w:rPr>
        <w:t>show</w:t>
      </w:r>
      <w:r w:rsidR="006C609E" w:rsidRPr="00277C46">
        <w:rPr>
          <w:rStyle w:val="AERbody"/>
        </w:rPr>
        <w:t xml:space="preserve"> our </w:t>
      </w:r>
      <w:r w:rsidR="002935E9">
        <w:rPr>
          <w:rStyle w:val="AERbody"/>
        </w:rPr>
        <w:t>final</w:t>
      </w:r>
      <w:r w:rsidR="002935E9" w:rsidRPr="00277C46">
        <w:rPr>
          <w:rStyle w:val="AERbody"/>
        </w:rPr>
        <w:t xml:space="preserve"> </w:t>
      </w:r>
      <w:r w:rsidR="006C609E" w:rsidRPr="00277C46">
        <w:rPr>
          <w:rStyle w:val="AERbody"/>
        </w:rPr>
        <w:t xml:space="preserve">decision compared to </w:t>
      </w:r>
      <w:r w:rsidR="00FB4241" w:rsidRPr="00277C46">
        <w:rPr>
          <w:rStyle w:val="AERbody"/>
        </w:rPr>
        <w:t xml:space="preserve">Directlink's </w:t>
      </w:r>
      <w:r w:rsidR="001308E1">
        <w:rPr>
          <w:rStyle w:val="AERbody"/>
        </w:rPr>
        <w:t xml:space="preserve">revised </w:t>
      </w:r>
      <w:r w:rsidR="006C609E" w:rsidRPr="00277C46">
        <w:rPr>
          <w:rStyle w:val="AERbody"/>
        </w:rPr>
        <w:t>proposal</w:t>
      </w:r>
      <w:r w:rsidR="006C609E" w:rsidRPr="006C609E">
        <w:t xml:space="preserve">. </w:t>
      </w:r>
    </w:p>
    <w:p w:rsidR="00F6756A" w:rsidRPr="00F6756A" w:rsidRDefault="00F6756A" w:rsidP="00F6756A">
      <w:pPr>
        <w:pStyle w:val="Caption"/>
        <w:numPr>
          <w:ilvl w:val="0"/>
          <w:numId w:val="24"/>
        </w:numPr>
      </w:pPr>
      <w:bookmarkStart w:id="132" w:name="_Ref409694068"/>
      <w:r w:rsidRPr="00F6756A">
        <w:t xml:space="preserve">Table </w:t>
      </w:r>
      <w:fldSimple w:instr=" SEQ Table \* ARABIC ">
        <w:r w:rsidR="00EB67D6">
          <w:rPr>
            <w:noProof/>
          </w:rPr>
          <w:t>7</w:t>
        </w:r>
      </w:fldSimple>
      <w:bookmarkEnd w:id="132"/>
      <w:r w:rsidRPr="00F6756A">
        <w:tab/>
      </w:r>
      <w:bookmarkStart w:id="133" w:name="_Ref388280805"/>
      <w:r w:rsidRPr="00F6756A">
        <w:t>AER final decision on Directlink's total opex</w:t>
      </w:r>
      <w:r w:rsidR="00B06458" w:rsidRPr="00B06458">
        <w:rPr>
          <w:rStyle w:val="AERsuperscript"/>
        </w:rPr>
        <w:t>(a)</w:t>
      </w:r>
      <w:r w:rsidRPr="00F6756A">
        <w:t xml:space="preserve"> ($million 2014–15)</w:t>
      </w:r>
      <w:bookmarkEnd w:id="133"/>
    </w:p>
    <w:tbl>
      <w:tblPr>
        <w:tblStyle w:val="AERtable-numbers"/>
        <w:tblW w:w="0" w:type="auto"/>
        <w:tblLook w:val="04A0" w:firstRow="1" w:lastRow="0" w:firstColumn="1" w:lastColumn="0" w:noHBand="0" w:noVBand="1"/>
      </w:tblPr>
      <w:tblGrid>
        <w:gridCol w:w="1906"/>
        <w:gridCol w:w="1131"/>
        <w:gridCol w:w="1131"/>
        <w:gridCol w:w="1131"/>
        <w:gridCol w:w="1131"/>
        <w:gridCol w:w="1131"/>
        <w:gridCol w:w="1132"/>
      </w:tblGrid>
      <w:tr w:rsidR="00F6756A" w:rsidTr="00277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F6756A" w:rsidRPr="00F6756A" w:rsidRDefault="00F6756A" w:rsidP="00F6756A">
            <w:pPr>
              <w:pStyle w:val="AERtabletextleft"/>
            </w:pPr>
          </w:p>
        </w:tc>
        <w:tc>
          <w:tcPr>
            <w:tcW w:w="1131"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2015–16</w:t>
            </w:r>
          </w:p>
        </w:tc>
        <w:tc>
          <w:tcPr>
            <w:tcW w:w="1131"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2016–17</w:t>
            </w:r>
          </w:p>
        </w:tc>
        <w:tc>
          <w:tcPr>
            <w:tcW w:w="1131"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2017–18</w:t>
            </w:r>
          </w:p>
        </w:tc>
        <w:tc>
          <w:tcPr>
            <w:tcW w:w="1131"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2018–19</w:t>
            </w:r>
          </w:p>
        </w:tc>
        <w:tc>
          <w:tcPr>
            <w:tcW w:w="1131"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2019-20</w:t>
            </w:r>
          </w:p>
        </w:tc>
        <w:tc>
          <w:tcPr>
            <w:tcW w:w="1132" w:type="dxa"/>
          </w:tcPr>
          <w:p w:rsidR="00F6756A" w:rsidRPr="00F6756A" w:rsidRDefault="00F6756A" w:rsidP="00F6756A">
            <w:pPr>
              <w:pStyle w:val="AERtabletextright"/>
              <w:cnfStyle w:val="100000000000" w:firstRow="1" w:lastRow="0" w:firstColumn="0" w:lastColumn="0" w:oddVBand="0" w:evenVBand="0" w:oddHBand="0" w:evenHBand="0" w:firstRowFirstColumn="0" w:firstRowLastColumn="0" w:lastRowFirstColumn="0" w:lastRowLastColumn="0"/>
            </w:pPr>
            <w:r w:rsidRPr="00F6756A">
              <w:t>Total</w:t>
            </w:r>
          </w:p>
        </w:tc>
      </w:tr>
      <w:tr w:rsidR="00B069DB" w:rsidTr="0027738A">
        <w:tc>
          <w:tcPr>
            <w:cnfStyle w:val="001000000000" w:firstRow="0" w:lastRow="0" w:firstColumn="1" w:lastColumn="0" w:oddVBand="0" w:evenVBand="0" w:oddHBand="0" w:evenHBand="0" w:firstRowFirstColumn="0" w:firstRowLastColumn="0" w:lastRowFirstColumn="0" w:lastRowLastColumn="0"/>
            <w:tcW w:w="1906" w:type="dxa"/>
          </w:tcPr>
          <w:p w:rsidR="00B069DB" w:rsidRPr="00B069DB" w:rsidRDefault="00B069DB" w:rsidP="00B069DB">
            <w:pPr>
              <w:pStyle w:val="AERtabletextleft"/>
            </w:pPr>
            <w:r w:rsidRPr="00B069DB">
              <w:t>Directlink's revised opex proposal</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4.3</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3.5</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3.6</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3.6</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3.5</w:t>
            </w:r>
          </w:p>
        </w:tc>
        <w:tc>
          <w:tcPr>
            <w:tcW w:w="1132"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18.5</w:t>
            </w:r>
          </w:p>
        </w:tc>
      </w:tr>
      <w:tr w:rsidR="00B069DB" w:rsidTr="00277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B069DB" w:rsidRPr="00B069DB" w:rsidRDefault="00B069DB" w:rsidP="00B06458">
            <w:pPr>
              <w:pStyle w:val="AERtabletextleft"/>
            </w:pPr>
            <w:r w:rsidRPr="00B069DB">
              <w:t>Directlink's revised opex proposal incl. cable replacement program proposal</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5.9</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5.2</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5.3</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5.2</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5.2</w:t>
            </w:r>
          </w:p>
        </w:tc>
        <w:tc>
          <w:tcPr>
            <w:tcW w:w="1132"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26.7</w:t>
            </w:r>
          </w:p>
        </w:tc>
      </w:tr>
      <w:tr w:rsidR="00B069DB" w:rsidTr="0027738A">
        <w:tc>
          <w:tcPr>
            <w:cnfStyle w:val="001000000000" w:firstRow="0" w:lastRow="0" w:firstColumn="1" w:lastColumn="0" w:oddVBand="0" w:evenVBand="0" w:oddHBand="0" w:evenHBand="0" w:firstRowFirstColumn="0" w:firstRowLastColumn="0" w:lastRowFirstColumn="0" w:lastRowLastColumn="0"/>
            <w:tcW w:w="1906" w:type="dxa"/>
          </w:tcPr>
          <w:p w:rsidR="00B069DB" w:rsidRPr="00B069DB" w:rsidRDefault="00B069DB" w:rsidP="00B06458">
            <w:pPr>
              <w:pStyle w:val="AERtabletextleft"/>
            </w:pPr>
            <w:r w:rsidRPr="00B069DB">
              <w:t>AER final decision</w:t>
            </w:r>
            <w:r w:rsidRPr="00B069DB">
              <w:rPr>
                <w:rStyle w:val="AERsuperscript"/>
              </w:rPr>
              <w:t>(</w:t>
            </w:r>
            <w:r w:rsidR="00B06458">
              <w:rPr>
                <w:rStyle w:val="AERsuperscript"/>
              </w:rPr>
              <w:t>b</w:t>
            </w:r>
            <w:r w:rsidRPr="00B069DB">
              <w:rPr>
                <w:rStyle w:val="AERsuperscript"/>
              </w:rPr>
              <w:t>)</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4.1</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3.5</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w:t>
            </w:r>
          </w:p>
        </w:tc>
        <w:tc>
          <w:tcPr>
            <w:tcW w:w="1132"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17.7</w:t>
            </w:r>
          </w:p>
        </w:tc>
      </w:tr>
      <w:tr w:rsidR="00B069DB" w:rsidTr="00277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B069DB" w:rsidRPr="00B069DB" w:rsidRDefault="00B069DB" w:rsidP="00B069DB">
            <w:pPr>
              <w:pStyle w:val="AERtabletextleft"/>
            </w:pPr>
            <w:r w:rsidRPr="00B069DB">
              <w:t>Difference ($million)</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-1.8</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-1.8</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-1.8</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-1.8</w:t>
            </w:r>
          </w:p>
        </w:tc>
        <w:tc>
          <w:tcPr>
            <w:tcW w:w="1131"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-1.8</w:t>
            </w:r>
          </w:p>
        </w:tc>
        <w:tc>
          <w:tcPr>
            <w:tcW w:w="1132" w:type="dxa"/>
            <w:vAlign w:val="top"/>
          </w:tcPr>
          <w:p w:rsidR="00B069DB" w:rsidRPr="00B069DB" w:rsidRDefault="00B069DB" w:rsidP="00084C7B">
            <w:pPr>
              <w:cnfStyle w:val="000000010000" w:firstRow="0" w:lastRow="0" w:firstColumn="0" w:lastColumn="0" w:oddVBand="0" w:evenVBand="0" w:oddHBand="0" w:evenHBand="1" w:firstRowFirstColumn="0" w:firstRowLastColumn="0" w:lastRowFirstColumn="0" w:lastRowLastColumn="0"/>
            </w:pPr>
            <w:r w:rsidRPr="00B069DB">
              <w:t>-9.0</w:t>
            </w:r>
          </w:p>
        </w:tc>
      </w:tr>
      <w:tr w:rsidR="00B069DB" w:rsidTr="0027738A">
        <w:tc>
          <w:tcPr>
            <w:cnfStyle w:val="001000000000" w:firstRow="0" w:lastRow="0" w:firstColumn="1" w:lastColumn="0" w:oddVBand="0" w:evenVBand="0" w:oddHBand="0" w:evenHBand="0" w:firstRowFirstColumn="0" w:firstRowLastColumn="0" w:lastRowFirstColumn="0" w:lastRowLastColumn="0"/>
            <w:tcW w:w="1906" w:type="dxa"/>
            <w:vAlign w:val="top"/>
          </w:tcPr>
          <w:p w:rsidR="00B069DB" w:rsidRPr="00B069DB" w:rsidRDefault="00B069DB" w:rsidP="00B069DB">
            <w:pPr>
              <w:pStyle w:val="AERtabletextleft"/>
            </w:pPr>
            <w:r w:rsidRPr="00B069DB">
              <w:t>Difference (%)</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-31.0%</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-34.8%</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-34.3%</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-34.7%</w:t>
            </w:r>
          </w:p>
        </w:tc>
        <w:tc>
          <w:tcPr>
            <w:tcW w:w="1131"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-34.0%</w:t>
            </w:r>
          </w:p>
        </w:tc>
        <w:tc>
          <w:tcPr>
            <w:tcW w:w="1132" w:type="dxa"/>
            <w:vAlign w:val="top"/>
          </w:tcPr>
          <w:p w:rsidR="00B069DB" w:rsidRPr="00B069DB" w:rsidRDefault="00B069DB" w:rsidP="00084C7B">
            <w:pPr>
              <w:cnfStyle w:val="000000000000" w:firstRow="0" w:lastRow="0" w:firstColumn="0" w:lastColumn="0" w:oddVBand="0" w:evenVBand="0" w:oddHBand="0" w:evenHBand="0" w:firstRowFirstColumn="0" w:firstRowLastColumn="0" w:lastRowFirstColumn="0" w:lastRowLastColumn="0"/>
            </w:pPr>
            <w:r w:rsidRPr="00B069DB">
              <w:t>-33.7%</w:t>
            </w:r>
          </w:p>
        </w:tc>
      </w:tr>
    </w:tbl>
    <w:p w:rsidR="00F6756A" w:rsidRPr="00F6756A" w:rsidRDefault="00F6756A" w:rsidP="00F6756A">
      <w:pPr>
        <w:pStyle w:val="AERtablesource"/>
        <w:numPr>
          <w:ilvl w:val="0"/>
          <w:numId w:val="24"/>
        </w:numPr>
      </w:pPr>
      <w:r w:rsidRPr="00F6756A">
        <w:t>Source:</w:t>
      </w:r>
      <w:r w:rsidRPr="00F6756A">
        <w:tab/>
        <w:t>Directlink, proposal; AER analysis</w:t>
      </w:r>
    </w:p>
    <w:p w:rsidR="00B06458" w:rsidRDefault="00F6756A" w:rsidP="00F6756A">
      <w:pPr>
        <w:pStyle w:val="AERtablesource"/>
        <w:numPr>
          <w:ilvl w:val="0"/>
          <w:numId w:val="24"/>
        </w:numPr>
      </w:pPr>
      <w:r w:rsidRPr="00F6756A">
        <w:t>Note:</w:t>
      </w:r>
      <w:r w:rsidRPr="00F6756A">
        <w:tab/>
      </w:r>
      <w:r w:rsidR="00B06458">
        <w:t>(a) This excludes debt raising costs.</w:t>
      </w:r>
    </w:p>
    <w:p w:rsidR="00F6756A" w:rsidRPr="00F6756A" w:rsidRDefault="00B06458" w:rsidP="00B06458">
      <w:pPr>
        <w:pStyle w:val="AERtablesource"/>
        <w:ind w:left="357" w:firstLine="0"/>
      </w:pPr>
      <w:r>
        <w:tab/>
      </w:r>
      <w:r w:rsidR="00F6756A" w:rsidRPr="00F6756A">
        <w:t>(</w:t>
      </w:r>
      <w:r>
        <w:t>b</w:t>
      </w:r>
      <w:r w:rsidR="00F6756A" w:rsidRPr="00F6756A">
        <w:t>) This includes expenditure which was classified as capex in Directlink's revised proposal.</w:t>
      </w:r>
    </w:p>
    <w:p w:rsidR="001A6D34" w:rsidRDefault="001A6D34" w:rsidP="00A62B7C">
      <w:pPr>
        <w:pStyle w:val="Caption"/>
      </w:pPr>
      <w:bookmarkStart w:id="134" w:name="_Ref417493974"/>
      <w:r>
        <w:t xml:space="preserve">Figure </w:t>
      </w:r>
      <w:fldSimple w:instr=" SEQ Figure \* ARABIC ">
        <w:r w:rsidR="00EB67D6">
          <w:rPr>
            <w:noProof/>
          </w:rPr>
          <w:t>6</w:t>
        </w:r>
      </w:fldSimple>
      <w:bookmarkEnd w:id="134"/>
      <w:r>
        <w:tab/>
        <w:t>Directlink</w:t>
      </w:r>
      <w:r w:rsidRPr="006E6655">
        <w:t>’s actual/estimated an</w:t>
      </w:r>
      <w:r>
        <w:t>d proposed opex, AER draft and final decisions</w:t>
      </w:r>
      <w:r w:rsidRPr="000622DC">
        <w:rPr>
          <w:rStyle w:val="AERsuperscript"/>
        </w:rPr>
        <w:t>(a)</w:t>
      </w:r>
      <w:r w:rsidRPr="006E6655">
        <w:t xml:space="preserve"> ($ million, 201</w:t>
      </w:r>
      <w:r>
        <w:t>4</w:t>
      </w:r>
      <w:r w:rsidRPr="006E6655">
        <w:t>–1</w:t>
      </w:r>
      <w:r>
        <w:t>5</w:t>
      </w:r>
      <w:r w:rsidRPr="006E6655">
        <w:t>)</w:t>
      </w:r>
    </w:p>
    <w:p w:rsidR="001A6D34" w:rsidRPr="001A6D34" w:rsidRDefault="001A6D34" w:rsidP="001A6D34">
      <w:pPr>
        <w:pStyle w:val="ListParagraph"/>
        <w:numPr>
          <w:ilvl w:val="0"/>
          <w:numId w:val="24"/>
        </w:numPr>
      </w:pPr>
      <w:r w:rsidRPr="001A6D34">
        <w:rPr>
          <w:noProof/>
          <w:lang w:eastAsia="en-AU"/>
        </w:rPr>
        <w:drawing>
          <wp:inline distT="0" distB="0" distL="0" distR="0" wp14:anchorId="37139737" wp14:editId="059CDEAB">
            <wp:extent cx="5382895" cy="3318849"/>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82895" cy="3318849"/>
                    </a:xfrm>
                    <a:prstGeom prst="rect">
                      <a:avLst/>
                    </a:prstGeom>
                  </pic:spPr>
                </pic:pic>
              </a:graphicData>
            </a:graphic>
          </wp:inline>
        </w:drawing>
      </w:r>
    </w:p>
    <w:p w:rsidR="001A6D34" w:rsidRDefault="001A6D34" w:rsidP="001A6D34">
      <w:pPr>
        <w:pStyle w:val="AERtablesource"/>
        <w:numPr>
          <w:ilvl w:val="0"/>
          <w:numId w:val="24"/>
        </w:numPr>
      </w:pPr>
      <w:r>
        <w:t xml:space="preserve">Source: </w:t>
      </w:r>
      <w:r>
        <w:tab/>
        <w:t>AER analysis.</w:t>
      </w:r>
    </w:p>
    <w:p w:rsidR="001A6D34" w:rsidRPr="00FD4B57" w:rsidRDefault="00B24E51" w:rsidP="00FD4B57">
      <w:pPr>
        <w:pStyle w:val="AERtablesource"/>
      </w:pPr>
      <w:r w:rsidRPr="00FD4B57">
        <w:t>Note:</w:t>
      </w:r>
      <w:r w:rsidRPr="00FD4B57">
        <w:tab/>
        <w:t xml:space="preserve">(a) The AER final decision includes expenditure which was classified as capex in Directlink's revised proposal. </w:t>
      </w:r>
      <w:r w:rsidR="001A6D34" w:rsidRPr="00FD4B57">
        <w:t>Directlink's revised proposal excludes opex that was shifted to capex between its initial and draft proposal.</w:t>
      </w:r>
      <w:r w:rsidR="00B06458" w:rsidRPr="00FD4B57">
        <w:t xml:space="preserve"> This is exclusive of debt raising costs.</w:t>
      </w:r>
    </w:p>
    <w:p w:rsidR="006C609E" w:rsidRPr="006C609E" w:rsidRDefault="002935E9" w:rsidP="006C609E">
      <w:pPr>
        <w:numPr>
          <w:ilvl w:val="0"/>
          <w:numId w:val="24"/>
        </w:numPr>
      </w:pPr>
      <w:r>
        <w:t xml:space="preserve">Attachment 7 sets out our detailed reasons for our final decision on Directlink's total forecast opex. </w:t>
      </w:r>
      <w:r w:rsidR="006C609E" w:rsidRPr="006C609E">
        <w:t xml:space="preserve">The key areas of difference between our </w:t>
      </w:r>
      <w:r w:rsidR="00115251">
        <w:t>substitute</w:t>
      </w:r>
      <w:r w:rsidR="00115251" w:rsidRPr="006C609E">
        <w:t xml:space="preserve"> </w:t>
      </w:r>
      <w:r w:rsidR="006C609E" w:rsidRPr="006C609E">
        <w:t xml:space="preserve">estimate </w:t>
      </w:r>
      <w:r w:rsidR="006C609E" w:rsidRPr="002935E9">
        <w:rPr>
          <w:rStyle w:val="AERbody"/>
        </w:rPr>
        <w:t xml:space="preserve">and </w:t>
      </w:r>
      <w:r w:rsidR="00FB4241" w:rsidRPr="002935E9">
        <w:rPr>
          <w:rStyle w:val="AERbody"/>
        </w:rPr>
        <w:t>Directlink's</w:t>
      </w:r>
      <w:r w:rsidR="00FB4241" w:rsidRPr="006C609E">
        <w:t xml:space="preserve"> </w:t>
      </w:r>
      <w:r w:rsidR="006C609E" w:rsidRPr="006C609E">
        <w:t>revised proposal are</w:t>
      </w:r>
      <w:r w:rsidR="00E61453">
        <w:t xml:space="preserve"> that our estimate includes</w:t>
      </w:r>
      <w:r w:rsidR="006C609E" w:rsidRPr="006C609E">
        <w:t>:</w:t>
      </w:r>
    </w:p>
    <w:p w:rsidR="00FB4241" w:rsidRPr="009C04E5" w:rsidRDefault="00FB4241" w:rsidP="009C04E5">
      <w:pPr>
        <w:pStyle w:val="AERbulletlistfirststyle"/>
      </w:pPr>
      <w:r w:rsidRPr="009C04E5">
        <w:t xml:space="preserve">cable repair expenditure as </w:t>
      </w:r>
      <w:r w:rsidR="00E61453" w:rsidRPr="009C04E5">
        <w:t xml:space="preserve">opex </w:t>
      </w:r>
      <w:r w:rsidRPr="009C04E5">
        <w:t xml:space="preserve">and </w:t>
      </w:r>
      <w:r w:rsidR="00E61453" w:rsidRPr="009C04E5">
        <w:t>not as capex as proposed by Directlink</w:t>
      </w:r>
      <w:r w:rsidRPr="009C04E5">
        <w:t xml:space="preserve">. </w:t>
      </w:r>
      <w:r w:rsidR="00E61453" w:rsidRPr="009C04E5">
        <w:t>Our estimate for reactive repairs is based on</w:t>
      </w:r>
      <w:r w:rsidRPr="009C04E5">
        <w:t xml:space="preserve"> </w:t>
      </w:r>
      <w:r w:rsidR="00FD4B57">
        <w:t>three</w:t>
      </w:r>
      <w:r w:rsidRPr="009C04E5">
        <w:t xml:space="preserve"> cable repairs per year, rather than the 12 cable repairs proposed by Directlink. </w:t>
      </w:r>
      <w:r w:rsidR="00277C46" w:rsidRPr="009C04E5">
        <w:t xml:space="preserve">This accounts for </w:t>
      </w:r>
      <w:r w:rsidR="00455F23" w:rsidRPr="009C04E5">
        <w:rPr>
          <w:rStyle w:val="AERtexthighlight"/>
          <w:shd w:val="clear" w:color="auto" w:fill="auto"/>
        </w:rPr>
        <w:t>6</w:t>
      </w:r>
      <w:r w:rsidR="00BE53DB" w:rsidRPr="009C04E5">
        <w:rPr>
          <w:rStyle w:val="AERtexthighlight"/>
          <w:shd w:val="clear" w:color="auto" w:fill="auto"/>
        </w:rPr>
        <w:t>8</w:t>
      </w:r>
      <w:r w:rsidR="00BE53DB" w:rsidRPr="009C04E5">
        <w:t xml:space="preserve"> </w:t>
      </w:r>
      <w:r w:rsidR="00277C46" w:rsidRPr="009C04E5">
        <w:t>per cent of the difference between us and Directlink</w:t>
      </w:r>
    </w:p>
    <w:p w:rsidR="00277C46" w:rsidRPr="009C04E5" w:rsidRDefault="00E61453" w:rsidP="009C04E5">
      <w:pPr>
        <w:pStyle w:val="AERbulletlistfirststyle"/>
      </w:pPr>
      <w:r w:rsidRPr="009C04E5">
        <w:t>less forecast i</w:t>
      </w:r>
      <w:r w:rsidR="00FB4241" w:rsidRPr="009C04E5">
        <w:t>nsurance expenditure</w:t>
      </w:r>
      <w:r w:rsidRPr="009C04E5">
        <w:t xml:space="preserve"> than proposed by Directlink</w:t>
      </w:r>
      <w:r w:rsidR="00FB4241" w:rsidRPr="009C04E5">
        <w:t xml:space="preserve">. </w:t>
      </w:r>
      <w:r w:rsidR="00277C46" w:rsidRPr="009C04E5">
        <w:t xml:space="preserve">This accounts for </w:t>
      </w:r>
      <w:r w:rsidR="00455F23" w:rsidRPr="009C04E5">
        <w:rPr>
          <w:rStyle w:val="AERtexthighlight"/>
          <w:shd w:val="clear" w:color="auto" w:fill="auto"/>
        </w:rPr>
        <w:t>19</w:t>
      </w:r>
      <w:r w:rsidR="00BE53DB" w:rsidRPr="009C04E5">
        <w:t xml:space="preserve"> </w:t>
      </w:r>
      <w:r w:rsidR="00277C46" w:rsidRPr="009C04E5">
        <w:t>per cent of the difference between us and Directlink.</w:t>
      </w:r>
    </w:p>
    <w:p w:rsidR="00277C46" w:rsidRPr="009C04E5" w:rsidRDefault="00E61453" w:rsidP="00B069DB">
      <w:pPr>
        <w:pStyle w:val="AERbulletlistfirststyle"/>
      </w:pPr>
      <w:r w:rsidRPr="009C04E5">
        <w:t xml:space="preserve">a forecast of commercial </w:t>
      </w:r>
      <w:r w:rsidR="00FB4241" w:rsidRPr="009C04E5">
        <w:t>services expenditure</w:t>
      </w:r>
      <w:r w:rsidRPr="009C04E5">
        <w:t xml:space="preserve"> based on</w:t>
      </w:r>
      <w:r w:rsidR="00FB4241" w:rsidRPr="009C04E5">
        <w:t xml:space="preserve"> the most contemporary audited revenue, which is calendar year 2013.</w:t>
      </w:r>
      <w:r w:rsidR="00277C46" w:rsidRPr="009C04E5">
        <w:t xml:space="preserve"> This accounts for </w:t>
      </w:r>
      <w:r w:rsidR="00BE53DB" w:rsidRPr="009C04E5">
        <w:rPr>
          <w:rStyle w:val="AERtexthighlight"/>
          <w:shd w:val="clear" w:color="auto" w:fill="auto"/>
        </w:rPr>
        <w:t>4.</w:t>
      </w:r>
      <w:r w:rsidR="00B069DB" w:rsidRPr="00B069DB">
        <w:t>1</w:t>
      </w:r>
      <w:r w:rsidR="00BE53DB" w:rsidRPr="009C04E5">
        <w:t xml:space="preserve"> </w:t>
      </w:r>
      <w:r w:rsidR="00277C46" w:rsidRPr="009C04E5">
        <w:t>per cent of the difference between us and Directlink</w:t>
      </w:r>
    </w:p>
    <w:p w:rsidR="00277C46" w:rsidRPr="009C04E5" w:rsidRDefault="00E61453" w:rsidP="009C04E5">
      <w:pPr>
        <w:pStyle w:val="AERbulletlistfirststyle"/>
      </w:pPr>
      <w:r w:rsidRPr="009C04E5">
        <w:t xml:space="preserve">an adjustment of the forecast associated with </w:t>
      </w:r>
      <w:r w:rsidR="00522186">
        <w:t xml:space="preserve">the </w:t>
      </w:r>
      <w:r w:rsidR="00FB4241" w:rsidRPr="009C04E5">
        <w:t xml:space="preserve">APA </w:t>
      </w:r>
      <w:r w:rsidR="007F7D68">
        <w:t>Operations</w:t>
      </w:r>
      <w:r w:rsidR="00341ED6">
        <w:t xml:space="preserve"> </w:t>
      </w:r>
      <w:r w:rsidR="00FB4241" w:rsidRPr="009C04E5">
        <w:t>10 per cent margin</w:t>
      </w:r>
      <w:r w:rsidR="00BE1627" w:rsidRPr="009C04E5">
        <w:t xml:space="preserve"> </w:t>
      </w:r>
      <w:r w:rsidRPr="009C04E5">
        <w:t>that applies</w:t>
      </w:r>
      <w:r w:rsidR="00FB4241" w:rsidRPr="009C04E5">
        <w:t xml:space="preserve"> to all elements of opex</w:t>
      </w:r>
      <w:r w:rsidRPr="009C04E5">
        <w:t xml:space="preserve"> given the lower expenditure we forecast for </w:t>
      </w:r>
      <w:r w:rsidR="00FB4241" w:rsidRPr="009C04E5">
        <w:t xml:space="preserve">the </w:t>
      </w:r>
      <w:r w:rsidR="00115251" w:rsidRPr="009C04E5">
        <w:t>operating and maintenance expenditure</w:t>
      </w:r>
      <w:r w:rsidR="00FB4241" w:rsidRPr="009C04E5">
        <w:t xml:space="preserve">, </w:t>
      </w:r>
      <w:r w:rsidR="00115251" w:rsidRPr="009C04E5">
        <w:t xml:space="preserve">and </w:t>
      </w:r>
      <w:r w:rsidR="00FB4241" w:rsidRPr="009C04E5">
        <w:t>insurance and commercial services expenditure.</w:t>
      </w:r>
      <w:r w:rsidR="00277C46" w:rsidRPr="009C04E5">
        <w:t xml:space="preserve"> </w:t>
      </w:r>
      <w:r w:rsidR="00115251" w:rsidRPr="009C04E5">
        <w:t xml:space="preserve">The adjustment to the amount based on the margin </w:t>
      </w:r>
      <w:r w:rsidR="00277C46" w:rsidRPr="009C04E5">
        <w:t xml:space="preserve">accounts for </w:t>
      </w:r>
      <w:r w:rsidR="00455F23" w:rsidRPr="009C04E5">
        <w:rPr>
          <w:rStyle w:val="AERtexthighlight"/>
          <w:shd w:val="clear" w:color="auto" w:fill="auto"/>
        </w:rPr>
        <w:t>9.1</w:t>
      </w:r>
      <w:r w:rsidR="00455F23" w:rsidRPr="009C04E5">
        <w:t xml:space="preserve"> </w:t>
      </w:r>
      <w:r w:rsidR="00277C46" w:rsidRPr="009C04E5">
        <w:t>per cent of the difference between us and Directlink.</w:t>
      </w:r>
    </w:p>
    <w:p w:rsidR="008F3A0D" w:rsidRPr="00DC2000" w:rsidRDefault="008F3A0D" w:rsidP="00D577FF">
      <w:pPr>
        <w:pStyle w:val="Heading2"/>
        <w:keepNext/>
      </w:pPr>
      <w:bookmarkStart w:id="135" w:name="_Toc404154752"/>
      <w:bookmarkStart w:id="136" w:name="_Toc404437145"/>
      <w:bookmarkStart w:id="137" w:name="_Toc411428056"/>
      <w:bookmarkStart w:id="138" w:name="_Toc417987577"/>
      <w:bookmarkEnd w:id="135"/>
      <w:r w:rsidRPr="00DC2000">
        <w:t>Corporate income tax</w:t>
      </w:r>
      <w:bookmarkEnd w:id="136"/>
      <w:bookmarkEnd w:id="137"/>
      <w:bookmarkEnd w:id="138"/>
    </w:p>
    <w:p w:rsidR="00C605BF" w:rsidRDefault="008D3CC7" w:rsidP="00D577FF">
      <w:pPr>
        <w:keepNext/>
        <w:numPr>
          <w:ilvl w:val="0"/>
          <w:numId w:val="24"/>
        </w:numPr>
      </w:pPr>
      <w:r>
        <w:t>The NER require us to</w:t>
      </w:r>
      <w:r w:rsidR="004F098A" w:rsidRPr="004F098A">
        <w:t xml:space="preserve"> make a decision on the estimated cost of corporate income tax for Directlink's 2015–20 regulatory control period.</w:t>
      </w:r>
      <w:r w:rsidR="004F098A" w:rsidRPr="004F098A">
        <w:rPr>
          <w:rStyle w:val="FootnoteReference"/>
        </w:rPr>
        <w:footnoteReference w:id="44"/>
      </w:r>
      <w:r w:rsidR="004F098A" w:rsidRPr="004F098A">
        <w:t xml:space="preserve"> </w:t>
      </w:r>
      <w:r w:rsidR="00C605BF" w:rsidRPr="00864963">
        <w:t xml:space="preserve">The estimated cost of corporate income tax contributes to our determination of the total revenue cap for Directlink over the 2015–20 regulatory control period. </w:t>
      </w:r>
      <w:r w:rsidR="00F62923">
        <w:t>An allowance for corporate income tax</w:t>
      </w:r>
      <w:r w:rsidR="00C605BF" w:rsidRPr="00864963">
        <w:t xml:space="preserve"> enables Directlink to recover the costs associated with the estimated corporate income tax payable during that period. </w:t>
      </w:r>
    </w:p>
    <w:p w:rsidR="00C605BF" w:rsidRPr="0091328C" w:rsidRDefault="00F62923" w:rsidP="00F62923">
      <w:pPr>
        <w:numPr>
          <w:ilvl w:val="0"/>
          <w:numId w:val="24"/>
        </w:numPr>
      </w:pPr>
      <w:r>
        <w:t>Our final decision is to</w:t>
      </w:r>
      <w:r w:rsidR="00C605BF" w:rsidRPr="0091328C">
        <w:t xml:space="preserve"> determine a cost of corporate </w:t>
      </w:r>
      <w:r w:rsidR="00C605BF" w:rsidRPr="00DE46D0">
        <w:t>income tax allowance of $</w:t>
      </w:r>
      <w:r w:rsidR="00C605BF" w:rsidRPr="00206B45">
        <w:t>2.</w:t>
      </w:r>
      <w:r>
        <w:t>1</w:t>
      </w:r>
      <w:r w:rsidR="00C605BF" w:rsidRPr="00DE46D0">
        <w:rPr>
          <w:rFonts w:hint="eastAsia"/>
        </w:rPr>
        <w:t> </w:t>
      </w:r>
      <w:r w:rsidR="00C605BF" w:rsidRPr="00DE46D0">
        <w:t>million ($</w:t>
      </w:r>
      <w:r w:rsidR="00C605BF" w:rsidRPr="00DE46D0">
        <w:rPr>
          <w:rFonts w:hint="eastAsia"/>
        </w:rPr>
        <w:t> </w:t>
      </w:r>
      <w:r w:rsidR="00C605BF" w:rsidRPr="00DE46D0">
        <w:t>nominal)</w:t>
      </w:r>
      <w:r>
        <w:t>,</w:t>
      </w:r>
      <w:r w:rsidR="00C605BF" w:rsidRPr="00DE46D0">
        <w:t xml:space="preserve"> </w:t>
      </w:r>
      <w:r w:rsidR="00963F5B">
        <w:t>35.</w:t>
      </w:r>
      <w:r w:rsidR="009C06B8">
        <w:t>6</w:t>
      </w:r>
      <w:r w:rsidR="006C609E" w:rsidRPr="006C609E">
        <w:t xml:space="preserve"> per cent l</w:t>
      </w:r>
      <w:r>
        <w:t>ower</w:t>
      </w:r>
      <w:r w:rsidR="006C609E" w:rsidRPr="006C609E">
        <w:t xml:space="preserve"> than Directlink</w:t>
      </w:r>
      <w:r>
        <w:t>'s revised</w:t>
      </w:r>
      <w:r w:rsidR="006C609E" w:rsidRPr="006C609E">
        <w:t xml:space="preserve"> propos</w:t>
      </w:r>
      <w:r>
        <w:t>al</w:t>
      </w:r>
      <w:r w:rsidR="006C609E" w:rsidRPr="006C609E">
        <w:t>.</w:t>
      </w:r>
      <w:r>
        <w:t xml:space="preserve"> </w:t>
      </w:r>
      <w:r w:rsidR="00EA2264">
        <w:fldChar w:fldCharType="begin"/>
      </w:r>
      <w:r w:rsidR="00EA2264">
        <w:instrText xml:space="preserve"> REF _Ref415835329 \h </w:instrText>
      </w:r>
      <w:r w:rsidR="00EA2264">
        <w:fldChar w:fldCharType="separate"/>
      </w:r>
      <w:r w:rsidR="00EB67D6">
        <w:t xml:space="preserve">Table </w:t>
      </w:r>
      <w:r w:rsidR="00EB67D6">
        <w:rPr>
          <w:noProof/>
        </w:rPr>
        <w:t>8</w:t>
      </w:r>
      <w:r w:rsidR="00EA2264">
        <w:fldChar w:fldCharType="end"/>
      </w:r>
      <w:r w:rsidR="00EA2264">
        <w:t xml:space="preserve"> </w:t>
      </w:r>
      <w:r w:rsidR="00C605BF">
        <w:t xml:space="preserve">sets out our final </w:t>
      </w:r>
      <w:r w:rsidR="00C605BF" w:rsidRPr="00DE46D0">
        <w:t>decision on Directlink's</w:t>
      </w:r>
      <w:r w:rsidR="00C605BF" w:rsidRPr="0091328C">
        <w:t xml:space="preserve"> corporate income tax allowance for the 2015–20 regulatory control </w:t>
      </w:r>
      <w:proofErr w:type="gramStart"/>
      <w:r w:rsidR="00C605BF" w:rsidRPr="0091328C">
        <w:t>period</w:t>
      </w:r>
      <w:proofErr w:type="gramEnd"/>
      <w:r w:rsidR="00C605BF" w:rsidRPr="0091328C">
        <w:t xml:space="preserve">. </w:t>
      </w:r>
    </w:p>
    <w:p w:rsidR="00C605BF" w:rsidRPr="001110F1" w:rsidRDefault="00EA2264" w:rsidP="00E81031">
      <w:pPr>
        <w:pStyle w:val="Caption"/>
      </w:pPr>
      <w:bookmarkStart w:id="139" w:name="_Ref415835329"/>
      <w:r>
        <w:t xml:space="preserve">Table </w:t>
      </w:r>
      <w:fldSimple w:instr=" SEQ Table \* ARABIC ">
        <w:r w:rsidR="00EB67D6">
          <w:rPr>
            <w:noProof/>
          </w:rPr>
          <w:t>8</w:t>
        </w:r>
      </w:fldSimple>
      <w:bookmarkEnd w:id="139"/>
      <w:r w:rsidR="00C605BF">
        <w:tab/>
      </w:r>
      <w:r w:rsidR="00C605BF" w:rsidRPr="00B43C42">
        <w:t xml:space="preserve">AER's </w:t>
      </w:r>
      <w:r w:rsidR="00C605BF">
        <w:t>final</w:t>
      </w:r>
      <w:r w:rsidR="00C605BF" w:rsidRPr="00B43C42">
        <w:t xml:space="preserve"> decision on </w:t>
      </w:r>
      <w:r w:rsidR="00C605BF">
        <w:t>Directlink</w:t>
      </w:r>
      <w:r w:rsidR="00C605BF" w:rsidRPr="00B43C42">
        <w:t xml:space="preserve">'s </w:t>
      </w:r>
      <w:r w:rsidR="00C605BF">
        <w:t xml:space="preserve">cost of </w:t>
      </w:r>
      <w:r w:rsidR="00C605BF" w:rsidRPr="00B43C42">
        <w:t>corporate income tax allowance</w:t>
      </w:r>
      <w:r w:rsidR="00C605BF">
        <w:t xml:space="preserve"> for the 2015–20 regulatory control period </w:t>
      </w:r>
      <w:r w:rsidR="00C605BF" w:rsidRPr="00B43C42">
        <w:t>($ million, nominal)</w:t>
      </w:r>
    </w:p>
    <w:tbl>
      <w:tblPr>
        <w:tblStyle w:val="AERtable-numbers"/>
        <w:tblW w:w="5000" w:type="pct"/>
        <w:tblLook w:val="01E0" w:firstRow="1" w:lastRow="1" w:firstColumn="1" w:lastColumn="1" w:noHBand="0" w:noVBand="0"/>
      </w:tblPr>
      <w:tblGrid>
        <w:gridCol w:w="3085"/>
        <w:gridCol w:w="934"/>
        <w:gridCol w:w="935"/>
        <w:gridCol w:w="935"/>
        <w:gridCol w:w="934"/>
        <w:gridCol w:w="935"/>
        <w:gridCol w:w="935"/>
      </w:tblGrid>
      <w:tr w:rsidR="00F62923" w:rsidRPr="008B1D2B" w:rsidTr="00BE53DB">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774" w:type="pct"/>
          </w:tcPr>
          <w:p w:rsidR="00F62923" w:rsidRPr="008B1D2B" w:rsidRDefault="00F62923" w:rsidP="00F62923"/>
        </w:tc>
        <w:tc>
          <w:tcPr>
            <w:tcW w:w="537"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8B1D2B">
              <w:t>2015–16</w:t>
            </w:r>
          </w:p>
        </w:tc>
        <w:tc>
          <w:tcPr>
            <w:tcW w:w="538"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8B1D2B">
              <w:t>2016–17</w:t>
            </w:r>
          </w:p>
        </w:tc>
        <w:tc>
          <w:tcPr>
            <w:tcW w:w="538"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8B1D2B">
              <w:t>2017–18</w:t>
            </w:r>
          </w:p>
        </w:tc>
        <w:tc>
          <w:tcPr>
            <w:tcW w:w="537"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8B1D2B">
              <w:t>2018–19</w:t>
            </w:r>
          </w:p>
        </w:tc>
        <w:tc>
          <w:tcPr>
            <w:tcW w:w="538"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8B1D2B">
              <w:t>2019–20</w:t>
            </w:r>
          </w:p>
        </w:tc>
        <w:tc>
          <w:tcPr>
            <w:tcW w:w="538" w:type="pct"/>
          </w:tcPr>
          <w:p w:rsidR="00F62923" w:rsidRPr="00F62923" w:rsidRDefault="00F62923" w:rsidP="00F62923">
            <w:pPr>
              <w:cnfStyle w:val="100000000000" w:firstRow="1" w:lastRow="0" w:firstColumn="0" w:lastColumn="0" w:oddVBand="0" w:evenVBand="0" w:oddHBand="0" w:evenHBand="0" w:firstRowFirstColumn="0" w:firstRowLastColumn="0" w:lastRowFirstColumn="0" w:lastRowLastColumn="0"/>
            </w:pPr>
            <w:r w:rsidRPr="00F15F8B">
              <w:t>Total</w:t>
            </w:r>
          </w:p>
        </w:tc>
      </w:tr>
      <w:tr w:rsidR="00F62923" w:rsidRPr="008B1D2B" w:rsidTr="00BE53DB">
        <w:trPr>
          <w:trHeight w:val="450"/>
        </w:trPr>
        <w:tc>
          <w:tcPr>
            <w:cnfStyle w:val="001000000000" w:firstRow="0" w:lastRow="0" w:firstColumn="1" w:lastColumn="0" w:oddVBand="0" w:evenVBand="0" w:oddHBand="0" w:evenHBand="0" w:firstRowFirstColumn="0" w:firstRowLastColumn="0" w:lastRowFirstColumn="0" w:lastRowLastColumn="0"/>
            <w:tcW w:w="1774" w:type="pct"/>
          </w:tcPr>
          <w:p w:rsidR="00F62923" w:rsidRPr="00F62923" w:rsidRDefault="00F62923" w:rsidP="00F62923">
            <w:r w:rsidRPr="008B1D2B">
              <w:t>Tax payable</w:t>
            </w:r>
          </w:p>
        </w:tc>
        <w:tc>
          <w:tcPr>
            <w:tcW w:w="537" w:type="pct"/>
          </w:tcPr>
          <w:p w:rsidR="00F62923" w:rsidRPr="008B1D2B" w:rsidRDefault="00F62923" w:rsidP="00F62923">
            <w:pPr>
              <w:cnfStyle w:val="000000000000" w:firstRow="0" w:lastRow="0" w:firstColumn="0" w:lastColumn="0" w:oddVBand="0" w:evenVBand="0" w:oddHBand="0" w:evenHBand="0" w:firstRowFirstColumn="0" w:firstRowLastColumn="0" w:lastRowFirstColumn="0" w:lastRowLastColumn="0"/>
            </w:pPr>
            <w:r>
              <w:t>0.6</w:t>
            </w:r>
          </w:p>
        </w:tc>
        <w:tc>
          <w:tcPr>
            <w:tcW w:w="538" w:type="pct"/>
          </w:tcPr>
          <w:p w:rsidR="00F62923" w:rsidRPr="008B1D2B" w:rsidRDefault="00F62923" w:rsidP="00F62923">
            <w:pPr>
              <w:cnfStyle w:val="000000000000" w:firstRow="0" w:lastRow="0" w:firstColumn="0" w:lastColumn="0" w:oddVBand="0" w:evenVBand="0" w:oddHBand="0" w:evenHBand="0" w:firstRowFirstColumn="0" w:firstRowLastColumn="0" w:lastRowFirstColumn="0" w:lastRowLastColumn="0"/>
            </w:pPr>
            <w:r>
              <w:t>0.</w:t>
            </w:r>
            <w:r w:rsidR="00963F5B">
              <w:t>6</w:t>
            </w:r>
          </w:p>
        </w:tc>
        <w:tc>
          <w:tcPr>
            <w:tcW w:w="538" w:type="pct"/>
          </w:tcPr>
          <w:p w:rsidR="00F62923" w:rsidRPr="008B1D2B" w:rsidRDefault="00F62923" w:rsidP="00F62923">
            <w:pPr>
              <w:cnfStyle w:val="000000000000" w:firstRow="0" w:lastRow="0" w:firstColumn="0" w:lastColumn="0" w:oddVBand="0" w:evenVBand="0" w:oddHBand="0" w:evenHBand="0" w:firstRowFirstColumn="0" w:firstRowLastColumn="0" w:lastRowFirstColumn="0" w:lastRowLastColumn="0"/>
            </w:pPr>
            <w:r>
              <w:t>0.7</w:t>
            </w:r>
          </w:p>
        </w:tc>
        <w:tc>
          <w:tcPr>
            <w:tcW w:w="537" w:type="pct"/>
          </w:tcPr>
          <w:p w:rsidR="00F62923" w:rsidRPr="008B1D2B" w:rsidRDefault="00F62923" w:rsidP="00F62923">
            <w:pPr>
              <w:cnfStyle w:val="000000000000" w:firstRow="0" w:lastRow="0" w:firstColumn="0" w:lastColumn="0" w:oddVBand="0" w:evenVBand="0" w:oddHBand="0" w:evenHBand="0" w:firstRowFirstColumn="0" w:firstRowLastColumn="0" w:lastRowFirstColumn="0" w:lastRowLastColumn="0"/>
            </w:pPr>
            <w:r>
              <w:t>0.</w:t>
            </w:r>
            <w:r w:rsidR="00963F5B">
              <w:t>7</w:t>
            </w:r>
          </w:p>
        </w:tc>
        <w:tc>
          <w:tcPr>
            <w:tcW w:w="538" w:type="pct"/>
          </w:tcPr>
          <w:p w:rsidR="00F62923" w:rsidRPr="008B1D2B" w:rsidRDefault="00F62923" w:rsidP="00F62923">
            <w:pPr>
              <w:cnfStyle w:val="000000000000" w:firstRow="0" w:lastRow="0" w:firstColumn="0" w:lastColumn="0" w:oddVBand="0" w:evenVBand="0" w:oddHBand="0" w:evenHBand="0" w:firstRowFirstColumn="0" w:firstRowLastColumn="0" w:lastRowFirstColumn="0" w:lastRowLastColumn="0"/>
            </w:pPr>
            <w:r>
              <w:t>0.8</w:t>
            </w:r>
          </w:p>
        </w:tc>
        <w:tc>
          <w:tcPr>
            <w:tcW w:w="538"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rsidRPr="00F62923">
              <w:t>3.</w:t>
            </w:r>
            <w:r w:rsidR="00963F5B">
              <w:t>4</w:t>
            </w:r>
          </w:p>
        </w:tc>
      </w:tr>
      <w:tr w:rsidR="00F62923" w:rsidRPr="008B1D2B" w:rsidTr="00BE53DB">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74" w:type="pct"/>
          </w:tcPr>
          <w:p w:rsidR="00F62923" w:rsidRPr="00F62923" w:rsidRDefault="00F62923" w:rsidP="00F62923">
            <w:r w:rsidRPr="00C45C77">
              <w:rPr>
                <w:rStyle w:val="AERtextitalic"/>
              </w:rPr>
              <w:t>Less:</w:t>
            </w:r>
            <w:r w:rsidRPr="00F62923">
              <w:t xml:space="preserve"> value of imputation credits</w:t>
            </w:r>
          </w:p>
        </w:tc>
        <w:tc>
          <w:tcPr>
            <w:tcW w:w="537" w:type="pct"/>
          </w:tcPr>
          <w:p w:rsidR="00F62923" w:rsidRPr="008B1D2B" w:rsidRDefault="00F62923" w:rsidP="00F62923">
            <w:pPr>
              <w:cnfStyle w:val="000000010000" w:firstRow="0" w:lastRow="0" w:firstColumn="0" w:lastColumn="0" w:oddVBand="0" w:evenVBand="0" w:oddHBand="0" w:evenHBand="1" w:firstRowFirstColumn="0" w:firstRowLastColumn="0" w:lastRowFirstColumn="0" w:lastRowLastColumn="0"/>
            </w:pPr>
            <w:r>
              <w:t>0.2</w:t>
            </w:r>
          </w:p>
        </w:tc>
        <w:tc>
          <w:tcPr>
            <w:tcW w:w="538" w:type="pct"/>
          </w:tcPr>
          <w:p w:rsidR="00F62923" w:rsidRPr="008B1D2B" w:rsidRDefault="00F62923" w:rsidP="00F62923">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F62923" w:rsidRPr="008B1D2B" w:rsidRDefault="00F62923" w:rsidP="00F62923">
            <w:pPr>
              <w:cnfStyle w:val="000000010000" w:firstRow="0" w:lastRow="0" w:firstColumn="0" w:lastColumn="0" w:oddVBand="0" w:evenVBand="0" w:oddHBand="0" w:evenHBand="1" w:firstRowFirstColumn="0" w:firstRowLastColumn="0" w:lastRowFirstColumn="0" w:lastRowLastColumn="0"/>
            </w:pPr>
            <w:r>
              <w:t>0.3</w:t>
            </w:r>
          </w:p>
        </w:tc>
        <w:tc>
          <w:tcPr>
            <w:tcW w:w="537" w:type="pct"/>
          </w:tcPr>
          <w:p w:rsidR="00F62923" w:rsidRPr="008B1D2B" w:rsidRDefault="00F62923" w:rsidP="00F62923">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F62923" w:rsidRPr="008B1D2B" w:rsidRDefault="00F62923" w:rsidP="00F62923">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F62923" w:rsidRPr="00F62923" w:rsidRDefault="00F62923" w:rsidP="00F62923">
            <w:pPr>
              <w:cnfStyle w:val="000000010000" w:firstRow="0" w:lastRow="0" w:firstColumn="0" w:lastColumn="0" w:oddVBand="0" w:evenVBand="0" w:oddHBand="0" w:evenHBand="1" w:firstRowFirstColumn="0" w:firstRowLastColumn="0" w:lastRowFirstColumn="0" w:lastRowLastColumn="0"/>
            </w:pPr>
            <w:r w:rsidRPr="00F62923">
              <w:t>1.4</w:t>
            </w:r>
          </w:p>
        </w:tc>
      </w:tr>
      <w:tr w:rsidR="00F62923" w:rsidRPr="00F62923" w:rsidTr="00BE53DB">
        <w:trPr>
          <w:trHeight w:val="458"/>
        </w:trPr>
        <w:tc>
          <w:tcPr>
            <w:cnfStyle w:val="001000000000" w:firstRow="0" w:lastRow="0" w:firstColumn="1" w:lastColumn="0" w:oddVBand="0" w:evenVBand="0" w:oddHBand="0" w:evenHBand="0" w:firstRowFirstColumn="0" w:firstRowLastColumn="0" w:lastRowFirstColumn="0" w:lastRowLastColumn="0"/>
            <w:tcW w:w="1774" w:type="pct"/>
          </w:tcPr>
          <w:p w:rsidR="00F62923" w:rsidRPr="00F62923" w:rsidRDefault="00F62923" w:rsidP="00F62923">
            <w:r w:rsidRPr="00F62923">
              <w:t>Net corporate income tax allowance</w:t>
            </w:r>
          </w:p>
        </w:tc>
        <w:tc>
          <w:tcPr>
            <w:tcW w:w="537"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0.</w:t>
            </w:r>
            <w:r w:rsidR="00963F5B">
              <w:t>3</w:t>
            </w:r>
          </w:p>
        </w:tc>
        <w:tc>
          <w:tcPr>
            <w:tcW w:w="538"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0.4</w:t>
            </w:r>
          </w:p>
        </w:tc>
        <w:tc>
          <w:tcPr>
            <w:tcW w:w="538"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0.4</w:t>
            </w:r>
          </w:p>
        </w:tc>
        <w:tc>
          <w:tcPr>
            <w:tcW w:w="537"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0.</w:t>
            </w:r>
            <w:r w:rsidR="00963F5B">
              <w:t>4</w:t>
            </w:r>
          </w:p>
        </w:tc>
        <w:tc>
          <w:tcPr>
            <w:tcW w:w="538"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0.5</w:t>
            </w:r>
          </w:p>
        </w:tc>
        <w:tc>
          <w:tcPr>
            <w:tcW w:w="538" w:type="pct"/>
          </w:tcPr>
          <w:p w:rsidR="00F62923" w:rsidRPr="00F62923" w:rsidRDefault="00F62923" w:rsidP="00F62923">
            <w:pPr>
              <w:cnfStyle w:val="000000000000" w:firstRow="0" w:lastRow="0" w:firstColumn="0" w:lastColumn="0" w:oddVBand="0" w:evenVBand="0" w:oddHBand="0" w:evenHBand="0" w:firstRowFirstColumn="0" w:firstRowLastColumn="0" w:lastRowFirstColumn="0" w:lastRowLastColumn="0"/>
            </w:pPr>
            <w:r>
              <w:t>2.1</w:t>
            </w:r>
          </w:p>
        </w:tc>
      </w:tr>
    </w:tbl>
    <w:p w:rsidR="00F62923" w:rsidRPr="008B1D2B" w:rsidRDefault="00F62923" w:rsidP="00F62923">
      <w:pPr>
        <w:pStyle w:val="AERtablesource"/>
      </w:pPr>
      <w:r w:rsidRPr="008B1D2B">
        <w:t>Source:</w:t>
      </w:r>
      <w:r w:rsidRPr="008B1D2B">
        <w:tab/>
        <w:t>AER analysis.</w:t>
      </w:r>
    </w:p>
    <w:p w:rsidR="008E27AD" w:rsidRDefault="008E27AD" w:rsidP="006C609E">
      <w:pPr>
        <w:numPr>
          <w:ilvl w:val="0"/>
          <w:numId w:val="24"/>
        </w:numPr>
      </w:pPr>
      <w:r>
        <w:t>We accept Directlink's proposed approach to estimating its cost of corporate income tax. However, o</w:t>
      </w:r>
      <w:r w:rsidR="00C605BF" w:rsidRPr="0091328C">
        <w:t xml:space="preserve">ur </w:t>
      </w:r>
      <w:r w:rsidR="00C605BF">
        <w:t>final</w:t>
      </w:r>
      <w:r w:rsidR="00C605BF" w:rsidRPr="0091328C">
        <w:t xml:space="preserve"> decision reflects our</w:t>
      </w:r>
      <w:r w:rsidR="00C605BF">
        <w:t xml:space="preserve"> amendment to the value of imputation credits (gamma) as discussed in </w:t>
      </w:r>
      <w:r w:rsidR="006B494B">
        <w:rPr>
          <w:rStyle w:val="AERbody"/>
        </w:rPr>
        <w:t>A</w:t>
      </w:r>
      <w:r w:rsidR="00C605BF" w:rsidRPr="009C04E5">
        <w:rPr>
          <w:rStyle w:val="AERbody"/>
        </w:rPr>
        <w:t>ttachment 4</w:t>
      </w:r>
      <w:r w:rsidR="00A35680">
        <w:rPr>
          <w:rStyle w:val="AERbody"/>
        </w:rPr>
        <w:t xml:space="preserve"> and section </w:t>
      </w:r>
      <w:r w:rsidR="00A35680">
        <w:rPr>
          <w:rStyle w:val="AERbody"/>
        </w:rPr>
        <w:fldChar w:fldCharType="begin"/>
      </w:r>
      <w:r w:rsidR="00A35680">
        <w:rPr>
          <w:rStyle w:val="AERbody"/>
        </w:rPr>
        <w:instrText xml:space="preserve"> REF _Ref417903378 \r \h </w:instrText>
      </w:r>
      <w:r w:rsidR="00A35680">
        <w:rPr>
          <w:rStyle w:val="AERbody"/>
        </w:rPr>
      </w:r>
      <w:r w:rsidR="00A35680">
        <w:rPr>
          <w:rStyle w:val="AERbody"/>
        </w:rPr>
        <w:fldChar w:fldCharType="separate"/>
      </w:r>
      <w:r w:rsidR="00A35680">
        <w:rPr>
          <w:rStyle w:val="AERbody"/>
        </w:rPr>
        <w:t>2.4</w:t>
      </w:r>
      <w:r w:rsidR="00A35680">
        <w:rPr>
          <w:rStyle w:val="AERbody"/>
        </w:rPr>
        <w:fldChar w:fldCharType="end"/>
      </w:r>
      <w:r w:rsidR="00A35680">
        <w:rPr>
          <w:rStyle w:val="AERbody"/>
        </w:rPr>
        <w:t xml:space="preserve"> above</w:t>
      </w:r>
      <w:r w:rsidR="00C605BF" w:rsidRPr="009C04E5">
        <w:rPr>
          <w:rStyle w:val="AERbody"/>
        </w:rPr>
        <w:t>,</w:t>
      </w:r>
      <w:r w:rsidR="00C605BF" w:rsidRPr="00864963">
        <w:t xml:space="preserve"> which</w:t>
      </w:r>
      <w:r w:rsidR="00C605BF">
        <w:t xml:space="preserve"> is a key input to calculating Directlink's cost of </w:t>
      </w:r>
      <w:r w:rsidR="00C605BF" w:rsidRPr="00F516A1">
        <w:t>corporate income tax</w:t>
      </w:r>
      <w:r w:rsidR="00C605BF" w:rsidRPr="006D7077">
        <w:t>.</w:t>
      </w:r>
      <w:r w:rsidR="00C605BF" w:rsidRPr="006D7077">
        <w:rPr>
          <w:rStyle w:val="FootnoteReference"/>
        </w:rPr>
        <w:footnoteReference w:id="45"/>
      </w:r>
      <w:r w:rsidR="00C605BF">
        <w:t xml:space="preserve"> </w:t>
      </w:r>
      <w:r>
        <w:t>Changes to other building block components that affect revenues also impact the tax calculation.</w:t>
      </w:r>
    </w:p>
    <w:p w:rsidR="00C605BF" w:rsidRDefault="00C605BF" w:rsidP="006C609E">
      <w:pPr>
        <w:numPr>
          <w:ilvl w:val="0"/>
          <w:numId w:val="24"/>
        </w:numPr>
      </w:pPr>
      <w:r w:rsidRPr="009F4C42">
        <w:t>De</w:t>
      </w:r>
      <w:r w:rsidRPr="00864963">
        <w:t xml:space="preserve">tails of our </w:t>
      </w:r>
      <w:r w:rsidR="008E27AD">
        <w:t>final decision on</w:t>
      </w:r>
      <w:r w:rsidRPr="00864963">
        <w:t xml:space="preserve"> the corporate income tax allowance are set out in </w:t>
      </w:r>
      <w:r w:rsidR="006B494B">
        <w:rPr>
          <w:rStyle w:val="AERbody"/>
        </w:rPr>
        <w:t>A</w:t>
      </w:r>
      <w:r w:rsidRPr="009C04E5">
        <w:rPr>
          <w:rStyle w:val="AERbody"/>
        </w:rPr>
        <w:t>ttachment 8.</w:t>
      </w:r>
    </w:p>
    <w:p w:rsidR="008F3A0D" w:rsidRDefault="008F3A0D" w:rsidP="00E81031">
      <w:pPr>
        <w:pStyle w:val="Heading1"/>
      </w:pPr>
      <w:bookmarkStart w:id="140" w:name="_Toc402535832"/>
      <w:bookmarkStart w:id="141" w:name="_Toc404437154"/>
      <w:bookmarkStart w:id="142" w:name="_Toc411428065"/>
      <w:bookmarkStart w:id="143" w:name="_Ref416173995"/>
      <w:bookmarkStart w:id="144" w:name="_Toc417987578"/>
      <w:bookmarkEnd w:id="140"/>
      <w:r w:rsidRPr="008F3A0D">
        <w:t>Incentive schemes</w:t>
      </w:r>
      <w:bookmarkEnd w:id="141"/>
      <w:bookmarkEnd w:id="142"/>
      <w:bookmarkEnd w:id="143"/>
      <w:bookmarkEnd w:id="144"/>
    </w:p>
    <w:p w:rsidR="00AA082F" w:rsidRPr="00AA082F" w:rsidRDefault="00AA082F" w:rsidP="00AA082F">
      <w:r w:rsidRPr="00AA082F">
        <w:t xml:space="preserve">Incentive schemes are a component of incentive-based regulation and complement our approach to assessing efficient costs. The incentive schemes </w:t>
      </w:r>
      <w:r>
        <w:t xml:space="preserve">that will apply to Directlink </w:t>
      </w:r>
      <w:r w:rsidRPr="00AA082F">
        <w:t>are:</w:t>
      </w:r>
    </w:p>
    <w:p w:rsidR="00AA082F" w:rsidRPr="00AA082F" w:rsidRDefault="00AA082F" w:rsidP="00AA082F">
      <w:pPr>
        <w:pStyle w:val="AERbulletlistfirststyle"/>
      </w:pPr>
      <w:r w:rsidRPr="00AA082F">
        <w:t>The efficiency benefit sharing scheme (EBSS)</w:t>
      </w:r>
    </w:p>
    <w:p w:rsidR="00AA082F" w:rsidRPr="00AA082F" w:rsidRDefault="00AA082F" w:rsidP="00AA082F">
      <w:pPr>
        <w:pStyle w:val="AERbulletlistfirststyle"/>
      </w:pPr>
      <w:r w:rsidRPr="00AA082F">
        <w:t>The capital expenditure sharing scheme (CESS)</w:t>
      </w:r>
    </w:p>
    <w:p w:rsidR="00AA082F" w:rsidRPr="00AA082F" w:rsidRDefault="00AA082F" w:rsidP="00896C55">
      <w:pPr>
        <w:pStyle w:val="AERbulletlistfirststyle"/>
      </w:pPr>
      <w:r w:rsidRPr="00AA082F">
        <w:t>The service target performance incentive scheme (STPIS)</w:t>
      </w:r>
      <w:r>
        <w:t>.</w:t>
      </w:r>
    </w:p>
    <w:p w:rsidR="00141995" w:rsidRPr="00141995" w:rsidRDefault="00141995" w:rsidP="00E81031">
      <w:pPr>
        <w:pStyle w:val="Heading2"/>
      </w:pPr>
      <w:bookmarkStart w:id="145" w:name="_Toc404433452"/>
      <w:bookmarkStart w:id="146" w:name="_Toc417987579"/>
      <w:r w:rsidRPr="00141995">
        <w:t>Efficiency benefit sharing scheme (EBSS)</w:t>
      </w:r>
      <w:bookmarkEnd w:id="145"/>
      <w:bookmarkEnd w:id="146"/>
    </w:p>
    <w:p w:rsidR="008208AD" w:rsidRPr="008208AD" w:rsidRDefault="008208AD" w:rsidP="008208AD">
      <w:pPr>
        <w:numPr>
          <w:ilvl w:val="0"/>
          <w:numId w:val="24"/>
        </w:numPr>
        <w:rPr>
          <w:rStyle w:val="AERbody"/>
        </w:rPr>
      </w:pPr>
      <w:r w:rsidRPr="008208AD">
        <w:rPr>
          <w:rStyle w:val="AERbody"/>
        </w:rPr>
        <w:t xml:space="preserve">The EBSS provides an additional incentive for service providers to pursue efficiency improvements in opex. It is a key component of incentive regulation under the NER. </w:t>
      </w:r>
    </w:p>
    <w:p w:rsidR="008208AD" w:rsidRPr="008208AD" w:rsidRDefault="00235157" w:rsidP="008208AD">
      <w:pPr>
        <w:numPr>
          <w:ilvl w:val="0"/>
          <w:numId w:val="24"/>
        </w:numPr>
        <w:rPr>
          <w:rStyle w:val="AERbody"/>
        </w:rPr>
      </w:pPr>
      <w:r>
        <w:rPr>
          <w:rStyle w:val="AERbody"/>
        </w:rPr>
        <w:t>As</w:t>
      </w:r>
      <w:r w:rsidRPr="008208AD">
        <w:rPr>
          <w:rStyle w:val="AERbody"/>
        </w:rPr>
        <w:t xml:space="preserve"> </w:t>
      </w:r>
      <w:r w:rsidR="008208AD" w:rsidRPr="008208AD">
        <w:rPr>
          <w:rStyle w:val="AERbody"/>
        </w:rPr>
        <w:t xml:space="preserve">opex is largely recurrent and predictable, opex in one period is generally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8208AD" w:rsidRPr="008208AD" w:rsidRDefault="008208AD" w:rsidP="008208AD">
      <w:pPr>
        <w:numPr>
          <w:ilvl w:val="0"/>
          <w:numId w:val="24"/>
        </w:numPr>
        <w:rPr>
          <w:rStyle w:val="AERbody"/>
        </w:rPr>
      </w:pPr>
      <w:r w:rsidRPr="008208AD">
        <w:rPr>
          <w:rStyle w:val="AERbody"/>
        </w:rPr>
        <w:t>To encourage a service provider to become more efficient during the regulatory control period, it is allowed to keep any difference between its approved forecast and its actual opex during a regulatory control period. This is supplemented by the EBSS which allows the service provider to retain efficiency savings and efficiency losses for a longer period of time. In total these rewa</w:t>
      </w:r>
      <w:r>
        <w:rPr>
          <w:rStyle w:val="AERbody"/>
        </w:rPr>
        <w:t>rds and penalties work together</w:t>
      </w:r>
      <w:r w:rsidRPr="008208AD">
        <w:rPr>
          <w:rStyle w:val="AERbody"/>
        </w:rPr>
        <w:t xml:space="preserve"> to provide a continuous incentive for a service provider to pursue efficiency gains over the regulatory control period. The EBSS also discourages a service provider from incurring opex in the expected base year in order to receive a higher opex allowance in the following regulatory control period. </w:t>
      </w:r>
    </w:p>
    <w:p w:rsidR="00141995" w:rsidRPr="00141995" w:rsidRDefault="00141995" w:rsidP="00896C55">
      <w:pPr>
        <w:numPr>
          <w:ilvl w:val="0"/>
          <w:numId w:val="24"/>
        </w:numPr>
      </w:pPr>
      <w:r w:rsidRPr="00141995">
        <w:t>Directlink was not subject to the EBSS during the 200</w:t>
      </w:r>
      <w:r w:rsidR="00D342E1">
        <w:t>6</w:t>
      </w:r>
      <w:r w:rsidRPr="00141995">
        <w:t xml:space="preserve">–15 regulatory control period. </w:t>
      </w:r>
      <w:r w:rsidR="00896C55" w:rsidRPr="00BD4587">
        <w:t>W</w:t>
      </w:r>
      <w:r w:rsidR="00896C55">
        <w:t>e</w:t>
      </w:r>
      <w:r w:rsidR="00896C55" w:rsidRPr="00BD4587">
        <w:t xml:space="preserve"> w</w:t>
      </w:r>
      <w:r w:rsidR="00896C55">
        <w:t>ill</w:t>
      </w:r>
      <w:r w:rsidR="00896C55" w:rsidRPr="00BD4587">
        <w:t xml:space="preserve"> apply version </w:t>
      </w:r>
      <w:r w:rsidR="00896C55">
        <w:t>two</w:t>
      </w:r>
      <w:r w:rsidR="00896C55" w:rsidRPr="00BD4587">
        <w:t xml:space="preserve"> of the EBSS to </w:t>
      </w:r>
      <w:r w:rsidR="00896C55">
        <w:t>Directlink during the 2015–20</w:t>
      </w:r>
      <w:r w:rsidR="00896C55" w:rsidRPr="00BD4587">
        <w:t xml:space="preserve"> </w:t>
      </w:r>
      <w:r w:rsidR="00896C55">
        <w:t xml:space="preserve">regulatory control </w:t>
      </w:r>
      <w:r w:rsidR="00896C55" w:rsidRPr="00BD4587">
        <w:t>period</w:t>
      </w:r>
      <w:r w:rsidR="00896C55">
        <w:t>.</w:t>
      </w:r>
      <w:r w:rsidR="00896C55" w:rsidRPr="008F45BA">
        <w:rPr>
          <w:rStyle w:val="FootnoteReference"/>
        </w:rPr>
        <w:t xml:space="preserve"> </w:t>
      </w:r>
      <w:r w:rsidR="00896C55" w:rsidRPr="00A95046">
        <w:rPr>
          <w:rStyle w:val="FootnoteReference"/>
        </w:rPr>
        <w:footnoteReference w:id="46"/>
      </w:r>
      <w:r w:rsidR="00896C55" w:rsidRPr="00BD4587">
        <w:t xml:space="preserve"> </w:t>
      </w:r>
      <w:r w:rsidR="00896C55">
        <w:t>W</w:t>
      </w:r>
      <w:r w:rsidR="00896C55" w:rsidRPr="00BD4587">
        <w:t xml:space="preserve">e will exclude </w:t>
      </w:r>
      <w:r w:rsidR="00896C55">
        <w:t>debt raising costs from</w:t>
      </w:r>
      <w:r w:rsidR="00896C55" w:rsidRPr="00BD4587">
        <w:t xml:space="preserve"> the calculat</w:t>
      </w:r>
      <w:r w:rsidR="00896C55">
        <w:t xml:space="preserve">ion of EBSS carryover amounts. </w:t>
      </w:r>
    </w:p>
    <w:p w:rsidR="00141995" w:rsidRPr="00141995" w:rsidRDefault="00141995" w:rsidP="00141995">
      <w:pPr>
        <w:numPr>
          <w:ilvl w:val="0"/>
          <w:numId w:val="24"/>
        </w:numPr>
      </w:pPr>
      <w:r w:rsidRPr="00141995">
        <w:t xml:space="preserve">Attachment 9 sets out our detailed reasons for our </w:t>
      </w:r>
      <w:r w:rsidR="008208AD">
        <w:t xml:space="preserve">final </w:t>
      </w:r>
      <w:r w:rsidRPr="00141995">
        <w:t>decision on the EBSS.</w:t>
      </w:r>
    </w:p>
    <w:p w:rsidR="00141995" w:rsidRPr="00141995" w:rsidRDefault="00141995" w:rsidP="00E81031">
      <w:pPr>
        <w:pStyle w:val="Heading2"/>
      </w:pPr>
      <w:bookmarkStart w:id="147" w:name="_Toc404433454"/>
      <w:bookmarkStart w:id="148" w:name="_Toc417987580"/>
      <w:r w:rsidRPr="00141995">
        <w:t>Capital expenditure sharing scheme (CESS)</w:t>
      </w:r>
      <w:bookmarkEnd w:id="147"/>
      <w:bookmarkEnd w:id="148"/>
    </w:p>
    <w:p w:rsidR="00141995" w:rsidRPr="00141995" w:rsidRDefault="00141995" w:rsidP="00141995">
      <w:r w:rsidRPr="00141995">
        <w:t xml:space="preserve">The CESS provides financial rewards for service providers whose capex becomes more efficient </w:t>
      </w:r>
      <w:r w:rsidR="001A6D34">
        <w:t xml:space="preserve">throughout the regulatory control period, </w:t>
      </w:r>
      <w:r w:rsidRPr="00141995">
        <w:t xml:space="preserve">and financial penalties for those that become less efficient. Consumers benefit from improved efficiency through lower regulated prices. </w:t>
      </w:r>
    </w:p>
    <w:p w:rsidR="00141995" w:rsidRPr="00141995" w:rsidRDefault="00141995" w:rsidP="00141995">
      <w:r w:rsidRPr="00141995">
        <w:t xml:space="preserve">As part of the Better Regulation </w:t>
      </w:r>
      <w:r w:rsidR="001A6D34">
        <w:t>P</w:t>
      </w:r>
      <w:r w:rsidRPr="00141995">
        <w:t xml:space="preserve">rogram we consulted on and published the </w:t>
      </w:r>
      <w:r w:rsidR="001A6D34">
        <w:t>C</w:t>
      </w:r>
      <w:r w:rsidR="001A6D34" w:rsidRPr="00141995">
        <w:t xml:space="preserve">apital </w:t>
      </w:r>
      <w:r w:rsidR="001A6D34">
        <w:t>E</w:t>
      </w:r>
      <w:r w:rsidRPr="00141995">
        <w:t xml:space="preserve">xpenditure </w:t>
      </w:r>
      <w:r w:rsidR="001A6D34">
        <w:t>I</w:t>
      </w:r>
      <w:r w:rsidRPr="00141995">
        <w:t xml:space="preserve">ncentive </w:t>
      </w:r>
      <w:r w:rsidR="001A6D34">
        <w:t>G</w:t>
      </w:r>
      <w:r w:rsidRPr="00141995">
        <w:t xml:space="preserve">uideline, which sets out version 1 of the CESS. The CESS approximates efficiency gains and efficiency losses by calculating the difference between forecast and actual capex. It shares these gains or losses between service providers and consumers. </w:t>
      </w:r>
    </w:p>
    <w:p w:rsidR="00141995" w:rsidRPr="00141995" w:rsidRDefault="00141995" w:rsidP="00141995">
      <w:r w:rsidRPr="00141995">
        <w:t>Under the CESS a service provider retains 30 per cent of the benefit or cost of an</w:t>
      </w:r>
      <w:r w:rsidR="001A6D34">
        <w:t xml:space="preserve"> </w:t>
      </w:r>
      <w:r w:rsidRPr="00141995">
        <w:t>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must bear 30 cents of the cost and consumers 70 cents.</w:t>
      </w:r>
    </w:p>
    <w:p w:rsidR="00141995" w:rsidRPr="00141995" w:rsidRDefault="00141995" w:rsidP="00141995">
      <w:pPr>
        <w:numPr>
          <w:ilvl w:val="0"/>
          <w:numId w:val="24"/>
        </w:numPr>
      </w:pPr>
      <w:r w:rsidRPr="00141995">
        <w:t xml:space="preserve">We will apply version 1 of the CESS, as set out in the </w:t>
      </w:r>
      <w:r w:rsidR="001A6D34">
        <w:t>C</w:t>
      </w:r>
      <w:r w:rsidRPr="00141995">
        <w:t xml:space="preserve">apital </w:t>
      </w:r>
      <w:r w:rsidR="001A6D34">
        <w:t>E</w:t>
      </w:r>
      <w:r w:rsidRPr="00141995">
        <w:t xml:space="preserve">xpenditure </w:t>
      </w:r>
      <w:r w:rsidR="001A6D34">
        <w:t>I</w:t>
      </w:r>
      <w:r w:rsidRPr="00141995">
        <w:t xml:space="preserve">ncentives </w:t>
      </w:r>
      <w:r w:rsidR="001A6D34">
        <w:t>G</w:t>
      </w:r>
      <w:r w:rsidRPr="00141995">
        <w:t xml:space="preserve">uideline, to Directlink in the 2015–20 regulatory control period. </w:t>
      </w:r>
    </w:p>
    <w:p w:rsidR="00141995" w:rsidRPr="00141995" w:rsidRDefault="00141995" w:rsidP="00E81031">
      <w:pPr>
        <w:pStyle w:val="Heading2"/>
      </w:pPr>
      <w:bookmarkStart w:id="149" w:name="_Toc404193275"/>
      <w:bookmarkStart w:id="150" w:name="_Toc404433456"/>
      <w:bookmarkStart w:id="151" w:name="_Toc404193276"/>
      <w:bookmarkStart w:id="152" w:name="_Toc404433457"/>
      <w:bookmarkStart w:id="153" w:name="_Toc404433458"/>
      <w:bookmarkStart w:id="154" w:name="_Toc417987581"/>
      <w:bookmarkEnd w:id="149"/>
      <w:bookmarkEnd w:id="150"/>
      <w:bookmarkEnd w:id="151"/>
      <w:bookmarkEnd w:id="152"/>
      <w:r w:rsidRPr="00141995">
        <w:t>Service target performance incentive scheme (STPIS)</w:t>
      </w:r>
      <w:bookmarkEnd w:id="153"/>
      <w:bookmarkEnd w:id="154"/>
    </w:p>
    <w:p w:rsidR="00690661" w:rsidRDefault="003F2F46" w:rsidP="009C04E5">
      <w:pPr>
        <w:numPr>
          <w:ilvl w:val="0"/>
          <w:numId w:val="24"/>
        </w:numPr>
      </w:pPr>
      <w:r>
        <w:t>The current version of the STPIS, version 4.1 consists of three components</w:t>
      </w:r>
      <w:r w:rsidR="00690661">
        <w:t>:</w:t>
      </w:r>
      <w:r>
        <w:t xml:space="preserve">  </w:t>
      </w:r>
    </w:p>
    <w:p w:rsidR="00141995" w:rsidRPr="00141995" w:rsidRDefault="00141995" w:rsidP="00690661">
      <w:pPr>
        <w:pStyle w:val="AERbulletlistfirststyle"/>
      </w:pPr>
      <w:r w:rsidRPr="00141995">
        <w:t xml:space="preserve">The service component provides a financial incentive for the TNSP to improve and maintain its service performance. </w:t>
      </w:r>
    </w:p>
    <w:p w:rsidR="00141995" w:rsidRPr="00141995" w:rsidRDefault="00141995" w:rsidP="00141995">
      <w:pPr>
        <w:pStyle w:val="AERbulletlistfirststyle"/>
      </w:pPr>
      <w:r w:rsidRPr="00141995">
        <w:t>The market impact component provides an incentive to TNSPs to minimise the impact of transmission outages that can affect the NEM spot price.</w:t>
      </w:r>
    </w:p>
    <w:p w:rsidR="00141995" w:rsidRPr="00141995" w:rsidRDefault="003F2F46" w:rsidP="009C04E5">
      <w:pPr>
        <w:pStyle w:val="AERbulletlistfirststyle"/>
      </w:pPr>
      <w:r>
        <w:t>Version 4.1 provides that t</w:t>
      </w:r>
      <w:r w:rsidR="00141995" w:rsidRPr="00141995">
        <w:t>he network capability component</w:t>
      </w:r>
      <w:r w:rsidR="00690661">
        <w:t xml:space="preserve"> </w:t>
      </w:r>
      <w:r>
        <w:t>does</w:t>
      </w:r>
      <w:r w:rsidR="00141995" w:rsidRPr="00141995">
        <w:t xml:space="preserve"> not apply to Directlink</w:t>
      </w:r>
      <w:r w:rsidR="00690661">
        <w:t xml:space="preserve">. </w:t>
      </w:r>
    </w:p>
    <w:p w:rsidR="00141995" w:rsidRPr="00141995" w:rsidRDefault="00141995" w:rsidP="00141995">
      <w:pPr>
        <w:numPr>
          <w:ilvl w:val="0"/>
          <w:numId w:val="24"/>
        </w:numPr>
        <w:rPr>
          <w:rStyle w:val="AERbody"/>
        </w:rPr>
      </w:pPr>
      <w:r w:rsidRPr="00141995">
        <w:rPr>
          <w:rStyle w:val="AERbody"/>
        </w:rPr>
        <w:t>The service component and the market impact component of version 4.1 of the STPIS will apply to Directlink for the 2015</w:t>
      </w:r>
      <w:r w:rsidRPr="00141995">
        <w:rPr>
          <w:rStyle w:val="AERbody"/>
          <w:rFonts w:hint="eastAsia"/>
        </w:rPr>
        <w:t>–</w:t>
      </w:r>
      <w:r w:rsidRPr="00141995">
        <w:rPr>
          <w:rStyle w:val="AERbody"/>
        </w:rPr>
        <w:t>20 regulatory control period.</w:t>
      </w:r>
    </w:p>
    <w:p w:rsidR="00EC3E60" w:rsidRPr="003944C3" w:rsidRDefault="003F2F46" w:rsidP="00EC3E60">
      <w:pPr>
        <w:numPr>
          <w:ilvl w:val="0"/>
          <w:numId w:val="24"/>
        </w:numPr>
      </w:pPr>
      <w:r>
        <w:t xml:space="preserve">In applying the service component, </w:t>
      </w:r>
      <w:r w:rsidR="00690661">
        <w:t>w</w:t>
      </w:r>
      <w:r w:rsidR="00EC3E60" w:rsidRPr="003944C3">
        <w:t xml:space="preserve">e </w:t>
      </w:r>
      <w:r>
        <w:t>have not accepted</w:t>
      </w:r>
      <w:r w:rsidR="00EC3E60" w:rsidRPr="003944C3">
        <w:t xml:space="preserve"> Directlink's proposed performance targets </w:t>
      </w:r>
      <w:r w:rsidR="00EC3E60">
        <w:t>based on the average performance over the 2008–12 period. We consider adjustment is required to account for the expected reliability improvement from increase in the volume of capital works planned during the regulatory control period. Adjustment to the proposed performance targets also results in adjustments to the proposed caps and collars</w:t>
      </w:r>
      <w:r w:rsidR="00EC3E60" w:rsidRPr="00EC2457">
        <w:t>.</w:t>
      </w:r>
      <w:r w:rsidR="00EC3E60">
        <w:t xml:space="preserve"> </w:t>
      </w:r>
    </w:p>
    <w:p w:rsidR="00141995" w:rsidRPr="00141995" w:rsidRDefault="00141995" w:rsidP="00141995">
      <w:pPr>
        <w:numPr>
          <w:ilvl w:val="0"/>
          <w:numId w:val="24"/>
        </w:numPr>
      </w:pPr>
      <w:r w:rsidRPr="00141995">
        <w:t xml:space="preserve">Table 11.1 of Attachment 11 sets out our </w:t>
      </w:r>
      <w:r w:rsidR="00EC3E60">
        <w:t>final</w:t>
      </w:r>
      <w:r w:rsidR="00EC3E60" w:rsidRPr="00141995">
        <w:t xml:space="preserve"> </w:t>
      </w:r>
      <w:r w:rsidRPr="00141995">
        <w:t>decision on Directlink's service component parameter values.</w:t>
      </w:r>
    </w:p>
    <w:p w:rsidR="00EC3E60" w:rsidRPr="00EC3E60" w:rsidRDefault="003F2F46" w:rsidP="009C04E5">
      <w:pPr>
        <w:numPr>
          <w:ilvl w:val="0"/>
          <w:numId w:val="24"/>
        </w:numPr>
      </w:pPr>
      <w:r>
        <w:t>In applying the market impact component, w</w:t>
      </w:r>
      <w:r w:rsidR="00EC3E60" w:rsidRPr="00FD008B">
        <w:t>e have validated and confirmed the relevant market impact performance data which was provided by Directlink subsequent to the submission of its 201</w:t>
      </w:r>
      <w:r w:rsidR="00EC3E60">
        <w:t>5</w:t>
      </w:r>
      <w:r w:rsidR="00EC3E60" w:rsidRPr="00FD008B">
        <w:t xml:space="preserve">–20 revenue proposal. As a result of our audit, we made adjustments to the market impact performance values submitted by Directlink. </w:t>
      </w:r>
    </w:p>
    <w:p w:rsidR="00D924AE" w:rsidRPr="008F3A0D" w:rsidRDefault="00D924AE" w:rsidP="00D924AE">
      <w:pPr>
        <w:pStyle w:val="Heading1"/>
      </w:pPr>
      <w:bookmarkStart w:id="155" w:name="_Toc409638330"/>
      <w:bookmarkStart w:id="156" w:name="_Toc409638483"/>
      <w:bookmarkStart w:id="157" w:name="_Toc410815399"/>
      <w:bookmarkStart w:id="158" w:name="_Toc409638331"/>
      <w:bookmarkStart w:id="159" w:name="_Toc409638484"/>
      <w:bookmarkStart w:id="160" w:name="_Toc410815400"/>
      <w:bookmarkStart w:id="161" w:name="_Toc409638333"/>
      <w:bookmarkStart w:id="162" w:name="_Toc409638486"/>
      <w:bookmarkStart w:id="163" w:name="_Toc410815402"/>
      <w:bookmarkStart w:id="164" w:name="_Toc409638334"/>
      <w:bookmarkStart w:id="165" w:name="_Toc409638487"/>
      <w:bookmarkStart w:id="166" w:name="_Toc410815403"/>
      <w:bookmarkStart w:id="167" w:name="_Toc409638342"/>
      <w:bookmarkStart w:id="168" w:name="_Toc409638495"/>
      <w:bookmarkStart w:id="169" w:name="_Toc410815411"/>
      <w:bookmarkStart w:id="170" w:name="_Toc409638344"/>
      <w:bookmarkStart w:id="171" w:name="_Toc409638497"/>
      <w:bookmarkStart w:id="172" w:name="_Toc410815413"/>
      <w:bookmarkStart w:id="173" w:name="_Toc409638345"/>
      <w:bookmarkStart w:id="174" w:name="_Toc409638498"/>
      <w:bookmarkStart w:id="175" w:name="_Toc410815414"/>
      <w:bookmarkStart w:id="176" w:name="_Toc409638346"/>
      <w:bookmarkStart w:id="177" w:name="_Toc409638499"/>
      <w:bookmarkStart w:id="178" w:name="_Toc410815415"/>
      <w:bookmarkStart w:id="179" w:name="_Toc409638353"/>
      <w:bookmarkStart w:id="180" w:name="_Toc409638506"/>
      <w:bookmarkStart w:id="181" w:name="_Toc410815422"/>
      <w:bookmarkStart w:id="182" w:name="_Toc409638356"/>
      <w:bookmarkStart w:id="183" w:name="_Toc409638509"/>
      <w:bookmarkStart w:id="184" w:name="_Toc410815425"/>
      <w:bookmarkStart w:id="185" w:name="_Toc409638360"/>
      <w:bookmarkStart w:id="186" w:name="_Toc409638513"/>
      <w:bookmarkStart w:id="187" w:name="_Toc410815429"/>
      <w:bookmarkStart w:id="188" w:name="_Toc409638361"/>
      <w:bookmarkStart w:id="189" w:name="_Toc409638514"/>
      <w:bookmarkStart w:id="190" w:name="_Toc410815430"/>
      <w:bookmarkStart w:id="191" w:name="_Toc409638362"/>
      <w:bookmarkStart w:id="192" w:name="_Toc409638515"/>
      <w:bookmarkStart w:id="193" w:name="_Toc410815431"/>
      <w:bookmarkStart w:id="194" w:name="_Toc409638366"/>
      <w:bookmarkStart w:id="195" w:name="_Toc409638519"/>
      <w:bookmarkStart w:id="196" w:name="_Toc410815435"/>
      <w:bookmarkStart w:id="197" w:name="_Toc409638367"/>
      <w:bookmarkStart w:id="198" w:name="_Toc409638520"/>
      <w:bookmarkStart w:id="199" w:name="_Toc410815436"/>
      <w:bookmarkStart w:id="200" w:name="_Toc409638370"/>
      <w:bookmarkStart w:id="201" w:name="_Toc409638523"/>
      <w:bookmarkStart w:id="202" w:name="_Toc410815439"/>
      <w:bookmarkStart w:id="203" w:name="_Toc409638371"/>
      <w:bookmarkStart w:id="204" w:name="_Toc409638524"/>
      <w:bookmarkStart w:id="205" w:name="_Toc410815440"/>
      <w:bookmarkStart w:id="206" w:name="_Toc409638372"/>
      <w:bookmarkStart w:id="207" w:name="_Toc409638525"/>
      <w:bookmarkStart w:id="208" w:name="_Toc410815441"/>
      <w:bookmarkStart w:id="209" w:name="_Toc409638378"/>
      <w:bookmarkStart w:id="210" w:name="_Toc409638531"/>
      <w:bookmarkStart w:id="211" w:name="_Toc410815447"/>
      <w:bookmarkStart w:id="212" w:name="_Toc409638381"/>
      <w:bookmarkStart w:id="213" w:name="_Toc409638534"/>
      <w:bookmarkStart w:id="214" w:name="_Toc410815450"/>
      <w:bookmarkStart w:id="215" w:name="_Toc409638382"/>
      <w:bookmarkStart w:id="216" w:name="_Toc409638535"/>
      <w:bookmarkStart w:id="217" w:name="_Toc410815451"/>
      <w:bookmarkStart w:id="218" w:name="_Toc409638383"/>
      <w:bookmarkStart w:id="219" w:name="_Toc409638536"/>
      <w:bookmarkStart w:id="220" w:name="_Toc410815452"/>
      <w:bookmarkStart w:id="221" w:name="_Toc409638384"/>
      <w:bookmarkStart w:id="222" w:name="_Toc409638537"/>
      <w:bookmarkStart w:id="223" w:name="_Toc410815453"/>
      <w:bookmarkStart w:id="224" w:name="_Toc409638385"/>
      <w:bookmarkStart w:id="225" w:name="_Toc409638538"/>
      <w:bookmarkStart w:id="226" w:name="_Toc410815454"/>
      <w:bookmarkStart w:id="227" w:name="_Toc409638389"/>
      <w:bookmarkStart w:id="228" w:name="_Toc409638542"/>
      <w:bookmarkStart w:id="229" w:name="_Toc410815458"/>
      <w:bookmarkStart w:id="230" w:name="_Toc409638390"/>
      <w:bookmarkStart w:id="231" w:name="_Toc409638543"/>
      <w:bookmarkStart w:id="232" w:name="_Toc410815459"/>
      <w:bookmarkStart w:id="233" w:name="_Toc409638391"/>
      <w:bookmarkStart w:id="234" w:name="_Toc409638544"/>
      <w:bookmarkStart w:id="235" w:name="_Toc410815460"/>
      <w:bookmarkStart w:id="236" w:name="_Toc409638394"/>
      <w:bookmarkStart w:id="237" w:name="_Toc409638547"/>
      <w:bookmarkStart w:id="238" w:name="_Toc410815463"/>
      <w:bookmarkStart w:id="239" w:name="_Toc409638396"/>
      <w:bookmarkStart w:id="240" w:name="_Toc409638549"/>
      <w:bookmarkStart w:id="241" w:name="_Toc410815465"/>
      <w:bookmarkStart w:id="242" w:name="_Toc409638399"/>
      <w:bookmarkStart w:id="243" w:name="_Toc409638552"/>
      <w:bookmarkStart w:id="244" w:name="_Toc410815468"/>
      <w:bookmarkStart w:id="245" w:name="_Toc409422586"/>
      <w:bookmarkStart w:id="246" w:name="_Ref409424009"/>
      <w:bookmarkStart w:id="247" w:name="_Toc411428070"/>
      <w:bookmarkStart w:id="248" w:name="_Ref411507041"/>
      <w:bookmarkStart w:id="249" w:name="_Ref416279522"/>
      <w:bookmarkStart w:id="250" w:name="_Toc417987582"/>
      <w:bookmarkStart w:id="251" w:name="_Toc403144137"/>
      <w:bookmarkStart w:id="252" w:name="_Ref409425553"/>
      <w:bookmarkStart w:id="253" w:name="_Ref409433110"/>
      <w:bookmarkStart w:id="254" w:name="_Ref41081790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F3A0D">
        <w:t>Regulatory framework</w:t>
      </w:r>
      <w:bookmarkEnd w:id="245"/>
      <w:bookmarkEnd w:id="246"/>
      <w:bookmarkEnd w:id="247"/>
      <w:bookmarkEnd w:id="248"/>
      <w:bookmarkEnd w:id="249"/>
      <w:bookmarkEnd w:id="250"/>
    </w:p>
    <w:p w:rsidR="00D924AE" w:rsidRDefault="00D924AE" w:rsidP="00D924AE">
      <w:pPr>
        <w:numPr>
          <w:ilvl w:val="0"/>
          <w:numId w:val="24"/>
        </w:numPr>
      </w:pPr>
      <w:r w:rsidRPr="006C7462">
        <w:t xml:space="preserve">The NEL and the NER provide the </w:t>
      </w:r>
      <w:r>
        <w:t>regulatory</w:t>
      </w:r>
      <w:r w:rsidRPr="006C7462">
        <w:t xml:space="preserve"> framework under which we operate. </w:t>
      </w:r>
      <w:r>
        <w:t>The</w:t>
      </w:r>
      <w:r w:rsidR="00D342E1">
        <w:t>y</w:t>
      </w:r>
      <w:r>
        <w:t xml:space="preserve"> set out how we must assess a </w:t>
      </w:r>
      <w:r w:rsidR="00EF72DB">
        <w:t xml:space="preserve">revenue </w:t>
      </w:r>
      <w:r>
        <w:t>proposal and make our decision. In this section we set out some key aspects of this framework.</w:t>
      </w:r>
    </w:p>
    <w:p w:rsidR="00D924AE" w:rsidRPr="006C7462" w:rsidRDefault="00D924AE" w:rsidP="00D924AE">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D924AE" w:rsidRPr="006C7462" w:rsidRDefault="00D924AE" w:rsidP="00D924AE">
      <w:pPr>
        <w:pStyle w:val="AERquote"/>
      </w:pPr>
      <w:r w:rsidRPr="006C7462">
        <w:t>price, quality, safety, reliability and security of supply of electricity; and</w:t>
      </w:r>
    </w:p>
    <w:p w:rsidR="00D924AE" w:rsidRPr="006C7462" w:rsidRDefault="00D924AE" w:rsidP="00D924AE">
      <w:pPr>
        <w:pStyle w:val="AERquote"/>
      </w:pPr>
      <w:r w:rsidRPr="006C7462">
        <w:t>the reliability, safety and security of the national electricity system.</w:t>
      </w:r>
      <w:r w:rsidRPr="006C7462">
        <w:rPr>
          <w:rStyle w:val="FootnoteReference"/>
        </w:rPr>
        <w:footnoteReference w:id="47"/>
      </w:r>
      <w:r w:rsidRPr="006C7462">
        <w:t xml:space="preserve">  </w:t>
      </w:r>
    </w:p>
    <w:p w:rsidR="00D924AE" w:rsidRPr="003B504B" w:rsidRDefault="00D924AE" w:rsidP="00D924AE">
      <w:r w:rsidRPr="006C7462">
        <w:t>The NEL also includes the revenue and pricing principles (RPP), which support the NEO.</w:t>
      </w:r>
      <w:r w:rsidRPr="006C7462">
        <w:rPr>
          <w:rStyle w:val="FootnoteReference"/>
        </w:rPr>
        <w:footnoteReference w:id="48"/>
      </w:r>
      <w:r w:rsidRPr="006C7462">
        <w:t xml:space="preserve"> As the NEL requires,</w:t>
      </w:r>
      <w:r w:rsidRPr="006C7462">
        <w:rPr>
          <w:rStyle w:val="FootnoteReference"/>
        </w:rPr>
        <w:footnoteReference w:id="49"/>
      </w:r>
      <w:r w:rsidRPr="006C7462">
        <w:t xml:space="preserve"> we have taken the RPPs into account throughout our analysis. The RPPs are: </w:t>
      </w:r>
    </w:p>
    <w:p w:rsidR="00D924AE" w:rsidRPr="00AF78C7" w:rsidRDefault="00D924AE" w:rsidP="00D924AE">
      <w:pPr>
        <w:pStyle w:val="AERquote"/>
      </w:pPr>
      <w:bookmarkStart w:id="255" w:name="id3d9e0c67_2587_487c_84b5_232488295210_a"/>
      <w:r w:rsidRPr="00AF78C7">
        <w:t>A regulated network service provider should be provided with a reasonable opportunity to recover at least the efficient costs the operator incurs in—</w:t>
      </w:r>
      <w:bookmarkEnd w:id="255"/>
    </w:p>
    <w:p w:rsidR="00D924AE" w:rsidRPr="00AF78C7" w:rsidRDefault="00D924AE" w:rsidP="00D924AE">
      <w:pPr>
        <w:pStyle w:val="AERquotebullet1"/>
      </w:pPr>
      <w:r w:rsidRPr="00AF78C7">
        <w:t>providing direct control network services; and</w:t>
      </w:r>
    </w:p>
    <w:p w:rsidR="00D924AE" w:rsidRPr="00AF78C7" w:rsidRDefault="00D924AE" w:rsidP="00D924AE">
      <w:pPr>
        <w:pStyle w:val="AERquotebullet1"/>
      </w:pPr>
      <w:bookmarkStart w:id="256" w:name="id39d95c28_3773_4662_b32f_fead85a8dc26_0"/>
      <w:r w:rsidRPr="00AF78C7">
        <w:t>complying with a regulatory obligation or requirement or making a regulatory payment.</w:t>
      </w:r>
      <w:bookmarkEnd w:id="256"/>
    </w:p>
    <w:p w:rsidR="00D924AE" w:rsidRPr="00AF78C7" w:rsidRDefault="00D924AE" w:rsidP="00D924AE">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D924AE" w:rsidRPr="00AF78C7" w:rsidRDefault="00D924AE" w:rsidP="00D924AE">
      <w:pPr>
        <w:pStyle w:val="AERquotebullet1"/>
      </w:pPr>
      <w:r w:rsidRPr="00AF78C7">
        <w:t>efficient investment in a distribution system or transmission system with which the operator provides direct control network services; and</w:t>
      </w:r>
    </w:p>
    <w:p w:rsidR="00D924AE" w:rsidRPr="003B504B" w:rsidRDefault="00D924AE" w:rsidP="00D924AE">
      <w:pPr>
        <w:pStyle w:val="AERquotebullet1"/>
      </w:pPr>
      <w:r w:rsidRPr="00AF78C7">
        <w:t>the efficient provision of electricity network services; and</w:t>
      </w:r>
    </w:p>
    <w:p w:rsidR="00D924AE" w:rsidRPr="00AF78C7" w:rsidRDefault="00D924AE" w:rsidP="00D924AE">
      <w:pPr>
        <w:pStyle w:val="AERquotebullet1"/>
      </w:pPr>
      <w:r w:rsidRPr="00AF78C7">
        <w:t>the efficient use of the distribution system or transmission system with which the operator provides direct control network services.</w:t>
      </w:r>
    </w:p>
    <w:p w:rsidR="00D924AE" w:rsidRPr="00AF78C7" w:rsidRDefault="00D924AE" w:rsidP="00D924AE">
      <w:pPr>
        <w:pStyle w:val="AERquote"/>
      </w:pPr>
      <w:r w:rsidRPr="00AF78C7">
        <w:t>Regard should be had to the regulatory asset base with respect to a distribution system or transmission system adopted—</w:t>
      </w:r>
    </w:p>
    <w:p w:rsidR="00D924AE" w:rsidRPr="00AF78C7" w:rsidRDefault="00D924AE" w:rsidP="00D924AE">
      <w:pPr>
        <w:pStyle w:val="AERquotebullet1"/>
      </w:pPr>
      <w:r w:rsidRPr="00AF78C7">
        <w:t>in any previous—</w:t>
      </w:r>
    </w:p>
    <w:p w:rsidR="00D924AE" w:rsidRPr="00AF78C7" w:rsidRDefault="00D924AE" w:rsidP="00A62B7C">
      <w:pPr>
        <w:pStyle w:val="AERquotebullet1"/>
        <w:numPr>
          <w:ilvl w:val="1"/>
          <w:numId w:val="22"/>
        </w:numPr>
      </w:pPr>
      <w:r w:rsidRPr="00AF78C7">
        <w:t>as the case requires, distribution determination or transmission determination; or</w:t>
      </w:r>
    </w:p>
    <w:p w:rsidR="00D924AE" w:rsidRPr="00AF78C7" w:rsidRDefault="00D924AE" w:rsidP="00A62B7C">
      <w:pPr>
        <w:pStyle w:val="AERquotebullet1"/>
        <w:numPr>
          <w:ilvl w:val="1"/>
          <w:numId w:val="22"/>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D924AE" w:rsidRPr="00AF78C7" w:rsidRDefault="00D924AE" w:rsidP="00D924AE">
      <w:pPr>
        <w:pStyle w:val="AERquotebullet1"/>
      </w:pPr>
      <w:r w:rsidRPr="00AF78C7">
        <w:t>in the Rules.</w:t>
      </w:r>
    </w:p>
    <w:p w:rsidR="00D924AE" w:rsidRPr="00AF78C7" w:rsidRDefault="00D924AE" w:rsidP="00D924AE">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D924AE" w:rsidRPr="00AF78C7" w:rsidRDefault="00D924AE" w:rsidP="00D924AE">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D924AE" w:rsidRDefault="00D924AE" w:rsidP="00D924AE">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41691D" w:rsidRDefault="007B02AE" w:rsidP="0041691D">
      <w:pPr>
        <w:numPr>
          <w:ilvl w:val="0"/>
          <w:numId w:val="24"/>
        </w:numPr>
      </w:pPr>
      <w:r>
        <w:t>Consistent with Energy Ministers' views, w</w:t>
      </w:r>
      <w:r w:rsidR="0041691D">
        <w:t xml:space="preserve">e set </w:t>
      </w:r>
      <w:r w:rsidR="00EF72DB">
        <w:t>the amount of revenue that service providers  may recover from customers, and in doing so we</w:t>
      </w:r>
      <w:r w:rsidR="0041691D">
        <w:t xml:space="preserve"> balance all of the elements of the NEO and </w:t>
      </w:r>
      <w:r>
        <w:t xml:space="preserve">consider each of the </w:t>
      </w:r>
      <w:r w:rsidR="0041691D">
        <w:t>RPPs</w:t>
      </w:r>
      <w:r>
        <w:t xml:space="preserve"> </w:t>
      </w:r>
      <w:r w:rsidR="0041691D">
        <w:t>are equally vital.</w:t>
      </w:r>
      <w:r w:rsidR="0041691D">
        <w:rPr>
          <w:rStyle w:val="FootnoteReference"/>
        </w:rPr>
        <w:footnoteReference w:id="50"/>
      </w:r>
      <w:r w:rsidR="0041691D">
        <w:t xml:space="preserve"> </w:t>
      </w:r>
    </w:p>
    <w:p w:rsidR="00393ABE" w:rsidRDefault="00D924AE" w:rsidP="00393ABE">
      <w:pPr>
        <w:numPr>
          <w:ilvl w:val="0"/>
          <w:numId w:val="24"/>
        </w:numPr>
      </w:pPr>
      <w:r>
        <w:t>C</w:t>
      </w:r>
      <w:r w:rsidRPr="00892ECD">
        <w:t>hapter 6</w:t>
      </w:r>
      <w:r w:rsidR="00076416">
        <w:t>A</w:t>
      </w:r>
      <w:r w:rsidRPr="00892ECD">
        <w:t xml:space="preserve"> of the NER provides </w:t>
      </w:r>
      <w:r>
        <w:t xml:space="preserve">specifically for the </w:t>
      </w:r>
      <w:r w:rsidRPr="00892ECD">
        <w:t xml:space="preserve">economic regulation of </w:t>
      </w:r>
      <w:r w:rsidR="006A66A1">
        <w:t>TNSPs</w:t>
      </w:r>
      <w:r>
        <w:t>. It includes detailed rules about the constituent components of our decisions. These are intended to contribute to the achievement of the NEO.</w:t>
      </w:r>
      <w:r>
        <w:rPr>
          <w:rStyle w:val="FootnoteReference"/>
        </w:rPr>
        <w:footnoteReference w:id="51"/>
      </w:r>
      <w:r>
        <w:t xml:space="preserve"> </w:t>
      </w:r>
      <w:r w:rsidR="00393ABE">
        <w:t xml:space="preserve">The AEMC has made </w:t>
      </w:r>
      <w:r w:rsidR="00E72D23">
        <w:t xml:space="preserve">it </w:t>
      </w:r>
      <w:r w:rsidR="00393ABE">
        <w:t>clear that, in relation to key aspects of revenue, the rules guide the AER</w:t>
      </w:r>
      <w:r w:rsidR="00E72D23">
        <w:t xml:space="preserve"> but</w:t>
      </w:r>
      <w:r w:rsidR="00393ABE">
        <w:t xml:space="preserve"> do not dictate any specific regulatory outcome.</w:t>
      </w:r>
      <w:r w:rsidR="00393ABE">
        <w:rPr>
          <w:rStyle w:val="FootnoteReference"/>
        </w:rPr>
        <w:footnoteReference w:id="52"/>
      </w:r>
      <w:r w:rsidR="00393ABE">
        <w:t xml:space="preserve"> For example, the AEMC has said:</w:t>
      </w:r>
    </w:p>
    <w:p w:rsidR="00393ABE" w:rsidRPr="00E25951" w:rsidRDefault="00393ABE" w:rsidP="00393ABE">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D924AE" w:rsidRDefault="00D924AE" w:rsidP="00D924AE">
      <w:r>
        <w:t>Given this framework</w:t>
      </w:r>
      <w:r w:rsidRPr="00715EF7">
        <w:t>, we consider the NEO and how to achieve it throughout our decision making processes.</w:t>
      </w:r>
    </w:p>
    <w:p w:rsidR="00C362C1" w:rsidRPr="003B504B" w:rsidRDefault="00C362C1" w:rsidP="00C362C1">
      <w:pPr>
        <w:pStyle w:val="Heading2"/>
      </w:pPr>
      <w:bookmarkStart w:id="257" w:name="_Toc404154709"/>
      <w:bookmarkStart w:id="258" w:name="_Toc409422589"/>
      <w:bookmarkStart w:id="259" w:name="_Toc411428072"/>
      <w:bookmarkStart w:id="260" w:name="_Toc417987583"/>
      <w:bookmarkStart w:id="261" w:name="_Toc409422588"/>
      <w:bookmarkStart w:id="262" w:name="_Ref409431158"/>
      <w:bookmarkStart w:id="263" w:name="_Toc411428071"/>
      <w:bookmarkEnd w:id="257"/>
      <w:r w:rsidRPr="00352D7C">
        <w:t>Understanding</w:t>
      </w:r>
      <w:r w:rsidRPr="003B504B">
        <w:t xml:space="preserve"> the NEO</w:t>
      </w:r>
      <w:bookmarkEnd w:id="258"/>
      <w:bookmarkEnd w:id="259"/>
      <w:bookmarkEnd w:id="260"/>
    </w:p>
    <w:p w:rsidR="00C362C1" w:rsidRPr="006C7462" w:rsidRDefault="00C362C1" w:rsidP="00C362C1">
      <w:r w:rsidRPr="006C7462">
        <w:t xml:space="preserve">Energy Ministers have provided us with a substantial body of </w:t>
      </w:r>
      <w:r w:rsidR="00863F4A">
        <w:t>explanatory material</w:t>
      </w:r>
      <w:r w:rsidR="00863F4A" w:rsidRPr="006C7462">
        <w:t xml:space="preserve"> </w:t>
      </w:r>
      <w:r w:rsidRPr="006C7462">
        <w:t>that guides our understanding of the NEO.</w:t>
      </w:r>
      <w:r w:rsidRPr="006C7462">
        <w:rPr>
          <w:rStyle w:val="FootnoteReference"/>
        </w:rPr>
        <w:footnoteReference w:id="53"/>
      </w:r>
      <w:r>
        <w:t xml:space="preserve"> </w:t>
      </w:r>
      <w:r w:rsidRPr="006C7462">
        <w:t>The long term interests of consumers are not delivered by any one of the NEO's factors in isolation, but rather by balancing them</w:t>
      </w:r>
      <w:r w:rsidR="002D2EED">
        <w:t xml:space="preserve"> in reaching a regulatory decision</w:t>
      </w:r>
      <w:r w:rsidRPr="006C7462">
        <w:t>.</w:t>
      </w:r>
      <w:r w:rsidRPr="006C7462">
        <w:rPr>
          <w:rStyle w:val="FootnoteReference"/>
        </w:rPr>
        <w:footnoteReference w:id="54"/>
      </w:r>
    </w:p>
    <w:p w:rsidR="00C362C1" w:rsidRPr="006C7462" w:rsidRDefault="00C362C1" w:rsidP="00C362C1">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rsidR="002D2EED">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5"/>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C362C1" w:rsidRPr="006C7462" w:rsidRDefault="00C362C1" w:rsidP="00C362C1">
      <w:r w:rsidRPr="006C7462">
        <w:t xml:space="preserve">However, in the energy networks industry the usual competitive disciplines do not </w:t>
      </w:r>
      <w:r w:rsidR="007B02AE">
        <w:t>apply</w:t>
      </w:r>
      <w:r w:rsidRPr="006C7462">
        <w:t xml:space="preserve">. </w:t>
      </w:r>
      <w:r w:rsidR="006A66A1">
        <w:t>TNSPs</w:t>
      </w:r>
      <w:r w:rsidRPr="006C7462">
        <w:t xml:space="preserve"> are largely natural monopolies. </w:t>
      </w:r>
      <w:r w:rsidR="007B02AE">
        <w:t>In addition, m</w:t>
      </w:r>
      <w:r w:rsidRPr="006C7462">
        <w:t>any of the products they offer are essential services for most consumers. Consequently, in an uncompetitive environment, consumers have little choice but to accept the quality</w:t>
      </w:r>
      <w:r w:rsidR="002D2EED">
        <w:t>, reliability</w:t>
      </w:r>
      <w:r w:rsidRPr="006C7462">
        <w:t xml:space="preserve"> and price the </w:t>
      </w:r>
      <w:r w:rsidR="006A66A1">
        <w:t>TNSPs</w:t>
      </w:r>
      <w:r w:rsidRPr="006C7462">
        <w:t xml:space="preserve"> offer.</w:t>
      </w:r>
    </w:p>
    <w:p w:rsidR="00C362C1" w:rsidRPr="006C7462" w:rsidRDefault="00C362C1" w:rsidP="00C362C1">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w:t>
      </w:r>
      <w:r w:rsidR="006A66A1">
        <w:t>TNSPs</w:t>
      </w:r>
      <w:r w:rsidRPr="006C7462">
        <w:t xml:space="preserve"> to offer their services at a different price than they would choose themselves. By its nature, this process will involve exercising regulatory </w:t>
      </w:r>
      <w:r w:rsidR="00DC1C76">
        <w:t>judgement</w:t>
      </w:r>
      <w:r w:rsidR="00DC1C76" w:rsidRPr="006C7462">
        <w:t xml:space="preserve"> </w:t>
      </w:r>
      <w:r w:rsidRPr="006C7462">
        <w:t>to balance the NEO's various factors.</w:t>
      </w:r>
    </w:p>
    <w:p w:rsidR="00C362C1" w:rsidRDefault="00C362C1" w:rsidP="00C362C1">
      <w:r w:rsidRPr="006C7462">
        <w:t xml:space="preserve">It is important to recognise that there </w:t>
      </w:r>
      <w:r w:rsidR="00B93891">
        <w:t xml:space="preserve">are </w:t>
      </w:r>
      <w:r w:rsidR="009D0DF1">
        <w:t xml:space="preserve">a number of </w:t>
      </w:r>
      <w:r w:rsidR="00B93891">
        <w:t xml:space="preserve">plausible outcomes </w:t>
      </w:r>
      <w:r w:rsidRPr="006C7462">
        <w:t xml:space="preserve">that </w:t>
      </w:r>
      <w:r w:rsidR="009D0DF1">
        <w:t xml:space="preserve">may </w:t>
      </w:r>
      <w:r w:rsidRPr="006C7462">
        <w:t xml:space="preserve">contribute to the achievement of the NEO. The nature of decisions </w:t>
      </w:r>
      <w:r w:rsidR="000C0910">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6"/>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7"/>
      </w:r>
      <w:r w:rsidRPr="006C7462">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w:t>
      </w:r>
      <w:r w:rsidR="00D07894">
        <w:t xml:space="preserve">could </w:t>
      </w:r>
      <w:r w:rsidRPr="006C7462">
        <w:t>creat</w:t>
      </w:r>
      <w:r>
        <w:t>e</w:t>
      </w:r>
      <w:r w:rsidRPr="006C7462">
        <w:t xml:space="preserve"> longer term problems in the network</w:t>
      </w:r>
      <w:r w:rsidRPr="006C7462">
        <w:rPr>
          <w:rStyle w:val="FootnoteReference"/>
        </w:rPr>
        <w:footnoteReference w:id="58"/>
      </w:r>
      <w:r w:rsidRPr="006C7462">
        <w:t xml:space="preserve"> </w:t>
      </w:r>
      <w:r>
        <w:t>and</w:t>
      </w:r>
      <w:r w:rsidRPr="006C7462">
        <w:t xml:space="preserve"> </w:t>
      </w:r>
      <w:r w:rsidR="00D07894">
        <w:t>could</w:t>
      </w:r>
      <w:r w:rsidR="00D07894" w:rsidRPr="006C7462">
        <w:t xml:space="preserve"> </w:t>
      </w:r>
      <w:r w:rsidRPr="006C7462">
        <w:t xml:space="preserve">have adverse consequences for safety, security and reliability of the network. </w:t>
      </w:r>
    </w:p>
    <w:p w:rsidR="00D924AE" w:rsidRPr="003B504B" w:rsidRDefault="00E9409E" w:rsidP="00D924AE">
      <w:pPr>
        <w:pStyle w:val="Heading2"/>
      </w:pPr>
      <w:bookmarkStart w:id="264" w:name="_Toc417987584"/>
      <w:bookmarkEnd w:id="261"/>
      <w:bookmarkEnd w:id="262"/>
      <w:bookmarkEnd w:id="263"/>
      <w:r>
        <w:t>The 2012 framework changes</w:t>
      </w:r>
      <w:bookmarkEnd w:id="264"/>
    </w:p>
    <w:p w:rsidR="00D924AE" w:rsidRPr="006C7462" w:rsidRDefault="00D924AE" w:rsidP="00D924AE">
      <w:r w:rsidRPr="006C7462">
        <w:t xml:space="preserve">This is the first decision we have made following changes to the NEL and NER in 2012 and 2013. The NEL and NER were </w:t>
      </w:r>
      <w:r w:rsidR="002D2EED">
        <w:t>amended</w:t>
      </w:r>
      <w:r w:rsidR="002D2EED" w:rsidRPr="006C7462">
        <w:t xml:space="preserve"> </w:t>
      </w:r>
      <w:r w:rsidRPr="006C7462">
        <w:t>to provide greater emphasis on the NEO and greater discretion to us.</w:t>
      </w:r>
      <w:r w:rsidRPr="006C7462">
        <w:rPr>
          <w:rStyle w:val="FootnoteReference"/>
        </w:rPr>
        <w:footnoteReference w:id="59"/>
      </w:r>
      <w:r w:rsidRPr="006C7462">
        <w:t xml:space="preserve"> The amended NER allow</w:t>
      </w:r>
      <w:r w:rsidR="0017274B">
        <w:t>,</w:t>
      </w:r>
      <w:r w:rsidRPr="006C7462">
        <w:t xml:space="preserve"> and </w:t>
      </w:r>
      <w:r w:rsidR="0017274B">
        <w:t xml:space="preserve">the AEMC has </w:t>
      </w:r>
      <w:r w:rsidRPr="006C7462">
        <w:t>encourage</w:t>
      </w:r>
      <w:r w:rsidR="0017274B">
        <w:t>d,</w:t>
      </w:r>
      <w:r w:rsidRPr="006C7462">
        <w:t xml:space="preserve"> us to approach decision making more holistically to meet overall objectives consistent with the NEO and RPPs.</w:t>
      </w:r>
      <w:r w:rsidRPr="006C7462">
        <w:rPr>
          <w:rStyle w:val="FootnoteReference"/>
        </w:rPr>
        <w:footnoteReference w:id="60"/>
      </w:r>
      <w:r w:rsidRPr="006C7462">
        <w:t xml:space="preserve"> </w:t>
      </w:r>
      <w:r w:rsidR="001E58CC">
        <w:t>Further</w:t>
      </w:r>
      <w:r w:rsidR="007B02AE">
        <w:t>, one of t</w:t>
      </w:r>
      <w:r w:rsidRPr="006C7462">
        <w:t>he</w:t>
      </w:r>
      <w:r w:rsidR="00081D4E">
        <w:t xml:space="preserve"> purpose</w:t>
      </w:r>
      <w:r w:rsidR="007B02AE">
        <w:t>s</w:t>
      </w:r>
      <w:r w:rsidR="00081D4E">
        <w:t xml:space="preserve"> of these</w:t>
      </w:r>
      <w:r w:rsidRPr="006C7462">
        <w:t xml:space="preserve"> changes </w:t>
      </w:r>
      <w:r w:rsidR="00081D4E">
        <w:t xml:space="preserve">was </w:t>
      </w:r>
      <w:r w:rsidRPr="006C7462">
        <w:t>to give consumers a clearer and more prominent role in the decision making process.</w:t>
      </w:r>
      <w:r w:rsidRPr="006C7462">
        <w:rPr>
          <w:rStyle w:val="FootnoteReference"/>
        </w:rPr>
        <w:footnoteReference w:id="61"/>
      </w:r>
    </w:p>
    <w:p w:rsidR="00655084" w:rsidRDefault="00D924AE" w:rsidP="00512CC3">
      <w:pPr>
        <w:numPr>
          <w:ilvl w:val="0"/>
          <w:numId w:val="24"/>
        </w:numPr>
      </w:pPr>
      <w:r w:rsidRPr="006C7462">
        <w:t xml:space="preserve">In 2013, the NEL was changed with similar aims in mind. </w:t>
      </w:r>
      <w:r w:rsidR="00F94F51">
        <w:t>The long term interests of consumers are a key focus of the changes</w:t>
      </w:r>
      <w:r w:rsidRPr="006C7462">
        <w:t>.</w:t>
      </w:r>
      <w:r w:rsidRPr="006C7462">
        <w:rPr>
          <w:rStyle w:val="FootnoteReference"/>
        </w:rPr>
        <w:footnoteReference w:id="62"/>
      </w:r>
      <w:r w:rsidRPr="006C7462">
        <w:t xml:space="preserve"> The changes also </w:t>
      </w:r>
      <w:r w:rsidR="0017274B">
        <w:t>support</w:t>
      </w:r>
      <w:r w:rsidR="0017274B" w:rsidRPr="006C7462">
        <w:t xml:space="preserve"> </w:t>
      </w:r>
      <w:r w:rsidRPr="006C7462">
        <w:t>analys</w:t>
      </w:r>
      <w:r w:rsidR="0017274B">
        <w:t>ing</w:t>
      </w:r>
      <w:r w:rsidRPr="006C7462">
        <w:t xml:space="preserve"> the decision </w:t>
      </w:r>
      <w:r w:rsidRPr="00A62B7C">
        <w:rPr>
          <w:rStyle w:val="Emphasis"/>
        </w:rPr>
        <w:t>as a whole</w:t>
      </w:r>
      <w:r w:rsidRPr="006C7462">
        <w:t xml:space="preserve"> in light of the NEO.</w:t>
      </w:r>
      <w:r w:rsidRPr="006C7462">
        <w:rPr>
          <w:rStyle w:val="FootnoteReference"/>
        </w:rPr>
        <w:footnoteReference w:id="63"/>
      </w:r>
      <w:r w:rsidRPr="006C7462">
        <w:t xml:space="preserve"> </w:t>
      </w:r>
      <w:r w:rsidR="00655084">
        <w:t>T</w:t>
      </w:r>
      <w:r w:rsidR="00F94F51" w:rsidRPr="00C362C1">
        <w:t xml:space="preserve">he </w:t>
      </w:r>
      <w:r w:rsidR="00C362C1" w:rsidRPr="00C362C1">
        <w:t>NEL now requires us to specify how the constituent components of our decision relate to each other and how we have taken those interrelationships into account in making our decision.</w:t>
      </w:r>
      <w:r w:rsidR="00C362C1">
        <w:rPr>
          <w:rStyle w:val="FootnoteReference"/>
        </w:rPr>
        <w:footnoteReference w:id="64"/>
      </w:r>
      <w:r w:rsidR="00C362C1" w:rsidRPr="00C362C1">
        <w:t xml:space="preserve"> </w:t>
      </w:r>
      <w:r w:rsidR="004D04E0">
        <w:t>It</w:t>
      </w:r>
      <w:r w:rsidR="00655084">
        <w:t xml:space="preserve"> </w:t>
      </w:r>
      <w:r w:rsidR="00C362C1" w:rsidRPr="00C362C1">
        <w:t>also anticipates th</w:t>
      </w:r>
      <w:r w:rsidR="00081D4E">
        <w:t>e possibility of</w:t>
      </w:r>
      <w:r w:rsidR="00C362C1" w:rsidRPr="00C362C1">
        <w:t xml:space="preserve"> two or more decisions that will or are likely to contribute to the achievement of the NEO. It requires that, in those cases, we must make the decision we are satisfied will or is likely to contribute to the achievement of the NEO to the greatest degree.</w:t>
      </w:r>
      <w:r w:rsidR="00C362C1">
        <w:rPr>
          <w:rStyle w:val="FootnoteReference"/>
        </w:rPr>
        <w:footnoteReference w:id="65"/>
      </w:r>
      <w:r w:rsidR="00C362C1">
        <w:t xml:space="preserve"> </w:t>
      </w:r>
      <w:r w:rsidR="00655084">
        <w:t>The NER require that we provide reasons for our decisions.</w:t>
      </w:r>
      <w:r w:rsidR="00655084">
        <w:rPr>
          <w:rStyle w:val="FootnoteReference"/>
        </w:rPr>
        <w:footnoteReference w:id="66"/>
      </w:r>
    </w:p>
    <w:p w:rsidR="00F94F51" w:rsidRDefault="00081D4E" w:rsidP="00C362C1">
      <w:pPr>
        <w:numPr>
          <w:ilvl w:val="0"/>
          <w:numId w:val="24"/>
        </w:numPr>
        <w:rPr>
          <w:rStyle w:val="AERbody"/>
        </w:rPr>
      </w:pPr>
      <w:r w:rsidRPr="00B93891">
        <w:rPr>
          <w:rStyle w:val="AERbody"/>
        </w:rPr>
        <w:t xml:space="preserve">The NEL does not </w:t>
      </w:r>
      <w:r>
        <w:rPr>
          <w:rStyle w:val="AERbody"/>
        </w:rPr>
        <w:t>prescribe</w:t>
      </w:r>
      <w:r w:rsidRPr="00B93891">
        <w:rPr>
          <w:rStyle w:val="AERbody"/>
        </w:rPr>
        <w:t xml:space="preserve"> how we are to </w:t>
      </w:r>
      <w:r>
        <w:rPr>
          <w:rStyle w:val="AERbody"/>
        </w:rPr>
        <w:t>apply</w:t>
      </w:r>
      <w:r w:rsidRPr="00B93891">
        <w:rPr>
          <w:rStyle w:val="AERbody"/>
        </w:rPr>
        <w:t xml:space="preserve"> these </w:t>
      </w:r>
      <w:r w:rsidR="00F94F51">
        <w:rPr>
          <w:rStyle w:val="AERbody"/>
        </w:rPr>
        <w:t xml:space="preserve">overarching </w:t>
      </w:r>
      <w:r w:rsidRPr="00B93891">
        <w:rPr>
          <w:rStyle w:val="AERbody"/>
        </w:rPr>
        <w:t>requirements</w:t>
      </w:r>
      <w:r w:rsidR="00F94F51">
        <w:rPr>
          <w:rStyle w:val="AERbody"/>
        </w:rPr>
        <w:t xml:space="preserve"> and so in applying them,</w:t>
      </w:r>
      <w:r>
        <w:rPr>
          <w:rStyle w:val="AERbody"/>
        </w:rPr>
        <w:t xml:space="preserve"> we have exercised our regulatory judgement</w:t>
      </w:r>
      <w:r w:rsidR="009C04E5">
        <w:rPr>
          <w:rStyle w:val="AERbody"/>
        </w:rPr>
        <w:t>.</w:t>
      </w:r>
    </w:p>
    <w:p w:rsidR="00C362C1" w:rsidRPr="00C362C1" w:rsidRDefault="00F94F51" w:rsidP="00F94F51">
      <w:pPr>
        <w:numPr>
          <w:ilvl w:val="0"/>
          <w:numId w:val="24"/>
        </w:numPr>
      </w:pPr>
      <w:r>
        <w:rPr>
          <w:rStyle w:val="AERbody"/>
        </w:rPr>
        <w:t>We have done so by</w:t>
      </w:r>
      <w:r w:rsidR="00D924AE">
        <w:t xml:space="preserve"> determin</w:t>
      </w:r>
      <w:r>
        <w:t>ing</w:t>
      </w:r>
      <w:r w:rsidR="00D924AE">
        <w:t xml:space="preserve"> revenue in accordance with the detailed provisions in the NER</w:t>
      </w:r>
      <w:r>
        <w:t xml:space="preserve">. This assessment is in each of our </w:t>
      </w:r>
      <w:r w:rsidR="005719A3">
        <w:t>A</w:t>
      </w:r>
      <w:r>
        <w:t>ttachments.</w:t>
      </w:r>
      <w:r w:rsidRPr="00F94F51">
        <w:t xml:space="preserve"> As part of that assessment, and in accordance with the NEL requirements, we identify and assess </w:t>
      </w:r>
      <w:r>
        <w:t xml:space="preserve">the </w:t>
      </w:r>
      <w:r w:rsidR="00C362C1" w:rsidRPr="00C362C1">
        <w:t>interrelationships between the constituent components of our final decision</w:t>
      </w:r>
      <w:r w:rsidRPr="00F94F51">
        <w:t>. In the following sections, we explain our approach to evaluating these interrelationships and then set out how we assessed what will contribute to the achievement of the NEO to the greatest degree.</w:t>
      </w:r>
      <w:r>
        <w:t xml:space="preserve"> </w:t>
      </w:r>
      <w:r w:rsidR="00C370F8">
        <w:t xml:space="preserve">Section </w:t>
      </w:r>
      <w:r w:rsidR="00C370F8">
        <w:fldChar w:fldCharType="begin"/>
      </w:r>
      <w:r w:rsidR="00C370F8">
        <w:instrText xml:space="preserve"> REF _Ref415823326 \r \h </w:instrText>
      </w:r>
      <w:r w:rsidR="00C370F8">
        <w:fldChar w:fldCharType="separate"/>
      </w:r>
      <w:r w:rsidR="00EB67D6">
        <w:t>1</w:t>
      </w:r>
      <w:r w:rsidR="00C370F8">
        <w:fldChar w:fldCharType="end"/>
      </w:r>
      <w:r w:rsidR="00C370F8">
        <w:t xml:space="preserve"> of this overview demonstrates how we have applied these approach</w:t>
      </w:r>
      <w:r>
        <w:t xml:space="preserve">es </w:t>
      </w:r>
      <w:r w:rsidR="00C370F8">
        <w:t>for this decision.</w:t>
      </w:r>
    </w:p>
    <w:p w:rsidR="00C362C1" w:rsidRPr="00C362C1" w:rsidRDefault="00C362C1" w:rsidP="00C662AD">
      <w:pPr>
        <w:pStyle w:val="Heading3"/>
      </w:pPr>
      <w:bookmarkStart w:id="265" w:name="_Toc411428018"/>
      <w:bookmarkStart w:id="266" w:name="_Toc417987585"/>
      <w:r w:rsidRPr="00C362C1">
        <w:t>Interrelationships</w:t>
      </w:r>
      <w:bookmarkEnd w:id="265"/>
      <w:bookmarkEnd w:id="266"/>
      <w:r w:rsidRPr="00C362C1">
        <w:t xml:space="preserve"> </w:t>
      </w:r>
    </w:p>
    <w:p w:rsidR="00C362C1" w:rsidRPr="00C362C1" w:rsidRDefault="00C362C1" w:rsidP="00C362C1">
      <w:r w:rsidRPr="00C362C1">
        <w:t xml:space="preserve">A </w:t>
      </w:r>
      <w:r w:rsidR="00E54106">
        <w:t>transmission</w:t>
      </w:r>
      <w:r w:rsidR="00E54106" w:rsidRPr="00C362C1">
        <w:t xml:space="preserve"> </w:t>
      </w:r>
      <w:r w:rsidRPr="00C362C1">
        <w:t xml:space="preserve">determination is a complex decision and must be considered as such. </w:t>
      </w:r>
      <w:r w:rsidR="004D04E0">
        <w:t>C</w:t>
      </w:r>
      <w:r w:rsidR="00655084">
        <w:t>onsidering constituent components in isolation</w:t>
      </w:r>
      <w:r w:rsidR="004D04E0">
        <w:t xml:space="preserve"> </w:t>
      </w:r>
      <w:r w:rsidRPr="00C362C1">
        <w:t>ignores the importance of interrelationships</w:t>
      </w:r>
      <w:r w:rsidR="00655084">
        <w:t xml:space="preserve"> </w:t>
      </w:r>
      <w:r w:rsidR="00276163">
        <w:t xml:space="preserve">between </w:t>
      </w:r>
      <w:r w:rsidR="006F189B">
        <w:t xml:space="preserve">the </w:t>
      </w:r>
      <w:r w:rsidR="00276163">
        <w:t xml:space="preserve">components </w:t>
      </w:r>
      <w:r w:rsidR="00655084">
        <w:t xml:space="preserve">and </w:t>
      </w:r>
      <w:r w:rsidRPr="00C362C1">
        <w:t>would not contribute to the achievement of the NEO</w:t>
      </w:r>
      <w:r w:rsidR="0017274B">
        <w:t xml:space="preserve">. </w:t>
      </w:r>
      <w:r w:rsidR="00655084">
        <w:t xml:space="preserve">As outlined by Energy </w:t>
      </w:r>
      <w:r w:rsidR="0017274B">
        <w:t>Ministers</w:t>
      </w:r>
      <w:r w:rsidR="00655084">
        <w:t xml:space="preserve">, considering the elements in isolation </w:t>
      </w:r>
      <w:r w:rsidRPr="00C362C1">
        <w:t>has resulted in regulatory failures</w:t>
      </w:r>
      <w:r w:rsidR="00655084">
        <w:t xml:space="preserve"> in the past</w:t>
      </w:r>
      <w:r w:rsidRPr="00C362C1">
        <w:t>.</w:t>
      </w:r>
      <w:r w:rsidR="00B93891">
        <w:rPr>
          <w:rStyle w:val="FootnoteReference"/>
        </w:rPr>
        <w:footnoteReference w:id="67"/>
      </w:r>
      <w:r w:rsidRPr="00C362C1">
        <w:t xml:space="preserve"> Interrelationships can take various forms, including:</w:t>
      </w:r>
    </w:p>
    <w:p w:rsidR="00C362C1" w:rsidRPr="00C362C1" w:rsidRDefault="00C362C1" w:rsidP="00C662AD">
      <w:pPr>
        <w:pStyle w:val="AERbulletlistfirststyle"/>
      </w:pPr>
      <w:r w:rsidRPr="00C362C1">
        <w:t xml:space="preserve">underlying drivers and context which are likely to affect many constituent components of our decision. For example, forecast demand affects the efficient levels of capex and opex in the regulatory control period </w:t>
      </w:r>
      <w:r w:rsidR="003850D6">
        <w:t>(see Attachment 6)</w:t>
      </w:r>
      <w:r w:rsidRPr="00C362C1">
        <w:t>.</w:t>
      </w:r>
      <w:r w:rsidR="00512CC3">
        <w:t xml:space="preserve"> </w:t>
      </w:r>
    </w:p>
    <w:p w:rsidR="00C362C1" w:rsidRPr="00C362C1" w:rsidRDefault="00C362C1" w:rsidP="00C662AD">
      <w:pPr>
        <w:pStyle w:val="AERbulletlistfirststyle"/>
      </w:pPr>
      <w:r w:rsidRPr="00C362C1">
        <w:t xml:space="preserve">direct mathematical links between different components of a decision. For example, the </w:t>
      </w:r>
      <w:r w:rsidR="00E54106">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rsidR="003850D6">
        <w:t xml:space="preserve"> (see Attachments 3, 4 and 8)</w:t>
      </w:r>
      <w:r w:rsidRPr="00C362C1">
        <w:t>.</w:t>
      </w:r>
    </w:p>
    <w:p w:rsidR="00C362C1" w:rsidRPr="00C362C1" w:rsidRDefault="00C362C1" w:rsidP="00C662AD">
      <w:pPr>
        <w:pStyle w:val="AERbulletlistfirststyle"/>
      </w:pPr>
      <w:r w:rsidRPr="00C362C1">
        <w:t xml:space="preserve">trade-offs between different components of revenue. For example, undertaking a particular capex project may affect the need for opex </w:t>
      </w:r>
      <w:r w:rsidR="00655084">
        <w:t>or</w:t>
      </w:r>
      <w:r w:rsidR="00655084" w:rsidRPr="00C362C1">
        <w:t xml:space="preserve"> </w:t>
      </w:r>
      <w:r w:rsidRPr="00C362C1">
        <w:t>vice versa</w:t>
      </w:r>
      <w:r w:rsidR="003850D6">
        <w:t xml:space="preserve"> (see Attachments 6 and 7)</w:t>
      </w:r>
      <w:r w:rsidRPr="00C362C1">
        <w:t>.</w:t>
      </w:r>
    </w:p>
    <w:p w:rsidR="00C362C1" w:rsidRPr="00C362C1" w:rsidRDefault="00C362C1" w:rsidP="00C662AD">
      <w:pPr>
        <w:pStyle w:val="AERbulletlistfirststyle"/>
      </w:pPr>
      <w:r w:rsidRPr="00C362C1">
        <w:t xml:space="preserve">trade-offs between forecast and actual regulatory measures. The reasons for one part of a proposal may have impacts on other parts of a proposal. For example, an increase in augmentation to the network means the </w:t>
      </w:r>
      <w:r w:rsidR="006A66A1">
        <w:t>TNSP</w:t>
      </w:r>
      <w:r w:rsidRPr="00C362C1">
        <w:t xml:space="preserve"> has more assets to maintain leading to higher opex requirements</w:t>
      </w:r>
      <w:r w:rsidR="003850D6">
        <w:t xml:space="preserve"> (see Attachments 6 and 7)</w:t>
      </w:r>
      <w:r w:rsidRPr="00C362C1">
        <w:t>.</w:t>
      </w:r>
    </w:p>
    <w:p w:rsidR="00C362C1" w:rsidRPr="00C362C1" w:rsidRDefault="00C362C1" w:rsidP="00C662AD">
      <w:pPr>
        <w:pStyle w:val="AERbulletlistfirststyle"/>
      </w:pPr>
      <w:r w:rsidRPr="00C362C1">
        <w:t xml:space="preserve">the </w:t>
      </w:r>
      <w:r w:rsidR="006A66A1">
        <w:t>TNSP</w:t>
      </w:r>
      <w:r w:rsidRPr="00C362C1">
        <w:t xml:space="preserve">'s attitude to managing its network. The </w:t>
      </w:r>
      <w:r w:rsidR="006A66A1">
        <w:t>TNSP</w:t>
      </w:r>
      <w:r w:rsidRPr="00C362C1">
        <w:t>'s governance arrangements and its approach to risk management will influence most aspects of the proposal, including capex/opex trade-offs</w:t>
      </w:r>
      <w:r w:rsidR="00975C56">
        <w:t xml:space="preserve"> (</w:t>
      </w:r>
      <w:r w:rsidR="001E58CC">
        <w:t>s</w:t>
      </w:r>
      <w:r w:rsidR="00975C56">
        <w:t xml:space="preserve">ee </w:t>
      </w:r>
      <w:r w:rsidR="001E58CC">
        <w:t>A</w:t>
      </w:r>
      <w:r w:rsidR="00975C56">
        <w:t>ttachments 6 and 7)</w:t>
      </w:r>
      <w:r w:rsidRPr="00C362C1">
        <w:t>.</w:t>
      </w:r>
    </w:p>
    <w:p w:rsidR="00C362C1" w:rsidRPr="006C7462" w:rsidRDefault="00655084" w:rsidP="00D924AE">
      <w:r>
        <w:t xml:space="preserve">We have considered </w:t>
      </w:r>
      <w:r w:rsidR="00C362C1" w:rsidRPr="00C362C1">
        <w:t xml:space="preserve">interrelationships </w:t>
      </w:r>
      <w:r>
        <w:t>in</w:t>
      </w:r>
      <w:r w:rsidR="00C662AD">
        <w:t xml:space="preserve"> our analysis of the constituent components of our decision. </w:t>
      </w:r>
      <w:r w:rsidR="00E9409E">
        <w:t>These considerations are explored in the relevant attachments</w:t>
      </w:r>
      <w:r w:rsidR="00C362C1" w:rsidRPr="00C362C1">
        <w:t>.</w:t>
      </w:r>
    </w:p>
    <w:p w:rsidR="008F3A0D" w:rsidRPr="008F3A0D" w:rsidRDefault="00204EC9" w:rsidP="008F3A0D">
      <w:pPr>
        <w:pStyle w:val="Heading1"/>
      </w:pPr>
      <w:bookmarkStart w:id="267" w:name="_Toc411428073"/>
      <w:bookmarkStart w:id="268" w:name="_Ref411507049"/>
      <w:bookmarkStart w:id="269" w:name="_Toc417987586"/>
      <w:bookmarkEnd w:id="251"/>
      <w:r>
        <w:t>Process</w:t>
      </w:r>
      <w:bookmarkEnd w:id="71"/>
      <w:bookmarkEnd w:id="252"/>
      <w:bookmarkEnd w:id="253"/>
      <w:bookmarkEnd w:id="254"/>
      <w:bookmarkEnd w:id="267"/>
      <w:bookmarkEnd w:id="268"/>
      <w:bookmarkEnd w:id="269"/>
    </w:p>
    <w:p w:rsidR="00B33148" w:rsidRPr="00BE1F1B" w:rsidRDefault="00B33148" w:rsidP="00B33148">
      <w:r>
        <w:t>The NEL requires us to inform stakeholders of the material issues we are considering and to give them a reasonable opportunity to make submissions in respect of this decision.</w:t>
      </w:r>
      <w:r>
        <w:rPr>
          <w:rStyle w:val="FootnoteReference"/>
        </w:rPr>
        <w:footnoteReference w:id="68"/>
      </w:r>
    </w:p>
    <w:p w:rsidR="00370678" w:rsidRPr="003B504B" w:rsidRDefault="00370678" w:rsidP="00370678">
      <w:r>
        <w:t xml:space="preserve">Below we set out the process we have followed </w:t>
      </w:r>
      <w:r w:rsidR="006F189B">
        <w:t>leading up to</w:t>
      </w:r>
      <w:r>
        <w:t xml:space="preserve"> </w:t>
      </w:r>
      <w:r w:rsidR="00DF6C67">
        <w:t>Directlink</w:t>
      </w:r>
      <w:r w:rsidR="006F189B">
        <w:t>'s</w:t>
      </w:r>
      <w:r>
        <w:t xml:space="preserve"> submi</w:t>
      </w:r>
      <w:r w:rsidR="006F189B">
        <w:t xml:space="preserve">ssion of </w:t>
      </w:r>
      <w:r>
        <w:t xml:space="preserve">its proposal, to ensure that </w:t>
      </w:r>
      <w:r w:rsidRPr="003B504B">
        <w:t xml:space="preserve">we have </w:t>
      </w:r>
      <w:r w:rsidR="006A12BA">
        <w:t>fully taken into account all views.</w:t>
      </w:r>
      <w:r w:rsidRPr="003B504B">
        <w:t xml:space="preserve"> </w:t>
      </w:r>
    </w:p>
    <w:p w:rsidR="008F3A0D" w:rsidRPr="00274C7E" w:rsidRDefault="008F3A0D" w:rsidP="00274C7E">
      <w:pPr>
        <w:pStyle w:val="Heading2"/>
      </w:pPr>
      <w:bookmarkStart w:id="270" w:name="_Ref399959548"/>
      <w:bookmarkStart w:id="271" w:name="_Toc404437109"/>
      <w:bookmarkStart w:id="272" w:name="_Toc411428074"/>
      <w:bookmarkStart w:id="273" w:name="_Toc417987587"/>
      <w:r w:rsidRPr="00274C7E">
        <w:t>Better Regulation program</w:t>
      </w:r>
      <w:bookmarkEnd w:id="270"/>
      <w:bookmarkEnd w:id="271"/>
      <w:bookmarkEnd w:id="272"/>
      <w:bookmarkEnd w:id="273"/>
    </w:p>
    <w:p w:rsidR="00541A0F" w:rsidRDefault="008F3A0D" w:rsidP="008F3A0D">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69"/>
      </w:r>
      <w:r>
        <w:t xml:space="preserve"> The Better Regulation program was designed to be an inclusive process that provided an opportunity for all stakeholders to be engaged and provide their input.</w:t>
      </w:r>
      <w:r w:rsidRPr="00BF5C86">
        <w:rPr>
          <w:rStyle w:val="FootnoteReference"/>
        </w:rPr>
        <w:footnoteReference w:id="70"/>
      </w:r>
      <w:r>
        <w:t xml:space="preserve"> </w:t>
      </w:r>
    </w:p>
    <w:p w:rsidR="00512CC3" w:rsidRDefault="00541A0F" w:rsidP="00512CC3">
      <w:r>
        <w:t xml:space="preserve">The resulting guidelines support our decision making framework as set out in section 16 of the NEL. </w:t>
      </w:r>
      <w:r w:rsidR="008F3A0D">
        <w:t>Our consultation and engagement gives us confidence the approaches set out in the guidelines</w:t>
      </w:r>
      <w:r>
        <w:t>, which we have applied in this decision,</w:t>
      </w:r>
      <w:r w:rsidR="008F3A0D">
        <w:t xml:space="preserve"> will result in decisions that </w:t>
      </w:r>
      <w:r w:rsidR="00180E97">
        <w:t xml:space="preserve">will or are likely to </w:t>
      </w:r>
      <w:r w:rsidR="008F3A0D">
        <w:t xml:space="preserve">contribute to the achievement of the NEO. </w:t>
      </w:r>
      <w:r w:rsidR="00512CC3" w:rsidRPr="00583AB7">
        <w:t xml:space="preserve">Our </w:t>
      </w:r>
      <w:r w:rsidR="00512CC3">
        <w:t xml:space="preserve">Better Regulation </w:t>
      </w:r>
      <w:r w:rsidR="00512CC3" w:rsidRPr="00583AB7">
        <w:t xml:space="preserve">guidelines are </w:t>
      </w:r>
      <w:r w:rsidR="00512CC3">
        <w:t>available on our website and include:</w:t>
      </w:r>
      <w:r w:rsidR="00512CC3">
        <w:rPr>
          <w:rStyle w:val="FootnoteReference"/>
        </w:rPr>
        <w:footnoteReference w:id="71"/>
      </w:r>
    </w:p>
    <w:p w:rsidR="00512CC3" w:rsidRDefault="00512CC3" w:rsidP="00512CC3">
      <w:pPr>
        <w:pStyle w:val="AERbulletlistfirststyle"/>
      </w:pPr>
      <w:r>
        <w:t>Expenditure Forecast Assessment Guideline</w:t>
      </w:r>
    </w:p>
    <w:p w:rsidR="00512CC3" w:rsidRDefault="00512CC3" w:rsidP="00512CC3">
      <w:pPr>
        <w:pStyle w:val="AERbulletlistfirststyle"/>
      </w:pPr>
      <w:r>
        <w:t>Expenditure Incentives Guideline</w:t>
      </w:r>
    </w:p>
    <w:p w:rsidR="00512CC3" w:rsidRDefault="00512CC3" w:rsidP="00512CC3">
      <w:pPr>
        <w:pStyle w:val="AERbulletlistfirststyle"/>
      </w:pPr>
      <w:r>
        <w:t>Rate of Return Guideline</w:t>
      </w:r>
    </w:p>
    <w:p w:rsidR="00512CC3" w:rsidRDefault="00512CC3" w:rsidP="00512CC3">
      <w:pPr>
        <w:pStyle w:val="AERbulletlistfirststyle"/>
      </w:pPr>
      <w:r>
        <w:t>Consumer Engagement Guideline</w:t>
      </w:r>
    </w:p>
    <w:p w:rsidR="00512CC3" w:rsidRDefault="00512CC3" w:rsidP="00512CC3">
      <w:pPr>
        <w:pStyle w:val="AERbulletlistfirststyle"/>
      </w:pPr>
      <w:r>
        <w:t>Shared Assets Guideline</w:t>
      </w:r>
    </w:p>
    <w:p w:rsidR="00322254" w:rsidRDefault="00512CC3" w:rsidP="00A62B7C">
      <w:pPr>
        <w:pStyle w:val="AERbulletlistfirststyle"/>
        <w:rPr>
          <w:rStyle w:val="AERbody"/>
        </w:rPr>
      </w:pPr>
      <w:r>
        <w:t>Confidentiality Guideline</w:t>
      </w:r>
      <w:r w:rsidR="001E58CC">
        <w:t>.</w:t>
      </w:r>
    </w:p>
    <w:p w:rsidR="008F3A0D" w:rsidRDefault="008F3A0D" w:rsidP="00274C7E">
      <w:pPr>
        <w:pStyle w:val="Heading2"/>
      </w:pPr>
      <w:bookmarkStart w:id="274" w:name="_Toc415740962"/>
      <w:bookmarkStart w:id="275" w:name="_Toc415816130"/>
      <w:bookmarkStart w:id="276" w:name="_Toc415820773"/>
      <w:bookmarkStart w:id="277" w:name="_Toc415822123"/>
      <w:bookmarkStart w:id="278" w:name="_Toc415834874"/>
      <w:bookmarkStart w:id="279" w:name="_Toc415740963"/>
      <w:bookmarkStart w:id="280" w:name="_Toc415816131"/>
      <w:bookmarkStart w:id="281" w:name="_Toc415820774"/>
      <w:bookmarkStart w:id="282" w:name="_Toc415822124"/>
      <w:bookmarkStart w:id="283" w:name="_Toc415834875"/>
      <w:bookmarkStart w:id="284" w:name="_Toc415740964"/>
      <w:bookmarkStart w:id="285" w:name="_Toc415816132"/>
      <w:bookmarkStart w:id="286" w:name="_Toc415820775"/>
      <w:bookmarkStart w:id="287" w:name="_Toc415822125"/>
      <w:bookmarkStart w:id="288" w:name="_Toc415834876"/>
      <w:bookmarkStart w:id="289" w:name="_Toc415740965"/>
      <w:bookmarkStart w:id="290" w:name="_Toc415816133"/>
      <w:bookmarkStart w:id="291" w:name="_Toc415820776"/>
      <w:bookmarkStart w:id="292" w:name="_Toc415822126"/>
      <w:bookmarkStart w:id="293" w:name="_Toc415834877"/>
      <w:bookmarkStart w:id="294" w:name="_Toc415740966"/>
      <w:bookmarkStart w:id="295" w:name="_Toc415816134"/>
      <w:bookmarkStart w:id="296" w:name="_Toc415820777"/>
      <w:bookmarkStart w:id="297" w:name="_Toc415822127"/>
      <w:bookmarkStart w:id="298" w:name="_Toc415834878"/>
      <w:bookmarkStart w:id="299" w:name="_Toc404437111"/>
      <w:bookmarkStart w:id="300" w:name="_Toc411428076"/>
      <w:bookmarkStart w:id="301" w:name="_Toc417987588"/>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Our e</w:t>
      </w:r>
      <w:r w:rsidRPr="004D5416">
        <w:t>ngagement</w:t>
      </w:r>
      <w:bookmarkEnd w:id="299"/>
      <w:r w:rsidR="00370678">
        <w:t xml:space="preserve"> during the decision making process</w:t>
      </w:r>
      <w:bookmarkEnd w:id="300"/>
      <w:bookmarkEnd w:id="301"/>
    </w:p>
    <w:p w:rsidR="008F3A0D" w:rsidRDefault="008F3A0D" w:rsidP="007228F7">
      <w:pPr>
        <w:numPr>
          <w:ilvl w:val="0"/>
          <w:numId w:val="24"/>
        </w:numPr>
      </w:pPr>
      <w:r>
        <w:t>Effective consultation with stakeholders is essential to the performance of our regulatory functions. In summary, throughout the review process, we engaged with stakeholders by:</w:t>
      </w:r>
    </w:p>
    <w:p w:rsidR="00FB5005" w:rsidRPr="00FB5005" w:rsidRDefault="00AB0B02" w:rsidP="00EA2264">
      <w:pPr>
        <w:pStyle w:val="AERbulletlistfirststyle"/>
      </w:pPr>
      <w:r>
        <w:t xml:space="preserve">inviting submissions on Directlink’s proposal, and </w:t>
      </w:r>
      <w:r w:rsidR="00FB5005" w:rsidRPr="00FB5005">
        <w:t xml:space="preserve">publishing an issues paper </w:t>
      </w:r>
      <w:r w:rsidR="00CD728B">
        <w:t xml:space="preserve">on 8 July 2014 </w:t>
      </w:r>
      <w:r w:rsidR="00FB5005" w:rsidRPr="00FB5005">
        <w:t xml:space="preserve">to help stakeholders engage with, and meaningfully respond to, issues in </w:t>
      </w:r>
      <w:r w:rsidR="00DF6C67">
        <w:t>Directlink</w:t>
      </w:r>
      <w:r w:rsidR="00FB5005" w:rsidRPr="00FB5005">
        <w:t xml:space="preserve">'s </w:t>
      </w:r>
      <w:r w:rsidR="001E58CC">
        <w:t>revenue</w:t>
      </w:r>
      <w:r w:rsidR="001E58CC" w:rsidRPr="00FB5005">
        <w:t xml:space="preserve"> </w:t>
      </w:r>
      <w:r w:rsidR="00FB5005" w:rsidRPr="00FB5005">
        <w:t>proposal that we considered material to consumers</w:t>
      </w:r>
      <w:r w:rsidR="006A3C5B">
        <w:rPr>
          <w:rStyle w:val="FootnoteReference"/>
        </w:rPr>
        <w:footnoteReference w:id="72"/>
      </w:r>
    </w:p>
    <w:p w:rsidR="00FB5005" w:rsidRPr="00FB5005" w:rsidRDefault="00FB5005" w:rsidP="00EA2264">
      <w:pPr>
        <w:pStyle w:val="AERbulletlistfirststyle"/>
      </w:pPr>
      <w:r w:rsidRPr="00FB5005">
        <w:t xml:space="preserve">hosting a public forum in Sydney on 10 July 2014 so stakeholders could question the AER and </w:t>
      </w:r>
      <w:r w:rsidR="00DF6C67">
        <w:t>Directlink</w:t>
      </w:r>
      <w:r w:rsidRPr="00FB5005">
        <w:t xml:space="preserve"> on its </w:t>
      </w:r>
      <w:r w:rsidR="001E58CC">
        <w:t>revenue</w:t>
      </w:r>
      <w:r w:rsidR="001E58CC" w:rsidRPr="00FB5005">
        <w:t xml:space="preserve"> </w:t>
      </w:r>
      <w:r w:rsidRPr="00FB5005">
        <w:t>proposal</w:t>
      </w:r>
    </w:p>
    <w:p w:rsidR="000B0A7B" w:rsidRDefault="000B0A7B" w:rsidP="00EA2264">
      <w:pPr>
        <w:pStyle w:val="AERbulletlistfirststyle"/>
      </w:pPr>
      <w:r>
        <w:t xml:space="preserve">publishing our draft decision for consultation on </w:t>
      </w:r>
      <w:r w:rsidR="000569A8">
        <w:t>27</w:t>
      </w:r>
      <w:r>
        <w:t xml:space="preserve"> November 2014, and hosting a pre-determination conference in Sydney on </w:t>
      </w:r>
      <w:r w:rsidR="000569A8">
        <w:t>8</w:t>
      </w:r>
      <w:r>
        <w:t xml:space="preserve"> December 2014 </w:t>
      </w:r>
      <w:r w:rsidRPr="00FB5005">
        <w:t xml:space="preserve">so stakeholders could question the AER and </w:t>
      </w:r>
      <w:r w:rsidR="00DF6C67">
        <w:t>Directlink</w:t>
      </w:r>
      <w:r w:rsidRPr="00FB5005">
        <w:t xml:space="preserve"> on </w:t>
      </w:r>
      <w:r>
        <w:t>our draft decision</w:t>
      </w:r>
    </w:p>
    <w:p w:rsidR="000B0A7B" w:rsidRDefault="000B0A7B" w:rsidP="00EA2264">
      <w:pPr>
        <w:pStyle w:val="AERbulletlistfirststyle"/>
      </w:pPr>
      <w:r>
        <w:t xml:space="preserve">considering </w:t>
      </w:r>
      <w:r w:rsidR="00DF6C67">
        <w:t>Directlink</w:t>
      </w:r>
      <w:r>
        <w:t>'s revised proposal and stakeholder submissions on the draft decision</w:t>
      </w:r>
      <w:r w:rsidR="00CD728B">
        <w:t>. A list of stakeholder submissions is provided in Appendix B.</w:t>
      </w:r>
      <w:r>
        <w:t xml:space="preserve"> </w:t>
      </w:r>
    </w:p>
    <w:p w:rsidR="000B0A7B" w:rsidRPr="00FB5005" w:rsidRDefault="000B0A7B" w:rsidP="00EA2264">
      <w:pPr>
        <w:pStyle w:val="AERbulletlistfirststyle"/>
      </w:pPr>
      <w:r>
        <w:t xml:space="preserve">having </w:t>
      </w:r>
      <w:r w:rsidR="00DF6C67">
        <w:t>Directlink</w:t>
      </w:r>
      <w:r w:rsidRPr="00FB5005">
        <w:t xml:space="preserve"> present its </w:t>
      </w:r>
      <w:r>
        <w:t>revised</w:t>
      </w:r>
      <w:r w:rsidRPr="00FB5005">
        <w:t xml:space="preserve"> proposal to the AER Board in </w:t>
      </w:r>
      <w:r>
        <w:t>February</w:t>
      </w:r>
      <w:r w:rsidRPr="00FB5005">
        <w:t xml:space="preserve"> 201</w:t>
      </w:r>
      <w:r>
        <w:t>5</w:t>
      </w:r>
      <w:r w:rsidRPr="00FB5005">
        <w:t>, so questions could be raised and key issues explained</w:t>
      </w:r>
      <w:r w:rsidR="000B64A9">
        <w:t>.</w:t>
      </w:r>
    </w:p>
    <w:p w:rsidR="008F3A0D" w:rsidRPr="001767F0" w:rsidRDefault="00FB5005" w:rsidP="008F3A0D">
      <w:r w:rsidRPr="00FB5005">
        <w:t xml:space="preserve">AER staff, including our technical advisors, directly engaged with staff at </w:t>
      </w:r>
      <w:r w:rsidR="00DF6C67">
        <w:t>Directlink</w:t>
      </w:r>
      <w:r w:rsidR="000B0A7B">
        <w:t xml:space="preserve"> throughout the review process</w:t>
      </w:r>
      <w:r w:rsidRPr="00FB5005">
        <w:t xml:space="preserve">, and tested material and information underpinning its revenue proposal. During this process, we requested and considered additional information from </w:t>
      </w:r>
      <w:r w:rsidR="00DF6C67">
        <w:t>Directlink</w:t>
      </w:r>
      <w:r w:rsidR="000B0A7B">
        <w:t xml:space="preserve"> to help us understand its </w:t>
      </w:r>
      <w:r w:rsidR="000569A8">
        <w:t xml:space="preserve">initial and revised </w:t>
      </w:r>
      <w:r w:rsidR="000B0A7B">
        <w:t>proposal</w:t>
      </w:r>
      <w:r w:rsidR="000569A8">
        <w:t>s</w:t>
      </w:r>
      <w:r w:rsidRPr="00FB5005">
        <w:t>.</w:t>
      </w:r>
    </w:p>
    <w:p w:rsidR="008F3A0D" w:rsidRPr="007B7B60" w:rsidRDefault="008F3A0D" w:rsidP="007228F7">
      <w:pPr>
        <w:numPr>
          <w:ilvl w:val="0"/>
          <w:numId w:val="24"/>
        </w:numPr>
      </w:pPr>
      <w:bookmarkStart w:id="302" w:name="_Toc414356984"/>
      <w:bookmarkStart w:id="303" w:name="_Toc415740969"/>
      <w:bookmarkStart w:id="304" w:name="_Toc415816137"/>
      <w:bookmarkStart w:id="305" w:name="_Toc415820780"/>
      <w:bookmarkStart w:id="306" w:name="_Toc415822130"/>
      <w:bookmarkStart w:id="307" w:name="_Toc415834881"/>
      <w:bookmarkEnd w:id="302"/>
      <w:bookmarkEnd w:id="303"/>
      <w:bookmarkEnd w:id="304"/>
      <w:bookmarkEnd w:id="305"/>
      <w:bookmarkEnd w:id="306"/>
      <w:bookmarkEnd w:id="307"/>
      <w:r w:rsidRPr="007B7B60">
        <w:t xml:space="preserve"> </w:t>
      </w:r>
    </w:p>
    <w:p w:rsidR="00E81031" w:rsidRDefault="00E81031" w:rsidP="00E81031">
      <w:pPr>
        <w:pStyle w:val="Heading7"/>
      </w:pPr>
      <w:bookmarkStart w:id="308" w:name="_Ref417898205"/>
      <w:bookmarkStart w:id="309" w:name="_Toc417987589"/>
      <w:r>
        <w:t xml:space="preserve">Constituent </w:t>
      </w:r>
      <w:r w:rsidR="002E3A0C">
        <w:t>components</w:t>
      </w:r>
      <w:bookmarkEnd w:id="308"/>
      <w:bookmarkEnd w:id="309"/>
    </w:p>
    <w:p w:rsidR="008F3A0D" w:rsidRDefault="008F3A0D" w:rsidP="007228F7">
      <w:pPr>
        <w:numPr>
          <w:ilvl w:val="0"/>
          <w:numId w:val="24"/>
        </w:numPr>
      </w:pPr>
      <w:r>
        <w:t xml:space="preserve">Our </w:t>
      </w:r>
      <w:r w:rsidR="00180E97">
        <w:t>final</w:t>
      </w:r>
      <w:r>
        <w:t xml:space="preserve"> </w:t>
      </w:r>
      <w:r w:rsidR="001820B4">
        <w:t xml:space="preserve">decision on </w:t>
      </w:r>
      <w:r w:rsidR="00DF6C67">
        <w:t>Directlink</w:t>
      </w:r>
      <w:r w:rsidR="001820B4">
        <w:t xml:space="preserve">'s transmission </w:t>
      </w:r>
      <w:r>
        <w:t xml:space="preserve">determination </w:t>
      </w:r>
      <w:r w:rsidR="001820B4">
        <w:t>includes the following constituent components</w:t>
      </w:r>
      <w:r>
        <w:t>:</w:t>
      </w:r>
      <w:r>
        <w:rPr>
          <w:rStyle w:val="FootnoteReference"/>
        </w:rPr>
        <w:footnoteReference w:id="73"/>
      </w:r>
    </w:p>
    <w:tbl>
      <w:tblPr>
        <w:tblStyle w:val="AERtable-text0"/>
        <w:tblW w:w="9242" w:type="dxa"/>
        <w:tblLook w:val="04A0" w:firstRow="1" w:lastRow="0" w:firstColumn="1" w:lastColumn="0" w:noHBand="0" w:noVBand="1"/>
      </w:tblPr>
      <w:tblGrid>
        <w:gridCol w:w="9242"/>
      </w:tblGrid>
      <w:tr w:rsidR="000B64A9" w:rsidTr="00AB0B02">
        <w:trPr>
          <w:cnfStyle w:val="100000000000" w:firstRow="1" w:lastRow="0" w:firstColumn="0" w:lastColumn="0" w:oddVBand="0" w:evenVBand="0" w:oddHBand="0" w:evenHBand="0" w:firstRowFirstColumn="0" w:firstRowLastColumn="0" w:lastRowFirstColumn="0" w:lastRowLastColumn="0"/>
          <w:tblHeader/>
        </w:trPr>
        <w:tc>
          <w:tcPr>
            <w:tcW w:w="9242" w:type="dxa"/>
          </w:tcPr>
          <w:p w:rsidR="000B64A9" w:rsidRPr="000B64A9" w:rsidRDefault="000B64A9" w:rsidP="000B64A9">
            <w:pPr>
              <w:numPr>
                <w:ilvl w:val="0"/>
                <w:numId w:val="24"/>
              </w:numPr>
            </w:pPr>
            <w:r w:rsidRPr="000B64A9">
              <w:t>Constituent component</w:t>
            </w:r>
          </w:p>
        </w:tc>
      </w:tr>
      <w:tr w:rsidR="000B64A9" w:rsidRPr="00030ECD" w:rsidTr="00EA2264">
        <w:tc>
          <w:tcPr>
            <w:tcW w:w="9242" w:type="dxa"/>
          </w:tcPr>
          <w:p w:rsidR="000B64A9" w:rsidRPr="00030ECD" w:rsidRDefault="000B64A9" w:rsidP="009C06B8">
            <w:r w:rsidRPr="00030ECD">
              <w:t>In accordance with clause 6A.14.1(i) of the NER, the AER has not approved the total revenue cap set out in Directlink's</w:t>
            </w:r>
            <w:r w:rsidR="0092601C" w:rsidRPr="00030ECD">
              <w:t xml:space="preserve"> revised</w:t>
            </w:r>
            <w:r w:rsidRPr="00030ECD">
              <w:t xml:space="preserve"> building block proposal. Our </w:t>
            </w:r>
            <w:r w:rsidR="0092601C" w:rsidRPr="00030ECD">
              <w:t>final</w:t>
            </w:r>
            <w:r w:rsidRPr="00030ECD">
              <w:t xml:space="preserve"> decision on Directlink's total revenue cap over the 2015</w:t>
            </w:r>
            <w:r w:rsidR="0092601C" w:rsidRPr="00030ECD">
              <w:t>–</w:t>
            </w:r>
            <w:r w:rsidRPr="00030ECD">
              <w:t>20 regulatory control period is $</w:t>
            </w:r>
            <w:r w:rsidR="008E27AD" w:rsidRPr="00030ECD">
              <w:t>6</w:t>
            </w:r>
            <w:r w:rsidR="009C06B8">
              <w:t>8.7</w:t>
            </w:r>
            <w:r w:rsidRPr="00030ECD">
              <w:t xml:space="preserve"> million ($ nominal). This decision is discussed in Attachment 1 of this </w:t>
            </w:r>
            <w:r w:rsidR="0092601C" w:rsidRPr="00030ECD">
              <w:t>final</w:t>
            </w:r>
            <w:r w:rsidRPr="00030ECD">
              <w:t xml:space="preserve"> decision.</w:t>
            </w:r>
            <w:r w:rsidR="001A3877" w:rsidRPr="00030ECD">
              <w:t xml:space="preserve"> [See also section 1.1-1.3 of the transmission determination.]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92601C">
            <w:pPr>
              <w:numPr>
                <w:ilvl w:val="0"/>
                <w:numId w:val="24"/>
              </w:numPr>
            </w:pPr>
            <w:r w:rsidRPr="000B64A9">
              <w:t xml:space="preserve">In accordance with clause 6A.14.1(ii) of the NER, the AER has not approved the maximum allowed revenue </w:t>
            </w:r>
            <w:r w:rsidR="0092601C">
              <w:t xml:space="preserve">(MAR) </w:t>
            </w:r>
            <w:r w:rsidRPr="000B64A9">
              <w:t>for each regulatory year of the regulatory control period set out in Directlink's</w:t>
            </w:r>
            <w:r w:rsidR="0092601C">
              <w:t xml:space="preserve"> revised</w:t>
            </w:r>
            <w:r w:rsidRPr="000B64A9">
              <w:t xml:space="preserve"> building block proposal. Our </w:t>
            </w:r>
            <w:r w:rsidR="0092601C">
              <w:t>final</w:t>
            </w:r>
            <w:r w:rsidRPr="000B64A9">
              <w:t xml:space="preserve"> decision on Directlink's MAR for each year of the 2015–20 </w:t>
            </w:r>
            <w:r w:rsidR="0092601C">
              <w:t xml:space="preserve">regulatory control </w:t>
            </w:r>
            <w:r w:rsidRPr="000B64A9">
              <w:t xml:space="preserve">period is set out in Attachment 1 of this </w:t>
            </w:r>
            <w:r w:rsidR="0092601C">
              <w:t>final</w:t>
            </w:r>
            <w:r w:rsidRPr="000B64A9">
              <w:t xml:space="preserve"> decision. </w:t>
            </w:r>
            <w:r w:rsidR="001A3877">
              <w:t>[See also section 1.1-1.3 of the transmission determination.]</w:t>
            </w:r>
          </w:p>
        </w:tc>
      </w:tr>
      <w:tr w:rsidR="000B64A9" w:rsidRPr="00FC6399" w:rsidTr="00EA2264">
        <w:tc>
          <w:tcPr>
            <w:tcW w:w="9242" w:type="dxa"/>
          </w:tcPr>
          <w:p w:rsidR="000B64A9" w:rsidRPr="000B64A9" w:rsidRDefault="000B64A9" w:rsidP="00EA3AFF">
            <w:r w:rsidRPr="000B64A9">
              <w:t xml:space="preserve">In accordance with clause 6A.14.1(1)(iii) of the NER, the AER has decided to apply the service component and market impact component of Version 4.1 of the service target performance incentive scheme (STPIS) to Directlink for the 2015–20 regulatory control period. The values and parameters of the STPIS are set out in Attachment 11 of this </w:t>
            </w:r>
            <w:r w:rsidR="00EA3AFF">
              <w:t>final</w:t>
            </w:r>
            <w:r w:rsidR="00EA3AFF" w:rsidRPr="000B64A9">
              <w:t xml:space="preserve"> </w:t>
            </w:r>
            <w:r w:rsidRPr="000B64A9">
              <w:t>decision.</w:t>
            </w:r>
            <w:r w:rsidR="001A3877">
              <w:t xml:space="preserve"> [See also section 1.6 of the transmission determination.]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EA3AFF">
            <w:pPr>
              <w:numPr>
                <w:ilvl w:val="0"/>
                <w:numId w:val="24"/>
              </w:numPr>
            </w:pPr>
            <w:r w:rsidRPr="000B64A9">
              <w:t>In accordance with clause 6A.14.1(1)(iv)</w:t>
            </w:r>
            <w:r w:rsidR="00387DF1">
              <w:t xml:space="preserve"> of the NER</w:t>
            </w:r>
            <w:r w:rsidRPr="000B64A9">
              <w:t xml:space="preserve">, the AER's decision on the values that are to be attributed to the parameters for the efficiency benefit sharing scheme (EBSS) that will apply to Directlink in respect of the 2015–20 regulatory control period are set out in Attachment 9 of this </w:t>
            </w:r>
            <w:r w:rsidR="00EA3AFF">
              <w:t>final</w:t>
            </w:r>
            <w:r w:rsidR="00EA3AFF" w:rsidRPr="000B64A9">
              <w:t xml:space="preserve"> </w:t>
            </w:r>
            <w:r w:rsidRPr="000B64A9">
              <w:t>decision.</w:t>
            </w:r>
            <w:r w:rsidR="001A3877">
              <w:t xml:space="preserve"> [See also section 1.7 of the transmission determination.]</w:t>
            </w:r>
          </w:p>
        </w:tc>
      </w:tr>
      <w:tr w:rsidR="000B64A9" w:rsidRPr="00FC6399" w:rsidTr="00EA2264">
        <w:tc>
          <w:tcPr>
            <w:tcW w:w="9242" w:type="dxa"/>
          </w:tcPr>
          <w:p w:rsidR="000B64A9" w:rsidRPr="000B64A9" w:rsidRDefault="000B64A9" w:rsidP="000B64A9">
            <w:pPr>
              <w:numPr>
                <w:ilvl w:val="0"/>
                <w:numId w:val="24"/>
              </w:numPr>
            </w:pPr>
            <w:r w:rsidRPr="000B64A9">
              <w:t xml:space="preserve">In accordance with clause 6A.14.1(1)(v) of the NER, the AER has approved the commencement and length of the regulatory control period proposed by Directlink. The regulatory control period will commence on 1 July 2015 and the length of this period is five years from 1 July 2015 to 30 June 2020. </w:t>
            </w:r>
            <w:r w:rsidR="001A3877">
              <w:t>[See also section 1.9 of the transmission determination.]</w:t>
            </w:r>
          </w:p>
        </w:tc>
      </w:tr>
      <w:tr w:rsidR="000B64A9" w:rsidRPr="00231EA4"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231EA4" w:rsidRDefault="000B64A9" w:rsidP="00231EA4">
            <w:r w:rsidRPr="00231EA4">
              <w:t>In accordance with clause 6A.14.1(2) and acting in accordance with clause 6A.6.7(d)</w:t>
            </w:r>
            <w:r w:rsidR="00387DF1">
              <w:t xml:space="preserve"> of the NER</w:t>
            </w:r>
            <w:r w:rsidRPr="00231EA4">
              <w:t>, the AER has not accepted Directlink's total forecast capital expenditure of $</w:t>
            </w:r>
            <w:r w:rsidR="00EA3AFF" w:rsidRPr="00231EA4">
              <w:t>37.06</w:t>
            </w:r>
            <w:r w:rsidRPr="00231EA4">
              <w:t xml:space="preserve"> million ($2014–15). Our substitute estimate of Directlink's total forecast capex for the 2015–20 period is $</w:t>
            </w:r>
            <w:r w:rsidR="00EA3AFF" w:rsidRPr="00231EA4">
              <w:t>26.86</w:t>
            </w:r>
            <w:r w:rsidRPr="00231EA4">
              <w:t xml:space="preserve"> million ($2014–15). This is discussed in Attachment 6 of this </w:t>
            </w:r>
            <w:r w:rsidR="00EA3AFF" w:rsidRPr="00231EA4">
              <w:t xml:space="preserve">final </w:t>
            </w:r>
            <w:r w:rsidRPr="00231EA4">
              <w:t>decision.</w:t>
            </w:r>
          </w:p>
        </w:tc>
      </w:tr>
      <w:tr w:rsidR="000B64A9" w:rsidRPr="00231EA4" w:rsidTr="00EA2264">
        <w:tc>
          <w:tcPr>
            <w:tcW w:w="9242" w:type="dxa"/>
          </w:tcPr>
          <w:p w:rsidR="000B64A9" w:rsidRPr="00231EA4" w:rsidRDefault="000B64A9" w:rsidP="000C140B">
            <w:r w:rsidRPr="00231EA4">
              <w:t>In accordance with clause 6A.14.1(3) and acting in accordance with clause 6A.6.6(d)</w:t>
            </w:r>
            <w:r w:rsidR="00387DF1">
              <w:t xml:space="preserve"> of the NER</w:t>
            </w:r>
            <w:r w:rsidRPr="00231EA4">
              <w:t>, the AER has not accepted Directlink's total forecast operating expenditure of $</w:t>
            </w:r>
            <w:r w:rsidR="00EA3AFF" w:rsidRPr="00231EA4">
              <w:t>18.5</w:t>
            </w:r>
            <w:r w:rsidRPr="00231EA4">
              <w:t xml:space="preserve"> million ($2014–15). Our substitute estimate of Directlink's total forecast opex for the 2015–20 period</w:t>
            </w:r>
            <w:r w:rsidR="00A35680">
              <w:t xml:space="preserve">, </w:t>
            </w:r>
            <w:r w:rsidR="002165BA">
              <w:t>inclusive of debt raising costs,</w:t>
            </w:r>
            <w:r w:rsidRPr="00231EA4">
              <w:t xml:space="preserve"> is $</w:t>
            </w:r>
            <w:r w:rsidR="00EA3AFF" w:rsidRPr="00231EA4">
              <w:t>1</w:t>
            </w:r>
            <w:r w:rsidR="000C140B">
              <w:t>8</w:t>
            </w:r>
            <w:r w:rsidR="00EA3AFF" w:rsidRPr="00231EA4">
              <w:t>.</w:t>
            </w:r>
            <w:r w:rsidR="000C140B">
              <w:t>1</w:t>
            </w:r>
            <w:r w:rsidRPr="00231EA4">
              <w:t xml:space="preserve"> million ($2014–15). This is discussed in Attachment 7 of this </w:t>
            </w:r>
            <w:r w:rsidR="00EA3AFF" w:rsidRPr="00231EA4">
              <w:t xml:space="preserve">final </w:t>
            </w:r>
            <w:r w:rsidRPr="00231EA4">
              <w:t>decision.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341ED6">
            <w:pPr>
              <w:numPr>
                <w:ilvl w:val="0"/>
                <w:numId w:val="24"/>
              </w:numPr>
            </w:pPr>
            <w:r w:rsidRPr="000B64A9">
              <w:t xml:space="preserve">Directlink did not propose any contingent projects for the 2015–20 regulatory control period. </w:t>
            </w:r>
            <w:r w:rsidR="00341ED6">
              <w:t xml:space="preserve"> </w:t>
            </w:r>
            <w:r w:rsidRPr="000B64A9">
              <w:t>In accordance with clause 6A.14.1(4)(i)</w:t>
            </w:r>
            <w:r w:rsidR="00387DF1">
              <w:t xml:space="preserve"> of the NER</w:t>
            </w:r>
            <w:r w:rsidRPr="000B64A9">
              <w:t xml:space="preserve"> the AER has determined that there are no contingent projects for the purposes of </w:t>
            </w:r>
            <w:r w:rsidR="00341ED6" w:rsidRPr="000B64A9">
              <w:t>th</w:t>
            </w:r>
            <w:r w:rsidR="00341ED6">
              <w:t>is</w:t>
            </w:r>
            <w:r w:rsidR="00341ED6" w:rsidRPr="000B64A9">
              <w:t xml:space="preserve"> </w:t>
            </w:r>
            <w:r w:rsidRPr="000B64A9">
              <w:t>revenue determination.</w:t>
            </w:r>
          </w:p>
        </w:tc>
      </w:tr>
      <w:tr w:rsidR="000B64A9" w:rsidRPr="00FC6399" w:rsidTr="00EA2264">
        <w:tc>
          <w:tcPr>
            <w:tcW w:w="9242" w:type="dxa"/>
          </w:tcPr>
          <w:p w:rsidR="000B64A9" w:rsidRPr="000B64A9" w:rsidRDefault="000B64A9" w:rsidP="005719A3">
            <w:pPr>
              <w:numPr>
                <w:ilvl w:val="0"/>
                <w:numId w:val="24"/>
              </w:numPr>
            </w:pPr>
            <w:r w:rsidRPr="000B64A9">
              <w:t>In accordance with clause 6A.14.1(5A)</w:t>
            </w:r>
            <w:r w:rsidR="00387DF1">
              <w:t xml:space="preserve"> of the NER</w:t>
            </w:r>
            <w:r w:rsidRPr="000B64A9">
              <w:t xml:space="preserve">, the AER has determined that version 1 of the capital expenditure sharing scheme (CESS) as set out in version 1 of the </w:t>
            </w:r>
            <w:r w:rsidR="005719A3">
              <w:t>C</w:t>
            </w:r>
            <w:r w:rsidRPr="000B64A9">
              <w:t xml:space="preserve">apital </w:t>
            </w:r>
            <w:r w:rsidR="005719A3">
              <w:t>E</w:t>
            </w:r>
            <w:r w:rsidRPr="000B64A9">
              <w:t xml:space="preserve">xpenditure </w:t>
            </w:r>
            <w:r w:rsidR="005719A3">
              <w:t>I</w:t>
            </w:r>
            <w:r w:rsidRPr="000B64A9">
              <w:t xml:space="preserve">ncentives </w:t>
            </w:r>
            <w:r w:rsidR="005719A3">
              <w:t>G</w:t>
            </w:r>
            <w:r w:rsidRPr="000B64A9">
              <w:t xml:space="preserve">uideline will apply to Directlink in the 2015–20 regulatory control period. This is discussed in Attachment 10 of this </w:t>
            </w:r>
            <w:r w:rsidR="00EA3AFF">
              <w:t>final</w:t>
            </w:r>
            <w:r w:rsidR="00EA3AFF" w:rsidRPr="000B64A9">
              <w:t xml:space="preserve"> </w:t>
            </w:r>
            <w:r w:rsidRPr="000B64A9">
              <w:t>decision.</w:t>
            </w:r>
            <w:r w:rsidR="001A3877">
              <w:t xml:space="preserve"> [See also section 1.8 of the transmission determination.]</w:t>
            </w:r>
          </w:p>
        </w:tc>
      </w:tr>
      <w:tr w:rsidR="000B64A9" w:rsidRPr="006366C2"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6366C2" w:rsidRDefault="000B64A9" w:rsidP="009E5EA2">
            <w:r w:rsidRPr="006366C2">
              <w:t>In accordance with clause 6A.14.1(5B)</w:t>
            </w:r>
            <w:r w:rsidR="00387DF1">
              <w:t xml:space="preserve"> of the NER</w:t>
            </w:r>
            <w:r w:rsidRPr="006366C2">
              <w:t xml:space="preserve"> the AER has decided that the allowed rate or return for the first regulatory year of the regulatory control period in accordance with clause 6A.6.2 is </w:t>
            </w:r>
            <w:r w:rsidR="006366C2" w:rsidRPr="00231EA4">
              <w:t xml:space="preserve">5.45 </w:t>
            </w:r>
            <w:r w:rsidRPr="00231EA4">
              <w:t xml:space="preserve"> per cent (nominal vanilla)</w:t>
            </w:r>
            <w:r w:rsidRPr="006366C2">
              <w:t xml:space="preserve">, as set out in Attachment </w:t>
            </w:r>
            <w:r w:rsidR="008E4437">
              <w:t xml:space="preserve"> </w:t>
            </w:r>
            <w:r w:rsidRPr="006366C2">
              <w:t>3 of</w:t>
            </w:r>
            <w:r w:rsidR="00EA3AFF" w:rsidRPr="006366C2">
              <w:t xml:space="preserve"> this final</w:t>
            </w:r>
            <w:r w:rsidRPr="006366C2">
              <w:t xml:space="preserve"> decision. This rate of return will be updated annually because our decision is to apply a trailing average portfolio approach to estimating debt which incorporates annual updating of the allowed return on debt.</w:t>
            </w:r>
          </w:p>
        </w:tc>
      </w:tr>
      <w:tr w:rsidR="000B64A9" w:rsidRPr="00FC6399" w:rsidTr="00EA2264">
        <w:tc>
          <w:tcPr>
            <w:tcW w:w="9242" w:type="dxa"/>
          </w:tcPr>
          <w:p w:rsidR="000B64A9" w:rsidRPr="000B64A9" w:rsidRDefault="000B64A9" w:rsidP="00EA3AFF">
            <w:pPr>
              <w:numPr>
                <w:ilvl w:val="0"/>
                <w:numId w:val="24"/>
              </w:numPr>
            </w:pPr>
            <w:r w:rsidRPr="000B64A9">
              <w:t xml:space="preserve">In accordance with clause 6A.14.1(5D) </w:t>
            </w:r>
            <w:r w:rsidR="00387DF1">
              <w:t xml:space="preserve">of the NER </w:t>
            </w:r>
            <w:r w:rsidRPr="000B64A9">
              <w:t xml:space="preserve">the AER has decided that the value of imputation credits as referred to in clause 6A.6.4 is 0.4. This is set out in Attachment 4 of this </w:t>
            </w:r>
            <w:r w:rsidR="00EA3AFF">
              <w:t>final</w:t>
            </w:r>
            <w:r w:rsidR="00EA3AFF" w:rsidRPr="000B64A9">
              <w:t xml:space="preserve"> </w:t>
            </w:r>
            <w:r w:rsidRPr="000B64A9">
              <w:t>decision.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9C06B8">
            <w:r w:rsidRPr="000B64A9">
              <w:t>In accordance with clause 6A.14.1(5E)</w:t>
            </w:r>
            <w:r w:rsidR="00387DF1">
              <w:t xml:space="preserve"> of the NER</w:t>
            </w:r>
            <w:r w:rsidRPr="000B64A9">
              <w:t xml:space="preserve"> the AER has decided, in accordance with clause 6A.6.1 and schedule 6A.2, that the regulatory asset base (RAB) as at the commencement of the regulatory control period is $</w:t>
            </w:r>
            <w:r w:rsidR="009C06B8">
              <w:t>129.4</w:t>
            </w:r>
            <w:r w:rsidR="00EA3AFF" w:rsidRPr="00EA2264">
              <w:t xml:space="preserve"> </w:t>
            </w:r>
            <w:r w:rsidRPr="000B64A9">
              <w:t xml:space="preserve">million at 1 July 2015. This is set out in Attachment 2 of this </w:t>
            </w:r>
            <w:r w:rsidR="0092601C">
              <w:t>final</w:t>
            </w:r>
            <w:r w:rsidRPr="000B64A9">
              <w:t xml:space="preserve"> decision.</w:t>
            </w:r>
            <w:r w:rsidRPr="000B64A9" w:rsidDel="00C3160D">
              <w:t xml:space="preserve"> </w:t>
            </w:r>
            <w:r w:rsidR="00146163">
              <w:t xml:space="preserve"> [See also section 1.4 of the transmission determination.]</w:t>
            </w:r>
          </w:p>
        </w:tc>
      </w:tr>
      <w:tr w:rsidR="000B64A9" w:rsidRPr="00FC6399" w:rsidTr="00EA2264">
        <w:tc>
          <w:tcPr>
            <w:tcW w:w="9242" w:type="dxa"/>
          </w:tcPr>
          <w:p w:rsidR="000B64A9" w:rsidRPr="000B64A9" w:rsidRDefault="000B64A9" w:rsidP="0092601C">
            <w:pPr>
              <w:numPr>
                <w:ilvl w:val="0"/>
                <w:numId w:val="24"/>
              </w:numPr>
            </w:pPr>
            <w:r w:rsidRPr="000B64A9">
              <w:t>In accordance with clause 6A.14.1(5F)</w:t>
            </w:r>
            <w:r w:rsidR="00387DF1">
              <w:t xml:space="preserve"> of the NER</w:t>
            </w:r>
            <w:r w:rsidRPr="000B64A9">
              <w:t xml:space="preserve"> the AER has decided that that the forecast depreciation approach is to be used to establish the RAB at the commencement of Directlink's regulatory control period (1 July 2020). This is discussed in Attachment 2 of this </w:t>
            </w:r>
            <w:r w:rsidR="0092601C">
              <w:t>final</w:t>
            </w:r>
            <w:r w:rsidRPr="000B64A9">
              <w:t xml:space="preserve"> decision.</w:t>
            </w:r>
            <w:r w:rsidR="00146163">
              <w:t xml:space="preserve"> [See also section 1.5 of the transmission determination.]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0B64A9">
            <w:pPr>
              <w:numPr>
                <w:ilvl w:val="0"/>
                <w:numId w:val="24"/>
              </w:numPr>
            </w:pPr>
            <w:r w:rsidRPr="000B64A9">
              <w:t xml:space="preserve">In accordance with clause 6A.14.1(6) </w:t>
            </w:r>
            <w:r w:rsidR="00387DF1">
              <w:t xml:space="preserve">of the NER </w:t>
            </w:r>
            <w:r w:rsidRPr="000B64A9">
              <w:t>the AER has approved Directlink's proposed negotiating framework.</w:t>
            </w:r>
            <w:r w:rsidR="00146163">
              <w:t xml:space="preserve"> [See section 2 of the transmission determination.]</w:t>
            </w:r>
          </w:p>
        </w:tc>
      </w:tr>
      <w:tr w:rsidR="000B64A9" w:rsidRPr="00FC6399" w:rsidTr="00EA2264">
        <w:tc>
          <w:tcPr>
            <w:tcW w:w="9242" w:type="dxa"/>
          </w:tcPr>
          <w:p w:rsidR="000B64A9" w:rsidRPr="000B64A9" w:rsidRDefault="000B64A9" w:rsidP="008F5215">
            <w:pPr>
              <w:numPr>
                <w:ilvl w:val="0"/>
                <w:numId w:val="24"/>
              </w:numPr>
            </w:pPr>
            <w:r w:rsidRPr="000B64A9">
              <w:t>In accordance with clause 6A.14.1(7)</w:t>
            </w:r>
            <w:r w:rsidR="00387DF1">
              <w:t xml:space="preserve"> of the NER</w:t>
            </w:r>
            <w:r w:rsidRPr="000B64A9">
              <w:t xml:space="preserve"> the AER has specified the negotiated transmission services criteria for Directlink in  Attachment 12 of this </w:t>
            </w:r>
            <w:r w:rsidR="008F5215">
              <w:t>final</w:t>
            </w:r>
            <w:r w:rsidR="008F5215" w:rsidRPr="000B64A9">
              <w:t xml:space="preserve"> </w:t>
            </w:r>
            <w:r w:rsidRPr="000B64A9">
              <w:t>decision .</w:t>
            </w:r>
            <w:r w:rsidR="00146163">
              <w:t xml:space="preserve"> [See also section 3 of the transmission determination.]</w:t>
            </w:r>
          </w:p>
        </w:tc>
      </w:tr>
      <w:tr w:rsidR="000B64A9" w:rsidRPr="00FC6399" w:rsidTr="00EA2264">
        <w:trPr>
          <w:cnfStyle w:val="000000010000" w:firstRow="0" w:lastRow="0" w:firstColumn="0" w:lastColumn="0" w:oddVBand="0" w:evenVBand="0" w:oddHBand="0" w:evenHBand="1" w:firstRowFirstColumn="0" w:firstRowLastColumn="0" w:lastRowFirstColumn="0" w:lastRowLastColumn="0"/>
        </w:trPr>
        <w:tc>
          <w:tcPr>
            <w:tcW w:w="9242" w:type="dxa"/>
          </w:tcPr>
          <w:p w:rsidR="000B64A9" w:rsidRPr="000B64A9" w:rsidRDefault="000B64A9" w:rsidP="008F5215">
            <w:pPr>
              <w:numPr>
                <w:ilvl w:val="0"/>
                <w:numId w:val="24"/>
              </w:numPr>
            </w:pPr>
            <w:r w:rsidRPr="000B64A9">
              <w:t>In accordance with clause 6A.14.1(8)</w:t>
            </w:r>
            <w:r w:rsidR="00387DF1">
              <w:t xml:space="preserve"> of the NER</w:t>
            </w:r>
            <w:r w:rsidRPr="000B64A9">
              <w:t xml:space="preserve"> the AER has approved Directlink's pricing methodology for the 2015–20 regulatory control period. This is discussed in Attachment 12 of this </w:t>
            </w:r>
            <w:r w:rsidR="008F5215">
              <w:t>final</w:t>
            </w:r>
            <w:r w:rsidR="008F5215" w:rsidRPr="000B64A9">
              <w:t xml:space="preserve"> </w:t>
            </w:r>
            <w:r w:rsidRPr="000B64A9">
              <w:t>decision.</w:t>
            </w:r>
            <w:r w:rsidR="00146163">
              <w:t xml:space="preserve"> [See also section 4 of the transmission determination.]</w:t>
            </w:r>
          </w:p>
        </w:tc>
      </w:tr>
      <w:tr w:rsidR="000B64A9" w:rsidRPr="00FC6399" w:rsidTr="00EA2264">
        <w:tc>
          <w:tcPr>
            <w:tcW w:w="9242" w:type="dxa"/>
          </w:tcPr>
          <w:p w:rsidR="000B64A9" w:rsidRDefault="000B64A9" w:rsidP="00EA3AFF">
            <w:pPr>
              <w:numPr>
                <w:ilvl w:val="0"/>
                <w:numId w:val="24"/>
              </w:numPr>
            </w:pPr>
            <w:r w:rsidRPr="000B64A9">
              <w:t>In accordance with clause 6A.14.1(9)</w:t>
            </w:r>
            <w:r w:rsidR="00387DF1">
              <w:t xml:space="preserve"> of the NER</w:t>
            </w:r>
            <w:r w:rsidRPr="000B64A9">
              <w:t xml:space="preserve"> the AER has approved </w:t>
            </w:r>
            <w:r w:rsidR="00EA3AFF">
              <w:t>the following nominated pass through events to apply to Directlink for the 2015–20 regulatory control period</w:t>
            </w:r>
            <w:r w:rsidR="00EA3AFF" w:rsidRPr="000B64A9" w:rsidDel="00EA3AFF">
              <w:t xml:space="preserve"> </w:t>
            </w:r>
            <w:r w:rsidRPr="000B64A9">
              <w:t xml:space="preserve">in accordance with clause 6A.6.9. </w:t>
            </w:r>
          </w:p>
          <w:p w:rsidR="00EA3AFF" w:rsidRPr="00EA3AFF" w:rsidRDefault="00EA3AFF" w:rsidP="00EA2264">
            <w:pPr>
              <w:pStyle w:val="AERbulletlistfirststyle"/>
            </w:pPr>
            <w:r w:rsidRPr="00EA3AFF">
              <w:t>insurance cap event</w:t>
            </w:r>
          </w:p>
          <w:p w:rsidR="00EA3AFF" w:rsidRPr="00EA3AFF" w:rsidRDefault="00EA3AFF" w:rsidP="00EA2264">
            <w:pPr>
              <w:pStyle w:val="AERbulletlistfirststyle"/>
            </w:pPr>
            <w:r w:rsidRPr="00EA3AFF">
              <w:t>terrorism event</w:t>
            </w:r>
          </w:p>
          <w:p w:rsidR="00EA3AFF" w:rsidRDefault="00EA3AFF" w:rsidP="00EA2264">
            <w:pPr>
              <w:pStyle w:val="AERbulletlistfirststyle"/>
            </w:pPr>
            <w:r w:rsidRPr="00EA3AFF">
              <w:t>natural disaster</w:t>
            </w:r>
            <w:r>
              <w:t xml:space="preserve"> event.</w:t>
            </w:r>
          </w:p>
          <w:p w:rsidR="000B64A9" w:rsidRPr="000B64A9" w:rsidRDefault="00EA3AFF" w:rsidP="00EA3AFF">
            <w:pPr>
              <w:numPr>
                <w:ilvl w:val="0"/>
                <w:numId w:val="24"/>
              </w:numPr>
            </w:pPr>
            <w:r>
              <w:t>These events have the definitions listed in Table 13.1 in Attachment 13 of this final decision.</w:t>
            </w:r>
            <w:r w:rsidR="00146163">
              <w:t xml:space="preserve"> [See also section 5 of the transmission determination.]</w:t>
            </w:r>
          </w:p>
        </w:tc>
      </w:tr>
    </w:tbl>
    <w:p w:rsidR="008F3A0D" w:rsidRDefault="008F3A0D" w:rsidP="00E81031">
      <w:pPr>
        <w:pStyle w:val="Heading7"/>
      </w:pPr>
      <w:bookmarkStart w:id="310" w:name="_Toc404437173"/>
      <w:bookmarkStart w:id="311" w:name="_Toc411428080"/>
      <w:bookmarkStart w:id="312" w:name="_Toc417987590"/>
      <w:r w:rsidRPr="00B6585E">
        <w:t>List of submissions</w:t>
      </w:r>
      <w:bookmarkEnd w:id="310"/>
      <w:bookmarkEnd w:id="311"/>
      <w:bookmarkEnd w:id="312"/>
      <w:r w:rsidRPr="00B6585E">
        <w:t xml:space="preserve"> </w:t>
      </w:r>
    </w:p>
    <w:p w:rsidR="00630DEC" w:rsidRDefault="00E02DCD" w:rsidP="007228F7">
      <w:pPr>
        <w:numPr>
          <w:ilvl w:val="0"/>
          <w:numId w:val="24"/>
        </w:numPr>
      </w:pPr>
      <w:r w:rsidRPr="00E02DCD">
        <w:t xml:space="preserve">We invited submissions on our draft decision and </w:t>
      </w:r>
      <w:r>
        <w:t>Directlink</w:t>
      </w:r>
      <w:r w:rsidRPr="00E02DCD">
        <w:t xml:space="preserve">'s revised proposal by 6 February 2015. </w:t>
      </w:r>
      <w:r>
        <w:t>T</w:t>
      </w:r>
      <w:r w:rsidRPr="00E02DCD">
        <w:t>he following stakeholders made written submissions:</w:t>
      </w:r>
    </w:p>
    <w:p w:rsidR="00AB0B02" w:rsidRDefault="00AB0B02" w:rsidP="007228F7">
      <w:pPr>
        <w:numPr>
          <w:ilvl w:val="0"/>
          <w:numId w:val="24"/>
        </w:numPr>
      </w:pPr>
    </w:p>
    <w:tbl>
      <w:tblPr>
        <w:tblStyle w:val="AERtable-text0"/>
        <w:tblW w:w="0" w:type="auto"/>
        <w:tblLook w:val="04A0" w:firstRow="1" w:lastRow="0" w:firstColumn="1" w:lastColumn="0" w:noHBand="0" w:noVBand="1"/>
      </w:tblPr>
      <w:tblGrid>
        <w:gridCol w:w="3369"/>
        <w:gridCol w:w="5324"/>
      </w:tblGrid>
      <w:tr w:rsidR="00AB7CDE" w:rsidTr="00AB0B02">
        <w:trPr>
          <w:cnfStyle w:val="100000000000" w:firstRow="1" w:lastRow="0" w:firstColumn="0" w:lastColumn="0" w:oddVBand="0" w:evenVBand="0" w:oddHBand="0" w:evenHBand="0" w:firstRowFirstColumn="0" w:firstRowLastColumn="0" w:lastRowFirstColumn="0" w:lastRowLastColumn="0"/>
        </w:trPr>
        <w:tc>
          <w:tcPr>
            <w:tcW w:w="3369" w:type="dxa"/>
          </w:tcPr>
          <w:p w:rsidR="00AB7CDE" w:rsidRPr="00AB7CDE" w:rsidRDefault="00AB7CDE" w:rsidP="001E58CC">
            <w:pPr>
              <w:pStyle w:val="AERtabletextleft"/>
            </w:pPr>
            <w:r>
              <w:t>Submission</w:t>
            </w:r>
          </w:p>
        </w:tc>
        <w:tc>
          <w:tcPr>
            <w:tcW w:w="5324" w:type="dxa"/>
          </w:tcPr>
          <w:p w:rsidR="00AB7CDE" w:rsidRPr="00AB7CDE" w:rsidRDefault="00AB7CDE" w:rsidP="001E58CC">
            <w:pPr>
              <w:pStyle w:val="AERtabletextleft"/>
            </w:pPr>
            <w:r>
              <w:t xml:space="preserve">Date </w:t>
            </w:r>
          </w:p>
        </w:tc>
      </w:tr>
      <w:tr w:rsidR="001E58CC" w:rsidTr="00AB0B02">
        <w:tc>
          <w:tcPr>
            <w:tcW w:w="3369" w:type="dxa"/>
          </w:tcPr>
          <w:p w:rsidR="001E58CC" w:rsidRPr="001E58CC" w:rsidRDefault="001E58CC" w:rsidP="001E58CC">
            <w:pPr>
              <w:pStyle w:val="AERtabletextleft"/>
            </w:pPr>
            <w:r>
              <w:t>Directlink</w:t>
            </w:r>
          </w:p>
        </w:tc>
        <w:tc>
          <w:tcPr>
            <w:tcW w:w="5324" w:type="dxa"/>
          </w:tcPr>
          <w:p w:rsidR="001E58CC" w:rsidRDefault="001E58CC" w:rsidP="001E58CC">
            <w:pPr>
              <w:pStyle w:val="AERtabletextleft"/>
            </w:pPr>
            <w:r>
              <w:t>6 February 2015</w:t>
            </w:r>
          </w:p>
        </w:tc>
      </w:tr>
      <w:tr w:rsidR="001E58CC" w:rsidTr="00AB0B02">
        <w:trPr>
          <w:cnfStyle w:val="000000010000" w:firstRow="0" w:lastRow="0" w:firstColumn="0" w:lastColumn="0" w:oddVBand="0" w:evenVBand="0" w:oddHBand="0" w:evenHBand="1" w:firstRowFirstColumn="0" w:firstRowLastColumn="0" w:lastRowFirstColumn="0" w:lastRowLastColumn="0"/>
        </w:trPr>
        <w:tc>
          <w:tcPr>
            <w:tcW w:w="3369" w:type="dxa"/>
          </w:tcPr>
          <w:p w:rsidR="001E58CC" w:rsidRPr="001E58CC" w:rsidRDefault="001E58CC" w:rsidP="001E58CC">
            <w:pPr>
              <w:pStyle w:val="AERtabletextleft"/>
            </w:pPr>
            <w:r>
              <w:t>Ergon Energy</w:t>
            </w:r>
          </w:p>
        </w:tc>
        <w:tc>
          <w:tcPr>
            <w:tcW w:w="5324" w:type="dxa"/>
          </w:tcPr>
          <w:p w:rsidR="001E58CC" w:rsidRDefault="001E58CC" w:rsidP="001E58CC">
            <w:pPr>
              <w:pStyle w:val="AERtabletextleft"/>
            </w:pPr>
            <w:r>
              <w:t xml:space="preserve">13 February 2015, </w:t>
            </w:r>
            <w:r w:rsidRPr="001E58CC">
              <w:t>27 March 2015*</w:t>
            </w:r>
          </w:p>
        </w:tc>
      </w:tr>
      <w:tr w:rsidR="001E58CC" w:rsidTr="00AB0B02">
        <w:tc>
          <w:tcPr>
            <w:tcW w:w="3369" w:type="dxa"/>
          </w:tcPr>
          <w:p w:rsidR="001E58CC" w:rsidRPr="001E58CC" w:rsidRDefault="001E58CC" w:rsidP="001E58CC">
            <w:pPr>
              <w:pStyle w:val="AERtabletextleft"/>
            </w:pPr>
            <w:r>
              <w:t>CitiPower and Powercor</w:t>
            </w:r>
          </w:p>
        </w:tc>
        <w:tc>
          <w:tcPr>
            <w:tcW w:w="5324" w:type="dxa"/>
          </w:tcPr>
          <w:p w:rsidR="001E58CC" w:rsidRDefault="001E58CC" w:rsidP="001E58CC">
            <w:pPr>
              <w:pStyle w:val="AERtabletextleft"/>
            </w:pPr>
            <w:r>
              <w:t>6 February 2015</w:t>
            </w:r>
          </w:p>
        </w:tc>
      </w:tr>
      <w:tr w:rsidR="001E58CC" w:rsidTr="00AB0B02">
        <w:trPr>
          <w:cnfStyle w:val="000000010000" w:firstRow="0" w:lastRow="0" w:firstColumn="0" w:lastColumn="0" w:oddVBand="0" w:evenVBand="0" w:oddHBand="0" w:evenHBand="1" w:firstRowFirstColumn="0" w:firstRowLastColumn="0" w:lastRowFirstColumn="0" w:lastRowLastColumn="0"/>
        </w:trPr>
        <w:tc>
          <w:tcPr>
            <w:tcW w:w="3369" w:type="dxa"/>
          </w:tcPr>
          <w:p w:rsidR="001E58CC" w:rsidRPr="001E58CC" w:rsidRDefault="001E58CC" w:rsidP="001E58CC">
            <w:pPr>
              <w:pStyle w:val="AERtabletextleft"/>
            </w:pPr>
            <w:r>
              <w:t>Jemena Limited</w:t>
            </w:r>
          </w:p>
        </w:tc>
        <w:tc>
          <w:tcPr>
            <w:tcW w:w="5324" w:type="dxa"/>
          </w:tcPr>
          <w:p w:rsidR="001E58CC" w:rsidRDefault="001E58CC" w:rsidP="001E58CC">
            <w:pPr>
              <w:pStyle w:val="AERtabletextleft"/>
            </w:pPr>
            <w:r>
              <w:t>6 February 2015</w:t>
            </w:r>
          </w:p>
        </w:tc>
      </w:tr>
      <w:tr w:rsidR="001E58CC" w:rsidTr="00AB0B02">
        <w:tc>
          <w:tcPr>
            <w:tcW w:w="3369" w:type="dxa"/>
          </w:tcPr>
          <w:p w:rsidR="001E58CC" w:rsidRPr="001E58CC" w:rsidRDefault="001E58CC" w:rsidP="001E58CC">
            <w:pPr>
              <w:pStyle w:val="AERtabletextleft"/>
            </w:pPr>
            <w:r>
              <w:t>Australian Gas Networks</w:t>
            </w:r>
          </w:p>
        </w:tc>
        <w:tc>
          <w:tcPr>
            <w:tcW w:w="5324" w:type="dxa"/>
          </w:tcPr>
          <w:p w:rsidR="001E58CC" w:rsidRDefault="001E58CC" w:rsidP="001E58CC">
            <w:pPr>
              <w:pStyle w:val="AERtabletextleft"/>
            </w:pPr>
            <w:r>
              <w:t>13 February 2015</w:t>
            </w:r>
          </w:p>
        </w:tc>
      </w:tr>
      <w:tr w:rsidR="001E58CC" w:rsidTr="00AB0B02">
        <w:trPr>
          <w:cnfStyle w:val="000000010000" w:firstRow="0" w:lastRow="0" w:firstColumn="0" w:lastColumn="0" w:oddVBand="0" w:evenVBand="0" w:oddHBand="0" w:evenHBand="1" w:firstRowFirstColumn="0" w:firstRowLastColumn="0" w:lastRowFirstColumn="0" w:lastRowLastColumn="0"/>
        </w:trPr>
        <w:tc>
          <w:tcPr>
            <w:tcW w:w="3369" w:type="dxa"/>
          </w:tcPr>
          <w:p w:rsidR="001E58CC" w:rsidRPr="001E58CC" w:rsidRDefault="001E58CC" w:rsidP="001E58CC">
            <w:pPr>
              <w:pStyle w:val="AERtabletextleft"/>
            </w:pPr>
            <w:r>
              <w:t>SA Power Networks</w:t>
            </w:r>
          </w:p>
        </w:tc>
        <w:tc>
          <w:tcPr>
            <w:tcW w:w="5324" w:type="dxa"/>
          </w:tcPr>
          <w:p w:rsidR="001E58CC" w:rsidRDefault="001E58CC" w:rsidP="001E58CC">
            <w:pPr>
              <w:pStyle w:val="AERtabletextleft"/>
            </w:pPr>
            <w:r>
              <w:t>6 February 2015</w:t>
            </w:r>
          </w:p>
        </w:tc>
      </w:tr>
      <w:tr w:rsidR="001E58CC" w:rsidTr="00AB0B02">
        <w:tc>
          <w:tcPr>
            <w:tcW w:w="3369" w:type="dxa"/>
          </w:tcPr>
          <w:p w:rsidR="001E58CC" w:rsidRPr="001E58CC" w:rsidRDefault="001E58CC" w:rsidP="001E58CC">
            <w:pPr>
              <w:pStyle w:val="AERtabletextleft"/>
            </w:pPr>
            <w:r>
              <w:t>United Energy^</w:t>
            </w:r>
          </w:p>
        </w:tc>
        <w:tc>
          <w:tcPr>
            <w:tcW w:w="5324" w:type="dxa"/>
          </w:tcPr>
          <w:p w:rsidR="001E58CC" w:rsidRDefault="001E58CC" w:rsidP="001E58CC">
            <w:pPr>
              <w:pStyle w:val="AERtabletextleft"/>
            </w:pPr>
            <w:r>
              <w:t xml:space="preserve">6 February 2015, </w:t>
            </w:r>
            <w:r w:rsidRPr="001E58CC">
              <w:t>13 February 2015; 27 March 2015*</w:t>
            </w:r>
          </w:p>
        </w:tc>
      </w:tr>
    </w:tbl>
    <w:p w:rsidR="00231EA4" w:rsidRPr="00AB7CDE" w:rsidRDefault="00231EA4" w:rsidP="00AB7CDE">
      <w:pPr>
        <w:pStyle w:val="AERtablesource"/>
      </w:pPr>
      <w:r w:rsidRPr="00AB7CDE">
        <w:t>*</w:t>
      </w:r>
      <w:r w:rsidRPr="00AB7CDE">
        <w:tab/>
        <w:t xml:space="preserve">Clause 6A.16(a) of the NER provides that the AER may, but is not required to, consider any late submission. Submissions from Ergon Energy and United Energy on 27 March 2015 were provided a considerable time after submissions on our draft decision and </w:t>
      </w:r>
      <w:r w:rsidR="00655528" w:rsidRPr="00AB7CDE">
        <w:t xml:space="preserve">Directlink's </w:t>
      </w:r>
      <w:r w:rsidRPr="00AB7CDE">
        <w:t xml:space="preserve">revised proposal closed. As we were in the final stages of our review of </w:t>
      </w:r>
      <w:r w:rsidR="00655528" w:rsidRPr="00AB7CDE">
        <w:t xml:space="preserve">Directlink's </w:t>
      </w:r>
      <w:r w:rsidRPr="00AB7CDE">
        <w:t>revised proposal at that time, there was not sufficient time for the AER, consumers or regulated businesses to comment upon or respond to these submissions in a meaningful way. We therefore exercised our discretion under clause 6A.16(a) not to consider these late submissions for the purposes of this final decision.</w:t>
      </w:r>
      <w:r w:rsidR="006F189B" w:rsidRPr="00AB7CDE">
        <w:t xml:space="preserve"> </w:t>
      </w:r>
      <w:r w:rsidR="00AB7CDE" w:rsidRPr="00AB7CDE">
        <w:t>This has not affected our consideration of submissions made by Ergon Energy on 13 February 2015, or by United Energy on 6 February and 13 February 2015.</w:t>
      </w:r>
    </w:p>
    <w:p w:rsidR="00091B15" w:rsidRPr="00091B15" w:rsidRDefault="00091B15" w:rsidP="00204EC9">
      <w:pPr>
        <w:pStyle w:val="AERtabletextleft"/>
      </w:pPr>
    </w:p>
    <w:sectPr w:rsidR="00091B15" w:rsidRPr="00091B15" w:rsidSect="00DF6C67">
      <w:headerReference w:type="default" r:id="rId19"/>
      <w:footerReference w:type="even" r:id="rId20"/>
      <w:footerReference w:type="default" r:id="rId21"/>
      <w:footerReference w:type="first" r:id="rId22"/>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25" w:rsidRPr="00290C63" w:rsidRDefault="00C75C25" w:rsidP="00290C63">
      <w:r>
        <w:separator/>
      </w:r>
    </w:p>
    <w:p w:rsidR="00C75C25" w:rsidRDefault="00C75C25"/>
  </w:endnote>
  <w:endnote w:type="continuationSeparator" w:id="0">
    <w:p w:rsidR="00C75C25" w:rsidRPr="00290C63" w:rsidRDefault="00C75C25" w:rsidP="00290C63">
      <w:r>
        <w:continuationSeparator/>
      </w:r>
    </w:p>
    <w:p w:rsidR="00C75C25" w:rsidRDefault="00C75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25" w:rsidRPr="00290C63" w:rsidRDefault="00C75C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75C25" w:rsidRDefault="00C75C25"/>
  <w:p w:rsidR="00C75C25" w:rsidRDefault="00C75C25"/>
  <w:p w:rsidR="00C75C25" w:rsidRDefault="00C75C25"/>
  <w:p w:rsidR="00C75C25" w:rsidRDefault="00C75C25"/>
  <w:p w:rsidR="00C75C25" w:rsidRDefault="00C75C25"/>
  <w:p w:rsidR="00C75C25" w:rsidRDefault="00C75C25"/>
  <w:p w:rsidR="00C75C25" w:rsidRDefault="00C75C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83834"/>
      <w:docPartObj>
        <w:docPartGallery w:val="Page Numbers (Bottom of Page)"/>
        <w:docPartUnique/>
      </w:docPartObj>
    </w:sdtPr>
    <w:sdtEndPr>
      <w:rPr>
        <w:noProof/>
        <w:szCs w:val="16"/>
      </w:rPr>
    </w:sdtEndPr>
    <w:sdtContent>
      <w:p w:rsidR="00C75C25" w:rsidRPr="009B6F84" w:rsidRDefault="00C75C25">
        <w:pPr>
          <w:pStyle w:val="Footer"/>
          <w:rPr>
            <w:sz w:val="20"/>
          </w:rPr>
        </w:pPr>
        <w:r>
          <w:fldChar w:fldCharType="begin"/>
        </w:r>
        <w:r>
          <w:instrText xml:space="preserve"> PAGE   \* MERGEFORMAT </w:instrText>
        </w:r>
        <w:r>
          <w:fldChar w:fldCharType="separate"/>
        </w:r>
        <w:r w:rsidR="00314B69">
          <w:rPr>
            <w:noProof/>
          </w:rPr>
          <w:t>2</w:t>
        </w:r>
        <w:r>
          <w:rPr>
            <w:noProof/>
          </w:rPr>
          <w:fldChar w:fldCharType="end"/>
        </w:r>
        <w:r>
          <w:rPr>
            <w:noProof/>
          </w:rPr>
          <w:t xml:space="preserve">          </w:t>
        </w:r>
        <w:r>
          <w:t xml:space="preserve">Final decision: Overview </w:t>
        </w:r>
        <w:r w:rsidRPr="009B6F84">
          <w:rPr>
            <w:rFonts w:cs="Gautami"/>
            <w:noProof/>
            <w:szCs w:val="16"/>
          </w:rPr>
          <w:t xml:space="preserve"> | </w:t>
        </w:r>
        <w:r>
          <w:t>Directlink transmission determination</w:t>
        </w:r>
        <w:r w:rsidRPr="009B6F84">
          <w:rPr>
            <w:sz w:val="20"/>
          </w:rPr>
          <w:t xml:space="preserve"> </w:t>
        </w:r>
        <w:r w:rsidRPr="009B6F84">
          <w:rPr>
            <w:rFonts w:cs="Gautami"/>
            <w:noProof/>
            <w:szCs w:val="16"/>
          </w:rPr>
          <w:t>2015–</w:t>
        </w:r>
        <w:r>
          <w:t>20</w:t>
        </w:r>
      </w:p>
    </w:sdtContent>
  </w:sdt>
  <w:p w:rsidR="00C75C25" w:rsidRDefault="00C75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25" w:rsidRPr="00290C63" w:rsidRDefault="00C75C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75C25" w:rsidRDefault="00C75C25">
    <w:pPr>
      <w:pStyle w:val="Footer"/>
    </w:pPr>
  </w:p>
  <w:p w:rsidR="00C75C25" w:rsidRDefault="00C75C25"/>
  <w:p w:rsidR="00C75C25" w:rsidRDefault="00C75C25"/>
  <w:p w:rsidR="00C75C25" w:rsidRDefault="00C75C25"/>
  <w:p w:rsidR="00C75C25" w:rsidRDefault="00C75C25"/>
  <w:p w:rsidR="00C75C25" w:rsidRDefault="00C75C25"/>
  <w:p w:rsidR="00C75C25" w:rsidRDefault="00C75C25"/>
  <w:p w:rsidR="00C75C25" w:rsidRDefault="00C75C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25" w:rsidRPr="00290C63" w:rsidRDefault="00C75C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75C25" w:rsidRDefault="00C75C25"/>
  <w:p w:rsidR="00C75C25" w:rsidRDefault="00C75C25"/>
  <w:p w:rsidR="00C75C25" w:rsidRDefault="00C75C25"/>
  <w:p w:rsidR="00C75C25" w:rsidRDefault="00C75C25"/>
  <w:p w:rsidR="00C75C25" w:rsidRDefault="00C75C25"/>
  <w:p w:rsidR="00C75C25" w:rsidRDefault="00C75C25"/>
  <w:p w:rsidR="00C75C25" w:rsidRDefault="00C75C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75C25" w:rsidRPr="009B6F84" w:rsidRDefault="00C75C25">
        <w:pPr>
          <w:pStyle w:val="Footer"/>
          <w:rPr>
            <w:sz w:val="20"/>
          </w:rPr>
        </w:pPr>
        <w:r>
          <w:fldChar w:fldCharType="begin"/>
        </w:r>
        <w:r>
          <w:instrText xml:space="preserve"> PAGE   \* MERGEFORMAT </w:instrText>
        </w:r>
        <w:r>
          <w:fldChar w:fldCharType="separate"/>
        </w:r>
        <w:r w:rsidR="00314B69">
          <w:rPr>
            <w:noProof/>
          </w:rPr>
          <w:t>3</w:t>
        </w:r>
        <w:r>
          <w:rPr>
            <w:noProof/>
          </w:rPr>
          <w:fldChar w:fldCharType="end"/>
        </w:r>
        <w:r>
          <w:rPr>
            <w:noProof/>
          </w:rPr>
          <w:t xml:space="preserve">          </w:t>
        </w:r>
        <w:r>
          <w:t>Final decision: overview</w:t>
        </w:r>
        <w:r w:rsidRPr="009B6F84">
          <w:rPr>
            <w:rFonts w:cs="Gautami"/>
            <w:noProof/>
            <w:szCs w:val="16"/>
          </w:rPr>
          <w:t xml:space="preserve"> | </w:t>
        </w:r>
        <w:r>
          <w:t>Directlink transmission determination 2015-20</w:t>
        </w:r>
      </w:p>
    </w:sdtContent>
  </w:sdt>
  <w:p w:rsidR="00C75C25" w:rsidRDefault="00C75C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25" w:rsidRPr="00290C63" w:rsidRDefault="00C75C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75C25" w:rsidRDefault="00C75C25">
    <w:pPr>
      <w:pStyle w:val="Footer"/>
    </w:pPr>
  </w:p>
  <w:p w:rsidR="00C75C25" w:rsidRDefault="00C75C25"/>
  <w:p w:rsidR="00C75C25" w:rsidRDefault="00C75C25"/>
  <w:p w:rsidR="00C75C25" w:rsidRDefault="00C75C25"/>
  <w:p w:rsidR="00C75C25" w:rsidRDefault="00C75C25"/>
  <w:p w:rsidR="00C75C25" w:rsidRDefault="00C75C25"/>
  <w:p w:rsidR="00C75C25" w:rsidRDefault="00C75C25"/>
  <w:p w:rsidR="00C75C25" w:rsidRDefault="00C75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25" w:rsidRPr="00290C63" w:rsidRDefault="00C75C25" w:rsidP="00290C63">
      <w:r>
        <w:separator/>
      </w:r>
    </w:p>
    <w:p w:rsidR="00C75C25" w:rsidRDefault="00C75C25"/>
  </w:footnote>
  <w:footnote w:type="continuationSeparator" w:id="0">
    <w:p w:rsidR="00C75C25" w:rsidRPr="00290C63" w:rsidRDefault="00C75C25" w:rsidP="00290C63">
      <w:r>
        <w:continuationSeparator/>
      </w:r>
    </w:p>
    <w:p w:rsidR="00C75C25" w:rsidRDefault="00C75C25"/>
  </w:footnote>
  <w:footnote w:id="1">
    <w:p w:rsidR="00C75C25" w:rsidRDefault="00C75C25" w:rsidP="005B3CA4">
      <w:pPr>
        <w:pStyle w:val="FootnoteText"/>
      </w:pPr>
      <w:r>
        <w:rPr>
          <w:rStyle w:val="FootnoteReference"/>
        </w:rPr>
        <w:footnoteRef/>
      </w:r>
      <w:r>
        <w:t xml:space="preserve"> </w:t>
      </w:r>
      <w:r>
        <w:tab/>
        <w:t>NEL, s. 7.</w:t>
      </w:r>
    </w:p>
  </w:footnote>
  <w:footnote w:id="2">
    <w:p w:rsidR="00C75C25" w:rsidRDefault="00C75C25">
      <w:pPr>
        <w:pStyle w:val="FootnoteText"/>
      </w:pPr>
      <w:r>
        <w:rPr>
          <w:rStyle w:val="FootnoteReference"/>
        </w:rPr>
        <w:footnoteRef/>
      </w:r>
      <w:r>
        <w:t xml:space="preserve"> </w:t>
      </w:r>
      <w:r>
        <w:tab/>
        <w:t>NER, cl. 6A.10.1.</w:t>
      </w:r>
    </w:p>
  </w:footnote>
  <w:footnote w:id="3">
    <w:p w:rsidR="00C75C25" w:rsidRDefault="00C75C25">
      <w:pPr>
        <w:pStyle w:val="FootnoteText"/>
      </w:pPr>
      <w:r>
        <w:rPr>
          <w:rStyle w:val="FootnoteReference"/>
        </w:rPr>
        <w:footnoteRef/>
      </w:r>
      <w:r>
        <w:t xml:space="preserve"> </w:t>
      </w:r>
      <w:r>
        <w:tab/>
        <w:t>NER, cll. 6A.4.2, 6A.5.4, 6A.10.1.</w:t>
      </w:r>
    </w:p>
  </w:footnote>
  <w:footnote w:id="4">
    <w:p w:rsidR="00C75C25" w:rsidRDefault="00C75C25">
      <w:pPr>
        <w:pStyle w:val="FootnoteText"/>
      </w:pPr>
      <w:r>
        <w:rPr>
          <w:rStyle w:val="FootnoteReference"/>
        </w:rPr>
        <w:footnoteRef/>
      </w:r>
      <w:r>
        <w:t xml:space="preserve"> </w:t>
      </w:r>
      <w:r>
        <w:tab/>
        <w:t>Hansard, SA House of Assembly, 9 February 2005 p. 1452</w:t>
      </w:r>
    </w:p>
  </w:footnote>
  <w:footnote w:id="5">
    <w:p w:rsidR="00C75C25" w:rsidRDefault="00C75C25" w:rsidP="00DD0D06">
      <w:pPr>
        <w:pStyle w:val="FootnoteText"/>
      </w:pPr>
      <w:r>
        <w:rPr>
          <w:rStyle w:val="FootnoteReference"/>
        </w:rPr>
        <w:footnoteRef/>
      </w:r>
      <w:r>
        <w:t xml:space="preserve"> </w:t>
      </w:r>
      <w:r>
        <w:tab/>
        <w:t xml:space="preserve">Directlink's transmission charges are recovered by TransGrid as the coordinating TNSP for NSW. We provide </w:t>
      </w:r>
      <w:r w:rsidRPr="003B504B">
        <w:t xml:space="preserve">an estimated impact </w:t>
      </w:r>
      <w:r>
        <w:t xml:space="preserve">of our final decisions for NSW transmission assets </w:t>
      </w:r>
      <w:r w:rsidRPr="003B504B">
        <w:t>on average electricity bills</w:t>
      </w:r>
      <w:r>
        <w:t xml:space="preserve"> in our final decision on TransGrid's transmission determination, which was released at the same time as this decision: </w:t>
      </w:r>
      <w:hyperlink r:id="rId1" w:history="1">
        <w:r w:rsidRPr="00FC09E6">
          <w:rPr>
            <w:rStyle w:val="Hyperlink"/>
            <w:sz w:val="16"/>
          </w:rPr>
          <w:t>http://www.aer.gov.au/node/23137</w:t>
        </w:r>
      </w:hyperlink>
      <w:r>
        <w:t xml:space="preserve"> </w:t>
      </w:r>
      <w:r w:rsidRPr="004E4683">
        <w:rPr>
          <w:rStyle w:val="CommentReference"/>
        </w:rPr>
        <w:t xml:space="preserve"> </w:t>
      </w:r>
    </w:p>
  </w:footnote>
  <w:footnote w:id="6">
    <w:p w:rsidR="00C75C25" w:rsidRDefault="00C75C25" w:rsidP="00D86DFA">
      <w:pPr>
        <w:pStyle w:val="FootnoteText"/>
      </w:pPr>
      <w:r>
        <w:rPr>
          <w:rStyle w:val="FootnoteReference"/>
        </w:rPr>
        <w:footnoteRef/>
      </w:r>
      <w:r>
        <w:t xml:space="preserve"> </w:t>
      </w:r>
      <w:r>
        <w:tab/>
        <w:t>How these key cost drivers impact total revenue is further explained in section 2 of this Overview</w:t>
      </w:r>
    </w:p>
  </w:footnote>
  <w:footnote w:id="7">
    <w:p w:rsidR="00C75C25" w:rsidRDefault="00C75C25" w:rsidP="00823B8F">
      <w:pPr>
        <w:pStyle w:val="FootnoteText"/>
      </w:pPr>
      <w:r>
        <w:rPr>
          <w:rStyle w:val="FootnoteReference"/>
        </w:rPr>
        <w:footnoteRef/>
      </w:r>
      <w:r>
        <w:t xml:space="preserve"> </w:t>
      </w:r>
      <w:r>
        <w:tab/>
        <w:t>NER, 6A.5.2(b)</w:t>
      </w:r>
    </w:p>
  </w:footnote>
  <w:footnote w:id="8">
    <w:p w:rsidR="00C75C25" w:rsidRDefault="00C75C25" w:rsidP="00E9409E">
      <w:pPr>
        <w:pStyle w:val="FootnoteText"/>
      </w:pPr>
      <w:r>
        <w:rPr>
          <w:rStyle w:val="FootnoteReference"/>
        </w:rPr>
        <w:footnoteRef/>
      </w:r>
      <w:r>
        <w:t xml:space="preserve"> </w:t>
      </w:r>
      <w:r>
        <w:tab/>
      </w:r>
      <w:r w:rsidRPr="009D1563">
        <w:t xml:space="preserve">The rate of return that </w:t>
      </w:r>
      <w:r>
        <w:t>Directlink</w:t>
      </w:r>
      <w:r w:rsidRPr="009D1563">
        <w:t xml:space="preserve"> included in its proposal is an indicative value. Its proposal includes provision for the AER to adjust this value based on updated information that was not available when </w:t>
      </w:r>
      <w:r>
        <w:t>Directlink</w:t>
      </w:r>
      <w:r w:rsidRPr="009D1563">
        <w:t xml:space="preserve"> submitted its revised proposal.</w:t>
      </w:r>
    </w:p>
  </w:footnote>
  <w:footnote w:id="9">
    <w:p w:rsidR="00C75C25" w:rsidRDefault="00C75C25">
      <w:pPr>
        <w:pStyle w:val="FootnoteText"/>
      </w:pPr>
      <w:r>
        <w:rPr>
          <w:rStyle w:val="FootnoteReference"/>
        </w:rPr>
        <w:footnoteRef/>
      </w:r>
      <w:r>
        <w:t xml:space="preserve"> </w:t>
      </w:r>
      <w:r>
        <w:tab/>
        <w:t xml:space="preserve">The difference in these two rates understates the degree of difference between our and Directlink's positions. This is because the return on debt component of Directlink's proposal was based on a placeholder estimate that did not fully reflect Directlink's proposed underlying methodology. Replacing this placeholder with an estimate that more closely reflects Directlink's proposed methodology results in a proposed rate of return of 7.80 per cent. This is based on a return on debt of 8 per cent. See: Directlink, </w:t>
      </w:r>
      <w:r w:rsidRPr="00FA0851">
        <w:rPr>
          <w:rStyle w:val="AERtextitalic"/>
        </w:rPr>
        <w:t>Initial revenue proposal—Attachment 6.1</w:t>
      </w:r>
      <w:r>
        <w:t>, p.6.</w:t>
      </w:r>
    </w:p>
  </w:footnote>
  <w:footnote w:id="10">
    <w:p w:rsidR="00C75C25" w:rsidRDefault="00C75C25">
      <w:pPr>
        <w:pStyle w:val="FootnoteText"/>
      </w:pPr>
      <w:r>
        <w:rPr>
          <w:rStyle w:val="FootnoteReference"/>
        </w:rPr>
        <w:footnoteRef/>
      </w:r>
      <w:r>
        <w:t xml:space="preserve"> </w:t>
      </w:r>
      <w:r>
        <w:tab/>
        <w:t xml:space="preserve">AER, Rate of Return Guideline, December 2013: </w:t>
      </w:r>
      <w:hyperlink r:id="rId2" w:history="1">
        <w:r w:rsidRPr="006926DD">
          <w:rPr>
            <w:rStyle w:val="Hyperlink"/>
            <w:sz w:val="16"/>
          </w:rPr>
          <w:t>http://www.aer.gov.au/node/18859</w:t>
        </w:r>
      </w:hyperlink>
      <w:r>
        <w:rPr>
          <w:rStyle w:val="Hyperlink"/>
        </w:rPr>
        <w:t>.</w:t>
      </w:r>
      <w:r>
        <w:t xml:space="preserve"> </w:t>
      </w:r>
    </w:p>
  </w:footnote>
  <w:footnote w:id="11">
    <w:p w:rsidR="00C75C25" w:rsidRDefault="00C75C25" w:rsidP="00823B8F">
      <w:pPr>
        <w:pStyle w:val="FootnoteText"/>
      </w:pPr>
      <w:r>
        <w:rPr>
          <w:rStyle w:val="FootnoteReference"/>
        </w:rPr>
        <w:footnoteRef/>
      </w:r>
      <w:r>
        <w:t xml:space="preserve"> </w:t>
      </w:r>
      <w:r>
        <w:tab/>
        <w:t xml:space="preserve">For example, TasNetworks, Revenue Proposal, June 2014. </w:t>
      </w:r>
    </w:p>
  </w:footnote>
  <w:footnote w:id="12">
    <w:p w:rsidR="00C75C25" w:rsidRDefault="00C75C25" w:rsidP="00823B8F">
      <w:pPr>
        <w:pStyle w:val="FootnoteText"/>
      </w:pPr>
      <w:r>
        <w:rPr>
          <w:rStyle w:val="FootnoteReference"/>
        </w:rPr>
        <w:footnoteRef/>
      </w:r>
      <w:r>
        <w:t xml:space="preserve"> </w:t>
      </w:r>
      <w:r>
        <w:tab/>
        <w:t>See Attachment 3 - Rate of Return.</w:t>
      </w:r>
    </w:p>
  </w:footnote>
  <w:footnote w:id="13">
    <w:p w:rsidR="00C75C25" w:rsidRDefault="00C75C25">
      <w:pPr>
        <w:pStyle w:val="FootnoteText"/>
      </w:pPr>
      <w:r>
        <w:rPr>
          <w:rStyle w:val="FootnoteReference"/>
        </w:rPr>
        <w:footnoteRef/>
      </w:r>
      <w:r>
        <w:t xml:space="preserve"> </w:t>
      </w:r>
      <w:r>
        <w:tab/>
        <w:t>NEL, s. 16(1)(d).</w:t>
      </w:r>
    </w:p>
  </w:footnote>
  <w:footnote w:id="14">
    <w:p w:rsidR="00C75C25" w:rsidRDefault="00C75C25">
      <w:pPr>
        <w:pStyle w:val="FootnoteText"/>
      </w:pPr>
      <w:r>
        <w:rPr>
          <w:rStyle w:val="FootnoteReference"/>
        </w:rPr>
        <w:footnoteRef/>
      </w:r>
      <w:r>
        <w:t xml:space="preserve"> </w:t>
      </w:r>
      <w:r>
        <w:tab/>
        <w:t>NER, cl. 6A.3.</w:t>
      </w:r>
    </w:p>
  </w:footnote>
  <w:footnote w:id="15">
    <w:p w:rsidR="00C75C25" w:rsidRDefault="00C75C25">
      <w:pPr>
        <w:pStyle w:val="FootnoteText"/>
      </w:pPr>
      <w:r>
        <w:rPr>
          <w:rStyle w:val="FootnoteReference"/>
        </w:rPr>
        <w:footnoteRef/>
      </w:r>
      <w:r>
        <w:t xml:space="preserve"> </w:t>
      </w:r>
      <w:r>
        <w:tab/>
      </w:r>
      <w:hyperlink r:id="rId3" w:history="1">
        <w:r w:rsidRPr="00E20981">
          <w:rPr>
            <w:rStyle w:val="Hyperlink"/>
            <w:sz w:val="16"/>
          </w:rPr>
          <w:t>http://www.aer.gov.au/Better-regulation</w:t>
        </w:r>
      </w:hyperlink>
      <w:r>
        <w:t xml:space="preserve">. </w:t>
      </w:r>
    </w:p>
  </w:footnote>
  <w:footnote w:id="16">
    <w:p w:rsidR="00C75C25" w:rsidRDefault="00C75C25" w:rsidP="00565402">
      <w:pPr>
        <w:pStyle w:val="FootnoteText"/>
      </w:pPr>
      <w:r>
        <w:rPr>
          <w:rStyle w:val="FootnoteReference"/>
        </w:rPr>
        <w:footnoteRef/>
      </w:r>
      <w:r>
        <w:t xml:space="preserve"> </w:t>
      </w:r>
      <w:r>
        <w:tab/>
        <w:t>NER, cl. 6A.5.4.</w:t>
      </w:r>
    </w:p>
  </w:footnote>
  <w:footnote w:id="17">
    <w:p w:rsidR="00C75C25" w:rsidRDefault="00C75C25" w:rsidP="00565402">
      <w:pPr>
        <w:pStyle w:val="FootnoteText"/>
      </w:pPr>
      <w:r>
        <w:rPr>
          <w:rStyle w:val="FootnoteReference"/>
        </w:rPr>
        <w:footnoteRef/>
      </w:r>
      <w:r>
        <w:t xml:space="preserve"> </w:t>
      </w:r>
      <w:r>
        <w:tab/>
        <w:t>NER, cll. 6A.6.1 and schedule 6A.2.</w:t>
      </w:r>
    </w:p>
  </w:footnote>
  <w:footnote w:id="18">
    <w:p w:rsidR="00C75C25" w:rsidRDefault="00C75C25" w:rsidP="002F4AE0">
      <w:pPr>
        <w:pStyle w:val="FootnoteText"/>
      </w:pPr>
      <w:r>
        <w:rPr>
          <w:rStyle w:val="FootnoteReference"/>
        </w:rPr>
        <w:footnoteRef/>
      </w:r>
      <w:r>
        <w:t xml:space="preserve"> </w:t>
      </w:r>
      <w:r>
        <w:tab/>
        <w:t>This RAB value is based on as-incurred capex.</w:t>
      </w:r>
    </w:p>
  </w:footnote>
  <w:footnote w:id="19">
    <w:p w:rsidR="00C75C25" w:rsidRDefault="00C75C25" w:rsidP="005B749D">
      <w:pPr>
        <w:pStyle w:val="FootnoteText"/>
      </w:pPr>
      <w:r>
        <w:rPr>
          <w:rStyle w:val="FootnoteReference"/>
        </w:rPr>
        <w:footnoteRef/>
      </w:r>
      <w:r>
        <w:t xml:space="preserve"> </w:t>
      </w:r>
      <w:r>
        <w:tab/>
        <w:t>NER, cl. 6A.6.2(a).</w:t>
      </w:r>
    </w:p>
  </w:footnote>
  <w:footnote w:id="20">
    <w:p w:rsidR="00C75C25" w:rsidRDefault="00C75C25" w:rsidP="005B749D">
      <w:pPr>
        <w:pStyle w:val="FootnoteText"/>
      </w:pPr>
      <w:r>
        <w:rPr>
          <w:rStyle w:val="FootnoteReference"/>
        </w:rPr>
        <w:footnoteRef/>
      </w:r>
      <w:r>
        <w:t xml:space="preserve"> </w:t>
      </w:r>
      <w:r>
        <w:tab/>
        <w:t>NER, cl. 6A.6.2(b)</w:t>
      </w:r>
    </w:p>
  </w:footnote>
  <w:footnote w:id="21">
    <w:p w:rsidR="00C75C25" w:rsidRDefault="00C75C25" w:rsidP="005B749D">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22">
    <w:p w:rsidR="00C75C25" w:rsidRDefault="00C75C25" w:rsidP="00E9409E">
      <w:pPr>
        <w:pStyle w:val="FootnoteText"/>
      </w:pPr>
      <w:r>
        <w:rPr>
          <w:rStyle w:val="FootnoteReference"/>
        </w:rPr>
        <w:footnoteRef/>
      </w:r>
      <w:r>
        <w:t xml:space="preserve"> </w:t>
      </w:r>
      <w:r>
        <w:tab/>
      </w:r>
      <w:r w:rsidRPr="009D1563">
        <w:t xml:space="preserve">The rate of return that </w:t>
      </w:r>
      <w:r>
        <w:t>Directlink</w:t>
      </w:r>
      <w:r w:rsidRPr="009D1563">
        <w:t xml:space="preserve"> included in its proposal is an indicative value. Its proposal includes provision for the AER to adjust this value based on updated information that was not available when </w:t>
      </w:r>
      <w:r>
        <w:t>Directlink</w:t>
      </w:r>
      <w:r w:rsidRPr="009D1563">
        <w:t xml:space="preserve"> submitted its revised proposal.</w:t>
      </w:r>
    </w:p>
  </w:footnote>
  <w:footnote w:id="23">
    <w:p w:rsidR="00C75C25" w:rsidRDefault="00C75C25" w:rsidP="005B749D">
      <w:pPr>
        <w:pStyle w:val="FootnoteText"/>
      </w:pPr>
      <w:r>
        <w:rPr>
          <w:rStyle w:val="FootnoteReference"/>
        </w:rPr>
        <w:footnoteRef/>
      </w:r>
      <w:r>
        <w:t xml:space="preserve"> </w:t>
      </w:r>
      <w:r>
        <w:tab/>
        <w:t>NER, cl. 6A.6.2(j)(2).</w:t>
      </w:r>
    </w:p>
  </w:footnote>
  <w:footnote w:id="24">
    <w:p w:rsidR="00C75C25" w:rsidRDefault="00C75C25" w:rsidP="005B749D">
      <w:pPr>
        <w:pStyle w:val="FootnoteText"/>
      </w:pPr>
      <w:r>
        <w:rPr>
          <w:rStyle w:val="FootnoteReference"/>
        </w:rPr>
        <w:footnoteRef/>
      </w:r>
      <w:r>
        <w:t xml:space="preserve"> </w:t>
      </w:r>
      <w:r>
        <w:tab/>
        <w:t>NER, cl. 6A.6.2(b).</w:t>
      </w:r>
    </w:p>
  </w:footnote>
  <w:footnote w:id="25">
    <w:p w:rsidR="00C75C25" w:rsidRDefault="00C75C25" w:rsidP="005B749D">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6">
    <w:p w:rsidR="00C75C25" w:rsidRDefault="00C75C25" w:rsidP="005B749D">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7">
    <w:p w:rsidR="00C75C25" w:rsidRDefault="00C75C25" w:rsidP="00C153C9">
      <w:pPr>
        <w:pStyle w:val="FootnoteText"/>
      </w:pPr>
      <w:r>
        <w:rPr>
          <w:rStyle w:val="FootnoteReference"/>
        </w:rPr>
        <w:footnoteRef/>
      </w:r>
      <w:r>
        <w:t xml:space="preserve"> </w:t>
      </w:r>
      <w:r>
        <w:tab/>
      </w:r>
      <w:r w:rsidRPr="00835CE1">
        <w:t xml:space="preserve">NER, </w:t>
      </w:r>
      <w:r>
        <w:t>6A.6.2(m)</w:t>
      </w:r>
    </w:p>
  </w:footnote>
  <w:footnote w:id="28">
    <w:p w:rsidR="00C75C25" w:rsidRPr="00F869C5" w:rsidRDefault="00C75C25" w:rsidP="00C153C9">
      <w:pPr>
        <w:pStyle w:val="FootnoteText"/>
      </w:pPr>
      <w:r w:rsidRPr="00F869C5">
        <w:rPr>
          <w:rStyle w:val="FootnoteReference"/>
          <w:vertAlign w:val="baseline"/>
        </w:rPr>
        <w:footnoteRef/>
      </w:r>
      <w:r w:rsidRPr="00F869C5">
        <w:t xml:space="preserve"> </w:t>
      </w:r>
      <w:r w:rsidRPr="00F869C5">
        <w:tab/>
      </w:r>
      <w:hyperlink r:id="rId4" w:history="1">
        <w:r w:rsidRPr="00F869C5">
          <w:rPr>
            <w:rStyle w:val="Hyperlink"/>
            <w:color w:val="auto"/>
            <w:sz w:val="16"/>
            <w:u w:val="none"/>
          </w:rPr>
          <w:t>http://www.aer.gov.au/node/18859</w:t>
        </w:r>
      </w:hyperlink>
      <w:r>
        <w:rPr>
          <w:rStyle w:val="Hyperlink"/>
          <w:color w:val="auto"/>
          <w:sz w:val="16"/>
          <w:u w:val="none"/>
        </w:rPr>
        <w:t xml:space="preserve"> </w:t>
      </w:r>
    </w:p>
  </w:footnote>
  <w:footnote w:id="29">
    <w:p w:rsidR="00C75C25" w:rsidRDefault="00C75C25">
      <w:pPr>
        <w:pStyle w:val="FootnoteText"/>
      </w:pPr>
      <w:r>
        <w:rPr>
          <w:rStyle w:val="FootnoteReference"/>
        </w:rPr>
        <w:footnoteRef/>
      </w:r>
      <w:r>
        <w:t xml:space="preserve"> </w:t>
      </w:r>
      <w:r>
        <w:tab/>
        <w:t>NER, cl. 6A.6.2(m).</w:t>
      </w:r>
    </w:p>
  </w:footnote>
  <w:footnote w:id="30">
    <w:p w:rsidR="00C75C25" w:rsidRPr="00F869C5" w:rsidRDefault="00C75C25" w:rsidP="00DA623D">
      <w:pPr>
        <w:pStyle w:val="FootnoteText"/>
      </w:pPr>
      <w:r>
        <w:rPr>
          <w:rStyle w:val="FootnoteReference"/>
        </w:rPr>
        <w:footnoteRef/>
      </w:r>
      <w:r>
        <w:t xml:space="preserve"> </w:t>
      </w:r>
      <w:r>
        <w:tab/>
      </w:r>
      <w:r w:rsidRPr="00DA623D">
        <w:t xml:space="preserve">This involved determining the return on debt by reference to the return on BBB+ rated bonds over a 10-40 business day averaging period that occurred as close as practicable to the </w:t>
      </w:r>
      <w:r w:rsidRPr="00E25FCB">
        <w:t xml:space="preserve">start of the </w:t>
      </w:r>
      <w:r w:rsidRPr="00E25FCB">
        <w:rPr>
          <w:rStyle w:val="AERtexthighlight"/>
          <w:shd w:val="clear" w:color="auto" w:fill="auto"/>
        </w:rPr>
        <w:t>regulatory control period</w:t>
      </w:r>
      <w:r w:rsidRPr="00E25FCB">
        <w:t>.</w:t>
      </w:r>
    </w:p>
  </w:footnote>
  <w:footnote w:id="31">
    <w:p w:rsidR="00C75C25" w:rsidRPr="00F869C5" w:rsidRDefault="00C75C25" w:rsidP="00DA623D">
      <w:pPr>
        <w:pStyle w:val="FootnoteText"/>
      </w:pPr>
      <w:r w:rsidRPr="00F869C5">
        <w:rPr>
          <w:rStyle w:val="FootnoteReference"/>
          <w:vertAlign w:val="baseline"/>
        </w:rPr>
        <w:footnoteRef/>
      </w:r>
      <w:r w:rsidRPr="00F869C5">
        <w:t xml:space="preserve"> </w:t>
      </w:r>
      <w:r w:rsidRPr="00F869C5">
        <w:tab/>
      </w:r>
      <w:r w:rsidRPr="00DA623D">
        <w:t>In broad terms, this means that</w:t>
      </w:r>
      <w:r>
        <w:t xml:space="preserve"> over the longer term</w:t>
      </w:r>
      <w:r w:rsidRPr="00DA623D">
        <w:t xml:space="preserve"> the return on debt for any year will represent the average return on debt over the previous ten years.</w:t>
      </w:r>
      <w:r w:rsidRPr="00F869C5">
        <w:t xml:space="preserve"> </w:t>
      </w:r>
    </w:p>
  </w:footnote>
  <w:footnote w:id="32">
    <w:p w:rsidR="00C75C25" w:rsidRDefault="00C75C25" w:rsidP="00DA623D">
      <w:pPr>
        <w:pStyle w:val="FootnoteText"/>
      </w:pPr>
      <w:r w:rsidRPr="00F869C5">
        <w:rPr>
          <w:rStyle w:val="FootnoteReference"/>
          <w:vertAlign w:val="baseline"/>
        </w:rPr>
        <w:footnoteRef/>
      </w:r>
      <w:r w:rsidRPr="00F869C5">
        <w:t xml:space="preserve"> </w:t>
      </w:r>
      <w:r w:rsidRPr="00F869C5">
        <w:tab/>
      </w:r>
      <w:r w:rsidRPr="00DA623D">
        <w:t xml:space="preserve">For 2015-16, this involves 100 per cent of the return on debt reflecting the return on bonds over an averaging period that occurred as close as practicable to the start of the 2015-16 </w:t>
      </w:r>
      <w:r w:rsidRPr="00E25FCB">
        <w:rPr>
          <w:rStyle w:val="AERtexthighlight"/>
          <w:shd w:val="clear" w:color="auto" w:fill="auto"/>
        </w:rPr>
        <w:t>regulatory year</w:t>
      </w:r>
      <w:r w:rsidRPr="00E25FCB">
        <w:t>. For 2016-17, this will involve 9</w:t>
      </w:r>
      <w:r w:rsidRPr="001A6D34">
        <w:t>0 per cent of the return on debt reflecting the 2015-16 averaging period and 10 per cent reflecting the 2016-17 averaging period. For 2017-18 this will involve 80 per cent of the return on debt reflecting the 2015-16 averaging period, 10 per cent reflectin</w:t>
      </w:r>
      <w:r w:rsidRPr="00AB7CDE">
        <w:t xml:space="preserve">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w:t>
      </w:r>
      <w:r>
        <w:t>R</w:t>
      </w:r>
      <w:r w:rsidRPr="00AB7CDE">
        <w:t xml:space="preserve">ate of </w:t>
      </w:r>
      <w:r>
        <w:t>R</w:t>
      </w:r>
      <w:r w:rsidRPr="00AB7CDE">
        <w:t xml:space="preserve">eturn </w:t>
      </w:r>
      <w:r>
        <w:t>G</w:t>
      </w:r>
      <w:r w:rsidRPr="00AB7CDE">
        <w:t>uideline.</w:t>
      </w:r>
    </w:p>
  </w:footnote>
  <w:footnote w:id="33">
    <w:p w:rsidR="00C75C25" w:rsidRDefault="00C75C25" w:rsidP="00DA623D">
      <w:pPr>
        <w:pStyle w:val="FootnoteText"/>
      </w:pPr>
      <w:r>
        <w:rPr>
          <w:rStyle w:val="FootnoteReference"/>
        </w:rPr>
        <w:footnoteRef/>
      </w:r>
      <w:r>
        <w:t xml:space="preserve"> </w:t>
      </w:r>
      <w:r>
        <w:tab/>
      </w:r>
      <w:r w:rsidRPr="00DA623D">
        <w:t>NER, cl. 6A.6.2(k)(4)</w:t>
      </w:r>
      <w:r>
        <w:t>.</w:t>
      </w:r>
    </w:p>
  </w:footnote>
  <w:footnote w:id="34">
    <w:p w:rsidR="00C75C25" w:rsidRDefault="00C75C25" w:rsidP="005B749D">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13;and </w:t>
      </w:r>
      <w:r w:rsidRPr="00555743">
        <w:rPr>
          <w:rStyle w:val="AERtextitalic"/>
        </w:rPr>
        <w:t>Return on equity, Report to the AER</w:t>
      </w:r>
      <w:r>
        <w:t xml:space="preserve">, (Updated) April 2015, John Handley, </w:t>
      </w:r>
      <w:r w:rsidRPr="00450C4F">
        <w:rPr>
          <w:rStyle w:val="AERtextitalic"/>
        </w:rPr>
        <w:t>Advice on return on equity, Report prepared for the AER</w:t>
      </w:r>
      <w:r>
        <w:t>, October 2014, p. 3.</w:t>
      </w:r>
    </w:p>
  </w:footnote>
  <w:footnote w:id="35">
    <w:p w:rsidR="00C75C25" w:rsidRDefault="00C75C25" w:rsidP="005B749D">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6">
    <w:p w:rsidR="00C75C25" w:rsidRDefault="00C75C25" w:rsidP="00502531">
      <w:pPr>
        <w:pStyle w:val="FootnoteText"/>
      </w:pPr>
      <w:r>
        <w:rPr>
          <w:rStyle w:val="FootnoteReference"/>
        </w:rPr>
        <w:footnoteRef/>
      </w:r>
      <w:r>
        <w:t xml:space="preserve"> </w:t>
      </w:r>
      <w:r>
        <w:tab/>
        <w:t>AER Final decision, TransGrid transmission determination 2015-18, April 2015 - see Attachment 3, Appendices E.1, E.2, E.4, and E.5 respectively (</w:t>
      </w:r>
      <w:hyperlink r:id="rId5" w:history="1">
        <w:r w:rsidRPr="00DB1EFD">
          <w:rPr>
            <w:rStyle w:val="Hyperlink"/>
            <w:sz w:val="16"/>
          </w:rPr>
          <w:t>http://www.aer.gov.au/node/23137</w:t>
        </w:r>
      </w:hyperlink>
      <w:r>
        <w:t xml:space="preserve">). </w:t>
      </w:r>
    </w:p>
  </w:footnote>
  <w:footnote w:id="37">
    <w:p w:rsidR="00C75C25" w:rsidRDefault="00C75C25" w:rsidP="004633BA">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38">
    <w:p w:rsidR="00C75C25" w:rsidRDefault="00C75C25" w:rsidP="004633BA">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39">
    <w:p w:rsidR="00C75C25" w:rsidRDefault="00C75C25" w:rsidP="004633BA">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40">
    <w:p w:rsidR="00C75C25" w:rsidRDefault="00C75C25" w:rsidP="00DF4FDB">
      <w:pPr>
        <w:pStyle w:val="FootnoteText"/>
      </w:pPr>
      <w:r>
        <w:rPr>
          <w:rStyle w:val="FootnoteReference"/>
        </w:rPr>
        <w:footnoteRef/>
      </w:r>
      <w:r>
        <w:t xml:space="preserve"> </w:t>
      </w:r>
      <w:r>
        <w:tab/>
      </w:r>
      <w:r w:rsidRPr="00890E69">
        <w:rPr>
          <w:rStyle w:val="AERtextitalic"/>
        </w:rPr>
        <w:t>Income Tax Assessment Act 1997</w:t>
      </w:r>
      <w:r>
        <w:t>, parts 3–6.</w:t>
      </w:r>
    </w:p>
  </w:footnote>
  <w:footnote w:id="41">
    <w:p w:rsidR="00C75C25" w:rsidRDefault="00C75C25" w:rsidP="00DF4FDB">
      <w:pPr>
        <w:pStyle w:val="FootnoteText"/>
      </w:pPr>
      <w:r>
        <w:rPr>
          <w:rStyle w:val="FootnoteReference"/>
        </w:rPr>
        <w:footnoteRef/>
      </w:r>
      <w:r>
        <w:t xml:space="preserve"> </w:t>
      </w:r>
      <w:r>
        <w:tab/>
        <w:t>NER, cll. 6A.5.4(a)(4), 6A.5.4(b)(4) and 6A.6.4.</w:t>
      </w:r>
    </w:p>
  </w:footnote>
  <w:footnote w:id="42">
    <w:p w:rsidR="00C75C25" w:rsidRDefault="00C75C25" w:rsidP="00107417">
      <w:pPr>
        <w:pStyle w:val="FootnoteText"/>
      </w:pPr>
      <w:r>
        <w:rPr>
          <w:rStyle w:val="FootnoteReference"/>
        </w:rPr>
        <w:footnoteRef/>
      </w:r>
      <w:r>
        <w:t xml:space="preserve"> </w:t>
      </w:r>
      <w:r>
        <w:tab/>
        <w:t>NER, cl. 6A.6.3(b)</w:t>
      </w:r>
    </w:p>
  </w:footnote>
  <w:footnote w:id="43">
    <w:p w:rsidR="00C75C25" w:rsidRDefault="00C75C25" w:rsidP="00107417">
      <w:pPr>
        <w:pStyle w:val="FootnoteText"/>
      </w:pPr>
      <w:r>
        <w:rPr>
          <w:rStyle w:val="FootnoteReference"/>
        </w:rPr>
        <w:footnoteRef/>
      </w:r>
      <w:r>
        <w:t xml:space="preserve"> </w:t>
      </w:r>
      <w:r>
        <w:tab/>
        <w:t>NER, cl. 6A.6.3(b)</w:t>
      </w:r>
    </w:p>
  </w:footnote>
  <w:footnote w:id="44">
    <w:p w:rsidR="00C75C25" w:rsidRDefault="00C75C25" w:rsidP="004F098A">
      <w:pPr>
        <w:pStyle w:val="FootnoteText"/>
      </w:pPr>
      <w:r>
        <w:rPr>
          <w:rStyle w:val="FootnoteReference"/>
        </w:rPr>
        <w:footnoteRef/>
      </w:r>
      <w:r>
        <w:t xml:space="preserve"> </w:t>
      </w:r>
      <w:r>
        <w:tab/>
        <w:t>NER, cl. 6A.5.4(a)(4).</w:t>
      </w:r>
    </w:p>
  </w:footnote>
  <w:footnote w:id="45">
    <w:p w:rsidR="00C75C25" w:rsidRDefault="00C75C25" w:rsidP="00C605BF">
      <w:pPr>
        <w:pStyle w:val="FootnoteText"/>
      </w:pPr>
      <w:r>
        <w:rPr>
          <w:rStyle w:val="FootnoteReference"/>
        </w:rPr>
        <w:footnoteRef/>
      </w:r>
      <w:r>
        <w:t xml:space="preserve"> </w:t>
      </w:r>
      <w:r>
        <w:tab/>
        <w:t>NER, cl. 6A.6.4.</w:t>
      </w:r>
    </w:p>
  </w:footnote>
  <w:footnote w:id="46">
    <w:p w:rsidR="00C75C25" w:rsidRDefault="00C75C25" w:rsidP="00896C55">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7">
    <w:p w:rsidR="00C75C25" w:rsidRDefault="00C75C25" w:rsidP="00D924AE">
      <w:pPr>
        <w:pStyle w:val="FootnoteText"/>
      </w:pPr>
      <w:r>
        <w:rPr>
          <w:rStyle w:val="FootnoteReference"/>
        </w:rPr>
        <w:footnoteRef/>
      </w:r>
      <w:r>
        <w:t xml:space="preserve"> </w:t>
      </w:r>
      <w:r>
        <w:tab/>
        <w:t>NEL, s. 7.</w:t>
      </w:r>
    </w:p>
  </w:footnote>
  <w:footnote w:id="48">
    <w:p w:rsidR="00C75C25" w:rsidRDefault="00C75C25" w:rsidP="00D924AE">
      <w:pPr>
        <w:pStyle w:val="FootnoteText"/>
      </w:pPr>
      <w:r>
        <w:rPr>
          <w:rStyle w:val="FootnoteReference"/>
        </w:rPr>
        <w:footnoteRef/>
      </w:r>
      <w:r>
        <w:t xml:space="preserve"> </w:t>
      </w:r>
      <w:r>
        <w:tab/>
        <w:t>NEL, s. 7A.</w:t>
      </w:r>
    </w:p>
  </w:footnote>
  <w:footnote w:id="49">
    <w:p w:rsidR="00C75C25" w:rsidRDefault="00C75C25" w:rsidP="00D924AE">
      <w:pPr>
        <w:pStyle w:val="FootnoteText"/>
      </w:pPr>
      <w:r>
        <w:rPr>
          <w:rStyle w:val="FootnoteReference"/>
        </w:rPr>
        <w:footnoteRef/>
      </w:r>
      <w:r>
        <w:t xml:space="preserve"> </w:t>
      </w:r>
      <w:r>
        <w:tab/>
        <w:t>NEL, s. 16(2).</w:t>
      </w:r>
    </w:p>
  </w:footnote>
  <w:footnote w:id="50">
    <w:p w:rsidR="00C75C25" w:rsidRDefault="00C75C25" w:rsidP="0041691D">
      <w:pPr>
        <w:pStyle w:val="FootnoteText"/>
      </w:pPr>
      <w:r>
        <w:rPr>
          <w:rStyle w:val="FootnoteReference"/>
        </w:rPr>
        <w:footnoteRef/>
      </w:r>
      <w:r>
        <w:t xml:space="preserve"> </w:t>
      </w:r>
      <w:r>
        <w:tab/>
        <w:t>Hansard, SA House of Assembly, 27 September 2007 pp. 965, Hansard, SA House of Assembly, 26 September 2013, p. 7173.</w:t>
      </w:r>
    </w:p>
  </w:footnote>
  <w:footnote w:id="51">
    <w:p w:rsidR="00C75C25" w:rsidRDefault="00C75C25" w:rsidP="00D924AE">
      <w:pPr>
        <w:pStyle w:val="FootnoteText"/>
      </w:pPr>
      <w:r>
        <w:rPr>
          <w:rStyle w:val="FootnoteReference"/>
        </w:rPr>
        <w:footnoteRef/>
      </w:r>
      <w:r>
        <w:t xml:space="preserve"> </w:t>
      </w:r>
      <w:r>
        <w:tab/>
        <w:t>NEL, s. 88.</w:t>
      </w:r>
    </w:p>
    <w:p w:rsidR="00C75C25" w:rsidRDefault="00C75C25" w:rsidP="00D924A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52">
    <w:p w:rsidR="00C75C25" w:rsidRDefault="00C75C25" w:rsidP="00393ABE">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33-34</w:t>
      </w:r>
    </w:p>
    <w:p w:rsidR="00C75C25" w:rsidRPr="00E81031" w:rsidRDefault="00C75C25" w:rsidP="00393ABE">
      <w:pPr>
        <w:pStyle w:val="FootnoteText"/>
        <w:rPr>
          <w:rStyle w:val="AERtexthighlight"/>
        </w:rPr>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xml:space="preserve">p 35-6.   </w:t>
      </w:r>
    </w:p>
    <w:p w:rsidR="00C75C25" w:rsidRDefault="00C75C25" w:rsidP="00393ABE">
      <w:pPr>
        <w:pStyle w:val="FootnoteText"/>
      </w:pPr>
    </w:p>
  </w:footnote>
  <w:footnote w:id="53">
    <w:p w:rsidR="00C75C25" w:rsidRDefault="00C75C25" w:rsidP="00C362C1">
      <w:pPr>
        <w:pStyle w:val="FootnoteText"/>
      </w:pPr>
      <w:r>
        <w:rPr>
          <w:rStyle w:val="FootnoteReference"/>
        </w:rPr>
        <w:footnoteRef/>
      </w:r>
      <w:r>
        <w:t xml:space="preserve"> </w:t>
      </w:r>
      <w:r>
        <w:tab/>
        <w:t>Hansard, SA House of Assembly, 9 February 2005 pp. 1451</w:t>
      </w:r>
      <w:r>
        <w:rPr>
          <w:rFonts w:cs="Gautami"/>
        </w:rPr>
        <w:t>–</w:t>
      </w:r>
      <w:r>
        <w:t>1460.</w:t>
      </w:r>
    </w:p>
    <w:p w:rsidR="00C75C25" w:rsidRDefault="00C75C25" w:rsidP="00C362C1">
      <w:pPr>
        <w:pStyle w:val="FootnoteText"/>
      </w:pPr>
      <w:r>
        <w:tab/>
        <w:t>Hansard, SA House of Assembly, 27 September 2007 pp. 963</w:t>
      </w:r>
      <w:r>
        <w:rPr>
          <w:rFonts w:cs="Gautami"/>
        </w:rPr>
        <w:t>–</w:t>
      </w:r>
      <w:r>
        <w:t xml:space="preserve">972. </w:t>
      </w:r>
    </w:p>
    <w:p w:rsidR="00C75C25" w:rsidRDefault="00C75C25" w:rsidP="00C362C1">
      <w:pPr>
        <w:pStyle w:val="FootnoteText"/>
      </w:pPr>
      <w:r>
        <w:tab/>
        <w:t>Hansard, SA House of Assembly, 26 September 2013 pp. 7171</w:t>
      </w:r>
      <w:r>
        <w:rPr>
          <w:rFonts w:cs="Gautami"/>
        </w:rPr>
        <w:t>–</w:t>
      </w:r>
      <w:r>
        <w:t>7176.</w:t>
      </w:r>
    </w:p>
  </w:footnote>
  <w:footnote w:id="54">
    <w:p w:rsidR="00C75C25" w:rsidRDefault="00C75C25" w:rsidP="00C362C1">
      <w:pPr>
        <w:pStyle w:val="FootnoteText"/>
      </w:pPr>
      <w:r>
        <w:rPr>
          <w:rStyle w:val="FootnoteReference"/>
        </w:rPr>
        <w:footnoteRef/>
      </w:r>
      <w:r>
        <w:tab/>
        <w:t>Hansard, SA House of Assembly, 26 September 2013 p. 7173.</w:t>
      </w:r>
    </w:p>
  </w:footnote>
  <w:footnote w:id="55">
    <w:p w:rsidR="00C75C25" w:rsidRDefault="00C75C25" w:rsidP="00C362C1">
      <w:pPr>
        <w:pStyle w:val="FootnoteText"/>
      </w:pPr>
      <w:r>
        <w:rPr>
          <w:rStyle w:val="FootnoteReference"/>
        </w:rPr>
        <w:footnoteRef/>
      </w:r>
      <w:r>
        <w:t xml:space="preserve"> </w:t>
      </w:r>
      <w:r>
        <w:tab/>
        <w:t>Hansard, SA House of Assembly, 9 February 2005 p. 1452.</w:t>
      </w:r>
    </w:p>
  </w:footnote>
  <w:footnote w:id="56">
    <w:p w:rsidR="00C75C25" w:rsidRPr="001114AA" w:rsidRDefault="00C75C25" w:rsidP="00C362C1">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C75C25" w:rsidRDefault="00C75C25" w:rsidP="00C362C1">
      <w:pPr>
        <w:pStyle w:val="FootnoteText"/>
      </w:pPr>
      <w:r>
        <w:tab/>
        <w:t>Energy Ministers also accept this view – see Hansard, SA House of Assembly, 26 September 2013 p. 7172.</w:t>
      </w:r>
    </w:p>
    <w:p w:rsidR="00C75C25" w:rsidRDefault="00C75C25" w:rsidP="00C362C1">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7">
    <w:p w:rsidR="00C75C25" w:rsidRDefault="00C75C25" w:rsidP="00C362C1">
      <w:pPr>
        <w:pStyle w:val="FootnoteText"/>
      </w:pPr>
      <w:r>
        <w:rPr>
          <w:rStyle w:val="FootnoteReference"/>
        </w:rPr>
        <w:footnoteRef/>
      </w:r>
      <w:r>
        <w:t xml:space="preserve"> </w:t>
      </w:r>
      <w:r>
        <w:tab/>
        <w:t>NEL, s. 7A(7).</w:t>
      </w:r>
    </w:p>
  </w:footnote>
  <w:footnote w:id="58">
    <w:p w:rsidR="00C75C25" w:rsidRDefault="00C75C25" w:rsidP="00C362C1">
      <w:pPr>
        <w:pStyle w:val="FootnoteText"/>
      </w:pPr>
      <w:r>
        <w:rPr>
          <w:rStyle w:val="FootnoteReference"/>
        </w:rPr>
        <w:footnoteRef/>
      </w:r>
      <w:r>
        <w:t xml:space="preserve"> </w:t>
      </w:r>
      <w:r>
        <w:tab/>
        <w:t>NEL, s. 7A(6).</w:t>
      </w:r>
    </w:p>
  </w:footnote>
  <w:footnote w:id="59">
    <w:p w:rsidR="00C75C25" w:rsidRDefault="00C75C25" w:rsidP="00D924AE">
      <w:pPr>
        <w:pStyle w:val="FootnoteText"/>
      </w:pPr>
      <w:r>
        <w:rPr>
          <w:rStyle w:val="FootnoteReference"/>
        </w:rPr>
        <w:footnoteRef/>
      </w:r>
      <w:r>
        <w:t xml:space="preserve"> </w:t>
      </w:r>
      <w:r>
        <w:tab/>
        <w:t>NEL, ss. 16(1)(d) and 71P(2a)(c).</w:t>
      </w:r>
    </w:p>
    <w:p w:rsidR="00C75C25" w:rsidRDefault="00C75C25"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C75C25" w:rsidRDefault="00C75C25" w:rsidP="00D924AE">
      <w:pPr>
        <w:pStyle w:val="FootnoteText"/>
      </w:pPr>
      <w:r>
        <w:tab/>
        <w:t>Hansard, SA House of Assembly, 26 September 2013 p. 7172.</w:t>
      </w:r>
    </w:p>
  </w:footnote>
  <w:footnote w:id="60">
    <w:p w:rsidR="00C75C25" w:rsidRDefault="00C75C25" w:rsidP="00D924AE">
      <w:pPr>
        <w:pStyle w:val="FootnoteText"/>
      </w:pPr>
      <w:r>
        <w:rPr>
          <w:rStyle w:val="FootnoteReference"/>
        </w:rPr>
        <w:footnoteRef/>
      </w:r>
      <w:r>
        <w:t xml:space="preserve"> </w:t>
      </w:r>
      <w:r>
        <w:tab/>
        <w:t>For example, NER, cl. 6A.6.2(b), 6A.6.6(a), 6A.6.7(a)</w:t>
      </w:r>
    </w:p>
    <w:p w:rsidR="00C75C25" w:rsidRDefault="00C75C25"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61">
    <w:p w:rsidR="00C75C25" w:rsidRDefault="00C75C25" w:rsidP="00D924A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62">
    <w:p w:rsidR="00C75C25" w:rsidRDefault="00C75C25" w:rsidP="00D924AE">
      <w:pPr>
        <w:pStyle w:val="FootnoteText"/>
      </w:pPr>
      <w:r>
        <w:rPr>
          <w:rStyle w:val="FootnoteReference"/>
        </w:rPr>
        <w:footnoteRef/>
      </w:r>
      <w:r>
        <w:t xml:space="preserve"> </w:t>
      </w:r>
      <w:r>
        <w:tab/>
        <w:t>Hansard, SA House of Assembly, 26 September 2013 p. 7171.</w:t>
      </w:r>
    </w:p>
  </w:footnote>
  <w:footnote w:id="63">
    <w:p w:rsidR="00C75C25" w:rsidRDefault="00C75C25" w:rsidP="00D924AE">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C75C25" w:rsidRDefault="00C75C25" w:rsidP="00D924AE">
      <w:pPr>
        <w:pStyle w:val="FootnoteText"/>
      </w:pPr>
      <w:r>
        <w:tab/>
        <w:t>Hansard, SA House of Assembly, 26 September 2013 pp. 7171 and 7173; See also NEL, ss. 2, 16 and 71A which focus the AER’s decision making and merits review at the overall decision, rather than its constituent components.</w:t>
      </w:r>
    </w:p>
    <w:p w:rsidR="00C75C25" w:rsidRDefault="00C75C25" w:rsidP="00D924AE">
      <w:pPr>
        <w:pStyle w:val="FootnoteText"/>
      </w:pPr>
      <w:r>
        <w:tab/>
        <w:t xml:space="preserve">SCER, </w:t>
      </w:r>
      <w:hyperlink r:id="rId6"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64">
    <w:p w:rsidR="00C75C25" w:rsidRDefault="00C75C25">
      <w:pPr>
        <w:pStyle w:val="FootnoteText"/>
      </w:pPr>
      <w:r>
        <w:rPr>
          <w:rStyle w:val="FootnoteReference"/>
        </w:rPr>
        <w:footnoteRef/>
      </w:r>
      <w:r>
        <w:t xml:space="preserve"> </w:t>
      </w:r>
      <w:r>
        <w:tab/>
        <w:t>NEL, s. 16(c).</w:t>
      </w:r>
    </w:p>
  </w:footnote>
  <w:footnote w:id="65">
    <w:p w:rsidR="00C75C25" w:rsidRDefault="00C75C25">
      <w:pPr>
        <w:pStyle w:val="FootnoteText"/>
      </w:pPr>
      <w:r>
        <w:rPr>
          <w:rStyle w:val="FootnoteReference"/>
        </w:rPr>
        <w:footnoteRef/>
      </w:r>
      <w:r>
        <w:t xml:space="preserve"> </w:t>
      </w:r>
      <w:r>
        <w:tab/>
        <w:t>NEL, s. 16(1)(d).</w:t>
      </w:r>
    </w:p>
  </w:footnote>
  <w:footnote w:id="66">
    <w:p w:rsidR="00C75C25" w:rsidRDefault="00C75C25">
      <w:pPr>
        <w:pStyle w:val="FootnoteText"/>
      </w:pPr>
      <w:r>
        <w:rPr>
          <w:rStyle w:val="FootnoteReference"/>
        </w:rPr>
        <w:footnoteRef/>
      </w:r>
      <w:r>
        <w:t xml:space="preserve"> </w:t>
      </w:r>
      <w:r>
        <w:tab/>
        <w:t>NER, cl. 6A.13.3(2).</w:t>
      </w:r>
    </w:p>
  </w:footnote>
  <w:footnote w:id="67">
    <w:p w:rsidR="00C75C25" w:rsidRDefault="00C75C25">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68">
    <w:p w:rsidR="00C75C25" w:rsidRDefault="00C75C25" w:rsidP="00B33148">
      <w:pPr>
        <w:pStyle w:val="FootnoteText"/>
      </w:pPr>
      <w:r>
        <w:rPr>
          <w:rStyle w:val="FootnoteReference"/>
        </w:rPr>
        <w:footnoteRef/>
      </w:r>
      <w:r>
        <w:t xml:space="preserve"> </w:t>
      </w:r>
      <w:r>
        <w:tab/>
        <w:t>NEL, s. 16(1)(b)</w:t>
      </w:r>
    </w:p>
  </w:footnote>
  <w:footnote w:id="69">
    <w:p w:rsidR="00C75C25" w:rsidRDefault="00C75C25"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70">
    <w:p w:rsidR="00C75C25" w:rsidRDefault="00C75C25"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71">
    <w:p w:rsidR="00C75C25" w:rsidRDefault="00C75C25" w:rsidP="00512CC3">
      <w:pPr>
        <w:pStyle w:val="FootnoteText"/>
      </w:pPr>
      <w:r>
        <w:rPr>
          <w:rStyle w:val="FootnoteReference"/>
        </w:rPr>
        <w:footnoteRef/>
      </w:r>
      <w:r>
        <w:t xml:space="preserve"> </w:t>
      </w:r>
      <w:r>
        <w:tab/>
      </w:r>
      <w:r w:rsidRPr="00A97AE6">
        <w:t>http://www.aer.gov.au/Better-regulation-reform-program</w:t>
      </w:r>
    </w:p>
  </w:footnote>
  <w:footnote w:id="72">
    <w:p w:rsidR="00C75C25" w:rsidRDefault="00C75C25">
      <w:pPr>
        <w:pStyle w:val="FootnoteText"/>
      </w:pPr>
      <w:r>
        <w:rPr>
          <w:rStyle w:val="FootnoteReference"/>
        </w:rPr>
        <w:footnoteRef/>
      </w:r>
      <w:r>
        <w:t xml:space="preserve"> </w:t>
      </w:r>
      <w:r>
        <w:tab/>
      </w:r>
      <w:r w:rsidRPr="00E81031">
        <w:t>AER - Issues paper TransGrid, TasNetworks (Transend), Directlink electricity transmission revenue proposals - July 2014</w:t>
      </w:r>
      <w:r>
        <w:t xml:space="preserve"> ( </w:t>
      </w:r>
      <w:hyperlink r:id="rId7" w:history="1">
        <w:r w:rsidRPr="00E665B9">
          <w:rPr>
            <w:rStyle w:val="Hyperlink"/>
            <w:sz w:val="16"/>
          </w:rPr>
          <w:t>http://www.aer.gov.au/node/23143</w:t>
        </w:r>
      </w:hyperlink>
      <w:r>
        <w:t xml:space="preserve">). Clause 6A.11.3(b)-(b2) requires the AER publish an issues paper, however cl. 11.57.2(a) of the transition rules excludes these sections from this  determination. </w:t>
      </w:r>
      <w:r w:rsidRPr="00F34ADD">
        <w:rPr>
          <w:rStyle w:val="AERbody"/>
          <w:sz w:val="16"/>
        </w:rPr>
        <w:t>While we were not required to prepare an issues paper, we used it as a guide for stakeholders on what we saw as the key issues and suggestions where they could focus their re</w:t>
      </w:r>
      <w:r w:rsidRPr="004C5132">
        <w:rPr>
          <w:rStyle w:val="AERbody"/>
          <w:sz w:val="16"/>
        </w:rPr>
        <w:t xml:space="preserve">sponses in </w:t>
      </w:r>
      <w:r w:rsidRPr="00A20E0C">
        <w:rPr>
          <w:rStyle w:val="AERbody"/>
          <w:sz w:val="16"/>
        </w:rPr>
        <w:t>light of the volume of material submitted. We therefore structured our issues paper by providing</w:t>
      </w:r>
      <w:r>
        <w:rPr>
          <w:rStyle w:val="AERbody"/>
        </w:rPr>
        <w:t xml:space="preserve"> </w:t>
      </w:r>
      <w:r w:rsidRPr="00A570F9">
        <w:t xml:space="preserve">a high level perspective on </w:t>
      </w:r>
      <w:r>
        <w:t>Directlink's</w:t>
      </w:r>
      <w:r w:rsidRPr="00A570F9">
        <w:t xml:space="preserve"> proposal and our initial observations</w:t>
      </w:r>
      <w:r>
        <w:t xml:space="preserve"> followed by some analysis around key drivers of Directlink's proposal</w:t>
      </w:r>
      <w:r w:rsidRPr="00A570F9">
        <w:t>.</w:t>
      </w:r>
    </w:p>
  </w:footnote>
  <w:footnote w:id="73">
    <w:p w:rsidR="00C75C25" w:rsidRDefault="00C75C25" w:rsidP="008F3A0D">
      <w:pPr>
        <w:pStyle w:val="FootnoteText"/>
      </w:pPr>
      <w:r>
        <w:rPr>
          <w:rStyle w:val="FootnoteReference"/>
        </w:rPr>
        <w:footnoteRef/>
      </w:r>
      <w:r>
        <w:t xml:space="preserve"> </w:t>
      </w:r>
      <w:r>
        <w:tab/>
        <w:t>NEL, s. 16(1)(c).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25" w:rsidRDefault="00C75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32"/>
  </w:num>
  <w:num w:numId="29">
    <w:abstractNumId w:val="22"/>
  </w:num>
  <w:num w:numId="30">
    <w:abstractNumId w:val="9"/>
  </w:num>
  <w:num w:numId="31">
    <w:abstractNumId w:val="12"/>
  </w:num>
  <w:num w:numId="32">
    <w:abstractNumId w:val="19"/>
  </w:num>
  <w:num w:numId="33">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4"/>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X/vKWfQivlr2QI01aUhFjVDmxUBnDEJuIYoCRMhsvg=" w:saltValue="iwk0S3AMdcLt+fG1zdIoMA=="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Overview - April 2015.DOCX"/>
  </w:docVars>
  <w:rsids>
    <w:rsidRoot w:val="00961A4A"/>
    <w:rsid w:val="00000515"/>
    <w:rsid w:val="0001507B"/>
    <w:rsid w:val="00020016"/>
    <w:rsid w:val="00021202"/>
    <w:rsid w:val="00021C2B"/>
    <w:rsid w:val="0002517F"/>
    <w:rsid w:val="000266FC"/>
    <w:rsid w:val="00027E2D"/>
    <w:rsid w:val="00030ECD"/>
    <w:rsid w:val="0003578C"/>
    <w:rsid w:val="000419EF"/>
    <w:rsid w:val="00055A67"/>
    <w:rsid w:val="000569A8"/>
    <w:rsid w:val="00063247"/>
    <w:rsid w:val="00063EA8"/>
    <w:rsid w:val="00070F9F"/>
    <w:rsid w:val="0007137B"/>
    <w:rsid w:val="00071628"/>
    <w:rsid w:val="00076416"/>
    <w:rsid w:val="00081D4E"/>
    <w:rsid w:val="00084C7B"/>
    <w:rsid w:val="00085663"/>
    <w:rsid w:val="00085EBF"/>
    <w:rsid w:val="00091B15"/>
    <w:rsid w:val="000922A8"/>
    <w:rsid w:val="00095186"/>
    <w:rsid w:val="000A3020"/>
    <w:rsid w:val="000A378A"/>
    <w:rsid w:val="000A6C7B"/>
    <w:rsid w:val="000B0A7B"/>
    <w:rsid w:val="000B1ABF"/>
    <w:rsid w:val="000B64A9"/>
    <w:rsid w:val="000B7037"/>
    <w:rsid w:val="000C0910"/>
    <w:rsid w:val="000C140B"/>
    <w:rsid w:val="000C2B40"/>
    <w:rsid w:val="000C4607"/>
    <w:rsid w:val="000D122C"/>
    <w:rsid w:val="000D4D2B"/>
    <w:rsid w:val="000D4E12"/>
    <w:rsid w:val="000E1819"/>
    <w:rsid w:val="000E386E"/>
    <w:rsid w:val="000E4821"/>
    <w:rsid w:val="000E6C72"/>
    <w:rsid w:val="000F513F"/>
    <w:rsid w:val="00100EA2"/>
    <w:rsid w:val="00102338"/>
    <w:rsid w:val="00105EDE"/>
    <w:rsid w:val="00107417"/>
    <w:rsid w:val="00111266"/>
    <w:rsid w:val="001114AA"/>
    <w:rsid w:val="0011294E"/>
    <w:rsid w:val="00112974"/>
    <w:rsid w:val="00115251"/>
    <w:rsid w:val="00116EB2"/>
    <w:rsid w:val="0012234D"/>
    <w:rsid w:val="00122B69"/>
    <w:rsid w:val="00124609"/>
    <w:rsid w:val="00124C95"/>
    <w:rsid w:val="00126A4C"/>
    <w:rsid w:val="001270E3"/>
    <w:rsid w:val="001308E1"/>
    <w:rsid w:val="00133366"/>
    <w:rsid w:val="00141995"/>
    <w:rsid w:val="00142C2D"/>
    <w:rsid w:val="00144276"/>
    <w:rsid w:val="00144C96"/>
    <w:rsid w:val="0014573B"/>
    <w:rsid w:val="00146163"/>
    <w:rsid w:val="00150B1F"/>
    <w:rsid w:val="001573E4"/>
    <w:rsid w:val="00160756"/>
    <w:rsid w:val="00161DC8"/>
    <w:rsid w:val="00166760"/>
    <w:rsid w:val="0016716A"/>
    <w:rsid w:val="0017232E"/>
    <w:rsid w:val="0017274B"/>
    <w:rsid w:val="00174102"/>
    <w:rsid w:val="001754EE"/>
    <w:rsid w:val="00180157"/>
    <w:rsid w:val="00180E97"/>
    <w:rsid w:val="001820B4"/>
    <w:rsid w:val="001857E5"/>
    <w:rsid w:val="00185CB9"/>
    <w:rsid w:val="00186ADC"/>
    <w:rsid w:val="00186F77"/>
    <w:rsid w:val="001873A3"/>
    <w:rsid w:val="00191D88"/>
    <w:rsid w:val="001926A4"/>
    <w:rsid w:val="00192AD5"/>
    <w:rsid w:val="00194597"/>
    <w:rsid w:val="001A0ABD"/>
    <w:rsid w:val="001A3877"/>
    <w:rsid w:val="001A530D"/>
    <w:rsid w:val="001A6B30"/>
    <w:rsid w:val="001A6D34"/>
    <w:rsid w:val="001B0275"/>
    <w:rsid w:val="001B1474"/>
    <w:rsid w:val="001B45A0"/>
    <w:rsid w:val="001B680E"/>
    <w:rsid w:val="001C24FE"/>
    <w:rsid w:val="001C7B28"/>
    <w:rsid w:val="001D055E"/>
    <w:rsid w:val="001E4EF6"/>
    <w:rsid w:val="001E58CC"/>
    <w:rsid w:val="001E70FA"/>
    <w:rsid w:val="001F05A4"/>
    <w:rsid w:val="001F3D4A"/>
    <w:rsid w:val="001F492E"/>
    <w:rsid w:val="001F6DA3"/>
    <w:rsid w:val="001F7C68"/>
    <w:rsid w:val="002010BC"/>
    <w:rsid w:val="002016E7"/>
    <w:rsid w:val="00202E03"/>
    <w:rsid w:val="002043D0"/>
    <w:rsid w:val="0020492C"/>
    <w:rsid w:val="00204EC9"/>
    <w:rsid w:val="00206505"/>
    <w:rsid w:val="0020743F"/>
    <w:rsid w:val="002165BA"/>
    <w:rsid w:val="00223051"/>
    <w:rsid w:val="00223A20"/>
    <w:rsid w:val="00224DB9"/>
    <w:rsid w:val="00224EC2"/>
    <w:rsid w:val="0022569A"/>
    <w:rsid w:val="00231EA4"/>
    <w:rsid w:val="00233775"/>
    <w:rsid w:val="0023414B"/>
    <w:rsid w:val="00234F45"/>
    <w:rsid w:val="00235157"/>
    <w:rsid w:val="00250D2A"/>
    <w:rsid w:val="00251745"/>
    <w:rsid w:val="00253242"/>
    <w:rsid w:val="00260016"/>
    <w:rsid w:val="00262292"/>
    <w:rsid w:val="00263AC0"/>
    <w:rsid w:val="00264264"/>
    <w:rsid w:val="002665E4"/>
    <w:rsid w:val="00266704"/>
    <w:rsid w:val="0026772D"/>
    <w:rsid w:val="00270FC6"/>
    <w:rsid w:val="002730B2"/>
    <w:rsid w:val="00274C7E"/>
    <w:rsid w:val="00276163"/>
    <w:rsid w:val="0027738A"/>
    <w:rsid w:val="00277C46"/>
    <w:rsid w:val="00286874"/>
    <w:rsid w:val="00290C63"/>
    <w:rsid w:val="002935E9"/>
    <w:rsid w:val="0029518C"/>
    <w:rsid w:val="002963DD"/>
    <w:rsid w:val="00296B65"/>
    <w:rsid w:val="002A7DEF"/>
    <w:rsid w:val="002C1499"/>
    <w:rsid w:val="002C1DA9"/>
    <w:rsid w:val="002C233C"/>
    <w:rsid w:val="002D2EED"/>
    <w:rsid w:val="002D3064"/>
    <w:rsid w:val="002D5457"/>
    <w:rsid w:val="002D72E8"/>
    <w:rsid w:val="002E2224"/>
    <w:rsid w:val="002E3A0C"/>
    <w:rsid w:val="002E78DD"/>
    <w:rsid w:val="002E7B22"/>
    <w:rsid w:val="002F2D4A"/>
    <w:rsid w:val="002F4AE0"/>
    <w:rsid w:val="002F7986"/>
    <w:rsid w:val="00300D03"/>
    <w:rsid w:val="00301B40"/>
    <w:rsid w:val="003029EE"/>
    <w:rsid w:val="00305CC8"/>
    <w:rsid w:val="00307F6D"/>
    <w:rsid w:val="003139B9"/>
    <w:rsid w:val="00314B69"/>
    <w:rsid w:val="003177A2"/>
    <w:rsid w:val="00322254"/>
    <w:rsid w:val="003271B5"/>
    <w:rsid w:val="00327A1E"/>
    <w:rsid w:val="00327E28"/>
    <w:rsid w:val="00331264"/>
    <w:rsid w:val="00334C8D"/>
    <w:rsid w:val="00341ED6"/>
    <w:rsid w:val="003424EA"/>
    <w:rsid w:val="003436EB"/>
    <w:rsid w:val="00343A18"/>
    <w:rsid w:val="003518B3"/>
    <w:rsid w:val="00366A5E"/>
    <w:rsid w:val="00370678"/>
    <w:rsid w:val="00372C85"/>
    <w:rsid w:val="003776F2"/>
    <w:rsid w:val="0038461C"/>
    <w:rsid w:val="003846F1"/>
    <w:rsid w:val="003850D6"/>
    <w:rsid w:val="00385B05"/>
    <w:rsid w:val="00387DF1"/>
    <w:rsid w:val="00393ABE"/>
    <w:rsid w:val="003A357C"/>
    <w:rsid w:val="003A371A"/>
    <w:rsid w:val="003A3750"/>
    <w:rsid w:val="003A689E"/>
    <w:rsid w:val="003B2508"/>
    <w:rsid w:val="003B4120"/>
    <w:rsid w:val="003B484F"/>
    <w:rsid w:val="003B504B"/>
    <w:rsid w:val="003B5179"/>
    <w:rsid w:val="003B6176"/>
    <w:rsid w:val="003B685C"/>
    <w:rsid w:val="003B7FBA"/>
    <w:rsid w:val="003C6A13"/>
    <w:rsid w:val="003D5B94"/>
    <w:rsid w:val="003D7407"/>
    <w:rsid w:val="003D7C2C"/>
    <w:rsid w:val="003E1B8D"/>
    <w:rsid w:val="003E3AAB"/>
    <w:rsid w:val="003F174D"/>
    <w:rsid w:val="003F245A"/>
    <w:rsid w:val="003F2F46"/>
    <w:rsid w:val="00400FD2"/>
    <w:rsid w:val="00403711"/>
    <w:rsid w:val="00404C52"/>
    <w:rsid w:val="0041231D"/>
    <w:rsid w:val="00415F31"/>
    <w:rsid w:val="0041691D"/>
    <w:rsid w:val="00420C44"/>
    <w:rsid w:val="004238D8"/>
    <w:rsid w:val="00423A77"/>
    <w:rsid w:val="00424064"/>
    <w:rsid w:val="004246D1"/>
    <w:rsid w:val="00430C2C"/>
    <w:rsid w:val="00437DF0"/>
    <w:rsid w:val="00443A73"/>
    <w:rsid w:val="00445D43"/>
    <w:rsid w:val="00455F23"/>
    <w:rsid w:val="0045777E"/>
    <w:rsid w:val="004633BA"/>
    <w:rsid w:val="00465292"/>
    <w:rsid w:val="00467C11"/>
    <w:rsid w:val="00476221"/>
    <w:rsid w:val="00480B4B"/>
    <w:rsid w:val="00485DC4"/>
    <w:rsid w:val="00486693"/>
    <w:rsid w:val="0049255D"/>
    <w:rsid w:val="004929E6"/>
    <w:rsid w:val="00494B09"/>
    <w:rsid w:val="004A43D1"/>
    <w:rsid w:val="004B4412"/>
    <w:rsid w:val="004C348C"/>
    <w:rsid w:val="004C3AAB"/>
    <w:rsid w:val="004C462E"/>
    <w:rsid w:val="004C5132"/>
    <w:rsid w:val="004D04E0"/>
    <w:rsid w:val="004D55BA"/>
    <w:rsid w:val="004D720C"/>
    <w:rsid w:val="004E0903"/>
    <w:rsid w:val="004E0FA7"/>
    <w:rsid w:val="004E22EC"/>
    <w:rsid w:val="004E4683"/>
    <w:rsid w:val="004F098A"/>
    <w:rsid w:val="004F2F4B"/>
    <w:rsid w:val="004F3962"/>
    <w:rsid w:val="004F39E4"/>
    <w:rsid w:val="004F6883"/>
    <w:rsid w:val="004F6A0E"/>
    <w:rsid w:val="005009CD"/>
    <w:rsid w:val="00502531"/>
    <w:rsid w:val="00511B26"/>
    <w:rsid w:val="00512CC3"/>
    <w:rsid w:val="0051337E"/>
    <w:rsid w:val="00513FA7"/>
    <w:rsid w:val="0051768F"/>
    <w:rsid w:val="005215B4"/>
    <w:rsid w:val="00521A17"/>
    <w:rsid w:val="00522186"/>
    <w:rsid w:val="00530128"/>
    <w:rsid w:val="00532467"/>
    <w:rsid w:val="00541A0F"/>
    <w:rsid w:val="00542FE9"/>
    <w:rsid w:val="00544C8D"/>
    <w:rsid w:val="00552D2B"/>
    <w:rsid w:val="00554796"/>
    <w:rsid w:val="00557F9D"/>
    <w:rsid w:val="00564A4D"/>
    <w:rsid w:val="00565402"/>
    <w:rsid w:val="00567BA5"/>
    <w:rsid w:val="005719A3"/>
    <w:rsid w:val="00571B35"/>
    <w:rsid w:val="00571D57"/>
    <w:rsid w:val="00572551"/>
    <w:rsid w:val="00577A09"/>
    <w:rsid w:val="005829C2"/>
    <w:rsid w:val="00584D8F"/>
    <w:rsid w:val="005863C6"/>
    <w:rsid w:val="00586D05"/>
    <w:rsid w:val="00591A56"/>
    <w:rsid w:val="00591F56"/>
    <w:rsid w:val="00594A79"/>
    <w:rsid w:val="005A1268"/>
    <w:rsid w:val="005A404D"/>
    <w:rsid w:val="005B0401"/>
    <w:rsid w:val="005B1E3C"/>
    <w:rsid w:val="005B3CA4"/>
    <w:rsid w:val="005B704A"/>
    <w:rsid w:val="005B749D"/>
    <w:rsid w:val="005C045F"/>
    <w:rsid w:val="005C21A4"/>
    <w:rsid w:val="005C26CC"/>
    <w:rsid w:val="005C35A3"/>
    <w:rsid w:val="005D37EF"/>
    <w:rsid w:val="005D6208"/>
    <w:rsid w:val="005D7BA2"/>
    <w:rsid w:val="005E36C2"/>
    <w:rsid w:val="005E4AF4"/>
    <w:rsid w:val="005F1DCA"/>
    <w:rsid w:val="005F2F65"/>
    <w:rsid w:val="006074AD"/>
    <w:rsid w:val="00610EF9"/>
    <w:rsid w:val="00612F4F"/>
    <w:rsid w:val="00615C6B"/>
    <w:rsid w:val="00621DCE"/>
    <w:rsid w:val="00624F2C"/>
    <w:rsid w:val="00630DEC"/>
    <w:rsid w:val="00632D6D"/>
    <w:rsid w:val="006366C2"/>
    <w:rsid w:val="00636EF9"/>
    <w:rsid w:val="00642C3E"/>
    <w:rsid w:val="006445B6"/>
    <w:rsid w:val="006452C2"/>
    <w:rsid w:val="006532E1"/>
    <w:rsid w:val="00655084"/>
    <w:rsid w:val="006552F7"/>
    <w:rsid w:val="00655528"/>
    <w:rsid w:val="0066104A"/>
    <w:rsid w:val="00663DAD"/>
    <w:rsid w:val="00664206"/>
    <w:rsid w:val="006734D0"/>
    <w:rsid w:val="00673AE3"/>
    <w:rsid w:val="00675E20"/>
    <w:rsid w:val="00676679"/>
    <w:rsid w:val="006821D0"/>
    <w:rsid w:val="00683C89"/>
    <w:rsid w:val="00686AC9"/>
    <w:rsid w:val="00690661"/>
    <w:rsid w:val="00697D0B"/>
    <w:rsid w:val="006A05FA"/>
    <w:rsid w:val="006A12BA"/>
    <w:rsid w:val="006A243D"/>
    <w:rsid w:val="006A3C5B"/>
    <w:rsid w:val="006A66A1"/>
    <w:rsid w:val="006B2395"/>
    <w:rsid w:val="006B2832"/>
    <w:rsid w:val="006B3E56"/>
    <w:rsid w:val="006B494B"/>
    <w:rsid w:val="006B4B87"/>
    <w:rsid w:val="006B4CF9"/>
    <w:rsid w:val="006B7AC8"/>
    <w:rsid w:val="006C1736"/>
    <w:rsid w:val="006C329B"/>
    <w:rsid w:val="006C609E"/>
    <w:rsid w:val="006D3F71"/>
    <w:rsid w:val="006D49E9"/>
    <w:rsid w:val="006D550F"/>
    <w:rsid w:val="006D7F7E"/>
    <w:rsid w:val="006E64D8"/>
    <w:rsid w:val="006F189B"/>
    <w:rsid w:val="0070011E"/>
    <w:rsid w:val="00701CAB"/>
    <w:rsid w:val="00704DD7"/>
    <w:rsid w:val="00707563"/>
    <w:rsid w:val="00722132"/>
    <w:rsid w:val="007228F7"/>
    <w:rsid w:val="0072348C"/>
    <w:rsid w:val="00724A37"/>
    <w:rsid w:val="007303C3"/>
    <w:rsid w:val="00734899"/>
    <w:rsid w:val="007375DF"/>
    <w:rsid w:val="007429BE"/>
    <w:rsid w:val="00743223"/>
    <w:rsid w:val="00744D0D"/>
    <w:rsid w:val="00746E01"/>
    <w:rsid w:val="0074784C"/>
    <w:rsid w:val="00754F98"/>
    <w:rsid w:val="00755084"/>
    <w:rsid w:val="00757364"/>
    <w:rsid w:val="00757BDF"/>
    <w:rsid w:val="007609D0"/>
    <w:rsid w:val="00760EE7"/>
    <w:rsid w:val="0076193D"/>
    <w:rsid w:val="00763E5D"/>
    <w:rsid w:val="00767740"/>
    <w:rsid w:val="00775460"/>
    <w:rsid w:val="00777EE6"/>
    <w:rsid w:val="00781239"/>
    <w:rsid w:val="00782EEA"/>
    <w:rsid w:val="00790E86"/>
    <w:rsid w:val="007A0143"/>
    <w:rsid w:val="007A3589"/>
    <w:rsid w:val="007A7F1A"/>
    <w:rsid w:val="007B02AE"/>
    <w:rsid w:val="007B0BE3"/>
    <w:rsid w:val="007B186E"/>
    <w:rsid w:val="007B2C72"/>
    <w:rsid w:val="007B59B8"/>
    <w:rsid w:val="007B7BB5"/>
    <w:rsid w:val="007C023C"/>
    <w:rsid w:val="007C1C53"/>
    <w:rsid w:val="007C2DB6"/>
    <w:rsid w:val="007C6E09"/>
    <w:rsid w:val="007C74BB"/>
    <w:rsid w:val="007C778D"/>
    <w:rsid w:val="007C7F64"/>
    <w:rsid w:val="007D456E"/>
    <w:rsid w:val="007E20F5"/>
    <w:rsid w:val="007E4904"/>
    <w:rsid w:val="007E4CB5"/>
    <w:rsid w:val="007F066B"/>
    <w:rsid w:val="007F4EAB"/>
    <w:rsid w:val="007F7C9D"/>
    <w:rsid w:val="007F7D68"/>
    <w:rsid w:val="00802FE0"/>
    <w:rsid w:val="0080315A"/>
    <w:rsid w:val="008033C4"/>
    <w:rsid w:val="00806731"/>
    <w:rsid w:val="00806C88"/>
    <w:rsid w:val="0081034E"/>
    <w:rsid w:val="00811EA2"/>
    <w:rsid w:val="00815882"/>
    <w:rsid w:val="00820454"/>
    <w:rsid w:val="008208AD"/>
    <w:rsid w:val="00823B8F"/>
    <w:rsid w:val="0083217F"/>
    <w:rsid w:val="008344F6"/>
    <w:rsid w:val="0083510F"/>
    <w:rsid w:val="00837BF3"/>
    <w:rsid w:val="008420DE"/>
    <w:rsid w:val="00845865"/>
    <w:rsid w:val="0084799B"/>
    <w:rsid w:val="00851209"/>
    <w:rsid w:val="00851BCC"/>
    <w:rsid w:val="0085688D"/>
    <w:rsid w:val="00863F4A"/>
    <w:rsid w:val="0086716A"/>
    <w:rsid w:val="00873506"/>
    <w:rsid w:val="00876612"/>
    <w:rsid w:val="00882BB1"/>
    <w:rsid w:val="008837AC"/>
    <w:rsid w:val="008909DC"/>
    <w:rsid w:val="008929FD"/>
    <w:rsid w:val="008945AD"/>
    <w:rsid w:val="00896C55"/>
    <w:rsid w:val="008A0645"/>
    <w:rsid w:val="008A587D"/>
    <w:rsid w:val="008B16B0"/>
    <w:rsid w:val="008B35CD"/>
    <w:rsid w:val="008B5FCC"/>
    <w:rsid w:val="008B6422"/>
    <w:rsid w:val="008B7F36"/>
    <w:rsid w:val="008C29EB"/>
    <w:rsid w:val="008C5486"/>
    <w:rsid w:val="008D1661"/>
    <w:rsid w:val="008D3CC7"/>
    <w:rsid w:val="008D63D6"/>
    <w:rsid w:val="008D6800"/>
    <w:rsid w:val="008D72F1"/>
    <w:rsid w:val="008E27AD"/>
    <w:rsid w:val="008E4437"/>
    <w:rsid w:val="008E538D"/>
    <w:rsid w:val="008E7031"/>
    <w:rsid w:val="008E77DE"/>
    <w:rsid w:val="008F07A3"/>
    <w:rsid w:val="008F3519"/>
    <w:rsid w:val="008F3634"/>
    <w:rsid w:val="008F3A0D"/>
    <w:rsid w:val="008F5215"/>
    <w:rsid w:val="009001B6"/>
    <w:rsid w:val="00900E1B"/>
    <w:rsid w:val="00902093"/>
    <w:rsid w:val="009233EE"/>
    <w:rsid w:val="0092601C"/>
    <w:rsid w:val="00930B1A"/>
    <w:rsid w:val="0093141D"/>
    <w:rsid w:val="009327DC"/>
    <w:rsid w:val="0093532B"/>
    <w:rsid w:val="00940677"/>
    <w:rsid w:val="009460AA"/>
    <w:rsid w:val="00951978"/>
    <w:rsid w:val="00961A4A"/>
    <w:rsid w:val="00963F5B"/>
    <w:rsid w:val="009661DE"/>
    <w:rsid w:val="00966F03"/>
    <w:rsid w:val="00967749"/>
    <w:rsid w:val="00972C7C"/>
    <w:rsid w:val="009730A2"/>
    <w:rsid w:val="00973468"/>
    <w:rsid w:val="00975C56"/>
    <w:rsid w:val="009776F4"/>
    <w:rsid w:val="009779AE"/>
    <w:rsid w:val="00982DA2"/>
    <w:rsid w:val="00983C25"/>
    <w:rsid w:val="009856B7"/>
    <w:rsid w:val="00985C86"/>
    <w:rsid w:val="00987691"/>
    <w:rsid w:val="009A38B3"/>
    <w:rsid w:val="009A5FC3"/>
    <w:rsid w:val="009B1E6B"/>
    <w:rsid w:val="009B2F5C"/>
    <w:rsid w:val="009B6F84"/>
    <w:rsid w:val="009B74B0"/>
    <w:rsid w:val="009C04E5"/>
    <w:rsid w:val="009C06B8"/>
    <w:rsid w:val="009C6A7D"/>
    <w:rsid w:val="009C7429"/>
    <w:rsid w:val="009D0DF1"/>
    <w:rsid w:val="009D3906"/>
    <w:rsid w:val="009D4DA3"/>
    <w:rsid w:val="009D6B46"/>
    <w:rsid w:val="009E1E48"/>
    <w:rsid w:val="009E35B6"/>
    <w:rsid w:val="009E3934"/>
    <w:rsid w:val="009E5EA2"/>
    <w:rsid w:val="009F0837"/>
    <w:rsid w:val="009F1227"/>
    <w:rsid w:val="009F4940"/>
    <w:rsid w:val="009F5BA1"/>
    <w:rsid w:val="00A02A88"/>
    <w:rsid w:val="00A03E45"/>
    <w:rsid w:val="00A04B15"/>
    <w:rsid w:val="00A0562E"/>
    <w:rsid w:val="00A0726D"/>
    <w:rsid w:val="00A12204"/>
    <w:rsid w:val="00A16556"/>
    <w:rsid w:val="00A20E0C"/>
    <w:rsid w:val="00A26962"/>
    <w:rsid w:val="00A30321"/>
    <w:rsid w:val="00A31491"/>
    <w:rsid w:val="00A32FBB"/>
    <w:rsid w:val="00A3313E"/>
    <w:rsid w:val="00A35680"/>
    <w:rsid w:val="00A40068"/>
    <w:rsid w:val="00A40BB3"/>
    <w:rsid w:val="00A428EE"/>
    <w:rsid w:val="00A429F5"/>
    <w:rsid w:val="00A4478A"/>
    <w:rsid w:val="00A44852"/>
    <w:rsid w:val="00A4648E"/>
    <w:rsid w:val="00A50502"/>
    <w:rsid w:val="00A53409"/>
    <w:rsid w:val="00A53848"/>
    <w:rsid w:val="00A56F4C"/>
    <w:rsid w:val="00A57D04"/>
    <w:rsid w:val="00A60A26"/>
    <w:rsid w:val="00A61598"/>
    <w:rsid w:val="00A62B7C"/>
    <w:rsid w:val="00A63914"/>
    <w:rsid w:val="00A65E87"/>
    <w:rsid w:val="00A70D16"/>
    <w:rsid w:val="00A84A99"/>
    <w:rsid w:val="00A84F46"/>
    <w:rsid w:val="00A871F4"/>
    <w:rsid w:val="00AA082F"/>
    <w:rsid w:val="00AA2927"/>
    <w:rsid w:val="00AA66B8"/>
    <w:rsid w:val="00AB0B02"/>
    <w:rsid w:val="00AB279B"/>
    <w:rsid w:val="00AB2CB8"/>
    <w:rsid w:val="00AB6049"/>
    <w:rsid w:val="00AB7CDE"/>
    <w:rsid w:val="00AC1B2C"/>
    <w:rsid w:val="00AC3264"/>
    <w:rsid w:val="00AC33C8"/>
    <w:rsid w:val="00AC46AD"/>
    <w:rsid w:val="00AC58EC"/>
    <w:rsid w:val="00AD07A9"/>
    <w:rsid w:val="00AD314E"/>
    <w:rsid w:val="00AD5FCD"/>
    <w:rsid w:val="00AD7A3A"/>
    <w:rsid w:val="00AE1BF1"/>
    <w:rsid w:val="00AE663D"/>
    <w:rsid w:val="00AF07E7"/>
    <w:rsid w:val="00AF0DD2"/>
    <w:rsid w:val="00AF3BBA"/>
    <w:rsid w:val="00AF4231"/>
    <w:rsid w:val="00AF6371"/>
    <w:rsid w:val="00B00B0E"/>
    <w:rsid w:val="00B05766"/>
    <w:rsid w:val="00B06458"/>
    <w:rsid w:val="00B069DB"/>
    <w:rsid w:val="00B13048"/>
    <w:rsid w:val="00B13658"/>
    <w:rsid w:val="00B14931"/>
    <w:rsid w:val="00B15682"/>
    <w:rsid w:val="00B1716D"/>
    <w:rsid w:val="00B17A1D"/>
    <w:rsid w:val="00B207A0"/>
    <w:rsid w:val="00B24E51"/>
    <w:rsid w:val="00B25C0C"/>
    <w:rsid w:val="00B3040D"/>
    <w:rsid w:val="00B308A9"/>
    <w:rsid w:val="00B31EBC"/>
    <w:rsid w:val="00B33148"/>
    <w:rsid w:val="00B3555A"/>
    <w:rsid w:val="00B4438A"/>
    <w:rsid w:val="00B44987"/>
    <w:rsid w:val="00B479CA"/>
    <w:rsid w:val="00B50051"/>
    <w:rsid w:val="00B514DD"/>
    <w:rsid w:val="00B52AF0"/>
    <w:rsid w:val="00B561BD"/>
    <w:rsid w:val="00B56E03"/>
    <w:rsid w:val="00B61F54"/>
    <w:rsid w:val="00B65DF5"/>
    <w:rsid w:val="00B7172E"/>
    <w:rsid w:val="00B76D2D"/>
    <w:rsid w:val="00B8080B"/>
    <w:rsid w:val="00B82223"/>
    <w:rsid w:val="00B828AF"/>
    <w:rsid w:val="00B87BA5"/>
    <w:rsid w:val="00B87C39"/>
    <w:rsid w:val="00B93891"/>
    <w:rsid w:val="00B9562D"/>
    <w:rsid w:val="00B96931"/>
    <w:rsid w:val="00BA1A77"/>
    <w:rsid w:val="00BA4665"/>
    <w:rsid w:val="00BB2FB2"/>
    <w:rsid w:val="00BB3208"/>
    <w:rsid w:val="00BB3304"/>
    <w:rsid w:val="00BB34EB"/>
    <w:rsid w:val="00BB6551"/>
    <w:rsid w:val="00BC4A10"/>
    <w:rsid w:val="00BD1D7F"/>
    <w:rsid w:val="00BD3446"/>
    <w:rsid w:val="00BE1627"/>
    <w:rsid w:val="00BE1F1B"/>
    <w:rsid w:val="00BE47B5"/>
    <w:rsid w:val="00BE53DB"/>
    <w:rsid w:val="00BE5FCE"/>
    <w:rsid w:val="00BF1CA1"/>
    <w:rsid w:val="00C003E6"/>
    <w:rsid w:val="00C153C9"/>
    <w:rsid w:val="00C1631B"/>
    <w:rsid w:val="00C24FB6"/>
    <w:rsid w:val="00C25FA6"/>
    <w:rsid w:val="00C27631"/>
    <w:rsid w:val="00C362C1"/>
    <w:rsid w:val="00C370F8"/>
    <w:rsid w:val="00C46AE5"/>
    <w:rsid w:val="00C538A9"/>
    <w:rsid w:val="00C53B5A"/>
    <w:rsid w:val="00C54F5A"/>
    <w:rsid w:val="00C569B4"/>
    <w:rsid w:val="00C605BF"/>
    <w:rsid w:val="00C64FF3"/>
    <w:rsid w:val="00C662AD"/>
    <w:rsid w:val="00C67A92"/>
    <w:rsid w:val="00C71280"/>
    <w:rsid w:val="00C75C25"/>
    <w:rsid w:val="00C75C65"/>
    <w:rsid w:val="00C77687"/>
    <w:rsid w:val="00C83C4E"/>
    <w:rsid w:val="00C84560"/>
    <w:rsid w:val="00C86679"/>
    <w:rsid w:val="00CA489E"/>
    <w:rsid w:val="00CB0279"/>
    <w:rsid w:val="00CB4BB1"/>
    <w:rsid w:val="00CB666B"/>
    <w:rsid w:val="00CB734B"/>
    <w:rsid w:val="00CC145C"/>
    <w:rsid w:val="00CC7F1D"/>
    <w:rsid w:val="00CD125D"/>
    <w:rsid w:val="00CD7053"/>
    <w:rsid w:val="00CD728B"/>
    <w:rsid w:val="00CD7432"/>
    <w:rsid w:val="00CE0FA5"/>
    <w:rsid w:val="00CE2A23"/>
    <w:rsid w:val="00CE484B"/>
    <w:rsid w:val="00CF0DEE"/>
    <w:rsid w:val="00CF4698"/>
    <w:rsid w:val="00CF77BE"/>
    <w:rsid w:val="00CF7876"/>
    <w:rsid w:val="00D006AE"/>
    <w:rsid w:val="00D00905"/>
    <w:rsid w:val="00D01CF0"/>
    <w:rsid w:val="00D0442A"/>
    <w:rsid w:val="00D07894"/>
    <w:rsid w:val="00D12A7B"/>
    <w:rsid w:val="00D342E1"/>
    <w:rsid w:val="00D463C6"/>
    <w:rsid w:val="00D52A87"/>
    <w:rsid w:val="00D577FF"/>
    <w:rsid w:val="00D61388"/>
    <w:rsid w:val="00D61A54"/>
    <w:rsid w:val="00D64DEA"/>
    <w:rsid w:val="00D64F84"/>
    <w:rsid w:val="00D663CD"/>
    <w:rsid w:val="00D6726A"/>
    <w:rsid w:val="00D7160D"/>
    <w:rsid w:val="00D7168E"/>
    <w:rsid w:val="00D71E57"/>
    <w:rsid w:val="00D72D27"/>
    <w:rsid w:val="00D80893"/>
    <w:rsid w:val="00D808E2"/>
    <w:rsid w:val="00D82519"/>
    <w:rsid w:val="00D84854"/>
    <w:rsid w:val="00D86DFA"/>
    <w:rsid w:val="00D87A0F"/>
    <w:rsid w:val="00D924AE"/>
    <w:rsid w:val="00D92CF1"/>
    <w:rsid w:val="00D92D38"/>
    <w:rsid w:val="00D93D11"/>
    <w:rsid w:val="00D950F5"/>
    <w:rsid w:val="00D97379"/>
    <w:rsid w:val="00DA0CEF"/>
    <w:rsid w:val="00DA4752"/>
    <w:rsid w:val="00DA61F3"/>
    <w:rsid w:val="00DA623D"/>
    <w:rsid w:val="00DB0D00"/>
    <w:rsid w:val="00DB0F93"/>
    <w:rsid w:val="00DB1A67"/>
    <w:rsid w:val="00DB5074"/>
    <w:rsid w:val="00DC1930"/>
    <w:rsid w:val="00DC1C76"/>
    <w:rsid w:val="00DC4E19"/>
    <w:rsid w:val="00DC7981"/>
    <w:rsid w:val="00DD0D06"/>
    <w:rsid w:val="00DD4C07"/>
    <w:rsid w:val="00DD577D"/>
    <w:rsid w:val="00DE1093"/>
    <w:rsid w:val="00DE2A98"/>
    <w:rsid w:val="00DE4EFA"/>
    <w:rsid w:val="00DE5520"/>
    <w:rsid w:val="00DE563D"/>
    <w:rsid w:val="00DF1958"/>
    <w:rsid w:val="00DF3139"/>
    <w:rsid w:val="00DF4FDB"/>
    <w:rsid w:val="00DF6C67"/>
    <w:rsid w:val="00E02DCD"/>
    <w:rsid w:val="00E04818"/>
    <w:rsid w:val="00E059B7"/>
    <w:rsid w:val="00E06442"/>
    <w:rsid w:val="00E23993"/>
    <w:rsid w:val="00E24A37"/>
    <w:rsid w:val="00E24E90"/>
    <w:rsid w:val="00E2574F"/>
    <w:rsid w:val="00E25820"/>
    <w:rsid w:val="00E25951"/>
    <w:rsid w:val="00E25B8C"/>
    <w:rsid w:val="00E25FCB"/>
    <w:rsid w:val="00E26E98"/>
    <w:rsid w:val="00E31CF6"/>
    <w:rsid w:val="00E34106"/>
    <w:rsid w:val="00E54106"/>
    <w:rsid w:val="00E61453"/>
    <w:rsid w:val="00E64600"/>
    <w:rsid w:val="00E65C85"/>
    <w:rsid w:val="00E66199"/>
    <w:rsid w:val="00E7266D"/>
    <w:rsid w:val="00E72D23"/>
    <w:rsid w:val="00E755EC"/>
    <w:rsid w:val="00E7624D"/>
    <w:rsid w:val="00E81031"/>
    <w:rsid w:val="00E9409E"/>
    <w:rsid w:val="00E941D0"/>
    <w:rsid w:val="00E95A54"/>
    <w:rsid w:val="00E966BF"/>
    <w:rsid w:val="00E96908"/>
    <w:rsid w:val="00EA0311"/>
    <w:rsid w:val="00EA2264"/>
    <w:rsid w:val="00EA3AFF"/>
    <w:rsid w:val="00EA3D42"/>
    <w:rsid w:val="00EA6B1B"/>
    <w:rsid w:val="00EB67D6"/>
    <w:rsid w:val="00EC04F1"/>
    <w:rsid w:val="00EC237F"/>
    <w:rsid w:val="00EC3E60"/>
    <w:rsid w:val="00EC62D1"/>
    <w:rsid w:val="00EC698B"/>
    <w:rsid w:val="00ED3541"/>
    <w:rsid w:val="00ED7323"/>
    <w:rsid w:val="00EE28F3"/>
    <w:rsid w:val="00EE50D1"/>
    <w:rsid w:val="00EE7414"/>
    <w:rsid w:val="00EE7614"/>
    <w:rsid w:val="00EF1191"/>
    <w:rsid w:val="00EF5110"/>
    <w:rsid w:val="00EF5890"/>
    <w:rsid w:val="00EF72DB"/>
    <w:rsid w:val="00F0231A"/>
    <w:rsid w:val="00F036B7"/>
    <w:rsid w:val="00F07F1F"/>
    <w:rsid w:val="00F10411"/>
    <w:rsid w:val="00F15882"/>
    <w:rsid w:val="00F170C7"/>
    <w:rsid w:val="00F171E0"/>
    <w:rsid w:val="00F20BD3"/>
    <w:rsid w:val="00F2166C"/>
    <w:rsid w:val="00F322E9"/>
    <w:rsid w:val="00F34ADD"/>
    <w:rsid w:val="00F373A5"/>
    <w:rsid w:val="00F404F9"/>
    <w:rsid w:val="00F40C31"/>
    <w:rsid w:val="00F464B5"/>
    <w:rsid w:val="00F47559"/>
    <w:rsid w:val="00F50B30"/>
    <w:rsid w:val="00F51F5F"/>
    <w:rsid w:val="00F52D75"/>
    <w:rsid w:val="00F62923"/>
    <w:rsid w:val="00F63C8B"/>
    <w:rsid w:val="00F64C7B"/>
    <w:rsid w:val="00F64E47"/>
    <w:rsid w:val="00F66F0A"/>
    <w:rsid w:val="00F6756A"/>
    <w:rsid w:val="00F676DD"/>
    <w:rsid w:val="00F75A26"/>
    <w:rsid w:val="00F76706"/>
    <w:rsid w:val="00F83FAD"/>
    <w:rsid w:val="00F844C6"/>
    <w:rsid w:val="00F869C5"/>
    <w:rsid w:val="00F878E0"/>
    <w:rsid w:val="00F9353B"/>
    <w:rsid w:val="00F94F51"/>
    <w:rsid w:val="00F952A0"/>
    <w:rsid w:val="00FA0851"/>
    <w:rsid w:val="00FA3C7F"/>
    <w:rsid w:val="00FB3304"/>
    <w:rsid w:val="00FB4241"/>
    <w:rsid w:val="00FB5005"/>
    <w:rsid w:val="00FB60FE"/>
    <w:rsid w:val="00FB74E2"/>
    <w:rsid w:val="00FC4802"/>
    <w:rsid w:val="00FD1836"/>
    <w:rsid w:val="00FD4B57"/>
    <w:rsid w:val="00FD5614"/>
    <w:rsid w:val="00FD5E78"/>
    <w:rsid w:val="00FE0BE1"/>
    <w:rsid w:val="00FE11BB"/>
    <w:rsid w:val="00FE1DE9"/>
    <w:rsid w:val="00FE36AF"/>
    <w:rsid w:val="00FE39C2"/>
    <w:rsid w:val="00FE3C32"/>
    <w:rsid w:val="00FE64AE"/>
    <w:rsid w:val="00FE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55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Better-regulation" TargetMode="External"/><Relationship Id="rId7" Type="http://schemas.openxmlformats.org/officeDocument/2006/relationships/hyperlink" Target="http://www.aer.gov.au/node/23143" TargetMode="External"/><Relationship Id="rId2" Type="http://schemas.openxmlformats.org/officeDocument/2006/relationships/hyperlink" Target="http://www.aer.gov.au/node/18859" TargetMode="External"/><Relationship Id="rId1" Type="http://schemas.openxmlformats.org/officeDocument/2006/relationships/hyperlink" Target="http://www.aer.gov.au/node/23137" TargetMode="External"/><Relationship Id="rId6" Type="http://schemas.openxmlformats.org/officeDocument/2006/relationships/hyperlink" Target="http://www.scer.gov.au/files/2013/09/LMR-Decision-RIS-June-2013.pdf" TargetMode="External"/><Relationship Id="rId5" Type="http://schemas.openxmlformats.org/officeDocument/2006/relationships/hyperlink" Target="http://www.aer.gov.au/node/23137" TargetMode="External"/><Relationship Id="rId4" Type="http://schemas.openxmlformats.org/officeDocument/2006/relationships/hyperlink" Target="http://www.aer.gov.au/node/1885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80D2C110</Template>
  <TotalTime>0</TotalTime>
  <Pages>42</Pages>
  <Words>11105</Words>
  <Characters>63302</Characters>
  <Application>Microsoft Office Word</Application>
  <DocSecurity>4</DocSecurity>
  <Lines>527</Lines>
  <Paragraphs>148</Paragraphs>
  <ScaleCrop>false</ScaleCrop>
  <LinksUpToDate>false</LinksUpToDate>
  <CharactersWithSpaces>74259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2015-04-28T06:04:00Z</dcterms:created>
  <dcterms:modified xsi:type="dcterms:W3CDTF">2015-04-28T06:04:00Z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