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4D3DF6B" wp14:editId="4F2ECFF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9B4819" w:rsidP="008F07A3">
          <w:pPr>
            <w:pStyle w:val="ReportSubtitle"/>
          </w:pPr>
          <w:r>
            <w:t>Endeavour Energy</w:t>
          </w:r>
          <w:r w:rsidR="00917734">
            <w:t xml:space="preserve"> </w:t>
          </w:r>
          <w:r w:rsidR="0070011E">
            <w:t>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0F7BD5" w:rsidP="008F07A3">
          <w:pPr>
            <w:pStyle w:val="ReportSubtitle"/>
          </w:pPr>
          <w:r>
            <w:t>Attachment 19</w:t>
          </w:r>
          <w:r w:rsidR="00DA4752">
            <w:t xml:space="preserve"> </w:t>
          </w:r>
          <w:r w:rsidR="00415F31">
            <w:rPr>
              <w:rFonts w:cs="Arial"/>
            </w:rPr>
            <w:t>–</w:t>
          </w:r>
          <w:r w:rsidR="00DA4752">
            <w:t xml:space="preserve"> </w:t>
          </w:r>
          <w:r w:rsidR="006C4042">
            <w:t>Analysis of financial viability</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w:t>
      </w:r>
      <w:r w:rsidR="009B4819">
        <w:t>4420</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7742692"/>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9B4819">
        <w:t>Endeavour Energy</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6C4042" w:rsidRDefault="0070011E" w:rsidP="00415F31">
      <w:r>
        <w:t xml:space="preserve">Attachment 19 - </w:t>
      </w:r>
      <w:r w:rsidR="006C4042">
        <w:t>Analysis of financial viability</w:t>
      </w:r>
    </w:p>
    <w:p w:rsidR="006C4042" w:rsidRPr="008F07A3" w:rsidRDefault="006C4042" w:rsidP="006C4042">
      <w:pPr>
        <w:sectPr w:rsidR="006C4042"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17742693"/>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0F7BD5" w:rsidRDefault="000F7BD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17742692" w:history="1">
            <w:r w:rsidRPr="00A37A8F">
              <w:rPr>
                <w:rStyle w:val="Hyperlink"/>
              </w:rPr>
              <w:t>Note</w:t>
            </w:r>
            <w:r>
              <w:rPr>
                <w:webHidden/>
              </w:rPr>
              <w:tab/>
            </w:r>
            <w:r>
              <w:rPr>
                <w:webHidden/>
              </w:rPr>
              <w:fldChar w:fldCharType="begin"/>
            </w:r>
            <w:r>
              <w:rPr>
                <w:webHidden/>
              </w:rPr>
              <w:instrText xml:space="preserve"> PAGEREF _Toc417742692 \h </w:instrText>
            </w:r>
            <w:r>
              <w:rPr>
                <w:webHidden/>
              </w:rPr>
            </w:r>
            <w:r>
              <w:rPr>
                <w:webHidden/>
              </w:rPr>
              <w:fldChar w:fldCharType="separate"/>
            </w:r>
            <w:r w:rsidR="006975E6">
              <w:rPr>
                <w:webHidden/>
              </w:rPr>
              <w:t>19-2</w:t>
            </w:r>
            <w:r>
              <w:rPr>
                <w:webHidden/>
              </w:rPr>
              <w:fldChar w:fldCharType="end"/>
            </w:r>
          </w:hyperlink>
        </w:p>
        <w:p w:rsidR="000F7BD5" w:rsidRDefault="006975E6">
          <w:pPr>
            <w:pStyle w:val="TOC1"/>
            <w:rPr>
              <w:rFonts w:asciiTheme="minorHAnsi" w:eastAsiaTheme="minorEastAsia" w:hAnsiTheme="minorHAnsi"/>
              <w:b w:val="0"/>
              <w:color w:val="auto"/>
              <w:sz w:val="22"/>
              <w:lang w:val="en-AU" w:eastAsia="en-AU"/>
            </w:rPr>
          </w:pPr>
          <w:hyperlink w:anchor="_Toc417742693" w:history="1">
            <w:r w:rsidR="000F7BD5" w:rsidRPr="00A37A8F">
              <w:rPr>
                <w:rStyle w:val="Hyperlink"/>
              </w:rPr>
              <w:t>Contents</w:t>
            </w:r>
            <w:r w:rsidR="000F7BD5">
              <w:rPr>
                <w:webHidden/>
              </w:rPr>
              <w:tab/>
            </w:r>
            <w:r w:rsidR="000F7BD5">
              <w:rPr>
                <w:webHidden/>
              </w:rPr>
              <w:fldChar w:fldCharType="begin"/>
            </w:r>
            <w:r w:rsidR="000F7BD5">
              <w:rPr>
                <w:webHidden/>
              </w:rPr>
              <w:instrText xml:space="preserve"> PAGEREF _Toc417742693 \h </w:instrText>
            </w:r>
            <w:r w:rsidR="000F7BD5">
              <w:rPr>
                <w:webHidden/>
              </w:rPr>
            </w:r>
            <w:r w:rsidR="000F7BD5">
              <w:rPr>
                <w:webHidden/>
              </w:rPr>
              <w:fldChar w:fldCharType="separate"/>
            </w:r>
            <w:r>
              <w:rPr>
                <w:webHidden/>
              </w:rPr>
              <w:t>19-3</w:t>
            </w:r>
            <w:r w:rsidR="000F7BD5">
              <w:rPr>
                <w:webHidden/>
              </w:rPr>
              <w:fldChar w:fldCharType="end"/>
            </w:r>
          </w:hyperlink>
        </w:p>
        <w:p w:rsidR="000F7BD5" w:rsidRDefault="006975E6">
          <w:pPr>
            <w:pStyle w:val="TOC1"/>
            <w:rPr>
              <w:rFonts w:asciiTheme="minorHAnsi" w:eastAsiaTheme="minorEastAsia" w:hAnsiTheme="minorHAnsi"/>
              <w:b w:val="0"/>
              <w:color w:val="auto"/>
              <w:sz w:val="22"/>
              <w:lang w:val="en-AU" w:eastAsia="en-AU"/>
            </w:rPr>
          </w:pPr>
          <w:hyperlink w:anchor="_Toc417742694" w:history="1">
            <w:r w:rsidR="000F7BD5" w:rsidRPr="00A37A8F">
              <w:rPr>
                <w:rStyle w:val="Hyperlink"/>
              </w:rPr>
              <w:t>Shortened forms</w:t>
            </w:r>
            <w:r w:rsidR="000F7BD5">
              <w:rPr>
                <w:webHidden/>
              </w:rPr>
              <w:tab/>
            </w:r>
            <w:r w:rsidR="000F7BD5">
              <w:rPr>
                <w:webHidden/>
              </w:rPr>
              <w:fldChar w:fldCharType="begin"/>
            </w:r>
            <w:r w:rsidR="000F7BD5">
              <w:rPr>
                <w:webHidden/>
              </w:rPr>
              <w:instrText xml:space="preserve"> PAGEREF _Toc417742694 \h </w:instrText>
            </w:r>
            <w:r w:rsidR="000F7BD5">
              <w:rPr>
                <w:webHidden/>
              </w:rPr>
            </w:r>
            <w:r w:rsidR="000F7BD5">
              <w:rPr>
                <w:webHidden/>
              </w:rPr>
              <w:fldChar w:fldCharType="separate"/>
            </w:r>
            <w:r>
              <w:rPr>
                <w:webHidden/>
              </w:rPr>
              <w:t>19-4</w:t>
            </w:r>
            <w:r w:rsidR="000F7BD5">
              <w:rPr>
                <w:webHidden/>
              </w:rPr>
              <w:fldChar w:fldCharType="end"/>
            </w:r>
          </w:hyperlink>
        </w:p>
        <w:p w:rsidR="000F7BD5" w:rsidRDefault="006975E6">
          <w:pPr>
            <w:pStyle w:val="TOC1"/>
            <w:rPr>
              <w:rFonts w:asciiTheme="minorHAnsi" w:eastAsiaTheme="minorEastAsia" w:hAnsiTheme="minorHAnsi"/>
              <w:b w:val="0"/>
              <w:color w:val="auto"/>
              <w:sz w:val="22"/>
              <w:lang w:val="en-AU" w:eastAsia="en-AU"/>
            </w:rPr>
          </w:pPr>
          <w:hyperlink w:anchor="_Toc417742695" w:history="1">
            <w:r w:rsidR="000F7BD5" w:rsidRPr="00A37A8F">
              <w:rPr>
                <w:rStyle w:val="Hyperlink"/>
              </w:rPr>
              <w:t>19</w:t>
            </w:r>
            <w:r w:rsidR="000F7BD5">
              <w:rPr>
                <w:rFonts w:asciiTheme="minorHAnsi" w:eastAsiaTheme="minorEastAsia" w:hAnsiTheme="minorHAnsi"/>
                <w:b w:val="0"/>
                <w:color w:val="auto"/>
                <w:sz w:val="22"/>
                <w:lang w:val="en-AU" w:eastAsia="en-AU"/>
              </w:rPr>
              <w:tab/>
            </w:r>
            <w:r w:rsidR="000F7BD5" w:rsidRPr="00A37A8F">
              <w:rPr>
                <w:rStyle w:val="Hyperlink"/>
              </w:rPr>
              <w:t>Analysis of financial viability</w:t>
            </w:r>
            <w:r w:rsidR="000F7BD5">
              <w:rPr>
                <w:webHidden/>
              </w:rPr>
              <w:tab/>
            </w:r>
            <w:r w:rsidR="000F7BD5">
              <w:rPr>
                <w:webHidden/>
              </w:rPr>
              <w:fldChar w:fldCharType="begin"/>
            </w:r>
            <w:r w:rsidR="000F7BD5">
              <w:rPr>
                <w:webHidden/>
              </w:rPr>
              <w:instrText xml:space="preserve"> PAGEREF _Toc417742695 \h </w:instrText>
            </w:r>
            <w:r w:rsidR="000F7BD5">
              <w:rPr>
                <w:webHidden/>
              </w:rPr>
            </w:r>
            <w:r w:rsidR="000F7BD5">
              <w:rPr>
                <w:webHidden/>
              </w:rPr>
              <w:fldChar w:fldCharType="separate"/>
            </w:r>
            <w:r>
              <w:rPr>
                <w:webHidden/>
              </w:rPr>
              <w:t>19-6</w:t>
            </w:r>
            <w:r w:rsidR="000F7BD5">
              <w:rPr>
                <w:webHidden/>
              </w:rPr>
              <w:fldChar w:fldCharType="end"/>
            </w:r>
          </w:hyperlink>
        </w:p>
        <w:p w:rsidR="000F7BD5" w:rsidRDefault="006975E6">
          <w:pPr>
            <w:pStyle w:val="TOC2"/>
            <w:tabs>
              <w:tab w:val="left" w:pos="1276"/>
            </w:tabs>
            <w:rPr>
              <w:rFonts w:asciiTheme="minorHAnsi" w:eastAsiaTheme="minorEastAsia" w:hAnsiTheme="minorHAnsi"/>
              <w:b w:val="0"/>
              <w:color w:val="auto"/>
              <w:sz w:val="22"/>
              <w:lang w:eastAsia="en-AU"/>
            </w:rPr>
          </w:pPr>
          <w:hyperlink w:anchor="_Toc417742696" w:history="1">
            <w:r w:rsidR="000F7BD5" w:rsidRPr="00A37A8F">
              <w:rPr>
                <w:rStyle w:val="Hyperlink"/>
              </w:rPr>
              <w:t>19.1</w:t>
            </w:r>
            <w:r w:rsidR="000F7BD5">
              <w:rPr>
                <w:rFonts w:asciiTheme="minorHAnsi" w:eastAsiaTheme="minorEastAsia" w:hAnsiTheme="minorHAnsi"/>
                <w:b w:val="0"/>
                <w:color w:val="auto"/>
                <w:sz w:val="22"/>
                <w:lang w:eastAsia="en-AU"/>
              </w:rPr>
              <w:tab/>
            </w:r>
            <w:r w:rsidR="000F7BD5" w:rsidRPr="00A37A8F">
              <w:rPr>
                <w:rStyle w:val="Hyperlink"/>
              </w:rPr>
              <w:t>Background</w:t>
            </w:r>
            <w:r w:rsidR="000F7BD5">
              <w:rPr>
                <w:webHidden/>
              </w:rPr>
              <w:tab/>
            </w:r>
            <w:r w:rsidR="000F7BD5">
              <w:rPr>
                <w:webHidden/>
              </w:rPr>
              <w:fldChar w:fldCharType="begin"/>
            </w:r>
            <w:r w:rsidR="000F7BD5">
              <w:rPr>
                <w:webHidden/>
              </w:rPr>
              <w:instrText xml:space="preserve"> PAGEREF _Toc417742696 \h </w:instrText>
            </w:r>
            <w:r w:rsidR="000F7BD5">
              <w:rPr>
                <w:webHidden/>
              </w:rPr>
            </w:r>
            <w:r w:rsidR="000F7BD5">
              <w:rPr>
                <w:webHidden/>
              </w:rPr>
              <w:fldChar w:fldCharType="separate"/>
            </w:r>
            <w:r>
              <w:rPr>
                <w:webHidden/>
              </w:rPr>
              <w:t>19-6</w:t>
            </w:r>
            <w:r w:rsidR="000F7BD5">
              <w:rPr>
                <w:webHidden/>
              </w:rPr>
              <w:fldChar w:fldCharType="end"/>
            </w:r>
          </w:hyperlink>
        </w:p>
        <w:p w:rsidR="000F7BD5" w:rsidRDefault="006975E6">
          <w:pPr>
            <w:pStyle w:val="TOC2"/>
            <w:tabs>
              <w:tab w:val="left" w:pos="1276"/>
            </w:tabs>
            <w:rPr>
              <w:rFonts w:asciiTheme="minorHAnsi" w:eastAsiaTheme="minorEastAsia" w:hAnsiTheme="minorHAnsi"/>
              <w:b w:val="0"/>
              <w:color w:val="auto"/>
              <w:sz w:val="22"/>
              <w:lang w:eastAsia="en-AU"/>
            </w:rPr>
          </w:pPr>
          <w:hyperlink w:anchor="_Toc417742697" w:history="1">
            <w:r w:rsidR="000F7BD5" w:rsidRPr="00A37A8F">
              <w:rPr>
                <w:rStyle w:val="Hyperlink"/>
              </w:rPr>
              <w:t>19.2</w:t>
            </w:r>
            <w:r w:rsidR="000F7BD5">
              <w:rPr>
                <w:rFonts w:asciiTheme="minorHAnsi" w:eastAsiaTheme="minorEastAsia" w:hAnsiTheme="minorHAnsi"/>
                <w:b w:val="0"/>
                <w:color w:val="auto"/>
                <w:sz w:val="22"/>
                <w:lang w:eastAsia="en-AU"/>
              </w:rPr>
              <w:tab/>
            </w:r>
            <w:r w:rsidR="000F7BD5" w:rsidRPr="00A37A8F">
              <w:rPr>
                <w:rStyle w:val="Hyperlink"/>
              </w:rPr>
              <w:t>The four scenarios</w:t>
            </w:r>
            <w:r w:rsidR="000F7BD5">
              <w:rPr>
                <w:webHidden/>
              </w:rPr>
              <w:tab/>
            </w:r>
            <w:r w:rsidR="000F7BD5">
              <w:rPr>
                <w:webHidden/>
              </w:rPr>
              <w:fldChar w:fldCharType="begin"/>
            </w:r>
            <w:r w:rsidR="000F7BD5">
              <w:rPr>
                <w:webHidden/>
              </w:rPr>
              <w:instrText xml:space="preserve"> PAGEREF _Toc417742697 \h </w:instrText>
            </w:r>
            <w:r w:rsidR="000F7BD5">
              <w:rPr>
                <w:webHidden/>
              </w:rPr>
            </w:r>
            <w:r w:rsidR="000F7BD5">
              <w:rPr>
                <w:webHidden/>
              </w:rPr>
              <w:fldChar w:fldCharType="separate"/>
            </w:r>
            <w:r>
              <w:rPr>
                <w:webHidden/>
              </w:rPr>
              <w:t>19-7</w:t>
            </w:r>
            <w:r w:rsidR="000F7BD5">
              <w:rPr>
                <w:webHidden/>
              </w:rPr>
              <w:fldChar w:fldCharType="end"/>
            </w:r>
          </w:hyperlink>
        </w:p>
        <w:p w:rsidR="000F7BD5" w:rsidRDefault="006975E6">
          <w:pPr>
            <w:pStyle w:val="TOC3"/>
            <w:rPr>
              <w:rFonts w:asciiTheme="minorHAnsi" w:eastAsiaTheme="minorEastAsia" w:hAnsiTheme="minorHAnsi"/>
              <w:lang w:eastAsia="en-AU"/>
            </w:rPr>
          </w:pPr>
          <w:hyperlink w:anchor="_Toc417742698" w:history="1">
            <w:r w:rsidR="000F7BD5" w:rsidRPr="00A37A8F">
              <w:rPr>
                <w:rStyle w:val="Hyperlink"/>
              </w:rPr>
              <w:t>19.2.1</w:t>
            </w:r>
            <w:r w:rsidR="000F7BD5">
              <w:rPr>
                <w:rFonts w:asciiTheme="minorHAnsi" w:eastAsiaTheme="minorEastAsia" w:hAnsiTheme="minorHAnsi"/>
                <w:lang w:eastAsia="en-AU"/>
              </w:rPr>
              <w:tab/>
            </w:r>
            <w:r w:rsidR="000F7BD5" w:rsidRPr="00A37A8F">
              <w:rPr>
                <w:rStyle w:val="Hyperlink"/>
              </w:rPr>
              <w:t>Results of the scenarios</w:t>
            </w:r>
            <w:r w:rsidR="000F7BD5">
              <w:rPr>
                <w:webHidden/>
              </w:rPr>
              <w:tab/>
            </w:r>
            <w:r w:rsidR="000F7BD5">
              <w:rPr>
                <w:webHidden/>
              </w:rPr>
              <w:fldChar w:fldCharType="begin"/>
            </w:r>
            <w:r w:rsidR="000F7BD5">
              <w:rPr>
                <w:webHidden/>
              </w:rPr>
              <w:instrText xml:space="preserve"> PAGEREF _Toc417742698 \h </w:instrText>
            </w:r>
            <w:r w:rsidR="000F7BD5">
              <w:rPr>
                <w:webHidden/>
              </w:rPr>
            </w:r>
            <w:r w:rsidR="000F7BD5">
              <w:rPr>
                <w:webHidden/>
              </w:rPr>
              <w:fldChar w:fldCharType="separate"/>
            </w:r>
            <w:r>
              <w:rPr>
                <w:webHidden/>
              </w:rPr>
              <w:t>19-9</w:t>
            </w:r>
            <w:r w:rsidR="000F7BD5">
              <w:rPr>
                <w:webHidden/>
              </w:rPr>
              <w:fldChar w:fldCharType="end"/>
            </w:r>
          </w:hyperlink>
        </w:p>
        <w:p w:rsidR="000F7BD5" w:rsidRDefault="006975E6">
          <w:pPr>
            <w:pStyle w:val="TOC3"/>
            <w:rPr>
              <w:rFonts w:asciiTheme="minorHAnsi" w:eastAsiaTheme="minorEastAsia" w:hAnsiTheme="minorHAnsi"/>
              <w:lang w:eastAsia="en-AU"/>
            </w:rPr>
          </w:pPr>
          <w:hyperlink w:anchor="_Toc417742699" w:history="1">
            <w:r w:rsidR="000F7BD5" w:rsidRPr="00A37A8F">
              <w:rPr>
                <w:rStyle w:val="Hyperlink"/>
              </w:rPr>
              <w:t>19.2.2</w:t>
            </w:r>
            <w:r w:rsidR="000F7BD5">
              <w:rPr>
                <w:rFonts w:asciiTheme="minorHAnsi" w:eastAsiaTheme="minorEastAsia" w:hAnsiTheme="minorHAnsi"/>
                <w:lang w:eastAsia="en-AU"/>
              </w:rPr>
              <w:tab/>
            </w:r>
            <w:r w:rsidR="000F7BD5" w:rsidRPr="00A37A8F">
              <w:rPr>
                <w:rStyle w:val="Hyperlink"/>
              </w:rPr>
              <w:t>Key assumptions</w:t>
            </w:r>
            <w:r w:rsidR="000F7BD5">
              <w:rPr>
                <w:webHidden/>
              </w:rPr>
              <w:tab/>
            </w:r>
            <w:r w:rsidR="000F7BD5">
              <w:rPr>
                <w:webHidden/>
              </w:rPr>
              <w:fldChar w:fldCharType="begin"/>
            </w:r>
            <w:r w:rsidR="000F7BD5">
              <w:rPr>
                <w:webHidden/>
              </w:rPr>
              <w:instrText xml:space="preserve"> PAGEREF _Toc417742699 \h </w:instrText>
            </w:r>
            <w:r w:rsidR="000F7BD5">
              <w:rPr>
                <w:webHidden/>
              </w:rPr>
            </w:r>
            <w:r w:rsidR="000F7BD5">
              <w:rPr>
                <w:webHidden/>
              </w:rPr>
              <w:fldChar w:fldCharType="separate"/>
            </w:r>
            <w:r>
              <w:rPr>
                <w:webHidden/>
              </w:rPr>
              <w:t>19-11</w:t>
            </w:r>
            <w:r w:rsidR="000F7BD5">
              <w:rPr>
                <w:webHidden/>
              </w:rPr>
              <w:fldChar w:fldCharType="end"/>
            </w:r>
          </w:hyperlink>
        </w:p>
        <w:p w:rsidR="00DE563D" w:rsidRDefault="000F7BD5" w:rsidP="000F7BD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7" w:name="_Toc404700925"/>
      <w:bookmarkStart w:id="8" w:name="_Toc417742694"/>
      <w:r>
        <w:lastRenderedPageBreak/>
        <w:t>Shortened forms</w:t>
      </w:r>
      <w:bookmarkEnd w:id="7"/>
      <w:bookmarkEnd w:id="8"/>
    </w:p>
    <w:tbl>
      <w:tblPr>
        <w:tblStyle w:val="AERtable-text0"/>
        <w:tblW w:w="0" w:type="auto"/>
        <w:tblLook w:val="04A0" w:firstRow="1" w:lastRow="0" w:firstColumn="1" w:lastColumn="0" w:noHBand="0" w:noVBand="1"/>
      </w:tblPr>
      <w:tblGrid>
        <w:gridCol w:w="4342"/>
        <w:gridCol w:w="4351"/>
      </w:tblGrid>
      <w:tr w:rsidR="001F05A4" w:rsidTr="00820E52">
        <w:trPr>
          <w:cnfStyle w:val="100000000000" w:firstRow="1" w:lastRow="0" w:firstColumn="0" w:lastColumn="0" w:oddVBand="0" w:evenVBand="0" w:oddHBand="0" w:evenHBand="0" w:firstRowFirstColumn="0" w:firstRowLastColumn="0" w:lastRowFirstColumn="0" w:lastRowLastColumn="0"/>
          <w:tblHeader/>
        </w:trPr>
        <w:tc>
          <w:tcPr>
            <w:tcW w:w="4342" w:type="dxa"/>
          </w:tcPr>
          <w:p w:rsidR="001F05A4" w:rsidRDefault="001F05A4" w:rsidP="001F05A4">
            <w:pPr>
              <w:numPr>
                <w:ilvl w:val="0"/>
                <w:numId w:val="25"/>
              </w:numPr>
            </w:pPr>
            <w:r>
              <w:t>Shortened form</w:t>
            </w:r>
          </w:p>
        </w:tc>
        <w:tc>
          <w:tcPr>
            <w:tcW w:w="4351" w:type="dxa"/>
          </w:tcPr>
          <w:p w:rsidR="001F05A4" w:rsidRDefault="001F05A4" w:rsidP="001F05A4">
            <w:pPr>
              <w:numPr>
                <w:ilvl w:val="0"/>
                <w:numId w:val="25"/>
              </w:numPr>
            </w:pPr>
            <w:r>
              <w:t>Extended form</w:t>
            </w:r>
          </w:p>
        </w:tc>
      </w:tr>
      <w:tr w:rsidR="0047417B" w:rsidTr="00031976">
        <w:tc>
          <w:tcPr>
            <w:tcW w:w="4342" w:type="dxa"/>
          </w:tcPr>
          <w:p w:rsidR="0047417B" w:rsidRPr="0047417B" w:rsidRDefault="0047417B" w:rsidP="0047417B">
            <w:pPr>
              <w:numPr>
                <w:ilvl w:val="0"/>
                <w:numId w:val="25"/>
              </w:numPr>
            </w:pPr>
            <w:r w:rsidRPr="0047417B">
              <w:t>AEMC</w:t>
            </w:r>
          </w:p>
        </w:tc>
        <w:tc>
          <w:tcPr>
            <w:tcW w:w="4351" w:type="dxa"/>
          </w:tcPr>
          <w:p w:rsidR="0047417B" w:rsidRPr="0047417B" w:rsidRDefault="0047417B" w:rsidP="0047417B">
            <w:pPr>
              <w:numPr>
                <w:ilvl w:val="0"/>
                <w:numId w:val="25"/>
              </w:numPr>
            </w:pPr>
            <w:r w:rsidRPr="0047417B">
              <w:t>Australian Energy Market Commission</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AEMO</w:t>
            </w:r>
          </w:p>
        </w:tc>
        <w:tc>
          <w:tcPr>
            <w:tcW w:w="4351" w:type="dxa"/>
          </w:tcPr>
          <w:p w:rsidR="0047417B" w:rsidRPr="0047417B" w:rsidRDefault="0047417B" w:rsidP="0047417B">
            <w:pPr>
              <w:numPr>
                <w:ilvl w:val="0"/>
                <w:numId w:val="25"/>
              </w:numPr>
            </w:pPr>
            <w:r w:rsidRPr="0047417B">
              <w:t>Australian Energy Market Operator</w:t>
            </w:r>
          </w:p>
        </w:tc>
      </w:tr>
      <w:tr w:rsidR="0047417B" w:rsidTr="00031976">
        <w:tc>
          <w:tcPr>
            <w:tcW w:w="4342" w:type="dxa"/>
          </w:tcPr>
          <w:p w:rsidR="0047417B" w:rsidRPr="0047417B" w:rsidRDefault="0047417B" w:rsidP="0047417B">
            <w:pPr>
              <w:numPr>
                <w:ilvl w:val="0"/>
                <w:numId w:val="25"/>
              </w:numPr>
            </w:pPr>
            <w:r w:rsidRPr="0047417B">
              <w:t>AER</w:t>
            </w:r>
          </w:p>
        </w:tc>
        <w:tc>
          <w:tcPr>
            <w:tcW w:w="4351" w:type="dxa"/>
          </w:tcPr>
          <w:p w:rsidR="0047417B" w:rsidRPr="0047417B" w:rsidRDefault="0047417B" w:rsidP="0047417B">
            <w:pPr>
              <w:numPr>
                <w:ilvl w:val="0"/>
                <w:numId w:val="25"/>
              </w:numPr>
            </w:pPr>
            <w:r w:rsidRPr="0047417B">
              <w:t>Australian Energy Regulator</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proofErr w:type="spellStart"/>
            <w:r w:rsidRPr="0047417B">
              <w:t>augex</w:t>
            </w:r>
            <w:proofErr w:type="spellEnd"/>
          </w:p>
        </w:tc>
        <w:tc>
          <w:tcPr>
            <w:tcW w:w="4351" w:type="dxa"/>
          </w:tcPr>
          <w:p w:rsidR="0047417B" w:rsidRPr="0047417B" w:rsidRDefault="0047417B" w:rsidP="0047417B">
            <w:pPr>
              <w:numPr>
                <w:ilvl w:val="0"/>
                <w:numId w:val="25"/>
              </w:numPr>
            </w:pPr>
            <w:r w:rsidRPr="0047417B">
              <w:t>augmentation expenditure</w:t>
            </w:r>
          </w:p>
        </w:tc>
      </w:tr>
      <w:tr w:rsidR="0047417B" w:rsidTr="00031976">
        <w:tc>
          <w:tcPr>
            <w:tcW w:w="4342" w:type="dxa"/>
          </w:tcPr>
          <w:p w:rsidR="0047417B" w:rsidRPr="0047417B" w:rsidRDefault="0047417B" w:rsidP="0047417B">
            <w:pPr>
              <w:numPr>
                <w:ilvl w:val="0"/>
                <w:numId w:val="25"/>
              </w:numPr>
            </w:pPr>
            <w:r w:rsidRPr="0047417B">
              <w:t>capex</w:t>
            </w:r>
          </w:p>
        </w:tc>
        <w:tc>
          <w:tcPr>
            <w:tcW w:w="4351" w:type="dxa"/>
          </w:tcPr>
          <w:p w:rsidR="0047417B" w:rsidRPr="0047417B" w:rsidRDefault="0047417B" w:rsidP="0047417B">
            <w:pPr>
              <w:numPr>
                <w:ilvl w:val="0"/>
                <w:numId w:val="25"/>
              </w:numPr>
            </w:pPr>
            <w:r w:rsidRPr="0047417B">
              <w:t>capital expenditure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CCP</w:t>
            </w:r>
          </w:p>
        </w:tc>
        <w:tc>
          <w:tcPr>
            <w:tcW w:w="4351" w:type="dxa"/>
          </w:tcPr>
          <w:p w:rsidR="0047417B" w:rsidRPr="0047417B" w:rsidRDefault="0047417B" w:rsidP="0047417B">
            <w:pPr>
              <w:numPr>
                <w:ilvl w:val="0"/>
                <w:numId w:val="25"/>
              </w:numPr>
            </w:pPr>
            <w:r w:rsidRPr="0047417B">
              <w:t>Consumer Challenge Panel</w:t>
            </w:r>
          </w:p>
        </w:tc>
      </w:tr>
      <w:tr w:rsidR="0047417B" w:rsidTr="00031976">
        <w:tc>
          <w:tcPr>
            <w:tcW w:w="4342" w:type="dxa"/>
          </w:tcPr>
          <w:p w:rsidR="0047417B" w:rsidRPr="0047417B" w:rsidRDefault="0047417B" w:rsidP="0047417B">
            <w:pPr>
              <w:numPr>
                <w:ilvl w:val="0"/>
                <w:numId w:val="25"/>
              </w:numPr>
            </w:pPr>
            <w:r w:rsidRPr="0047417B">
              <w:t>CESS</w:t>
            </w:r>
          </w:p>
        </w:tc>
        <w:tc>
          <w:tcPr>
            <w:tcW w:w="4351" w:type="dxa"/>
          </w:tcPr>
          <w:p w:rsidR="0047417B" w:rsidRPr="0047417B" w:rsidRDefault="0047417B" w:rsidP="0047417B">
            <w:pPr>
              <w:numPr>
                <w:ilvl w:val="0"/>
                <w:numId w:val="25"/>
              </w:numPr>
            </w:pPr>
            <w:r w:rsidRPr="0047417B">
              <w:t>capital expenditure sharing scheme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CPI</w:t>
            </w:r>
          </w:p>
        </w:tc>
        <w:tc>
          <w:tcPr>
            <w:tcW w:w="4351" w:type="dxa"/>
          </w:tcPr>
          <w:p w:rsidR="0047417B" w:rsidRPr="0047417B" w:rsidRDefault="0047417B" w:rsidP="0047417B">
            <w:pPr>
              <w:numPr>
                <w:ilvl w:val="0"/>
                <w:numId w:val="25"/>
              </w:numPr>
            </w:pPr>
            <w:r w:rsidRPr="0047417B">
              <w:t>consumer price index</w:t>
            </w:r>
          </w:p>
        </w:tc>
      </w:tr>
      <w:tr w:rsidR="0047417B" w:rsidTr="00031976">
        <w:tc>
          <w:tcPr>
            <w:tcW w:w="4342" w:type="dxa"/>
          </w:tcPr>
          <w:p w:rsidR="0047417B" w:rsidRPr="0047417B" w:rsidRDefault="0047417B" w:rsidP="0047417B">
            <w:pPr>
              <w:numPr>
                <w:ilvl w:val="0"/>
                <w:numId w:val="25"/>
              </w:numPr>
            </w:pPr>
            <w:r w:rsidRPr="0047417B">
              <w:t>DRP</w:t>
            </w:r>
          </w:p>
        </w:tc>
        <w:tc>
          <w:tcPr>
            <w:tcW w:w="4351" w:type="dxa"/>
          </w:tcPr>
          <w:p w:rsidR="0047417B" w:rsidRPr="0047417B" w:rsidRDefault="0047417B" w:rsidP="0047417B">
            <w:pPr>
              <w:numPr>
                <w:ilvl w:val="0"/>
                <w:numId w:val="25"/>
              </w:numPr>
            </w:pPr>
            <w:r w:rsidRPr="0047417B">
              <w:t>debt risk premium</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DMIA</w:t>
            </w:r>
          </w:p>
        </w:tc>
        <w:tc>
          <w:tcPr>
            <w:tcW w:w="4351" w:type="dxa"/>
          </w:tcPr>
          <w:p w:rsidR="0047417B" w:rsidRPr="0047417B" w:rsidRDefault="0047417B" w:rsidP="0047417B">
            <w:pPr>
              <w:numPr>
                <w:ilvl w:val="0"/>
                <w:numId w:val="25"/>
              </w:numPr>
            </w:pPr>
            <w:r w:rsidRPr="0047417B">
              <w:t>demand management innovation allowance</w:t>
            </w:r>
          </w:p>
        </w:tc>
      </w:tr>
      <w:tr w:rsidR="0047417B" w:rsidTr="00031976">
        <w:tc>
          <w:tcPr>
            <w:tcW w:w="4342" w:type="dxa"/>
          </w:tcPr>
          <w:p w:rsidR="0047417B" w:rsidRPr="0047417B" w:rsidRDefault="0047417B" w:rsidP="0047417B">
            <w:pPr>
              <w:numPr>
                <w:ilvl w:val="0"/>
                <w:numId w:val="25"/>
              </w:numPr>
            </w:pPr>
            <w:r w:rsidRPr="0047417B">
              <w:t>DMIS</w:t>
            </w:r>
          </w:p>
        </w:tc>
        <w:tc>
          <w:tcPr>
            <w:tcW w:w="4351" w:type="dxa"/>
          </w:tcPr>
          <w:p w:rsidR="0047417B" w:rsidRPr="0047417B" w:rsidRDefault="0047417B" w:rsidP="0047417B">
            <w:pPr>
              <w:numPr>
                <w:ilvl w:val="0"/>
                <w:numId w:val="25"/>
              </w:numPr>
            </w:pPr>
            <w:r w:rsidRPr="0047417B">
              <w:t>demand management incentive scheme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distributor</w:t>
            </w:r>
          </w:p>
        </w:tc>
        <w:tc>
          <w:tcPr>
            <w:tcW w:w="4351" w:type="dxa"/>
          </w:tcPr>
          <w:p w:rsidR="0047417B" w:rsidRPr="0047417B" w:rsidRDefault="0047417B" w:rsidP="0047417B">
            <w:pPr>
              <w:numPr>
                <w:ilvl w:val="0"/>
                <w:numId w:val="25"/>
              </w:numPr>
            </w:pPr>
            <w:r w:rsidRPr="0047417B">
              <w:t>distribution network service provider</w:t>
            </w:r>
          </w:p>
        </w:tc>
      </w:tr>
      <w:tr w:rsidR="0047417B" w:rsidTr="00031976">
        <w:tc>
          <w:tcPr>
            <w:tcW w:w="4342" w:type="dxa"/>
          </w:tcPr>
          <w:p w:rsidR="0047417B" w:rsidRPr="0047417B" w:rsidRDefault="0047417B" w:rsidP="0047417B">
            <w:pPr>
              <w:numPr>
                <w:ilvl w:val="0"/>
                <w:numId w:val="25"/>
              </w:numPr>
            </w:pPr>
            <w:proofErr w:type="spellStart"/>
            <w:r w:rsidRPr="0047417B">
              <w:t>DUoS</w:t>
            </w:r>
            <w:proofErr w:type="spellEnd"/>
          </w:p>
        </w:tc>
        <w:tc>
          <w:tcPr>
            <w:tcW w:w="4351" w:type="dxa"/>
          </w:tcPr>
          <w:p w:rsidR="0047417B" w:rsidRPr="0047417B" w:rsidRDefault="0047417B" w:rsidP="0047417B">
            <w:pPr>
              <w:numPr>
                <w:ilvl w:val="0"/>
                <w:numId w:val="25"/>
              </w:numPr>
            </w:pPr>
            <w:r w:rsidRPr="0047417B">
              <w:t>distribution use of system</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EBSS</w:t>
            </w:r>
          </w:p>
        </w:tc>
        <w:tc>
          <w:tcPr>
            <w:tcW w:w="4351" w:type="dxa"/>
          </w:tcPr>
          <w:p w:rsidR="0047417B" w:rsidRPr="0047417B" w:rsidRDefault="0047417B" w:rsidP="0047417B">
            <w:pPr>
              <w:numPr>
                <w:ilvl w:val="0"/>
                <w:numId w:val="25"/>
              </w:numPr>
            </w:pPr>
            <w:r w:rsidRPr="0047417B">
              <w:t>efficiency benefit sharing scheme</w:t>
            </w:r>
          </w:p>
        </w:tc>
      </w:tr>
      <w:tr w:rsidR="0047417B" w:rsidTr="00031976">
        <w:tc>
          <w:tcPr>
            <w:tcW w:w="4342" w:type="dxa"/>
          </w:tcPr>
          <w:p w:rsidR="0047417B" w:rsidRPr="0047417B" w:rsidRDefault="0047417B" w:rsidP="0047417B">
            <w:pPr>
              <w:numPr>
                <w:ilvl w:val="0"/>
                <w:numId w:val="25"/>
              </w:numPr>
            </w:pPr>
            <w:r w:rsidRPr="0047417B">
              <w:t>ERP</w:t>
            </w:r>
          </w:p>
        </w:tc>
        <w:tc>
          <w:tcPr>
            <w:tcW w:w="4351" w:type="dxa"/>
          </w:tcPr>
          <w:p w:rsidR="0047417B" w:rsidRPr="0047417B" w:rsidRDefault="0047417B" w:rsidP="0047417B">
            <w:pPr>
              <w:numPr>
                <w:ilvl w:val="0"/>
                <w:numId w:val="25"/>
              </w:numPr>
            </w:pPr>
            <w:r w:rsidRPr="0047417B">
              <w:t>equity risk premium</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Expenditure Assessment Guideline</w:t>
            </w:r>
          </w:p>
        </w:tc>
        <w:tc>
          <w:tcPr>
            <w:tcW w:w="4351" w:type="dxa"/>
          </w:tcPr>
          <w:p w:rsidR="0047417B" w:rsidRPr="0047417B" w:rsidRDefault="0047417B" w:rsidP="0047417B">
            <w:pPr>
              <w:numPr>
                <w:ilvl w:val="0"/>
                <w:numId w:val="25"/>
              </w:numPr>
            </w:pPr>
            <w:r w:rsidRPr="0047417B">
              <w:t>expenditure forecast assessment Guideline for electricity distribution</w:t>
            </w:r>
          </w:p>
        </w:tc>
      </w:tr>
      <w:tr w:rsidR="0047417B" w:rsidTr="00031976">
        <w:tc>
          <w:tcPr>
            <w:tcW w:w="4342" w:type="dxa"/>
          </w:tcPr>
          <w:p w:rsidR="0047417B" w:rsidRPr="0047417B" w:rsidRDefault="0047417B" w:rsidP="0047417B">
            <w:pPr>
              <w:numPr>
                <w:ilvl w:val="0"/>
                <w:numId w:val="25"/>
              </w:numPr>
            </w:pPr>
            <w:r w:rsidRPr="0047417B">
              <w:t>F&amp;A</w:t>
            </w:r>
          </w:p>
        </w:tc>
        <w:tc>
          <w:tcPr>
            <w:tcW w:w="4351" w:type="dxa"/>
          </w:tcPr>
          <w:p w:rsidR="0047417B" w:rsidRPr="0047417B" w:rsidRDefault="0047417B" w:rsidP="0047417B">
            <w:pPr>
              <w:numPr>
                <w:ilvl w:val="0"/>
                <w:numId w:val="25"/>
              </w:numPr>
            </w:pPr>
            <w:r w:rsidRPr="0047417B">
              <w:t>framework and approach</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MRP</w:t>
            </w:r>
          </w:p>
        </w:tc>
        <w:tc>
          <w:tcPr>
            <w:tcW w:w="4351" w:type="dxa"/>
          </w:tcPr>
          <w:p w:rsidR="0047417B" w:rsidRPr="0047417B" w:rsidRDefault="0047417B" w:rsidP="0047417B">
            <w:pPr>
              <w:numPr>
                <w:ilvl w:val="0"/>
                <w:numId w:val="25"/>
              </w:numPr>
            </w:pPr>
            <w:r w:rsidRPr="0047417B">
              <w:t>market risk premium</w:t>
            </w:r>
          </w:p>
        </w:tc>
      </w:tr>
      <w:tr w:rsidR="0047417B" w:rsidTr="00031976">
        <w:tc>
          <w:tcPr>
            <w:tcW w:w="4342" w:type="dxa"/>
          </w:tcPr>
          <w:p w:rsidR="0047417B" w:rsidRPr="0047417B" w:rsidRDefault="0047417B" w:rsidP="0047417B">
            <w:pPr>
              <w:numPr>
                <w:ilvl w:val="0"/>
                <w:numId w:val="25"/>
              </w:numPr>
            </w:pPr>
            <w:r w:rsidRPr="0047417B">
              <w:t>NEL</w:t>
            </w:r>
          </w:p>
        </w:tc>
        <w:tc>
          <w:tcPr>
            <w:tcW w:w="4351" w:type="dxa"/>
          </w:tcPr>
          <w:p w:rsidR="0047417B" w:rsidRPr="0047417B" w:rsidRDefault="0047417B" w:rsidP="0047417B">
            <w:pPr>
              <w:numPr>
                <w:ilvl w:val="0"/>
                <w:numId w:val="25"/>
              </w:numPr>
            </w:pPr>
            <w:r w:rsidRPr="0047417B">
              <w:t>national electricity law</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NEM</w:t>
            </w:r>
          </w:p>
        </w:tc>
        <w:tc>
          <w:tcPr>
            <w:tcW w:w="4351" w:type="dxa"/>
          </w:tcPr>
          <w:p w:rsidR="0047417B" w:rsidRPr="0047417B" w:rsidRDefault="0047417B" w:rsidP="0047417B">
            <w:pPr>
              <w:numPr>
                <w:ilvl w:val="0"/>
                <w:numId w:val="25"/>
              </w:numPr>
            </w:pPr>
            <w:r w:rsidRPr="0047417B">
              <w:t>national electricity market</w:t>
            </w:r>
          </w:p>
        </w:tc>
      </w:tr>
      <w:tr w:rsidR="0047417B" w:rsidTr="00031976">
        <w:tc>
          <w:tcPr>
            <w:tcW w:w="4342" w:type="dxa"/>
          </w:tcPr>
          <w:p w:rsidR="0047417B" w:rsidRPr="0047417B" w:rsidRDefault="0047417B" w:rsidP="0047417B">
            <w:pPr>
              <w:numPr>
                <w:ilvl w:val="0"/>
                <w:numId w:val="25"/>
              </w:numPr>
            </w:pPr>
            <w:r w:rsidRPr="0047417B">
              <w:t>NEO</w:t>
            </w:r>
          </w:p>
        </w:tc>
        <w:tc>
          <w:tcPr>
            <w:tcW w:w="4351" w:type="dxa"/>
          </w:tcPr>
          <w:p w:rsidR="0047417B" w:rsidRPr="0047417B" w:rsidRDefault="0047417B" w:rsidP="0047417B">
            <w:pPr>
              <w:numPr>
                <w:ilvl w:val="0"/>
                <w:numId w:val="25"/>
              </w:numPr>
            </w:pPr>
            <w:r w:rsidRPr="0047417B">
              <w:t>national electricity objective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NER</w:t>
            </w:r>
          </w:p>
        </w:tc>
        <w:tc>
          <w:tcPr>
            <w:tcW w:w="4351" w:type="dxa"/>
          </w:tcPr>
          <w:p w:rsidR="0047417B" w:rsidRPr="0047417B" w:rsidRDefault="0047417B" w:rsidP="0047417B">
            <w:pPr>
              <w:numPr>
                <w:ilvl w:val="0"/>
                <w:numId w:val="25"/>
              </w:numPr>
            </w:pPr>
            <w:r w:rsidRPr="0047417B">
              <w:t>national electricity rules</w:t>
            </w:r>
          </w:p>
        </w:tc>
      </w:tr>
      <w:tr w:rsidR="0047417B" w:rsidTr="00031976">
        <w:tc>
          <w:tcPr>
            <w:tcW w:w="4342" w:type="dxa"/>
          </w:tcPr>
          <w:p w:rsidR="0047417B" w:rsidRPr="0047417B" w:rsidRDefault="0047417B" w:rsidP="0047417B">
            <w:pPr>
              <w:numPr>
                <w:ilvl w:val="0"/>
                <w:numId w:val="25"/>
              </w:numPr>
            </w:pPr>
            <w:r w:rsidRPr="0047417B">
              <w:t>NSP</w:t>
            </w:r>
          </w:p>
        </w:tc>
        <w:tc>
          <w:tcPr>
            <w:tcW w:w="4351" w:type="dxa"/>
          </w:tcPr>
          <w:p w:rsidR="0047417B" w:rsidRPr="0047417B" w:rsidRDefault="0047417B" w:rsidP="0047417B">
            <w:pPr>
              <w:numPr>
                <w:ilvl w:val="0"/>
                <w:numId w:val="25"/>
              </w:numPr>
            </w:pPr>
            <w:r w:rsidRPr="0047417B">
              <w:t>network service provider</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proofErr w:type="spellStart"/>
            <w:r w:rsidRPr="0047417B">
              <w:t>opex</w:t>
            </w:r>
            <w:proofErr w:type="spellEnd"/>
          </w:p>
        </w:tc>
        <w:tc>
          <w:tcPr>
            <w:tcW w:w="4351" w:type="dxa"/>
          </w:tcPr>
          <w:p w:rsidR="0047417B" w:rsidRPr="0047417B" w:rsidRDefault="0047417B" w:rsidP="0047417B">
            <w:pPr>
              <w:numPr>
                <w:ilvl w:val="0"/>
                <w:numId w:val="25"/>
              </w:numPr>
            </w:pPr>
            <w:r w:rsidRPr="0047417B">
              <w:t>operating expenditure</w:t>
            </w:r>
          </w:p>
        </w:tc>
      </w:tr>
      <w:tr w:rsidR="0047417B" w:rsidTr="00031976">
        <w:tc>
          <w:tcPr>
            <w:tcW w:w="4342" w:type="dxa"/>
          </w:tcPr>
          <w:p w:rsidR="0047417B" w:rsidRPr="0047417B" w:rsidRDefault="0047417B" w:rsidP="0047417B">
            <w:pPr>
              <w:numPr>
                <w:ilvl w:val="0"/>
                <w:numId w:val="25"/>
              </w:numPr>
            </w:pPr>
            <w:r w:rsidRPr="0047417B">
              <w:t>PPI</w:t>
            </w:r>
          </w:p>
        </w:tc>
        <w:tc>
          <w:tcPr>
            <w:tcW w:w="4351" w:type="dxa"/>
          </w:tcPr>
          <w:p w:rsidR="0047417B" w:rsidRPr="0047417B" w:rsidRDefault="0047417B" w:rsidP="0047417B">
            <w:pPr>
              <w:numPr>
                <w:ilvl w:val="0"/>
                <w:numId w:val="25"/>
              </w:numPr>
            </w:pPr>
            <w:r w:rsidRPr="0047417B">
              <w:t>partial performance indicators</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PTRM</w:t>
            </w:r>
          </w:p>
        </w:tc>
        <w:tc>
          <w:tcPr>
            <w:tcW w:w="4351" w:type="dxa"/>
          </w:tcPr>
          <w:p w:rsidR="0047417B" w:rsidRPr="0047417B" w:rsidRDefault="0047417B" w:rsidP="0047417B">
            <w:pPr>
              <w:numPr>
                <w:ilvl w:val="0"/>
                <w:numId w:val="25"/>
              </w:numPr>
            </w:pPr>
            <w:r w:rsidRPr="0047417B">
              <w:t>post-tax revenue model</w:t>
            </w:r>
          </w:p>
        </w:tc>
      </w:tr>
      <w:tr w:rsidR="0047417B" w:rsidTr="00031976">
        <w:tc>
          <w:tcPr>
            <w:tcW w:w="4342" w:type="dxa"/>
          </w:tcPr>
          <w:p w:rsidR="0047417B" w:rsidRPr="0047417B" w:rsidRDefault="0047417B" w:rsidP="0047417B">
            <w:pPr>
              <w:numPr>
                <w:ilvl w:val="0"/>
                <w:numId w:val="25"/>
              </w:numPr>
            </w:pPr>
            <w:r w:rsidRPr="0047417B">
              <w:t>RAB</w:t>
            </w:r>
          </w:p>
        </w:tc>
        <w:tc>
          <w:tcPr>
            <w:tcW w:w="4351" w:type="dxa"/>
          </w:tcPr>
          <w:p w:rsidR="0047417B" w:rsidRPr="0047417B" w:rsidRDefault="0047417B" w:rsidP="0047417B">
            <w:pPr>
              <w:numPr>
                <w:ilvl w:val="0"/>
                <w:numId w:val="25"/>
              </w:numPr>
            </w:pPr>
            <w:r w:rsidRPr="0047417B">
              <w:t>regulatory asset base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RBA</w:t>
            </w:r>
          </w:p>
        </w:tc>
        <w:tc>
          <w:tcPr>
            <w:tcW w:w="4351" w:type="dxa"/>
          </w:tcPr>
          <w:p w:rsidR="0047417B" w:rsidRPr="0047417B" w:rsidRDefault="0047417B" w:rsidP="0047417B">
            <w:pPr>
              <w:numPr>
                <w:ilvl w:val="0"/>
                <w:numId w:val="25"/>
              </w:numPr>
            </w:pPr>
            <w:r w:rsidRPr="0047417B">
              <w:t>Reserve Bank of Australia</w:t>
            </w:r>
          </w:p>
        </w:tc>
      </w:tr>
      <w:tr w:rsidR="0047417B" w:rsidTr="00031976">
        <w:tc>
          <w:tcPr>
            <w:tcW w:w="4342" w:type="dxa"/>
          </w:tcPr>
          <w:p w:rsidR="0047417B" w:rsidRPr="0047417B" w:rsidRDefault="0047417B" w:rsidP="0047417B">
            <w:pPr>
              <w:numPr>
                <w:ilvl w:val="0"/>
                <w:numId w:val="25"/>
              </w:numPr>
            </w:pPr>
            <w:proofErr w:type="spellStart"/>
            <w:r w:rsidRPr="0047417B">
              <w:t>repex</w:t>
            </w:r>
            <w:proofErr w:type="spellEnd"/>
          </w:p>
        </w:tc>
        <w:tc>
          <w:tcPr>
            <w:tcW w:w="4351" w:type="dxa"/>
          </w:tcPr>
          <w:p w:rsidR="0047417B" w:rsidRPr="0047417B" w:rsidRDefault="0047417B" w:rsidP="0047417B">
            <w:pPr>
              <w:numPr>
                <w:ilvl w:val="0"/>
                <w:numId w:val="25"/>
              </w:numPr>
            </w:pPr>
            <w:r w:rsidRPr="0047417B">
              <w:t>replacement expenditure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RFM</w:t>
            </w:r>
          </w:p>
        </w:tc>
        <w:tc>
          <w:tcPr>
            <w:tcW w:w="4351" w:type="dxa"/>
          </w:tcPr>
          <w:p w:rsidR="0047417B" w:rsidRPr="0047417B" w:rsidRDefault="0047417B" w:rsidP="0047417B">
            <w:pPr>
              <w:numPr>
                <w:ilvl w:val="0"/>
                <w:numId w:val="25"/>
              </w:numPr>
            </w:pPr>
            <w:r w:rsidRPr="0047417B">
              <w:t>roll forward model</w:t>
            </w:r>
          </w:p>
        </w:tc>
      </w:tr>
      <w:tr w:rsidR="0047417B" w:rsidTr="00031976">
        <w:tc>
          <w:tcPr>
            <w:tcW w:w="4342" w:type="dxa"/>
          </w:tcPr>
          <w:p w:rsidR="0047417B" w:rsidRPr="0047417B" w:rsidRDefault="0047417B" w:rsidP="0047417B">
            <w:pPr>
              <w:numPr>
                <w:ilvl w:val="0"/>
                <w:numId w:val="25"/>
              </w:numPr>
            </w:pPr>
            <w:r w:rsidRPr="0047417B">
              <w:lastRenderedPageBreak/>
              <w:t>RIN</w:t>
            </w:r>
          </w:p>
        </w:tc>
        <w:tc>
          <w:tcPr>
            <w:tcW w:w="4351" w:type="dxa"/>
          </w:tcPr>
          <w:p w:rsidR="0047417B" w:rsidRPr="0047417B" w:rsidRDefault="0047417B" w:rsidP="0047417B">
            <w:pPr>
              <w:numPr>
                <w:ilvl w:val="0"/>
                <w:numId w:val="25"/>
              </w:numPr>
            </w:pPr>
            <w:r w:rsidRPr="0047417B">
              <w:t>regulatory information notice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RPP</w:t>
            </w:r>
          </w:p>
        </w:tc>
        <w:tc>
          <w:tcPr>
            <w:tcW w:w="4351" w:type="dxa"/>
          </w:tcPr>
          <w:p w:rsidR="0047417B" w:rsidRPr="0047417B" w:rsidRDefault="0047417B" w:rsidP="0047417B">
            <w:pPr>
              <w:numPr>
                <w:ilvl w:val="0"/>
                <w:numId w:val="25"/>
              </w:numPr>
            </w:pPr>
            <w:r w:rsidRPr="0047417B">
              <w:t>revenue and pricing principles</w:t>
            </w:r>
          </w:p>
        </w:tc>
      </w:tr>
      <w:tr w:rsidR="0047417B" w:rsidTr="00031976">
        <w:tc>
          <w:tcPr>
            <w:tcW w:w="4342" w:type="dxa"/>
          </w:tcPr>
          <w:p w:rsidR="0047417B" w:rsidRPr="0047417B" w:rsidRDefault="0047417B" w:rsidP="0047417B">
            <w:pPr>
              <w:numPr>
                <w:ilvl w:val="0"/>
                <w:numId w:val="25"/>
              </w:numPr>
            </w:pPr>
            <w:r w:rsidRPr="0047417B">
              <w:t>SAIDI</w:t>
            </w:r>
          </w:p>
        </w:tc>
        <w:tc>
          <w:tcPr>
            <w:tcW w:w="4351" w:type="dxa"/>
          </w:tcPr>
          <w:p w:rsidR="0047417B" w:rsidRPr="0047417B" w:rsidRDefault="0047417B" w:rsidP="0047417B">
            <w:pPr>
              <w:numPr>
                <w:ilvl w:val="0"/>
                <w:numId w:val="25"/>
              </w:numPr>
            </w:pPr>
            <w:r w:rsidRPr="0047417B">
              <w:t>system average interruption duration index</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SAIFI</w:t>
            </w:r>
          </w:p>
        </w:tc>
        <w:tc>
          <w:tcPr>
            <w:tcW w:w="4351" w:type="dxa"/>
          </w:tcPr>
          <w:p w:rsidR="0047417B" w:rsidRPr="0047417B" w:rsidRDefault="0047417B" w:rsidP="0047417B">
            <w:pPr>
              <w:numPr>
                <w:ilvl w:val="0"/>
                <w:numId w:val="25"/>
              </w:numPr>
            </w:pPr>
            <w:r w:rsidRPr="0047417B">
              <w:t>system average interruption frequency index</w:t>
            </w:r>
          </w:p>
        </w:tc>
      </w:tr>
      <w:tr w:rsidR="0047417B" w:rsidTr="00031976">
        <w:tc>
          <w:tcPr>
            <w:tcW w:w="4342" w:type="dxa"/>
          </w:tcPr>
          <w:p w:rsidR="0047417B" w:rsidRPr="0047417B" w:rsidRDefault="0047417B" w:rsidP="0047417B">
            <w:pPr>
              <w:numPr>
                <w:ilvl w:val="0"/>
                <w:numId w:val="25"/>
              </w:numPr>
            </w:pPr>
            <w:r w:rsidRPr="0047417B">
              <w:t>SLCAPM</w:t>
            </w:r>
          </w:p>
        </w:tc>
        <w:tc>
          <w:tcPr>
            <w:tcW w:w="4351" w:type="dxa"/>
          </w:tcPr>
          <w:p w:rsidR="0047417B" w:rsidRPr="0047417B" w:rsidRDefault="0047417B" w:rsidP="0047417B">
            <w:pPr>
              <w:numPr>
                <w:ilvl w:val="0"/>
                <w:numId w:val="25"/>
              </w:numPr>
            </w:pPr>
            <w:r w:rsidRPr="0047417B">
              <w:t>Sharpe-</w:t>
            </w:r>
            <w:proofErr w:type="spellStart"/>
            <w:r w:rsidRPr="0047417B">
              <w:t>Lintner</w:t>
            </w:r>
            <w:proofErr w:type="spellEnd"/>
            <w:r w:rsidRPr="0047417B">
              <w:t xml:space="preserve"> capital asset pricing model</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STPIS</w:t>
            </w:r>
          </w:p>
        </w:tc>
        <w:tc>
          <w:tcPr>
            <w:tcW w:w="4351" w:type="dxa"/>
          </w:tcPr>
          <w:p w:rsidR="0047417B" w:rsidRPr="0047417B" w:rsidRDefault="0047417B" w:rsidP="0047417B">
            <w:pPr>
              <w:numPr>
                <w:ilvl w:val="0"/>
                <w:numId w:val="25"/>
              </w:numPr>
            </w:pPr>
            <w:r w:rsidRPr="0047417B">
              <w:t>service target performance incentive scheme</w:t>
            </w:r>
          </w:p>
        </w:tc>
      </w:tr>
      <w:tr w:rsidR="0047417B" w:rsidTr="00031976">
        <w:tc>
          <w:tcPr>
            <w:tcW w:w="4342" w:type="dxa"/>
          </w:tcPr>
          <w:p w:rsidR="0047417B" w:rsidRPr="0047417B" w:rsidRDefault="0047417B" w:rsidP="0047417B">
            <w:pPr>
              <w:numPr>
                <w:ilvl w:val="0"/>
                <w:numId w:val="25"/>
              </w:numPr>
            </w:pPr>
            <w:r w:rsidRPr="0047417B">
              <w:t>WACC</w:t>
            </w:r>
          </w:p>
        </w:tc>
        <w:tc>
          <w:tcPr>
            <w:tcW w:w="4351" w:type="dxa"/>
          </w:tcPr>
          <w:p w:rsidR="0047417B" w:rsidRPr="0047417B" w:rsidRDefault="0047417B" w:rsidP="0047417B">
            <w:pPr>
              <w:numPr>
                <w:ilvl w:val="0"/>
                <w:numId w:val="25"/>
              </w:numPr>
            </w:pPr>
            <w:r w:rsidRPr="0047417B">
              <w:t>weighted average cost of capital</w:t>
            </w:r>
          </w:p>
        </w:tc>
      </w:tr>
    </w:tbl>
    <w:p w:rsidR="00DE563D" w:rsidRPr="00436A39" w:rsidRDefault="00DE563D" w:rsidP="00DE563D">
      <w:pPr>
        <w:numPr>
          <w:ilvl w:val="0"/>
          <w:numId w:val="25"/>
        </w:numPr>
      </w:pPr>
    </w:p>
    <w:p w:rsidR="00DE563D" w:rsidRDefault="00DE563D" w:rsidP="00DE563D"/>
    <w:p w:rsidR="00DE563D" w:rsidRDefault="00EB606C" w:rsidP="00434F97">
      <w:pPr>
        <w:pStyle w:val="Heading1"/>
      </w:pPr>
      <w:r>
        <w:lastRenderedPageBreak/>
        <w:t xml:space="preserve"> </w:t>
      </w:r>
      <w:bookmarkStart w:id="9" w:name="_Toc417742695"/>
      <w:r w:rsidR="006C4042">
        <w:t>Analysis of financial viability</w:t>
      </w:r>
      <w:bookmarkEnd w:id="9"/>
    </w:p>
    <w:p w:rsidR="003E20B0" w:rsidRDefault="003E20B0" w:rsidP="006C4042">
      <w:r>
        <w:t xml:space="preserve">This attachment sets out further detail of our analysis of financial viability. In particular, it details the </w:t>
      </w:r>
      <w:r w:rsidR="00B83141">
        <w:t xml:space="preserve">cash flow </w:t>
      </w:r>
      <w:r>
        <w:t>analysis we undertook and RSM Bird Cameron</w:t>
      </w:r>
      <w:r w:rsidR="00761593">
        <w:t>'s</w:t>
      </w:r>
      <w:r>
        <w:t xml:space="preserve"> review. </w:t>
      </w:r>
      <w:r w:rsidR="00E733CA">
        <w:t xml:space="preserve">This </w:t>
      </w:r>
      <w:r>
        <w:t>attachment details our analysis and conclusions, including discussion of the key assumptions.</w:t>
      </w:r>
    </w:p>
    <w:p w:rsidR="00F04534" w:rsidRDefault="00F04534" w:rsidP="006C4042">
      <w:r>
        <w:t xml:space="preserve">Based on our analysis, and RSM Bird Cameron's review and commentary, we are </w:t>
      </w:r>
      <w:r w:rsidRPr="00F76167">
        <w:t xml:space="preserve">not persuaded that </w:t>
      </w:r>
      <w:r w:rsidR="009B4819">
        <w:t>Endeavour Energy</w:t>
      </w:r>
      <w:r w:rsidRPr="00F76167">
        <w:t xml:space="preserve"> faces financial risks that are likely to threaten its ongoing financial viability.</w:t>
      </w:r>
    </w:p>
    <w:p w:rsidR="003E20B0" w:rsidRDefault="003E20B0" w:rsidP="003E20B0">
      <w:pPr>
        <w:pStyle w:val="Heading2"/>
      </w:pPr>
      <w:r>
        <w:t xml:space="preserve"> </w:t>
      </w:r>
      <w:bookmarkStart w:id="10" w:name="_Toc417742696"/>
      <w:r>
        <w:t>Background</w:t>
      </w:r>
      <w:bookmarkEnd w:id="10"/>
    </w:p>
    <w:p w:rsidR="006C4042" w:rsidRDefault="006C4042" w:rsidP="006C4042">
      <w:r>
        <w:t xml:space="preserve">In its revised proposal, </w:t>
      </w:r>
      <w:r w:rsidR="009B4819">
        <w:t>Endeavour Energy</w:t>
      </w:r>
      <w:r>
        <w:t xml:space="preserve"> </w:t>
      </w:r>
      <w:r w:rsidR="009801CF">
        <w:t>indicated</w:t>
      </w:r>
      <w:r>
        <w:t xml:space="preserve"> that its financial viability would be threatened as a result of our draft decision. In support of this, </w:t>
      </w:r>
      <w:r w:rsidR="009B4819">
        <w:t>Endeavour Energy</w:t>
      </w:r>
      <w:r>
        <w:t xml:space="preserve"> submitted a range of material including:</w:t>
      </w:r>
    </w:p>
    <w:p w:rsidR="006C4042" w:rsidRPr="006C4042" w:rsidRDefault="006C4042" w:rsidP="00820E52">
      <w:pPr>
        <w:pStyle w:val="AERbulletlistfirststyle"/>
      </w:pPr>
      <w:r>
        <w:t>a</w:t>
      </w:r>
      <w:r w:rsidR="009A6262">
        <w:t xml:space="preserve"> </w:t>
      </w:r>
      <w:r w:rsidRPr="006C4042">
        <w:t xml:space="preserve">report from David Newbury </w:t>
      </w:r>
      <w:r w:rsidR="001F0259">
        <w:t>submitting</w:t>
      </w:r>
      <w:r w:rsidR="001F0259" w:rsidRPr="006C4042">
        <w:t xml:space="preserve"> </w:t>
      </w:r>
      <w:r w:rsidRPr="006C4042">
        <w:t xml:space="preserve">that sizeable </w:t>
      </w:r>
      <w:proofErr w:type="spellStart"/>
      <w:r w:rsidRPr="006C4042">
        <w:t>opex</w:t>
      </w:r>
      <w:proofErr w:type="spellEnd"/>
      <w:r w:rsidRPr="006C4042">
        <w:t xml:space="preserve"> reductions in a short period of time would negatively impact the ongoing </w:t>
      </w:r>
      <w:proofErr w:type="spellStart"/>
      <w:r w:rsidRPr="006C4042">
        <w:t>financeability</w:t>
      </w:r>
      <w:proofErr w:type="spellEnd"/>
      <w:r w:rsidRPr="006C4042">
        <w:t xml:space="preserve"> of </w:t>
      </w:r>
      <w:r w:rsidR="00E733CA">
        <w:t xml:space="preserve"> </w:t>
      </w:r>
      <w:r w:rsidR="009B4819">
        <w:t>Endeavour Energy</w:t>
      </w:r>
      <w:r w:rsidRPr="006C4042">
        <w:t xml:space="preserve"> and </w:t>
      </w:r>
      <w:r w:rsidR="00E733CA">
        <w:t>its</w:t>
      </w:r>
      <w:r w:rsidRPr="006C4042">
        <w:t xml:space="preserve"> viability</w:t>
      </w:r>
      <w:r w:rsidR="009801CF">
        <w:rPr>
          <w:rStyle w:val="FootnoteReference"/>
        </w:rPr>
        <w:footnoteReference w:id="1"/>
      </w:r>
      <w:r w:rsidRPr="006C4042">
        <w:t xml:space="preserve"> </w:t>
      </w:r>
    </w:p>
    <w:p w:rsidR="006C4042" w:rsidRDefault="006C4042" w:rsidP="00820E52">
      <w:pPr>
        <w:pStyle w:val="AERbulletlistfirststyle"/>
      </w:pPr>
      <w:r>
        <w:t>a</w:t>
      </w:r>
      <w:r w:rsidRPr="006C4042">
        <w:t xml:space="preserve"> confidential credit profile report </w:t>
      </w:r>
      <w:r w:rsidR="00D01260">
        <w:t xml:space="preserve">by Standard and </w:t>
      </w:r>
      <w:proofErr w:type="spellStart"/>
      <w:r w:rsidR="00D01260">
        <w:t>Poors</w:t>
      </w:r>
      <w:proofErr w:type="spellEnd"/>
      <w:r w:rsidR="00D01260">
        <w:t xml:space="preserve"> (S&amp;P)</w:t>
      </w:r>
      <w:r w:rsidR="009801CF">
        <w:rPr>
          <w:rStyle w:val="FootnoteReference"/>
        </w:rPr>
        <w:footnoteReference w:id="2"/>
      </w:r>
      <w:r w:rsidR="00D01260">
        <w:t xml:space="preserve"> </w:t>
      </w:r>
    </w:p>
    <w:p w:rsidR="00D01260" w:rsidRPr="006C4042" w:rsidRDefault="00D01260" w:rsidP="00820E52">
      <w:pPr>
        <w:pStyle w:val="AERbulletlistfirststyle"/>
      </w:pPr>
      <w:r>
        <w:t>A report by UBS</w:t>
      </w:r>
      <w:r w:rsidR="002C5417">
        <w:t xml:space="preserve"> including confidential content relevant to </w:t>
      </w:r>
      <w:proofErr w:type="spellStart"/>
      <w:r w:rsidR="002C5417">
        <w:t>financeability</w:t>
      </w:r>
      <w:proofErr w:type="spellEnd"/>
      <w:r w:rsidR="009801CF">
        <w:rPr>
          <w:rStyle w:val="FootnoteReference"/>
        </w:rPr>
        <w:footnoteReference w:id="3"/>
      </w:r>
    </w:p>
    <w:p w:rsidR="00584414" w:rsidRPr="00584414" w:rsidRDefault="00584414" w:rsidP="00584414">
      <w:r w:rsidRPr="00584414">
        <w:t xml:space="preserve">Neither the NEL nor the </w:t>
      </w:r>
      <w:r w:rsidR="009801CF">
        <w:t>NER</w:t>
      </w:r>
      <w:r w:rsidR="009801CF" w:rsidRPr="00584414">
        <w:t xml:space="preserve"> </w:t>
      </w:r>
      <w:r w:rsidRPr="00584414">
        <w:t xml:space="preserve">include an explicit obligation </w:t>
      </w:r>
      <w:r>
        <w:t>requiring</w:t>
      </w:r>
      <w:r w:rsidRPr="00584414">
        <w:t xml:space="preserve"> us to consider the impact of our determination on the viability of the </w:t>
      </w:r>
      <w:r w:rsidR="00820E52">
        <w:t>service provider</w:t>
      </w:r>
      <w:r w:rsidR="000F7BD5">
        <w:t xml:space="preserve"> </w:t>
      </w:r>
      <w:r w:rsidRPr="00584414">
        <w:t xml:space="preserve">in its actual circumstances.   Our task is to determine the revenue that </w:t>
      </w:r>
      <w:r w:rsidR="00582AE9">
        <w:t xml:space="preserve">a </w:t>
      </w:r>
      <w:r w:rsidR="00820E52">
        <w:t>service provider</w:t>
      </w:r>
      <w:r w:rsidR="000F7BD5">
        <w:t xml:space="preserve"> </w:t>
      </w:r>
      <w:r w:rsidR="00D86E31">
        <w:t xml:space="preserve">can recover from its customers with reference to </w:t>
      </w:r>
      <w:r w:rsidR="001F0259">
        <w:t>an</w:t>
      </w:r>
      <w:r w:rsidR="00D86E31">
        <w:t xml:space="preserve"> efficient </w:t>
      </w:r>
      <w:r w:rsidR="009801CF">
        <w:t xml:space="preserve">and </w:t>
      </w:r>
      <w:r w:rsidR="00D86E31">
        <w:t>prudent level of expenditure</w:t>
      </w:r>
      <w:r w:rsidRPr="00584414">
        <w:t>. The</w:t>
      </w:r>
      <w:r w:rsidR="000F7BD5">
        <w:t xml:space="preserve"> </w:t>
      </w:r>
      <w:r w:rsidR="00820E52">
        <w:t>service provider</w:t>
      </w:r>
      <w:r w:rsidRPr="00584414">
        <w:t xml:space="preserve">’s actual ownership circumstances and the financial structure of its shareholders are </w:t>
      </w:r>
      <w:r w:rsidR="0089433F">
        <w:t xml:space="preserve">not factors that we are required to consider in fulfilling </w:t>
      </w:r>
      <w:r w:rsidR="0089433F" w:rsidRPr="00A2207D">
        <w:t xml:space="preserve">our task under the NEL or the </w:t>
      </w:r>
      <w:r w:rsidR="0089433F">
        <w:t>NER</w:t>
      </w:r>
      <w:r w:rsidR="0089433F" w:rsidRPr="00A2207D">
        <w:t>.</w:t>
      </w:r>
    </w:p>
    <w:p w:rsidR="006C4042" w:rsidRDefault="00584414" w:rsidP="006C4042">
      <w:r w:rsidRPr="00584414">
        <w:t xml:space="preserve">We are satisfied that a </w:t>
      </w:r>
      <w:r w:rsidR="0074241F">
        <w:t>revenue</w:t>
      </w:r>
      <w:r w:rsidRPr="00584414">
        <w:t xml:space="preserve"> allowance that meets the requirements of the rules will provide for the</w:t>
      </w:r>
      <w:r w:rsidR="000F7BD5">
        <w:t xml:space="preserve"> </w:t>
      </w:r>
      <w:r w:rsidR="00820E52">
        <w:t>service provider</w:t>
      </w:r>
      <w:r w:rsidRPr="00584414">
        <w:t xml:space="preserve">, acting as a prudent operator with efficient costs, using a realistic expectation of demand and cost inputs, with the revenue it would require to operate viably. However, to the extent that a </w:t>
      </w:r>
      <w:r w:rsidR="00820E52">
        <w:t>service provider</w:t>
      </w:r>
      <w:r w:rsidR="000F7BD5">
        <w:t xml:space="preserve"> </w:t>
      </w:r>
      <w:r w:rsidRPr="00584414">
        <w:t xml:space="preserve">departs from such expenditure levels, it may be at greater financial risk. Since </w:t>
      </w:r>
      <w:r w:rsidR="009B4819">
        <w:t>Endeavour Energy</w:t>
      </w:r>
      <w:r w:rsidRPr="00584414">
        <w:t xml:space="preserve"> raised this issue as a concern, we have considered it and the material put forward in support of its concerns. </w:t>
      </w:r>
      <w:r w:rsidR="001F0259">
        <w:t xml:space="preserve">Endeavour Energy has not been clear about what it means by the term financial viability. In our analysis </w:t>
      </w:r>
      <w:r w:rsidR="006C4042">
        <w:t xml:space="preserve">we have considered whether </w:t>
      </w:r>
      <w:r w:rsidR="009B4819">
        <w:t>Endeavour Energy</w:t>
      </w:r>
      <w:r w:rsidR="006C4042">
        <w:t xml:space="preserve"> would be at material risk of insolvency</w:t>
      </w:r>
      <w:r w:rsidR="008C1D4D">
        <w:t>.</w:t>
      </w:r>
      <w:r w:rsidR="009801CF">
        <w:t xml:space="preserve"> We </w:t>
      </w:r>
      <w:r w:rsidR="001F0259">
        <w:t>understand this to be consistent with Endeavour Energy's interpretation of threats to its financial viability</w:t>
      </w:r>
      <w:r w:rsidR="006C4042">
        <w:t xml:space="preserve">. We undertook </w:t>
      </w:r>
      <w:r w:rsidR="00F04534">
        <w:t xml:space="preserve">this </w:t>
      </w:r>
      <w:r w:rsidR="006C4042">
        <w:lastRenderedPageBreak/>
        <w:t xml:space="preserve">analysis using our PTRM to model </w:t>
      </w:r>
      <w:r w:rsidR="009B4819">
        <w:t>Endeavour Energy</w:t>
      </w:r>
      <w:r w:rsidR="006C4042">
        <w:t>’s cash flows under a number of different scenarios</w:t>
      </w:r>
      <w:r w:rsidR="00C52742">
        <w:t xml:space="preserve">. </w:t>
      </w:r>
      <w:r w:rsidR="009801CF">
        <w:t xml:space="preserve">We then engaged RSM Bird Cameron to review and provide comment on our analysis. </w:t>
      </w:r>
      <w:r w:rsidR="00C52742">
        <w:t xml:space="preserve">We chose and generated these scenarios for the reasons set out in </w:t>
      </w:r>
      <w:r w:rsidR="00C52742">
        <w:fldChar w:fldCharType="begin"/>
      </w:r>
      <w:r w:rsidR="00C52742">
        <w:instrText xml:space="preserve"> REF _Ref416943088 \h </w:instrText>
      </w:r>
      <w:r w:rsidR="00C52742">
        <w:fldChar w:fldCharType="separate"/>
      </w:r>
      <w:r w:rsidR="006975E6">
        <w:t xml:space="preserve">Table </w:t>
      </w:r>
      <w:r w:rsidR="006975E6">
        <w:rPr>
          <w:noProof/>
        </w:rPr>
        <w:t>19</w:t>
      </w:r>
      <w:r w:rsidR="006975E6">
        <w:noBreakHyphen/>
      </w:r>
      <w:r w:rsidR="006975E6">
        <w:rPr>
          <w:noProof/>
        </w:rPr>
        <w:t>1</w:t>
      </w:r>
      <w:r w:rsidR="00C52742">
        <w:fldChar w:fldCharType="end"/>
      </w:r>
      <w:r w:rsidR="006C4042">
        <w:t xml:space="preserve">. We are satisfied that </w:t>
      </w:r>
      <w:r w:rsidR="009B4819">
        <w:t>Endeavour Energy</w:t>
      </w:r>
      <w:r w:rsidR="006C4042">
        <w:t xml:space="preserve"> </w:t>
      </w:r>
      <w:r w:rsidRPr="00584414">
        <w:t>would not be at material risk of insolvency</w:t>
      </w:r>
      <w:r>
        <w:t xml:space="preserve"> because</w:t>
      </w:r>
      <w:r w:rsidR="006C4042">
        <w:t>:</w:t>
      </w:r>
    </w:p>
    <w:p w:rsidR="006C4042" w:rsidRPr="006C4042" w:rsidRDefault="009B4819" w:rsidP="006C4042">
      <w:pPr>
        <w:pStyle w:val="AERbulletlistfirststyle"/>
      </w:pPr>
      <w:r>
        <w:t>Endeavour Energy</w:t>
      </w:r>
      <w:r w:rsidR="000905B8">
        <w:t xml:space="preserve"> is subject to a</w:t>
      </w:r>
      <w:r w:rsidR="006C4042">
        <w:t xml:space="preserve"> stable regulatory environment</w:t>
      </w:r>
      <w:r w:rsidR="006C4042" w:rsidRPr="006C4042">
        <w:t xml:space="preserve"> </w:t>
      </w:r>
      <w:r w:rsidR="000905B8">
        <w:t xml:space="preserve">that is </w:t>
      </w:r>
      <w:r w:rsidR="006C4042" w:rsidRPr="006C4042">
        <w:t xml:space="preserve">favourable for capital </w:t>
      </w:r>
      <w:proofErr w:type="gramStart"/>
      <w:r w:rsidR="006C4042" w:rsidRPr="006C4042">
        <w:t>raising</w:t>
      </w:r>
      <w:proofErr w:type="gramEnd"/>
      <w:r w:rsidR="00584414">
        <w:t>.</w:t>
      </w:r>
      <w:r w:rsidR="00B70AD6" w:rsidRPr="00B70AD6">
        <w:rPr>
          <w:rStyle w:val="FootnoteReference"/>
        </w:rPr>
        <w:t xml:space="preserve"> </w:t>
      </w:r>
      <w:r w:rsidR="00B70AD6">
        <w:rPr>
          <w:rStyle w:val="FootnoteReference"/>
        </w:rPr>
        <w:footnoteReference w:id="4"/>
      </w:r>
      <w:r w:rsidR="00584414">
        <w:t xml:space="preserve"> </w:t>
      </w:r>
    </w:p>
    <w:p w:rsidR="00584414" w:rsidRPr="00584414" w:rsidRDefault="00584414" w:rsidP="00584414">
      <w:pPr>
        <w:pStyle w:val="AERbulletlistfirststyle"/>
      </w:pPr>
      <w:proofErr w:type="gramStart"/>
      <w:r w:rsidRPr="00584414">
        <w:t>we</w:t>
      </w:r>
      <w:proofErr w:type="gramEnd"/>
      <w:r w:rsidRPr="00584414">
        <w:t xml:space="preserve"> are not persuaded that the assumptions </w:t>
      </w:r>
      <w:r w:rsidR="009B4819">
        <w:t>Endeavour Energy</w:t>
      </w:r>
      <w:r w:rsidRPr="00584414">
        <w:t xml:space="preserve"> provided to S&amp;P were </w:t>
      </w:r>
      <w:r w:rsidR="009801CF">
        <w:t>reasonable</w:t>
      </w:r>
      <w:r w:rsidRPr="00584414">
        <w:t xml:space="preserve">. The conclusions in the stand-alone credit profile prepared by S&amp;P derive from the assumptions provided by </w:t>
      </w:r>
      <w:r w:rsidR="009B4819">
        <w:t>Endeavour Energy</w:t>
      </w:r>
      <w:r w:rsidRPr="00584414">
        <w:t xml:space="preserve">.  </w:t>
      </w:r>
    </w:p>
    <w:p w:rsidR="00584414" w:rsidRPr="00584414" w:rsidRDefault="00584414" w:rsidP="00584414">
      <w:pPr>
        <w:pStyle w:val="AERbulletlistfirststyle"/>
      </w:pPr>
      <w:proofErr w:type="gramStart"/>
      <w:r>
        <w:t>we</w:t>
      </w:r>
      <w:proofErr w:type="gramEnd"/>
      <w:r>
        <w:t xml:space="preserve"> are satisfied that o</w:t>
      </w:r>
      <w:r w:rsidRPr="00584414">
        <w:t xml:space="preserve">ur PTRM cash flow analysis </w:t>
      </w:r>
      <w:r>
        <w:t>and</w:t>
      </w:r>
      <w:r w:rsidRPr="00584414">
        <w:t xml:space="preserve"> </w:t>
      </w:r>
      <w:r>
        <w:t xml:space="preserve">RSM Bird Cameron's review </w:t>
      </w:r>
      <w:r w:rsidR="00B70AD6">
        <w:t>of</w:t>
      </w:r>
      <w:r>
        <w:t xml:space="preserve"> our analysis supports this conclusion.</w:t>
      </w:r>
    </w:p>
    <w:p w:rsidR="006C4042" w:rsidRDefault="006C4042" w:rsidP="006C4042">
      <w:r>
        <w:t xml:space="preserve">RSM Bird Cameron’s report </w:t>
      </w:r>
      <w:r w:rsidR="00820E52">
        <w:t>has been published with</w:t>
      </w:r>
      <w:r>
        <w:t xml:space="preserve"> this decision. We discuss this report in greater detail in this attachment.</w:t>
      </w:r>
    </w:p>
    <w:p w:rsidR="003E20B0" w:rsidRDefault="003E20B0" w:rsidP="00B42DF6">
      <w:pPr>
        <w:pStyle w:val="Heading2"/>
      </w:pPr>
      <w:bookmarkStart w:id="11" w:name="_Toc417742697"/>
      <w:bookmarkStart w:id="12" w:name="_Ref417808972"/>
      <w:r>
        <w:t>The four scenarios</w:t>
      </w:r>
      <w:bookmarkEnd w:id="11"/>
      <w:bookmarkEnd w:id="12"/>
    </w:p>
    <w:p w:rsidR="003E20B0" w:rsidRDefault="00F43D7D" w:rsidP="003E20B0">
      <w:r>
        <w:t xml:space="preserve">We provided to RSM Bird Cameron analysis of four scenarios. In all cases, these scenarios test the impact on financial viability if </w:t>
      </w:r>
      <w:r w:rsidR="009B4819">
        <w:t>Endeavour Energy</w:t>
      </w:r>
      <w:r>
        <w:t xml:space="preserve"> were to:</w:t>
      </w:r>
    </w:p>
    <w:p w:rsidR="00F43D7D" w:rsidRDefault="00B058C1" w:rsidP="00B058C1">
      <w:pPr>
        <w:pStyle w:val="AERbulletlistfirststyle"/>
      </w:pPr>
      <w:r>
        <w:t>r</w:t>
      </w:r>
      <w:r w:rsidR="00F43D7D">
        <w:t xml:space="preserve">eceive </w:t>
      </w:r>
      <w:r>
        <w:t>revenue in line with our determination</w:t>
      </w:r>
    </w:p>
    <w:p w:rsidR="00B058C1" w:rsidRDefault="00B058C1" w:rsidP="00B058C1">
      <w:pPr>
        <w:pStyle w:val="AERbulletlistfirststyle"/>
      </w:pPr>
      <w:proofErr w:type="gramStart"/>
      <w:r>
        <w:t>face</w:t>
      </w:r>
      <w:proofErr w:type="gramEnd"/>
      <w:r>
        <w:t xml:space="preserve"> costs in line with its revised proposal</w:t>
      </w:r>
      <w:r w:rsidR="00A65BDC">
        <w:t xml:space="preserve"> prior to the start of the </w:t>
      </w:r>
      <w:r w:rsidR="00353522">
        <w:t>2014 to 2019</w:t>
      </w:r>
      <w:r w:rsidR="00A65BDC">
        <w:t xml:space="preserve"> period</w:t>
      </w:r>
      <w:r>
        <w:t>.</w:t>
      </w:r>
    </w:p>
    <w:p w:rsidR="00B058C1" w:rsidRDefault="00A65BDC" w:rsidP="00B058C1">
      <w:pPr>
        <w:pStyle w:val="AERbulletlistfirststyle"/>
        <w:numPr>
          <w:ilvl w:val="0"/>
          <w:numId w:val="0"/>
        </w:numPr>
      </w:pPr>
      <w:r>
        <w:t xml:space="preserve">The difference between the scenarios is the extent to which </w:t>
      </w:r>
      <w:r w:rsidR="009B4819">
        <w:t>Endeavour Energy</w:t>
      </w:r>
      <w:r>
        <w:t xml:space="preserve">'s costs converge towards our determination revenue over the 2014 to 2019 period. </w:t>
      </w:r>
      <w:r w:rsidR="00623065">
        <w:t xml:space="preserve">Specific details of the scenarios are set out in </w:t>
      </w:r>
      <w:r w:rsidR="005C1225">
        <w:fldChar w:fldCharType="begin"/>
      </w:r>
      <w:r w:rsidR="005C1225">
        <w:instrText xml:space="preserve"> REF _Ref416943088 \h </w:instrText>
      </w:r>
      <w:r w:rsidR="005C1225">
        <w:fldChar w:fldCharType="separate"/>
      </w:r>
      <w:r w:rsidR="006975E6">
        <w:t xml:space="preserve">Table </w:t>
      </w:r>
      <w:r w:rsidR="006975E6">
        <w:rPr>
          <w:noProof/>
        </w:rPr>
        <w:t>19</w:t>
      </w:r>
      <w:r w:rsidR="006975E6">
        <w:noBreakHyphen/>
      </w:r>
      <w:r w:rsidR="006975E6">
        <w:rPr>
          <w:noProof/>
        </w:rPr>
        <w:t>1</w:t>
      </w:r>
      <w:r w:rsidR="005C1225">
        <w:fldChar w:fldCharType="end"/>
      </w:r>
      <w:r w:rsidR="00623065">
        <w:t>, below.</w:t>
      </w:r>
      <w:r w:rsidR="00DA67BB">
        <w:t xml:space="preserve">  </w:t>
      </w:r>
      <w:r w:rsidR="007402BC">
        <w:t>The</w:t>
      </w:r>
      <w:r w:rsidR="00DA67BB">
        <w:t xml:space="preserve"> </w:t>
      </w:r>
      <w:r w:rsidR="007402BC">
        <w:t>scenario</w:t>
      </w:r>
      <w:r w:rsidR="00A9419F">
        <w:t>s test variations to the following key elements</w:t>
      </w:r>
      <w:r w:rsidR="00DA67BB">
        <w:t>:</w:t>
      </w:r>
    </w:p>
    <w:p w:rsidR="00DA67BB" w:rsidRPr="00DA67BB" w:rsidRDefault="00DA67BB" w:rsidP="00917734">
      <w:pPr>
        <w:pStyle w:val="AERbulletlistfirststyle"/>
      </w:pPr>
      <w:r w:rsidRPr="00DA67BB">
        <w:t>Debt convergence—</w:t>
      </w:r>
      <w:r w:rsidR="00A9419F">
        <w:t>over the regulatory period</w:t>
      </w:r>
      <w:r w:rsidRPr="00DA67BB">
        <w:t>,</w:t>
      </w:r>
      <w:r w:rsidR="00A9419F">
        <w:t xml:space="preserve"> the</w:t>
      </w:r>
      <w:r w:rsidRPr="00DA67BB">
        <w:t xml:space="preserve"> revenue and costs relating to debt (interest payments) will converge</w:t>
      </w:r>
      <w:r w:rsidRPr="002001B7">
        <w:t>.</w:t>
      </w:r>
      <w:r w:rsidRPr="0034686F">
        <w:t xml:space="preserve"> </w:t>
      </w:r>
      <w:r w:rsidR="001A5AA2">
        <w:t xml:space="preserve">This is because we update 10 per cent of the cost of debt each year in line with our trailing average approach. We largely agree with </w:t>
      </w:r>
      <w:r w:rsidR="009B4819">
        <w:t>Endeavour Energy</w:t>
      </w:r>
      <w:r w:rsidR="001A5AA2">
        <w:t xml:space="preserve"> on how this update will be calculated. Consequently, as each year passes the</w:t>
      </w:r>
      <w:r w:rsidR="002C5417">
        <w:t xml:space="preserve"> difference between the</w:t>
      </w:r>
      <w:r w:rsidR="001A5AA2">
        <w:t xml:space="preserve"> amount </w:t>
      </w:r>
      <w:r w:rsidR="009B4819">
        <w:t>Endeavour Energy</w:t>
      </w:r>
      <w:r w:rsidR="001A5AA2">
        <w:t xml:space="preserve"> sought for interest costs in its revised proposal </w:t>
      </w:r>
      <w:r w:rsidR="002C5417">
        <w:t xml:space="preserve">and </w:t>
      </w:r>
      <w:r w:rsidR="001A5AA2">
        <w:t>our regulatory allowance</w:t>
      </w:r>
      <w:r w:rsidR="002C5417">
        <w:t xml:space="preserve"> will converge</w:t>
      </w:r>
      <w:r w:rsidR="001A5AA2">
        <w:t>. Eventually, in 10 years</w:t>
      </w:r>
      <w:r w:rsidR="002C5417">
        <w:t>,</w:t>
      </w:r>
      <w:r w:rsidR="001A5AA2">
        <w:t xml:space="preserve"> the difference converges to zero. </w:t>
      </w:r>
      <w:r w:rsidRPr="0034686F">
        <w:t xml:space="preserve">As this brings revenue and costs closer together, it reduces the risks to </w:t>
      </w:r>
      <w:r w:rsidR="005305CB">
        <w:t>Endeavour Energy's</w:t>
      </w:r>
      <w:r w:rsidR="005305CB" w:rsidRPr="0034686F">
        <w:t xml:space="preserve"> </w:t>
      </w:r>
      <w:r w:rsidRPr="0034686F">
        <w:t>financial viability.</w:t>
      </w:r>
    </w:p>
    <w:p w:rsidR="00DA67BB" w:rsidRDefault="00634C3E" w:rsidP="00917734">
      <w:pPr>
        <w:pStyle w:val="AERbulletlistfirststyle"/>
      </w:pPr>
      <w:r>
        <w:t>R</w:t>
      </w:r>
      <w:r w:rsidR="00DA67BB" w:rsidRPr="00DA67BB">
        <w:t xml:space="preserve">eductions in </w:t>
      </w:r>
      <w:proofErr w:type="spellStart"/>
      <w:r w:rsidR="00DA67BB" w:rsidRPr="00DA67BB">
        <w:t>opex</w:t>
      </w:r>
      <w:proofErr w:type="spellEnd"/>
      <w:r w:rsidR="00DA67BB" w:rsidRPr="00DA67BB">
        <w:t xml:space="preserve">—in scenario 1 and 2, we assume </w:t>
      </w:r>
      <w:r w:rsidR="009B4819">
        <w:t>Endeavour Energy</w:t>
      </w:r>
      <w:r w:rsidR="00DA67BB" w:rsidRPr="00DA67BB">
        <w:t xml:space="preserve"> spend</w:t>
      </w:r>
      <w:r w:rsidR="001A5AA2">
        <w:t xml:space="preserve">s the total </w:t>
      </w:r>
      <w:proofErr w:type="spellStart"/>
      <w:r w:rsidR="001A5AA2">
        <w:t>opex</w:t>
      </w:r>
      <w:proofErr w:type="spellEnd"/>
      <w:r w:rsidR="001A5AA2">
        <w:t xml:space="preserve"> it proposed in</w:t>
      </w:r>
      <w:r w:rsidR="00DA67BB" w:rsidRPr="00DA67BB">
        <w:t xml:space="preserve"> its revised proposal, regardless of the revenue it </w:t>
      </w:r>
      <w:r w:rsidR="00DA67BB" w:rsidRPr="00DA67BB">
        <w:lastRenderedPageBreak/>
        <w:t>rec</w:t>
      </w:r>
      <w:r w:rsidR="00DA67BB" w:rsidRPr="002001B7">
        <w:t>eives. This has a substantially negative impact on the key indicators of finan</w:t>
      </w:r>
      <w:r w:rsidR="00DA67BB" w:rsidRPr="0034686F">
        <w:t xml:space="preserve">cial viability. However, </w:t>
      </w:r>
      <w:r w:rsidR="009B4819">
        <w:t>Endeavour Energy</w:t>
      </w:r>
      <w:r w:rsidR="00DA67BB" w:rsidRPr="0034686F">
        <w:t xml:space="preserve"> has a</w:t>
      </w:r>
      <w:r w:rsidR="00DA67BB" w:rsidRPr="00AB2C7D">
        <w:t xml:space="preserve"> financial incentive to reduce its </w:t>
      </w:r>
      <w:proofErr w:type="spellStart"/>
      <w:r w:rsidR="00DA67BB" w:rsidRPr="00AB2C7D">
        <w:t>opex</w:t>
      </w:r>
      <w:proofErr w:type="spellEnd"/>
      <w:r w:rsidR="00DA67BB" w:rsidRPr="00AB2C7D">
        <w:t xml:space="preserve"> costs</w:t>
      </w:r>
      <w:r w:rsidR="00DA67BB" w:rsidRPr="00DA67BB">
        <w:t xml:space="preserve">. We have therefore tested the sensitivity of the conclusions to the potential for </w:t>
      </w:r>
      <w:proofErr w:type="spellStart"/>
      <w:r w:rsidR="00DA67BB" w:rsidRPr="00DA67BB">
        <w:t>opex</w:t>
      </w:r>
      <w:proofErr w:type="spellEnd"/>
      <w:r w:rsidR="00DA67BB" w:rsidRPr="00DA67BB">
        <w:t xml:space="preserve"> efficiency savings. Scenario 3 and scenario 4 test the outcomes where </w:t>
      </w:r>
      <w:r w:rsidR="009801CF">
        <w:t xml:space="preserve">Endeavour Energy </w:t>
      </w:r>
      <w:r w:rsidR="00DA67BB" w:rsidRPr="00DA67BB">
        <w:t xml:space="preserve">is able to </w:t>
      </w:r>
      <w:r>
        <w:t xml:space="preserve">reduce its </w:t>
      </w:r>
      <w:proofErr w:type="spellStart"/>
      <w:r>
        <w:t>opex</w:t>
      </w:r>
      <w:proofErr w:type="spellEnd"/>
      <w:r w:rsidR="00DA67BB" w:rsidRPr="00DA67BB">
        <w:t xml:space="preserve">.  </w:t>
      </w:r>
      <w:r>
        <w:t xml:space="preserve">Any savings in </w:t>
      </w:r>
      <w:proofErr w:type="spellStart"/>
      <w:r>
        <w:t>opex</w:t>
      </w:r>
      <w:proofErr w:type="spellEnd"/>
      <w:r>
        <w:t xml:space="preserve"> improve </w:t>
      </w:r>
      <w:r w:rsidR="009B4819">
        <w:t>Endeavour Energy</w:t>
      </w:r>
      <w:r>
        <w:t xml:space="preserve">'s </w:t>
      </w:r>
      <w:r w:rsidR="00DA67BB" w:rsidRPr="00DA67BB">
        <w:t>financial performance.</w:t>
      </w:r>
      <w:r w:rsidR="0034686F">
        <w:t xml:space="preserve"> We discuss this in greater detail in </w:t>
      </w:r>
      <w:r w:rsidR="0034686F" w:rsidRPr="002001B7">
        <w:t>section</w:t>
      </w:r>
      <w:r w:rsidR="006B4C21">
        <w:t xml:space="preserve"> </w:t>
      </w:r>
      <w:r w:rsidR="006B4C21">
        <w:fldChar w:fldCharType="begin"/>
      </w:r>
      <w:r w:rsidR="006B4C21">
        <w:instrText xml:space="preserve"> REF _Ref417808972 \r \h </w:instrText>
      </w:r>
      <w:r w:rsidR="006B4C21">
        <w:fldChar w:fldCharType="separate"/>
      </w:r>
      <w:r w:rsidR="006975E6">
        <w:t>19.2</w:t>
      </w:r>
      <w:r w:rsidR="006B4C21">
        <w:fldChar w:fldCharType="end"/>
      </w:r>
      <w:r w:rsidR="0034686F">
        <w:t>.</w:t>
      </w:r>
    </w:p>
    <w:p w:rsidR="00D91D6A" w:rsidRPr="00DA67BB" w:rsidRDefault="00D91D6A" w:rsidP="00D91D6A">
      <w:pPr>
        <w:pStyle w:val="AERbulletlistfirststyle"/>
      </w:pPr>
      <w:r w:rsidRPr="00DA67BB">
        <w:t>The hybrid tax calculation</w:t>
      </w:r>
      <w:r w:rsidRPr="00466E21">
        <w:t>—</w:t>
      </w:r>
      <w:r w:rsidRPr="00DA67BB">
        <w:t>this refers to our calculation of tax to reflect the a</w:t>
      </w:r>
      <w:r w:rsidRPr="002001B7">
        <w:t>ctual revenue and tax expenses that are assumed in the scenarios below.</w:t>
      </w:r>
      <w:r w:rsidRPr="00DA67BB">
        <w:t xml:space="preserve"> This </w:t>
      </w:r>
      <w:r>
        <w:t>variation allows us to</w:t>
      </w:r>
      <w:r w:rsidRPr="00DA67BB">
        <w:t xml:space="preserve"> more accurately </w:t>
      </w:r>
      <w:r>
        <w:t>reflect</w:t>
      </w:r>
      <w:r w:rsidRPr="00DA67BB">
        <w:t xml:space="preserve"> the short term tax obligation faced by </w:t>
      </w:r>
      <w:r w:rsidR="009B4819">
        <w:t>Endeavour Energy</w:t>
      </w:r>
      <w:r w:rsidRPr="00DA67BB">
        <w:t xml:space="preserve">. </w:t>
      </w:r>
    </w:p>
    <w:p w:rsidR="00D91D6A" w:rsidRPr="0034686F" w:rsidRDefault="00D91D6A" w:rsidP="00D91D6A">
      <w:pPr>
        <w:pStyle w:val="AERbulletlistfirststyle"/>
        <w:numPr>
          <w:ilvl w:val="0"/>
          <w:numId w:val="0"/>
        </w:numPr>
      </w:pPr>
    </w:p>
    <w:p w:rsidR="000802DD" w:rsidRDefault="00FB0BB4" w:rsidP="00FB0BB4">
      <w:pPr>
        <w:pStyle w:val="Caption"/>
      </w:pPr>
      <w:bookmarkStart w:id="13" w:name="_Ref416943088"/>
      <w:r>
        <w:t xml:space="preserve">Table </w:t>
      </w:r>
      <w:r w:rsidR="006975E6">
        <w:fldChar w:fldCharType="begin"/>
      </w:r>
      <w:r w:rsidR="006975E6">
        <w:instrText xml:space="preserve"> STYLEREF 1 \s </w:instrText>
      </w:r>
      <w:r w:rsidR="006975E6">
        <w:fldChar w:fldCharType="separate"/>
      </w:r>
      <w:r w:rsidR="006975E6">
        <w:rPr>
          <w:noProof/>
        </w:rPr>
        <w:t>19</w:t>
      </w:r>
      <w:r w:rsidR="006975E6">
        <w:rPr>
          <w:noProof/>
        </w:rPr>
        <w:fldChar w:fldCharType="end"/>
      </w:r>
      <w:r w:rsidR="004B0941">
        <w:noBreakHyphen/>
      </w:r>
      <w:r w:rsidR="006975E6">
        <w:fldChar w:fldCharType="begin"/>
      </w:r>
      <w:r w:rsidR="006975E6">
        <w:instrText xml:space="preserve"> SEQ Table \* ARABIC \s 1 </w:instrText>
      </w:r>
      <w:r w:rsidR="006975E6">
        <w:fldChar w:fldCharType="separate"/>
      </w:r>
      <w:r w:rsidR="006975E6">
        <w:rPr>
          <w:noProof/>
        </w:rPr>
        <w:t>1</w:t>
      </w:r>
      <w:r w:rsidR="006975E6">
        <w:rPr>
          <w:noProof/>
        </w:rPr>
        <w:fldChar w:fldCharType="end"/>
      </w:r>
      <w:bookmarkEnd w:id="13"/>
      <w:r>
        <w:tab/>
        <w:t>Revenue and cost inputs for the four scenarios</w:t>
      </w:r>
    </w:p>
    <w:tbl>
      <w:tblPr>
        <w:tblStyle w:val="AERtable-text0"/>
        <w:tblW w:w="0" w:type="auto"/>
        <w:tblLook w:val="04A0" w:firstRow="1" w:lastRow="0" w:firstColumn="1" w:lastColumn="0" w:noHBand="0" w:noVBand="1"/>
      </w:tblPr>
      <w:tblGrid>
        <w:gridCol w:w="1526"/>
        <w:gridCol w:w="1791"/>
        <w:gridCol w:w="1792"/>
        <w:gridCol w:w="1792"/>
        <w:gridCol w:w="1792"/>
      </w:tblGrid>
      <w:tr w:rsidR="000802DD" w:rsidTr="00820E52">
        <w:trPr>
          <w:cnfStyle w:val="100000000000" w:firstRow="1" w:lastRow="0" w:firstColumn="0" w:lastColumn="0" w:oddVBand="0" w:evenVBand="0" w:oddHBand="0" w:evenHBand="0" w:firstRowFirstColumn="0" w:firstRowLastColumn="0" w:lastRowFirstColumn="0" w:lastRowLastColumn="0"/>
        </w:trPr>
        <w:tc>
          <w:tcPr>
            <w:tcW w:w="1526" w:type="dxa"/>
          </w:tcPr>
          <w:p w:rsidR="000802DD" w:rsidRDefault="000802DD" w:rsidP="00B058C1">
            <w:pPr>
              <w:pStyle w:val="AERbulletlistfirststyle"/>
              <w:numPr>
                <w:ilvl w:val="0"/>
                <w:numId w:val="0"/>
              </w:numPr>
            </w:pPr>
          </w:p>
        </w:tc>
        <w:tc>
          <w:tcPr>
            <w:tcW w:w="1791" w:type="dxa"/>
          </w:tcPr>
          <w:p w:rsidR="000802DD" w:rsidRDefault="000802DD" w:rsidP="00B058C1">
            <w:pPr>
              <w:pStyle w:val="AERbulletlistfirststyle"/>
              <w:numPr>
                <w:ilvl w:val="0"/>
                <w:numId w:val="0"/>
              </w:numPr>
            </w:pPr>
            <w:r>
              <w:t>Scenario 1</w:t>
            </w:r>
          </w:p>
        </w:tc>
        <w:tc>
          <w:tcPr>
            <w:tcW w:w="1792" w:type="dxa"/>
          </w:tcPr>
          <w:p w:rsidR="000802DD" w:rsidRDefault="000802DD" w:rsidP="00B058C1">
            <w:pPr>
              <w:pStyle w:val="AERbulletlistfirststyle"/>
              <w:numPr>
                <w:ilvl w:val="0"/>
                <w:numId w:val="0"/>
              </w:numPr>
            </w:pPr>
            <w:r>
              <w:t>Scenario 2</w:t>
            </w:r>
          </w:p>
        </w:tc>
        <w:tc>
          <w:tcPr>
            <w:tcW w:w="1792" w:type="dxa"/>
          </w:tcPr>
          <w:p w:rsidR="000802DD" w:rsidRDefault="000802DD" w:rsidP="00B058C1">
            <w:pPr>
              <w:pStyle w:val="AERbulletlistfirststyle"/>
              <w:numPr>
                <w:ilvl w:val="0"/>
                <w:numId w:val="0"/>
              </w:numPr>
            </w:pPr>
            <w:r>
              <w:t>Scenario 3</w:t>
            </w:r>
          </w:p>
        </w:tc>
        <w:tc>
          <w:tcPr>
            <w:tcW w:w="1792" w:type="dxa"/>
          </w:tcPr>
          <w:p w:rsidR="000802DD" w:rsidRDefault="000802DD" w:rsidP="00B058C1">
            <w:pPr>
              <w:pStyle w:val="AERbulletlistfirststyle"/>
              <w:numPr>
                <w:ilvl w:val="0"/>
                <w:numId w:val="0"/>
              </w:numPr>
            </w:pPr>
            <w:r>
              <w:t>Scenario 4</w:t>
            </w:r>
          </w:p>
        </w:tc>
      </w:tr>
      <w:tr w:rsidR="000802DD" w:rsidTr="00820E52">
        <w:tc>
          <w:tcPr>
            <w:tcW w:w="1526" w:type="dxa"/>
          </w:tcPr>
          <w:p w:rsidR="000802DD" w:rsidRDefault="000802DD" w:rsidP="00B058C1">
            <w:pPr>
              <w:pStyle w:val="AERbulletlistfirststyle"/>
              <w:numPr>
                <w:ilvl w:val="0"/>
                <w:numId w:val="0"/>
              </w:numPr>
            </w:pPr>
            <w:r>
              <w:t>Revenue</w:t>
            </w:r>
          </w:p>
        </w:tc>
        <w:tc>
          <w:tcPr>
            <w:tcW w:w="1791" w:type="dxa"/>
          </w:tcPr>
          <w:p w:rsidR="000802DD" w:rsidRDefault="000802DD" w:rsidP="00B058C1">
            <w:pPr>
              <w:pStyle w:val="AERbulletlistfirststyle"/>
              <w:numPr>
                <w:ilvl w:val="0"/>
                <w:numId w:val="0"/>
              </w:numPr>
            </w:pPr>
            <w:r>
              <w:t>Smoothed revenue from the draft decision</w:t>
            </w:r>
          </w:p>
        </w:tc>
        <w:tc>
          <w:tcPr>
            <w:tcW w:w="1792" w:type="dxa"/>
          </w:tcPr>
          <w:p w:rsidR="000802DD" w:rsidRDefault="000802DD" w:rsidP="00B058C1">
            <w:pPr>
              <w:pStyle w:val="AERbulletlistfirststyle"/>
              <w:numPr>
                <w:ilvl w:val="0"/>
                <w:numId w:val="0"/>
              </w:numPr>
            </w:pPr>
            <w:r>
              <w:t xml:space="preserve">Smoothed revenue from the indicative final </w:t>
            </w:r>
            <w:proofErr w:type="spellStart"/>
            <w:r>
              <w:t>decision</w:t>
            </w:r>
            <w:r w:rsidRPr="000802DD">
              <w:rPr>
                <w:rStyle w:val="AERsuperscript"/>
              </w:rPr>
              <w:t>a</w:t>
            </w:r>
            <w:proofErr w:type="spellEnd"/>
            <w:r>
              <w:t xml:space="preserve"> including debt convergence.</w:t>
            </w:r>
          </w:p>
        </w:tc>
        <w:tc>
          <w:tcPr>
            <w:tcW w:w="1792" w:type="dxa"/>
          </w:tcPr>
          <w:p w:rsidR="000802DD" w:rsidRDefault="000802DD" w:rsidP="00B058C1">
            <w:pPr>
              <w:pStyle w:val="AERbulletlistfirststyle"/>
              <w:numPr>
                <w:ilvl w:val="0"/>
                <w:numId w:val="0"/>
              </w:numPr>
            </w:pPr>
            <w:r w:rsidRPr="000802DD">
              <w:t>Smoothed revenue from the indicative final decision</w:t>
            </w:r>
            <w:r w:rsidRPr="000802DD">
              <w:rPr>
                <w:rStyle w:val="AERsuperscript"/>
              </w:rPr>
              <w:t xml:space="preserve"> a</w:t>
            </w:r>
            <w:r w:rsidRPr="000802DD">
              <w:t xml:space="preserve"> including debt convergence</w:t>
            </w:r>
          </w:p>
        </w:tc>
        <w:tc>
          <w:tcPr>
            <w:tcW w:w="1792" w:type="dxa"/>
          </w:tcPr>
          <w:p w:rsidR="000802DD" w:rsidRDefault="000802DD" w:rsidP="00B058C1">
            <w:pPr>
              <w:pStyle w:val="AERbulletlistfirststyle"/>
              <w:numPr>
                <w:ilvl w:val="0"/>
                <w:numId w:val="0"/>
              </w:numPr>
            </w:pPr>
            <w:r w:rsidRPr="000802DD">
              <w:t>Smoothed revenue from the indicative final</w:t>
            </w:r>
            <w:r w:rsidRPr="000802DD">
              <w:rPr>
                <w:rStyle w:val="AERsuperscript"/>
              </w:rPr>
              <w:t xml:space="preserve"> a</w:t>
            </w:r>
            <w:r w:rsidRPr="000802DD">
              <w:t xml:space="preserve"> decision including debt convergence</w:t>
            </w:r>
          </w:p>
        </w:tc>
      </w:tr>
      <w:tr w:rsidR="000802DD" w:rsidTr="00820E52">
        <w:trPr>
          <w:cnfStyle w:val="000000010000" w:firstRow="0" w:lastRow="0" w:firstColumn="0" w:lastColumn="0" w:oddVBand="0" w:evenVBand="0" w:oddHBand="0" w:evenHBand="1" w:firstRowFirstColumn="0" w:firstRowLastColumn="0" w:lastRowFirstColumn="0" w:lastRowLastColumn="0"/>
        </w:trPr>
        <w:tc>
          <w:tcPr>
            <w:tcW w:w="1526" w:type="dxa"/>
          </w:tcPr>
          <w:p w:rsidR="000802DD" w:rsidRDefault="000802DD" w:rsidP="00B058C1">
            <w:pPr>
              <w:pStyle w:val="AERbulletlistfirststyle"/>
              <w:numPr>
                <w:ilvl w:val="0"/>
                <w:numId w:val="0"/>
              </w:numPr>
            </w:pPr>
            <w:r>
              <w:t>Costs</w:t>
            </w:r>
          </w:p>
        </w:tc>
        <w:tc>
          <w:tcPr>
            <w:tcW w:w="1791" w:type="dxa"/>
          </w:tcPr>
          <w:p w:rsidR="000802DD" w:rsidRDefault="00D955C7" w:rsidP="00B058C1">
            <w:pPr>
              <w:pStyle w:val="AERbulletlistfirststyle"/>
              <w:numPr>
                <w:ilvl w:val="0"/>
                <w:numId w:val="0"/>
              </w:numPr>
            </w:pPr>
            <w:r>
              <w:t>All costs from revised proposal except for hybrid tax calculation.</w:t>
            </w:r>
          </w:p>
        </w:tc>
        <w:tc>
          <w:tcPr>
            <w:tcW w:w="1792" w:type="dxa"/>
          </w:tcPr>
          <w:p w:rsidR="00FB0BB4" w:rsidRDefault="00FB0BB4" w:rsidP="00FB0BB4">
            <w:r>
              <w:t>All costs from</w:t>
            </w:r>
            <w:r w:rsidRPr="00FB0BB4">
              <w:t xml:space="preserve"> revised</w:t>
            </w:r>
            <w:r w:rsidR="00D955C7" w:rsidRPr="00FB0BB4">
              <w:t xml:space="preserve"> proposal except for</w:t>
            </w:r>
            <w:r>
              <w:t>:</w:t>
            </w:r>
            <w:r w:rsidR="00D955C7" w:rsidRPr="00D955C7">
              <w:t xml:space="preserve"> </w:t>
            </w:r>
          </w:p>
          <w:p w:rsidR="00FB0BB4" w:rsidRPr="00FB0BB4" w:rsidRDefault="00D955C7" w:rsidP="00FB0BB4">
            <w:pPr>
              <w:pStyle w:val="AERbulletlistfirststyle"/>
            </w:pPr>
            <w:r w:rsidRPr="00FB0BB4">
              <w:t>hybrid tax calculation</w:t>
            </w:r>
          </w:p>
          <w:p w:rsidR="00FB0BB4" w:rsidRPr="00FB0BB4" w:rsidRDefault="00D955C7" w:rsidP="00FB0BB4">
            <w:pPr>
              <w:pStyle w:val="AERbulletlistfirststyle"/>
            </w:pPr>
            <w:r w:rsidRPr="00FB0BB4">
              <w:t xml:space="preserve"> debt convergence</w:t>
            </w:r>
          </w:p>
        </w:tc>
        <w:tc>
          <w:tcPr>
            <w:tcW w:w="1792" w:type="dxa"/>
          </w:tcPr>
          <w:p w:rsidR="00FB0BB4" w:rsidRPr="00FB0BB4" w:rsidRDefault="00FB0BB4" w:rsidP="00FB0BB4">
            <w:r w:rsidRPr="00FB0BB4">
              <w:t xml:space="preserve">Based on revised proposal except for: </w:t>
            </w:r>
          </w:p>
          <w:p w:rsidR="00FB0BB4" w:rsidRPr="00FB0BB4" w:rsidRDefault="00FB0BB4" w:rsidP="00FB0BB4">
            <w:pPr>
              <w:pStyle w:val="AERbulletlistfirststyle"/>
            </w:pPr>
            <w:r w:rsidRPr="00FB0BB4">
              <w:t>hybrid tax calculation</w:t>
            </w:r>
          </w:p>
          <w:p w:rsidR="00FB0BB4" w:rsidRPr="00FB0BB4" w:rsidRDefault="00FB0BB4" w:rsidP="00FB0BB4">
            <w:pPr>
              <w:pStyle w:val="AERbulletlistfirststyle"/>
            </w:pPr>
            <w:r w:rsidRPr="00FB0BB4">
              <w:t xml:space="preserve"> debt convergence</w:t>
            </w:r>
          </w:p>
          <w:p w:rsidR="000802DD" w:rsidRPr="00FB0BB4" w:rsidRDefault="00FB0BB4" w:rsidP="00FB0BB4">
            <w:pPr>
              <w:pStyle w:val="AERbulletlistfirststyle"/>
            </w:pPr>
            <w:r w:rsidRPr="00FB0BB4">
              <w:t xml:space="preserve">10 % per annum reductions between forecast </w:t>
            </w:r>
            <w:proofErr w:type="spellStart"/>
            <w:r w:rsidRPr="00FB0BB4">
              <w:t>opex</w:t>
            </w:r>
            <w:proofErr w:type="spellEnd"/>
            <w:r w:rsidRPr="00FB0BB4">
              <w:t xml:space="preserve"> costs and benchmark efficient </w:t>
            </w:r>
            <w:proofErr w:type="spellStart"/>
            <w:r w:rsidRPr="00FB0BB4">
              <w:t>opex</w:t>
            </w:r>
            <w:proofErr w:type="spellEnd"/>
            <w:r w:rsidRPr="00FB0BB4">
              <w:t xml:space="preserve"> allowance</w:t>
            </w:r>
          </w:p>
        </w:tc>
        <w:tc>
          <w:tcPr>
            <w:tcW w:w="1792" w:type="dxa"/>
          </w:tcPr>
          <w:p w:rsidR="00FB0BB4" w:rsidRPr="00FB0BB4" w:rsidRDefault="00FB0BB4" w:rsidP="00FB0BB4">
            <w:r w:rsidRPr="00FB0BB4">
              <w:t xml:space="preserve">Based on revised proposal except for: </w:t>
            </w:r>
          </w:p>
          <w:p w:rsidR="00FB0BB4" w:rsidRPr="00FB0BB4" w:rsidRDefault="00FB0BB4" w:rsidP="00FB0BB4">
            <w:pPr>
              <w:pStyle w:val="AERbulletlistfirststyle"/>
            </w:pPr>
            <w:r w:rsidRPr="00FB0BB4">
              <w:t>hybrid tax calculation</w:t>
            </w:r>
          </w:p>
          <w:p w:rsidR="00FB0BB4" w:rsidRPr="00FB0BB4" w:rsidRDefault="00FB0BB4" w:rsidP="00FB0BB4">
            <w:pPr>
              <w:pStyle w:val="AERbulletlistfirststyle"/>
            </w:pPr>
            <w:r w:rsidRPr="00FB0BB4">
              <w:t xml:space="preserve"> debt convergence</w:t>
            </w:r>
          </w:p>
          <w:p w:rsidR="000802DD" w:rsidRPr="00FB0BB4" w:rsidRDefault="007C66F9" w:rsidP="00FB0BB4">
            <w:pPr>
              <w:pStyle w:val="AERbulletlistfirststyle"/>
            </w:pPr>
            <w:r>
              <w:t>2</w:t>
            </w:r>
            <w:r w:rsidR="00FB0BB4" w:rsidRPr="00FB0BB4">
              <w:t xml:space="preserve">0 % per annum reductions between forecast </w:t>
            </w:r>
            <w:proofErr w:type="spellStart"/>
            <w:r w:rsidR="00FB0BB4" w:rsidRPr="00FB0BB4">
              <w:t>opex</w:t>
            </w:r>
            <w:proofErr w:type="spellEnd"/>
            <w:r w:rsidR="00FB0BB4" w:rsidRPr="00FB0BB4">
              <w:t xml:space="preserve"> costs and benchmark efficient </w:t>
            </w:r>
            <w:proofErr w:type="spellStart"/>
            <w:r w:rsidR="00FB0BB4" w:rsidRPr="00FB0BB4">
              <w:t>opex</w:t>
            </w:r>
            <w:proofErr w:type="spellEnd"/>
            <w:r w:rsidR="00FB0BB4" w:rsidRPr="00FB0BB4">
              <w:t xml:space="preserve"> allowance</w:t>
            </w:r>
          </w:p>
        </w:tc>
      </w:tr>
      <w:tr w:rsidR="009A6262" w:rsidTr="00820E52">
        <w:tc>
          <w:tcPr>
            <w:tcW w:w="1526" w:type="dxa"/>
          </w:tcPr>
          <w:p w:rsidR="009A6262" w:rsidRDefault="009A6262" w:rsidP="00B058C1">
            <w:pPr>
              <w:pStyle w:val="AERbulletlistfirststyle"/>
              <w:numPr>
                <w:ilvl w:val="0"/>
                <w:numId w:val="0"/>
              </w:numPr>
            </w:pPr>
            <w:r>
              <w:t>Comment</w:t>
            </w:r>
          </w:p>
        </w:tc>
        <w:tc>
          <w:tcPr>
            <w:tcW w:w="1791" w:type="dxa"/>
          </w:tcPr>
          <w:p w:rsidR="009A6262" w:rsidRDefault="009A6262" w:rsidP="004B0941">
            <w:pPr>
              <w:pStyle w:val="AERbulletlistfirststyle"/>
              <w:numPr>
                <w:ilvl w:val="0"/>
                <w:numId w:val="0"/>
              </w:numPr>
            </w:pPr>
            <w:r>
              <w:t xml:space="preserve">Worst case scenario. </w:t>
            </w:r>
            <w:r w:rsidR="006E2722">
              <w:t>Importantly, this scenario excludes the effects of debt convergence. Excluding debt convergence artificially worsens the outcomes.</w:t>
            </w:r>
          </w:p>
        </w:tc>
        <w:tc>
          <w:tcPr>
            <w:tcW w:w="1792" w:type="dxa"/>
          </w:tcPr>
          <w:p w:rsidR="009A6262" w:rsidRDefault="009A6262" w:rsidP="007C66F9">
            <w:r>
              <w:t xml:space="preserve">More favourable to </w:t>
            </w:r>
            <w:r w:rsidR="009B4819">
              <w:t>Endeavour Energy</w:t>
            </w:r>
            <w:r>
              <w:t xml:space="preserve"> than Scenario 1. </w:t>
            </w:r>
            <w:r w:rsidR="007C66F9">
              <w:t>This scenario</w:t>
            </w:r>
            <w:r w:rsidR="006E2722">
              <w:t xml:space="preserve"> is more closely reflective of the final decision circumstances than scenario 1.</w:t>
            </w:r>
            <w:r>
              <w:t xml:space="preserve"> </w:t>
            </w:r>
          </w:p>
        </w:tc>
        <w:tc>
          <w:tcPr>
            <w:tcW w:w="1792" w:type="dxa"/>
          </w:tcPr>
          <w:p w:rsidR="009A6262" w:rsidRPr="00FB0BB4" w:rsidRDefault="009A6262" w:rsidP="007C66F9">
            <w:r>
              <w:t xml:space="preserve">More favourable </w:t>
            </w:r>
            <w:r w:rsidRPr="009A6262">
              <w:t xml:space="preserve">to </w:t>
            </w:r>
            <w:r w:rsidR="009B4819">
              <w:t>Endeavour Energy</w:t>
            </w:r>
            <w:r w:rsidRPr="009A6262">
              <w:t xml:space="preserve"> than Scenario </w:t>
            </w:r>
            <w:r>
              <w:t>2</w:t>
            </w:r>
            <w:r w:rsidRPr="009A6262">
              <w:t xml:space="preserve">. </w:t>
            </w:r>
            <w:r w:rsidR="007C66F9">
              <w:t xml:space="preserve">This </w:t>
            </w:r>
            <w:r w:rsidR="00634C3E">
              <w:t>scenario</w:t>
            </w:r>
            <w:r w:rsidR="006E2722">
              <w:t xml:space="preserve"> reflects partial efficiency savings by </w:t>
            </w:r>
            <w:r w:rsidR="009B4819">
              <w:t>Endeavour Energy</w:t>
            </w:r>
            <w:r w:rsidR="006E2722">
              <w:t xml:space="preserve"> to reduce the difference between its proposed </w:t>
            </w:r>
            <w:proofErr w:type="spellStart"/>
            <w:r w:rsidR="006E2722">
              <w:t>opex</w:t>
            </w:r>
            <w:proofErr w:type="spellEnd"/>
            <w:r w:rsidR="006E2722">
              <w:t xml:space="preserve"> costs and our final decision </w:t>
            </w:r>
            <w:proofErr w:type="spellStart"/>
            <w:r w:rsidR="006E2722">
              <w:t>opex</w:t>
            </w:r>
            <w:proofErr w:type="spellEnd"/>
            <w:r w:rsidR="006E2722">
              <w:t xml:space="preserve"> determination.</w:t>
            </w:r>
          </w:p>
        </w:tc>
        <w:tc>
          <w:tcPr>
            <w:tcW w:w="1792" w:type="dxa"/>
          </w:tcPr>
          <w:p w:rsidR="009A6262" w:rsidRPr="00FB0BB4" w:rsidRDefault="00525AB0" w:rsidP="007C66F9">
            <w:r>
              <w:t xml:space="preserve">More favourable </w:t>
            </w:r>
            <w:r w:rsidRPr="00525AB0">
              <w:t xml:space="preserve">to </w:t>
            </w:r>
            <w:r w:rsidR="009B4819">
              <w:t>Endeavour Energy</w:t>
            </w:r>
            <w:r w:rsidRPr="00525AB0">
              <w:t xml:space="preserve"> than Scenario </w:t>
            </w:r>
            <w:r>
              <w:t>3</w:t>
            </w:r>
            <w:r w:rsidRPr="00525AB0">
              <w:t xml:space="preserve">. </w:t>
            </w:r>
            <w:r w:rsidR="007C66F9">
              <w:t>This scenario</w:t>
            </w:r>
            <w:r w:rsidR="006E2722">
              <w:t xml:space="preserve"> reflects faster </w:t>
            </w:r>
            <w:proofErr w:type="spellStart"/>
            <w:r w:rsidR="006E2722">
              <w:t>opex</w:t>
            </w:r>
            <w:proofErr w:type="spellEnd"/>
            <w:r w:rsidR="006E2722">
              <w:t xml:space="preserve"> efficiency savings than scenario 2. In combination, scenarios 3</w:t>
            </w:r>
            <w:r w:rsidR="009C5FB7">
              <w:t xml:space="preserve"> and 4</w:t>
            </w:r>
            <w:r w:rsidR="006E2722">
              <w:t xml:space="preserve"> </w:t>
            </w:r>
            <w:r w:rsidR="009C5FB7">
              <w:t>illustrate the sensitivity of the outcome to the ability to make efficiency savings.</w:t>
            </w:r>
          </w:p>
        </w:tc>
      </w:tr>
    </w:tbl>
    <w:p w:rsidR="00957837" w:rsidRDefault="00820E52" w:rsidP="00957837">
      <w:pPr>
        <w:pStyle w:val="AERtablesource"/>
      </w:pPr>
      <w:r>
        <w:t>(</w:t>
      </w:r>
      <w:r w:rsidR="00957837">
        <w:t>a</w:t>
      </w:r>
      <w:r>
        <w:t>)</w:t>
      </w:r>
      <w:r w:rsidR="00957837">
        <w:t xml:space="preserve"> </w:t>
      </w:r>
      <w:r w:rsidR="00957837">
        <w:tab/>
        <w:t>At the time this analysis was provided to RSM Bird Cameron, decision inputs were not completely finalised. However, they are closely reflective of the final decision inputs.</w:t>
      </w:r>
    </w:p>
    <w:p w:rsidR="00D22402" w:rsidRDefault="00D22402" w:rsidP="00820E52">
      <w:pPr>
        <w:pStyle w:val="Heading3"/>
        <w:keepNext/>
      </w:pPr>
      <w:bookmarkStart w:id="14" w:name="_Toc417742698"/>
      <w:r w:rsidRPr="00D22402">
        <w:lastRenderedPageBreak/>
        <w:t>Results of the scenarios</w:t>
      </w:r>
      <w:bookmarkEnd w:id="14"/>
    </w:p>
    <w:p w:rsidR="00D22402" w:rsidRDefault="00D22402" w:rsidP="00820E52">
      <w:pPr>
        <w:keepNext/>
      </w:pPr>
      <w:r>
        <w:t xml:space="preserve">We summarise </w:t>
      </w:r>
      <w:r w:rsidR="00634C3E">
        <w:t xml:space="preserve">RSM Bird Cameron's conclusions in respect of each scenario </w:t>
      </w:r>
      <w:r>
        <w:t xml:space="preserve">in </w:t>
      </w:r>
      <w:r w:rsidR="004B0941">
        <w:fldChar w:fldCharType="begin"/>
      </w:r>
      <w:r w:rsidR="004B0941">
        <w:instrText xml:space="preserve"> REF _Ref417298413 \h </w:instrText>
      </w:r>
      <w:r w:rsidR="004B0941">
        <w:fldChar w:fldCharType="separate"/>
      </w:r>
      <w:r w:rsidR="006975E6">
        <w:t xml:space="preserve">Table </w:t>
      </w:r>
      <w:r w:rsidR="006975E6">
        <w:rPr>
          <w:noProof/>
        </w:rPr>
        <w:t>19</w:t>
      </w:r>
      <w:r w:rsidR="006975E6">
        <w:noBreakHyphen/>
      </w:r>
      <w:r w:rsidR="006975E6">
        <w:rPr>
          <w:noProof/>
        </w:rPr>
        <w:t>2</w:t>
      </w:r>
      <w:r w:rsidR="004B0941">
        <w:fldChar w:fldCharType="end"/>
      </w:r>
      <w:r>
        <w:t>, below.</w:t>
      </w:r>
      <w:r w:rsidR="00634C3E">
        <w:t xml:space="preserve"> RSM Bird Cameron's report identifies two key metrics: </w:t>
      </w:r>
      <w:r w:rsidR="002C5417">
        <w:t xml:space="preserve">operating cash flows excluding regulatory </w:t>
      </w:r>
      <w:proofErr w:type="gramStart"/>
      <w:r w:rsidR="002C5417">
        <w:t>depreciation,</w:t>
      </w:r>
      <w:proofErr w:type="gramEnd"/>
      <w:r w:rsidR="002C5417">
        <w:t xml:space="preserve"> and cash flows after accounting for </w:t>
      </w:r>
      <w:r w:rsidR="009B4819">
        <w:t>Endeavour Energy</w:t>
      </w:r>
      <w:r w:rsidR="002C5417">
        <w:t>'s proposed capex program. It presents these post-capex cash flows prior to and after external equity raised, and both of those subtotals including and excluding regulatory depreciation</w:t>
      </w:r>
      <w:r w:rsidR="00634C3E">
        <w:t xml:space="preserve">. </w:t>
      </w:r>
      <w:r w:rsidR="0040133C" w:rsidRPr="0040133C">
        <w:t xml:space="preserve"> </w:t>
      </w:r>
      <w:r w:rsidR="0040133C">
        <w:t xml:space="preserve">Overall, </w:t>
      </w:r>
      <w:r w:rsidR="009B4819">
        <w:t>Endeavour Energy</w:t>
      </w:r>
      <w:r w:rsidR="0040133C">
        <w:t xml:space="preserve"> performs favourably on both key indicators under all four scenarios.</w:t>
      </w:r>
      <w:r w:rsidR="007402BC">
        <w:t xml:space="preserve"> </w:t>
      </w:r>
    </w:p>
    <w:p w:rsidR="004B0941" w:rsidRDefault="004B0941" w:rsidP="004B0941">
      <w:pPr>
        <w:pStyle w:val="Caption"/>
      </w:pPr>
      <w:bookmarkStart w:id="15" w:name="_Ref417298413"/>
      <w:r>
        <w:t xml:space="preserve">Table </w:t>
      </w:r>
      <w:r w:rsidR="006975E6">
        <w:fldChar w:fldCharType="begin"/>
      </w:r>
      <w:r w:rsidR="006975E6">
        <w:instrText xml:space="preserve"> STYLEREF 1 \s </w:instrText>
      </w:r>
      <w:r w:rsidR="006975E6">
        <w:fldChar w:fldCharType="separate"/>
      </w:r>
      <w:r w:rsidR="006975E6">
        <w:rPr>
          <w:noProof/>
        </w:rPr>
        <w:t>19</w:t>
      </w:r>
      <w:r w:rsidR="006975E6">
        <w:rPr>
          <w:noProof/>
        </w:rPr>
        <w:fldChar w:fldCharType="end"/>
      </w:r>
      <w:r>
        <w:noBreakHyphen/>
      </w:r>
      <w:r w:rsidR="006975E6">
        <w:fldChar w:fldCharType="begin"/>
      </w:r>
      <w:r w:rsidR="006975E6">
        <w:instrText xml:space="preserve"> SEQ Table \* ARABIC \s 1 </w:instrText>
      </w:r>
      <w:r w:rsidR="006975E6">
        <w:fldChar w:fldCharType="separate"/>
      </w:r>
      <w:r w:rsidR="006975E6">
        <w:rPr>
          <w:noProof/>
        </w:rPr>
        <w:t>2</w:t>
      </w:r>
      <w:r w:rsidR="006975E6">
        <w:rPr>
          <w:noProof/>
        </w:rPr>
        <w:fldChar w:fldCharType="end"/>
      </w:r>
      <w:bookmarkEnd w:id="15"/>
      <w:r>
        <w:tab/>
        <w:t>Summary of RSM Bird Cameron Conclusions</w:t>
      </w:r>
    </w:p>
    <w:tbl>
      <w:tblPr>
        <w:tblStyle w:val="AERtable-text0"/>
        <w:tblW w:w="0" w:type="auto"/>
        <w:tblLook w:val="04A0" w:firstRow="1" w:lastRow="0" w:firstColumn="1" w:lastColumn="0" w:noHBand="0" w:noVBand="1"/>
      </w:tblPr>
      <w:tblGrid>
        <w:gridCol w:w="1526"/>
        <w:gridCol w:w="7167"/>
      </w:tblGrid>
      <w:tr w:rsidR="00D22402" w:rsidTr="00820E52">
        <w:trPr>
          <w:cnfStyle w:val="100000000000" w:firstRow="1" w:lastRow="0" w:firstColumn="0" w:lastColumn="0" w:oddVBand="0" w:evenVBand="0" w:oddHBand="0" w:evenHBand="0" w:firstRowFirstColumn="0" w:firstRowLastColumn="0" w:lastRowFirstColumn="0" w:lastRowLastColumn="0"/>
        </w:trPr>
        <w:tc>
          <w:tcPr>
            <w:tcW w:w="1526" w:type="dxa"/>
          </w:tcPr>
          <w:p w:rsidR="00D22402" w:rsidRDefault="00D22402" w:rsidP="00D22402">
            <w:r>
              <w:t>Scenario</w:t>
            </w:r>
          </w:p>
        </w:tc>
        <w:tc>
          <w:tcPr>
            <w:tcW w:w="7167" w:type="dxa"/>
          </w:tcPr>
          <w:p w:rsidR="00D22402" w:rsidRDefault="00D22402" w:rsidP="00D22402">
            <w:r>
              <w:t>Conclusions</w:t>
            </w:r>
          </w:p>
        </w:tc>
      </w:tr>
      <w:tr w:rsidR="00D22402" w:rsidTr="00820E52">
        <w:tc>
          <w:tcPr>
            <w:tcW w:w="1526" w:type="dxa"/>
          </w:tcPr>
          <w:p w:rsidR="00D22402" w:rsidRDefault="00D22402" w:rsidP="00D22402">
            <w:r>
              <w:t>1</w:t>
            </w:r>
          </w:p>
        </w:tc>
        <w:tc>
          <w:tcPr>
            <w:tcW w:w="7167" w:type="dxa"/>
          </w:tcPr>
          <w:p w:rsidR="009801CF" w:rsidRDefault="009B4819" w:rsidP="009801CF">
            <w:r>
              <w:t>Endeavour Energy</w:t>
            </w:r>
            <w:r w:rsidR="00D22402">
              <w:t xml:space="preserve"> generates positive operating cash flows excluding the regulatory depreciation allowance. </w:t>
            </w:r>
          </w:p>
          <w:p w:rsidR="00D22402" w:rsidRDefault="00D22402" w:rsidP="00D22402">
            <w:r>
              <w:t xml:space="preserve">It generates positive cash flows prior to external equity </w:t>
            </w:r>
            <w:proofErr w:type="gramStart"/>
            <w:r>
              <w:t>raising</w:t>
            </w:r>
            <w:proofErr w:type="gramEnd"/>
            <w:r>
              <w:t xml:space="preserve"> if it uses portions of its regulatory depreciation allowance.</w:t>
            </w:r>
          </w:p>
          <w:p w:rsidR="009801CF" w:rsidRDefault="009801CF" w:rsidP="00D22402">
            <w:r>
              <w:t xml:space="preserve">It generates positive cash flows after external equity </w:t>
            </w:r>
            <w:proofErr w:type="gramStart"/>
            <w:r>
              <w:t>raising</w:t>
            </w:r>
            <w:proofErr w:type="gramEnd"/>
            <w:r>
              <w:t xml:space="preserve"> both including and excluding its regulatory depreciation allowance.</w:t>
            </w:r>
          </w:p>
        </w:tc>
      </w:tr>
      <w:tr w:rsidR="00D22402" w:rsidTr="00820E52">
        <w:trPr>
          <w:cnfStyle w:val="000000010000" w:firstRow="0" w:lastRow="0" w:firstColumn="0" w:lastColumn="0" w:oddVBand="0" w:evenVBand="0" w:oddHBand="0" w:evenHBand="1" w:firstRowFirstColumn="0" w:firstRowLastColumn="0" w:lastRowFirstColumn="0" w:lastRowLastColumn="0"/>
        </w:trPr>
        <w:tc>
          <w:tcPr>
            <w:tcW w:w="1526" w:type="dxa"/>
          </w:tcPr>
          <w:p w:rsidR="00D22402" w:rsidRDefault="00D22402" w:rsidP="00D22402">
            <w:r>
              <w:t>2</w:t>
            </w:r>
          </w:p>
        </w:tc>
        <w:tc>
          <w:tcPr>
            <w:tcW w:w="7167" w:type="dxa"/>
          </w:tcPr>
          <w:p w:rsidR="00D22402" w:rsidRPr="00D22402" w:rsidRDefault="009B4819" w:rsidP="00D22402">
            <w:r>
              <w:t>Endeavour Energy</w:t>
            </w:r>
            <w:r w:rsidR="00D22402">
              <w:t xml:space="preserve"> generates positive operating cash flows excluding the regulatory depreciation allowance</w:t>
            </w:r>
            <w:r w:rsidR="00D22402" w:rsidRPr="00D22402">
              <w:t xml:space="preserve">. </w:t>
            </w:r>
          </w:p>
          <w:p w:rsidR="00D22402" w:rsidRDefault="00D22402" w:rsidP="00D22402">
            <w:r>
              <w:t>It generates</w:t>
            </w:r>
            <w:r w:rsidRPr="00D22402">
              <w:t xml:space="preserve"> positive cash flows prior to external equity </w:t>
            </w:r>
            <w:proofErr w:type="gramStart"/>
            <w:r w:rsidRPr="00D22402">
              <w:t>raising</w:t>
            </w:r>
            <w:proofErr w:type="gramEnd"/>
            <w:r w:rsidRPr="00D22402">
              <w:t xml:space="preserve"> </w:t>
            </w:r>
            <w:r w:rsidR="007B12C8">
              <w:t>without</w:t>
            </w:r>
            <w:r w:rsidRPr="00D22402">
              <w:t xml:space="preserve"> u</w:t>
            </w:r>
            <w:r w:rsidR="007B12C8">
              <w:t>tilising</w:t>
            </w:r>
            <w:r w:rsidRPr="00D22402">
              <w:t xml:space="preserve"> its regulatory depreciation allowance.</w:t>
            </w:r>
          </w:p>
          <w:p w:rsidR="009801CF" w:rsidRDefault="009801CF" w:rsidP="00D22402">
            <w:r w:rsidRPr="009801CF">
              <w:t>It generates positive cash flows after external equity raising both including and excluding its regulatory depreciation allowance</w:t>
            </w:r>
          </w:p>
        </w:tc>
      </w:tr>
      <w:tr w:rsidR="00D22402" w:rsidTr="00820E52">
        <w:tc>
          <w:tcPr>
            <w:tcW w:w="1526" w:type="dxa"/>
          </w:tcPr>
          <w:p w:rsidR="00D22402" w:rsidRDefault="00D22402" w:rsidP="00D22402">
            <w:r>
              <w:t>3</w:t>
            </w:r>
          </w:p>
        </w:tc>
        <w:tc>
          <w:tcPr>
            <w:tcW w:w="7167" w:type="dxa"/>
          </w:tcPr>
          <w:p w:rsidR="00D22402" w:rsidRPr="00D22402" w:rsidRDefault="009B4819" w:rsidP="00D22402">
            <w:r>
              <w:t>Endeavour Energy</w:t>
            </w:r>
            <w:r w:rsidR="00D22402">
              <w:t xml:space="preserve"> generates positive operating cash flows excluding the regulatory depreciation allowance</w:t>
            </w:r>
            <w:r w:rsidR="00D22402" w:rsidRPr="00D22402">
              <w:t xml:space="preserve">. </w:t>
            </w:r>
          </w:p>
          <w:p w:rsidR="00D22402" w:rsidRDefault="00D22402" w:rsidP="00D22402">
            <w:r>
              <w:t>It generates</w:t>
            </w:r>
            <w:r w:rsidRPr="00D22402">
              <w:t xml:space="preserve"> positive cash flows prior to external equity raising </w:t>
            </w:r>
            <w:r w:rsidR="007B12C8">
              <w:t xml:space="preserve">without </w:t>
            </w:r>
            <w:proofErr w:type="gramStart"/>
            <w:r w:rsidR="007B12C8">
              <w:t xml:space="preserve">utilising </w:t>
            </w:r>
            <w:r w:rsidRPr="00D22402">
              <w:t xml:space="preserve"> its</w:t>
            </w:r>
            <w:proofErr w:type="gramEnd"/>
            <w:r w:rsidRPr="00D22402">
              <w:t xml:space="preserve"> regulatory depreciation allowance.</w:t>
            </w:r>
          </w:p>
          <w:p w:rsidR="009801CF" w:rsidRDefault="009801CF" w:rsidP="00D22402">
            <w:r w:rsidRPr="009801CF">
              <w:t>It generates positive cash flows after external equity raising both including and excluding its regulatory depreciation allowance</w:t>
            </w:r>
          </w:p>
        </w:tc>
      </w:tr>
      <w:tr w:rsidR="00D22402" w:rsidTr="00820E52">
        <w:trPr>
          <w:cnfStyle w:val="000000010000" w:firstRow="0" w:lastRow="0" w:firstColumn="0" w:lastColumn="0" w:oddVBand="0" w:evenVBand="0" w:oddHBand="0" w:evenHBand="1" w:firstRowFirstColumn="0" w:firstRowLastColumn="0" w:lastRowFirstColumn="0" w:lastRowLastColumn="0"/>
        </w:trPr>
        <w:tc>
          <w:tcPr>
            <w:tcW w:w="1526" w:type="dxa"/>
          </w:tcPr>
          <w:p w:rsidR="00D22402" w:rsidRDefault="00D22402" w:rsidP="00D22402">
            <w:r>
              <w:t>4</w:t>
            </w:r>
          </w:p>
        </w:tc>
        <w:tc>
          <w:tcPr>
            <w:tcW w:w="7167" w:type="dxa"/>
          </w:tcPr>
          <w:p w:rsidR="00D22402" w:rsidRPr="00D22402" w:rsidRDefault="009B4819" w:rsidP="00D22402">
            <w:r>
              <w:t>Endeavour Energy</w:t>
            </w:r>
            <w:r w:rsidR="00D22402">
              <w:t xml:space="preserve"> generates positive operating cash flows excluding the regulatory depreciation allowance</w:t>
            </w:r>
            <w:r w:rsidR="00D22402" w:rsidRPr="00D22402">
              <w:t xml:space="preserve">. </w:t>
            </w:r>
          </w:p>
          <w:p w:rsidR="00D22402" w:rsidRDefault="00D22402" w:rsidP="00D22402">
            <w:r>
              <w:t>It generates</w:t>
            </w:r>
            <w:r w:rsidRPr="00D22402">
              <w:t xml:space="preserve"> positive cash flows prior to external equity </w:t>
            </w:r>
            <w:proofErr w:type="gramStart"/>
            <w:r w:rsidRPr="00D22402">
              <w:t>raising</w:t>
            </w:r>
            <w:proofErr w:type="gramEnd"/>
            <w:r w:rsidRPr="00D22402">
              <w:t xml:space="preserve"> </w:t>
            </w:r>
            <w:r w:rsidR="007B12C8">
              <w:t xml:space="preserve">without utilising </w:t>
            </w:r>
            <w:r>
              <w:t>its</w:t>
            </w:r>
            <w:r w:rsidRPr="00D22402">
              <w:t xml:space="preserve"> regulatory depreciation allowance.</w:t>
            </w:r>
          </w:p>
          <w:p w:rsidR="009801CF" w:rsidRDefault="009801CF" w:rsidP="00D22402">
            <w:r w:rsidRPr="009801CF">
              <w:t>It generates positive cash flows after external equity raising both including and excluding its regulatory depreciation allowance</w:t>
            </w:r>
          </w:p>
        </w:tc>
      </w:tr>
    </w:tbl>
    <w:p w:rsidR="0040133C" w:rsidRDefault="004B0941" w:rsidP="00917734">
      <w:pPr>
        <w:pStyle w:val="AERtablesource"/>
      </w:pPr>
      <w:r>
        <w:t>Source:</w:t>
      </w:r>
      <w:r>
        <w:tab/>
        <w:t xml:space="preserve">RSM Bird Cameron, </w:t>
      </w:r>
      <w:r w:rsidRPr="004B0941">
        <w:rPr>
          <w:rStyle w:val="AERtextitalic"/>
        </w:rPr>
        <w:t>Independent review of the AER’s internal cash flow analysis of insolvency risk for NSW electricity service providers for the regulatory period 2014-19</w:t>
      </w:r>
      <w:r>
        <w:t>, April 2015.</w:t>
      </w:r>
    </w:p>
    <w:p w:rsidR="00D22402" w:rsidRDefault="00D22402" w:rsidP="00D22402">
      <w:r>
        <w:t>Based on the above scenarios and the assumptions provided</w:t>
      </w:r>
      <w:r w:rsidR="00E83096">
        <w:t>,</w:t>
      </w:r>
      <w:r>
        <w:t xml:space="preserve"> RSM Bird Cameron</w:t>
      </w:r>
      <w:r w:rsidR="00E83096">
        <w:t xml:space="preserve"> concludes that </w:t>
      </w:r>
      <w:r w:rsidR="009B4819">
        <w:t>Endeavour Energy</w:t>
      </w:r>
      <w:r w:rsidR="00E83096">
        <w:t xml:space="preserve"> does not face material risk of insolvency under any of the four scenarios.</w:t>
      </w:r>
      <w:r w:rsidR="009D71E4">
        <w:t xml:space="preserve"> In addition, RSM Bird Cameron's analysis was based on limitations of scope and assumptions </w:t>
      </w:r>
      <w:r w:rsidR="00525AB0">
        <w:t>that</w:t>
      </w:r>
      <w:r w:rsidR="009D71E4">
        <w:t xml:space="preserve"> do not reflect a series of </w:t>
      </w:r>
      <w:r w:rsidR="00525AB0">
        <w:t xml:space="preserve">relevant </w:t>
      </w:r>
      <w:r w:rsidR="009D71E4">
        <w:t>factors</w:t>
      </w:r>
      <w:r w:rsidR="00525AB0">
        <w:t>. We discuss these factors</w:t>
      </w:r>
      <w:r w:rsidR="009D71E4">
        <w:t xml:space="preserve"> </w:t>
      </w:r>
      <w:r w:rsidR="00525AB0">
        <w:t>below. They</w:t>
      </w:r>
      <w:r w:rsidR="009D71E4">
        <w:t xml:space="preserve"> </w:t>
      </w:r>
      <w:r w:rsidR="00761593">
        <w:t xml:space="preserve">suggest </w:t>
      </w:r>
      <w:r w:rsidR="009B4819">
        <w:t>Endeavour Energy</w:t>
      </w:r>
      <w:r w:rsidR="00761593">
        <w:t xml:space="preserve"> </w:t>
      </w:r>
      <w:r w:rsidR="00525AB0">
        <w:t xml:space="preserve">is </w:t>
      </w:r>
      <w:r w:rsidR="00D33364">
        <w:t xml:space="preserve">even </w:t>
      </w:r>
      <w:r w:rsidR="00525AB0">
        <w:t xml:space="preserve">less likely to </w:t>
      </w:r>
      <w:r w:rsidR="009D71E4">
        <w:t>face threats to its financial viability</w:t>
      </w:r>
      <w:r w:rsidR="00525AB0">
        <w:t xml:space="preserve"> than presented in the four scenarios above</w:t>
      </w:r>
      <w:r w:rsidR="009D71E4">
        <w:t>.</w:t>
      </w:r>
    </w:p>
    <w:p w:rsidR="00CC059D" w:rsidRDefault="00CC059D" w:rsidP="00820E52">
      <w:pPr>
        <w:keepNext/>
      </w:pPr>
      <w:r>
        <w:lastRenderedPageBreak/>
        <w:t>These factor</w:t>
      </w:r>
      <w:r w:rsidR="0040133C">
        <w:t>s</w:t>
      </w:r>
      <w:r>
        <w:t xml:space="preserve"> include:</w:t>
      </w:r>
    </w:p>
    <w:p w:rsidR="0040133C" w:rsidRDefault="0040133C" w:rsidP="00820E52">
      <w:pPr>
        <w:pStyle w:val="AERbulletlistfirststyle"/>
        <w:keepNext/>
      </w:pPr>
      <w:r>
        <w:t xml:space="preserve">RSM Bird Cameron's report does not address the impact of </w:t>
      </w:r>
      <w:r w:rsidR="009B4819">
        <w:t>Endeavour Energy</w:t>
      </w:r>
      <w:r>
        <w:t xml:space="preserve">'s ownership, and whether that ownership is favourable or otherwise for capital </w:t>
      </w:r>
      <w:proofErr w:type="gramStart"/>
      <w:r>
        <w:t>raising</w:t>
      </w:r>
      <w:proofErr w:type="gramEnd"/>
      <w:r>
        <w:t xml:space="preserve">. </w:t>
      </w:r>
    </w:p>
    <w:p w:rsidR="0040133C" w:rsidRDefault="0040133C" w:rsidP="0040133C">
      <w:pPr>
        <w:pStyle w:val="AERbulletlistfirststyle"/>
      </w:pPr>
      <w:r>
        <w:t xml:space="preserve">RSM Bird Cameron's report assumes </w:t>
      </w:r>
      <w:r w:rsidR="00D91D6A">
        <w:t xml:space="preserve">a </w:t>
      </w:r>
      <w:r>
        <w:t>zero starting cash balance. Any positive startin</w:t>
      </w:r>
      <w:r w:rsidR="00917734">
        <w:t>g cash balance would result in</w:t>
      </w:r>
      <w:r>
        <w:t xml:space="preserve"> more favourable outcomes for </w:t>
      </w:r>
      <w:r w:rsidR="009B4819">
        <w:t>Endeavour Energy</w:t>
      </w:r>
      <w:r>
        <w:t>.</w:t>
      </w:r>
    </w:p>
    <w:p w:rsidR="0040133C" w:rsidRDefault="0040133C" w:rsidP="0040133C">
      <w:pPr>
        <w:pStyle w:val="AERbulletlistfirststyle"/>
      </w:pPr>
      <w:r>
        <w:t xml:space="preserve">RSM Bird Cameron's report does not include any assumptions about the </w:t>
      </w:r>
      <w:r w:rsidR="00820E52">
        <w:t>service provider</w:t>
      </w:r>
      <w:r>
        <w:t>'s ability to defer capex</w:t>
      </w:r>
      <w:proofErr w:type="gramStart"/>
      <w:r>
        <w:t>..</w:t>
      </w:r>
      <w:proofErr w:type="gramEnd"/>
      <w:r>
        <w:t xml:space="preserve"> </w:t>
      </w:r>
    </w:p>
    <w:p w:rsidR="00CC059D" w:rsidRDefault="0040133C" w:rsidP="00CC059D">
      <w:pPr>
        <w:pStyle w:val="AERbulletlistfirststyle"/>
      </w:pPr>
      <w:r>
        <w:t xml:space="preserve">RSM Bird Cameron's report does not address fundamental questions of revenue certainty that distinguish regulated firms from unregulated firms. </w:t>
      </w:r>
      <w:r w:rsidR="00CC059D">
        <w:t xml:space="preserve">Unlike unregulated firms, </w:t>
      </w:r>
      <w:r w:rsidR="009B4819">
        <w:t>Endeavour Energy</w:t>
      </w:r>
      <w:r w:rsidR="00CC059D">
        <w:t xml:space="preserve"> faces predictable, stable revenue regardless of </w:t>
      </w:r>
      <w:r w:rsidR="00761593">
        <w:t>movements in</w:t>
      </w:r>
      <w:r w:rsidR="00CC059D">
        <w:t xml:space="preserve"> its underlying demand. </w:t>
      </w:r>
    </w:p>
    <w:p w:rsidR="00CC059D" w:rsidRDefault="00CC059D" w:rsidP="00CC059D">
      <w:pPr>
        <w:pStyle w:val="AERbulletlistfirststyle"/>
      </w:pPr>
      <w:r>
        <w:t xml:space="preserve">Significantly, </w:t>
      </w:r>
      <w:r w:rsidR="009B4819">
        <w:t>Endeavour Energy</w:t>
      </w:r>
      <w:r>
        <w:t xml:space="preserve">'s revenue allowance will be updated each year to incorporate current market rates </w:t>
      </w:r>
      <w:r w:rsidR="00525AB0">
        <w:t xml:space="preserve">on </w:t>
      </w:r>
      <w:r>
        <w:t xml:space="preserve">its debt portfolio. </w:t>
      </w:r>
      <w:r w:rsidR="0040133C">
        <w:t xml:space="preserve">To some extent, RSM Bird Cameron's report addresses </w:t>
      </w:r>
      <w:r w:rsidR="00DA67BB">
        <w:t>the effects of annually updating debt revenue</w:t>
      </w:r>
      <w:r w:rsidR="0040133C">
        <w:t xml:space="preserve"> through our debt convergence assumptions</w:t>
      </w:r>
      <w:r w:rsidR="00DA67BB">
        <w:t>.</w:t>
      </w:r>
      <w:r w:rsidR="0040133C">
        <w:t xml:space="preserve"> However, </w:t>
      </w:r>
      <w:r w:rsidR="00D91D6A">
        <w:t xml:space="preserve">our approach provides </w:t>
      </w:r>
      <w:r w:rsidR="009B4819">
        <w:t>Endeavour Energy</w:t>
      </w:r>
      <w:r w:rsidR="00D91D6A">
        <w:t xml:space="preserve"> with an</w:t>
      </w:r>
      <w:r w:rsidR="0040133C">
        <w:t xml:space="preserve"> ongoing shi</w:t>
      </w:r>
      <w:r w:rsidR="00D91D6A">
        <w:t>e</w:t>
      </w:r>
      <w:r w:rsidR="0040133C">
        <w:t>ld from interest rate risk regardless of market circumstances.</w:t>
      </w:r>
      <w:r w:rsidR="00D91D6A">
        <w:t xml:space="preserve"> </w:t>
      </w:r>
      <w:r w:rsidR="0040133C">
        <w:t>Specifically,</w:t>
      </w:r>
      <w:r>
        <w:t xml:space="preserve"> if benchmark debt costs rise</w:t>
      </w:r>
      <w:r w:rsidR="0040133C">
        <w:t xml:space="preserve"> as observed in the market</w:t>
      </w:r>
      <w:r>
        <w:t xml:space="preserve">, </w:t>
      </w:r>
      <w:r w:rsidR="009B4819">
        <w:t>Endeavour Energy</w:t>
      </w:r>
      <w:r>
        <w:t xml:space="preserve">'s revenue allowance will rise commensurately. </w:t>
      </w:r>
      <w:r w:rsidR="009B4819">
        <w:t>Endeavour Energy</w:t>
      </w:r>
      <w:r>
        <w:t xml:space="preserve"> is therefore shielded from interest rate risk compared to an un-regulated private sector business.</w:t>
      </w:r>
    </w:p>
    <w:p w:rsidR="0010143F" w:rsidRDefault="00CC059D">
      <w:pPr>
        <w:pStyle w:val="AERbulletlistfirststyle"/>
      </w:pPr>
      <w:r>
        <w:t xml:space="preserve">The value of </w:t>
      </w:r>
      <w:r w:rsidR="009B4819">
        <w:t>Endeavour Energy</w:t>
      </w:r>
      <w:r>
        <w:t>'s assets is protected within the regulatory asset base</w:t>
      </w:r>
      <w:r w:rsidR="00824D60">
        <w:t xml:space="preserve"> (RAB), and a return on capital for assets within the RAB is set periodically under a well-established regulatory regime</w:t>
      </w:r>
      <w:r>
        <w:t xml:space="preserve">. This allows </w:t>
      </w:r>
      <w:r w:rsidR="009B4819">
        <w:t>Endeavour Energy</w:t>
      </w:r>
      <w:r>
        <w:t xml:space="preserve"> to </w:t>
      </w:r>
      <w:r w:rsidR="00824D60">
        <w:t xml:space="preserve">expect to </w:t>
      </w:r>
      <w:r>
        <w:t xml:space="preserve">generate a benchmark return on capital </w:t>
      </w:r>
      <w:r w:rsidR="00824D60">
        <w:t xml:space="preserve">in the RAB </w:t>
      </w:r>
      <w:r>
        <w:t xml:space="preserve">and </w:t>
      </w:r>
      <w:r w:rsidR="00824D60">
        <w:t xml:space="preserve">also </w:t>
      </w:r>
      <w:r>
        <w:t xml:space="preserve">to recover the face value of its investments over time through a stable and predictable regulatory depreciation allowance. In the short term, equity holders may face relatively lower returns due largely to </w:t>
      </w:r>
      <w:proofErr w:type="spellStart"/>
      <w:r>
        <w:t>opex</w:t>
      </w:r>
      <w:proofErr w:type="spellEnd"/>
      <w:r>
        <w:t xml:space="preserve"> inefficiencies and the return on debt transition</w:t>
      </w:r>
      <w:r w:rsidR="00936340">
        <w:t>. However</w:t>
      </w:r>
      <w:r>
        <w:t xml:space="preserve">, in the medium term as the </w:t>
      </w:r>
      <w:r w:rsidR="00820E52">
        <w:t>service provider</w:t>
      </w:r>
      <w:r w:rsidR="000F7BD5">
        <w:t xml:space="preserve"> </w:t>
      </w:r>
      <w:r>
        <w:t>achieves efficiency gains, those equity holders can expect to predictably receive the benchmark return on equity.</w:t>
      </w:r>
    </w:p>
    <w:p w:rsidR="0010143F" w:rsidRPr="0010143F" w:rsidRDefault="0010143F" w:rsidP="00917734">
      <w:r>
        <w:t>In line with these observations, the credit rating agency Moody's observed that, r</w:t>
      </w:r>
      <w:r w:rsidRPr="0010143F">
        <w:t>egarding the factor, 'regulatory environment and asset ownership model' (Factor 1):</w:t>
      </w:r>
      <w:r w:rsidRPr="00917734">
        <w:rPr>
          <w:rStyle w:val="AERsuperscript"/>
        </w:rPr>
        <w:footnoteReference w:id="5"/>
      </w:r>
    </w:p>
    <w:p w:rsidR="0010143F" w:rsidRPr="0010143F" w:rsidRDefault="0010143F" w:rsidP="00917734">
      <w:pPr>
        <w:pStyle w:val="AERquote"/>
      </w:pPr>
      <w:r w:rsidRPr="0010143F">
        <w:t>[M]any networks are shown as outliers for Factor 1 principally reflecting the high quality regulatory regimes where they operate, which reduces overall business risk. Such regulatory frameworks tend to be well established, provide timely cost recovery and have de-coupling mechanisms that limit volume risk. This means that scores for these sub-factors can often be “</w:t>
      </w:r>
      <w:proofErr w:type="spellStart"/>
      <w:r w:rsidRPr="0010143F">
        <w:t>Aaa</w:t>
      </w:r>
      <w:proofErr w:type="spellEnd"/>
      <w:r w:rsidRPr="0010143F">
        <w:t xml:space="preserve">” or “Aa” while </w:t>
      </w:r>
      <w:r w:rsidRPr="0010143F">
        <w:lastRenderedPageBreak/>
        <w:t xml:space="preserve">issuers themselves are rated in the “A” or “Baa” range. This applies particularly to networks in developed countries with strong regulation, e.g. </w:t>
      </w:r>
      <w:proofErr w:type="spellStart"/>
      <w:r w:rsidRPr="0010143F">
        <w:t>AusNet</w:t>
      </w:r>
      <w:proofErr w:type="spellEnd"/>
      <w:r w:rsidRPr="0010143F">
        <w:t xml:space="preserve"> Services and </w:t>
      </w:r>
      <w:proofErr w:type="spellStart"/>
      <w:r w:rsidRPr="0010143F">
        <w:t>Powercor</w:t>
      </w:r>
      <w:proofErr w:type="spellEnd"/>
      <w:r w:rsidRPr="0010143F">
        <w:t xml:space="preserve"> Australia LLC (regulated in Australia by the AER)</w:t>
      </w:r>
    </w:p>
    <w:p w:rsidR="00623065" w:rsidRDefault="0010143F" w:rsidP="00B42DF6">
      <w:pPr>
        <w:pStyle w:val="Heading3"/>
      </w:pPr>
      <w:bookmarkStart w:id="16" w:name="_Ref417476492"/>
      <w:bookmarkStart w:id="17" w:name="_Toc417742699"/>
      <w:r>
        <w:t>Key</w:t>
      </w:r>
      <w:r w:rsidR="00B42DF6">
        <w:t xml:space="preserve"> assumptions</w:t>
      </w:r>
      <w:bookmarkEnd w:id="16"/>
      <w:bookmarkEnd w:id="17"/>
    </w:p>
    <w:p w:rsidR="00BA1DAD" w:rsidRDefault="000802DD" w:rsidP="00BA1DAD">
      <w:r>
        <w:t>In its report, RSM Bird Cameron has detailed all of the material assumptions used in setting revenue and costs. This section includes further detail on:</w:t>
      </w:r>
    </w:p>
    <w:p w:rsidR="000802DD" w:rsidRDefault="000802DD" w:rsidP="000802DD">
      <w:pPr>
        <w:pStyle w:val="AERbulletlistfirststyle"/>
      </w:pPr>
      <w:r>
        <w:t>debt convergence—included in scenarios 2, 3 and 4</w:t>
      </w:r>
    </w:p>
    <w:p w:rsidR="000802DD" w:rsidRDefault="000802DD" w:rsidP="000802DD">
      <w:pPr>
        <w:pStyle w:val="AERbulletlistfirststyle"/>
      </w:pPr>
      <w:proofErr w:type="spellStart"/>
      <w:r>
        <w:t>opex</w:t>
      </w:r>
      <w:proofErr w:type="spellEnd"/>
      <w:r>
        <w:t xml:space="preserve"> efficiency gains— included in scenarios 3 and 4</w:t>
      </w:r>
    </w:p>
    <w:p w:rsidR="000802DD" w:rsidRDefault="000802DD" w:rsidP="000802DD">
      <w:pPr>
        <w:pStyle w:val="AERbulletlistfirststyle"/>
      </w:pPr>
      <w:r>
        <w:t>hybrid tax calculation</w:t>
      </w:r>
      <w:r w:rsidR="00D22402">
        <w:t>— included in all scenarios</w:t>
      </w:r>
    </w:p>
    <w:p w:rsidR="00D22402" w:rsidRDefault="00D22402" w:rsidP="000802DD">
      <w:pPr>
        <w:pStyle w:val="AERbulletlistfirststyle"/>
      </w:pPr>
      <w:proofErr w:type="gramStart"/>
      <w:r>
        <w:t>interpretation</w:t>
      </w:r>
      <w:proofErr w:type="gramEnd"/>
      <w:r>
        <w:t xml:space="preserve"> of</w:t>
      </w:r>
      <w:r w:rsidR="00F76167">
        <w:t xml:space="preserve"> the regulatory</w:t>
      </w:r>
      <w:r>
        <w:t xml:space="preserve"> depreciation</w:t>
      </w:r>
      <w:r w:rsidR="00F76167">
        <w:t xml:space="preserve"> allowance</w:t>
      </w:r>
      <w:r>
        <w:t>.</w:t>
      </w:r>
    </w:p>
    <w:p w:rsidR="000802DD" w:rsidRDefault="00683876" w:rsidP="00683876">
      <w:pPr>
        <w:pStyle w:val="HeadingBoldBlue"/>
      </w:pPr>
      <w:r>
        <w:t>Debt convergence</w:t>
      </w:r>
    </w:p>
    <w:p w:rsidR="00120348" w:rsidRDefault="00120348" w:rsidP="00BA1DAD">
      <w:r>
        <w:t xml:space="preserve">One of the largest differences between </w:t>
      </w:r>
      <w:r w:rsidR="009B4819">
        <w:t>Endeavour Energy</w:t>
      </w:r>
      <w:r>
        <w:t>'s revised proposal and our draft and final decisions is the approach to transition into the trailing average portfolio return on debt. Specifically:</w:t>
      </w:r>
    </w:p>
    <w:p w:rsidR="000802DD" w:rsidRDefault="009B4819" w:rsidP="00120348">
      <w:pPr>
        <w:pStyle w:val="AERbulletlistfirststyle"/>
      </w:pPr>
      <w:r>
        <w:t>Endeavour Energy</w:t>
      </w:r>
      <w:r w:rsidR="00120348">
        <w:t xml:space="preserve"> proposed an immediate transition. This means that its starting (2014</w:t>
      </w:r>
      <w:r w:rsidR="00120348">
        <w:softHyphen/>
        <w:t>–15) portfolio is based on an average of the past 10 years of return on debt estimates.</w:t>
      </w:r>
    </w:p>
    <w:p w:rsidR="00120348" w:rsidRDefault="00120348" w:rsidP="00120348">
      <w:pPr>
        <w:pStyle w:val="AERbulletlistfirststyle"/>
      </w:pPr>
      <w:r>
        <w:t xml:space="preserve">Our decision </w:t>
      </w:r>
      <w:r w:rsidR="00C675AD">
        <w:t>commences with an on-the-day rate for existing debt and</w:t>
      </w:r>
      <w:r>
        <w:t xml:space="preserve"> a 10 year transition to the trailing average return on debt</w:t>
      </w:r>
      <w:r w:rsidR="00C675AD">
        <w:t xml:space="preserve"> for new debt</w:t>
      </w:r>
      <w:r>
        <w:t xml:space="preserve">.  </w:t>
      </w:r>
      <w:r w:rsidRPr="00120348">
        <w:t xml:space="preserve">This means that </w:t>
      </w:r>
      <w:r w:rsidR="009B4819">
        <w:t>Endeavour Energy</w:t>
      </w:r>
      <w:r>
        <w:t>'s</w:t>
      </w:r>
      <w:r w:rsidRPr="00120348">
        <w:t xml:space="preserve"> starting (2014</w:t>
      </w:r>
      <w:r w:rsidRPr="00120348">
        <w:softHyphen/>
        <w:t xml:space="preserve">–15) portfolio is </w:t>
      </w:r>
      <w:r>
        <w:t xml:space="preserve">equal to the annual estimate of the return on debt within </w:t>
      </w:r>
      <w:r w:rsidR="009B4819">
        <w:t>Endeavour Energy</w:t>
      </w:r>
      <w:r>
        <w:t>'s nominated averaging period in that year.</w:t>
      </w:r>
    </w:p>
    <w:p w:rsidR="00120348" w:rsidRDefault="00120348" w:rsidP="00120348">
      <w:r>
        <w:t xml:space="preserve">Due to the difference in approaches, the starting difference in revenue between </w:t>
      </w:r>
      <w:r w:rsidR="009B4819">
        <w:t>Endeavour Energy</w:t>
      </w:r>
      <w:r>
        <w:t xml:space="preserve">'s proposed approach and our decisions is substantial. However, under </w:t>
      </w:r>
      <w:r w:rsidR="009B4819">
        <w:t>Endeavour Energy</w:t>
      </w:r>
      <w:r>
        <w:t xml:space="preserve">'s proposed approach and our decision, the return on debt portfolio will be updated each year to include 10 per cent weight on </w:t>
      </w:r>
      <w:r w:rsidR="00C675AD">
        <w:t>each subseque</w:t>
      </w:r>
      <w:r w:rsidR="00824D60">
        <w:t>n</w:t>
      </w:r>
      <w:r w:rsidR="00C675AD">
        <w:t xml:space="preserve">t </w:t>
      </w:r>
      <w:r>
        <w:t xml:space="preserve">year's estimate. This will impact both the revenue received by </w:t>
      </w:r>
      <w:r w:rsidR="009B4819">
        <w:t>Endeavour Energy</w:t>
      </w:r>
      <w:r>
        <w:t xml:space="preserve"> and the costs it faces. </w:t>
      </w:r>
      <w:r w:rsidR="00C675AD">
        <w:t xml:space="preserve"> Consequently, once the full transition is complete in 10 years </w:t>
      </w:r>
      <w:r w:rsidR="009B4819">
        <w:t>Endeavour Energy</w:t>
      </w:r>
      <w:r w:rsidR="00C675AD">
        <w:t xml:space="preserve">'s cost of debt and </w:t>
      </w:r>
      <w:r w:rsidR="00824D60">
        <w:t xml:space="preserve">allowed debt </w:t>
      </w:r>
      <w:r w:rsidR="00C675AD">
        <w:t xml:space="preserve">revenue </w:t>
      </w:r>
      <w:r w:rsidR="00824D60">
        <w:t xml:space="preserve">should </w:t>
      </w:r>
      <w:r w:rsidR="00C675AD">
        <w:t>correspond</w:t>
      </w:r>
      <w:r w:rsidR="009C5FB7">
        <w:t>, excluding relatively minor differences in the implementation of annual estimates of the return on debt</w:t>
      </w:r>
      <w:r w:rsidR="00C675AD">
        <w:t xml:space="preserve">. </w:t>
      </w:r>
    </w:p>
    <w:p w:rsidR="00787316" w:rsidRDefault="008742AA" w:rsidP="00120348">
      <w:r>
        <w:t>Therefore, we consider it is a more realistic assumption to ac</w:t>
      </w:r>
      <w:r w:rsidR="00787316">
        <w:t xml:space="preserve">count for this debt convergence when considering </w:t>
      </w:r>
      <w:r w:rsidR="009B4819">
        <w:t>Endeavour Energy</w:t>
      </w:r>
      <w:r w:rsidR="00787316">
        <w:t xml:space="preserve">'s financial viability. To do so, we have included consistent forward estimates of the annual return on debt to model the progression of both our decision portfolio return on debt and </w:t>
      </w:r>
      <w:r w:rsidR="009B4819">
        <w:t>Endeavour Energy</w:t>
      </w:r>
      <w:r w:rsidR="00787316">
        <w:t>'s proposed portfolio.</w:t>
      </w:r>
      <w:r w:rsidR="009C48F3">
        <w:t xml:space="preserve"> The calculations for this portfolio are set out in </w:t>
      </w:r>
      <w:r w:rsidR="00B41EEF">
        <w:fldChar w:fldCharType="begin"/>
      </w:r>
      <w:r w:rsidR="00B41EEF">
        <w:instrText xml:space="preserve"> REF _Ref416946373 \h </w:instrText>
      </w:r>
      <w:r w:rsidR="00B41EEF">
        <w:fldChar w:fldCharType="separate"/>
      </w:r>
      <w:r w:rsidR="006975E6">
        <w:t xml:space="preserve">Table </w:t>
      </w:r>
      <w:r w:rsidR="006975E6">
        <w:rPr>
          <w:noProof/>
        </w:rPr>
        <w:t>19</w:t>
      </w:r>
      <w:r w:rsidR="006975E6">
        <w:noBreakHyphen/>
      </w:r>
      <w:r w:rsidR="006975E6">
        <w:rPr>
          <w:noProof/>
        </w:rPr>
        <w:t>3</w:t>
      </w:r>
      <w:r w:rsidR="00B41EEF">
        <w:fldChar w:fldCharType="end"/>
      </w:r>
      <w:r w:rsidR="00B41EEF">
        <w:t>.</w:t>
      </w:r>
    </w:p>
    <w:p w:rsidR="00D035C3" w:rsidRDefault="006F79D5" w:rsidP="00820E52">
      <w:pPr>
        <w:pStyle w:val="Caption"/>
      </w:pPr>
      <w:bookmarkStart w:id="18" w:name="_Ref416946373"/>
      <w:r>
        <w:lastRenderedPageBreak/>
        <w:t xml:space="preserve">Table </w:t>
      </w:r>
      <w:r w:rsidR="006975E6">
        <w:fldChar w:fldCharType="begin"/>
      </w:r>
      <w:r w:rsidR="006975E6">
        <w:instrText xml:space="preserve"> STYLEREF 1 \s </w:instrText>
      </w:r>
      <w:r w:rsidR="006975E6">
        <w:fldChar w:fldCharType="separate"/>
      </w:r>
      <w:r w:rsidR="006975E6">
        <w:rPr>
          <w:noProof/>
        </w:rPr>
        <w:t>19</w:t>
      </w:r>
      <w:r w:rsidR="006975E6">
        <w:rPr>
          <w:noProof/>
        </w:rPr>
        <w:fldChar w:fldCharType="end"/>
      </w:r>
      <w:r w:rsidR="004B0941">
        <w:noBreakHyphen/>
      </w:r>
      <w:r w:rsidR="006975E6">
        <w:fldChar w:fldCharType="begin"/>
      </w:r>
      <w:r w:rsidR="006975E6">
        <w:instrText xml:space="preserve"> SEQ Table \* ARABIC \s 1 </w:instrText>
      </w:r>
      <w:r w:rsidR="006975E6">
        <w:fldChar w:fldCharType="separate"/>
      </w:r>
      <w:r w:rsidR="006975E6">
        <w:rPr>
          <w:noProof/>
        </w:rPr>
        <w:t>3</w:t>
      </w:r>
      <w:r w:rsidR="006975E6">
        <w:rPr>
          <w:noProof/>
        </w:rPr>
        <w:fldChar w:fldCharType="end"/>
      </w:r>
      <w:bookmarkEnd w:id="18"/>
      <w:r>
        <w:tab/>
        <w:t>Debt convergence</w:t>
      </w:r>
      <w:r w:rsidR="004A3311">
        <w:t xml:space="preserve"> (per cent)</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9C48F3" w:rsidTr="00D03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9C48F3" w:rsidRDefault="009C48F3" w:rsidP="00820E52">
            <w:pPr>
              <w:keepNext/>
            </w:pPr>
          </w:p>
        </w:tc>
        <w:tc>
          <w:tcPr>
            <w:tcW w:w="1449" w:type="dxa"/>
          </w:tcPr>
          <w:p w:rsidR="009C48F3" w:rsidRDefault="00D035C3" w:rsidP="00820E52">
            <w:pPr>
              <w:keepNext/>
              <w:cnfStyle w:val="100000000000" w:firstRow="1" w:lastRow="0" w:firstColumn="0" w:lastColumn="0" w:oddVBand="0" w:evenVBand="0" w:oddHBand="0" w:evenHBand="0" w:firstRowFirstColumn="0" w:firstRowLastColumn="0" w:lastRowFirstColumn="0" w:lastRowLastColumn="0"/>
            </w:pPr>
            <w:r>
              <w:t>2014–15</w:t>
            </w:r>
          </w:p>
        </w:tc>
        <w:tc>
          <w:tcPr>
            <w:tcW w:w="1449" w:type="dxa"/>
          </w:tcPr>
          <w:p w:rsidR="009C48F3" w:rsidRDefault="00D035C3" w:rsidP="00820E52">
            <w:pPr>
              <w:keepNext/>
              <w:cnfStyle w:val="100000000000" w:firstRow="1" w:lastRow="0" w:firstColumn="0" w:lastColumn="0" w:oddVBand="0" w:evenVBand="0" w:oddHBand="0" w:evenHBand="0" w:firstRowFirstColumn="0" w:firstRowLastColumn="0" w:lastRowFirstColumn="0" w:lastRowLastColumn="0"/>
            </w:pPr>
            <w:r>
              <w:t>2015–16</w:t>
            </w:r>
          </w:p>
        </w:tc>
        <w:tc>
          <w:tcPr>
            <w:tcW w:w="1449" w:type="dxa"/>
          </w:tcPr>
          <w:p w:rsidR="009C48F3" w:rsidRDefault="00D035C3" w:rsidP="00820E52">
            <w:pPr>
              <w:keepNext/>
              <w:cnfStyle w:val="100000000000" w:firstRow="1" w:lastRow="0" w:firstColumn="0" w:lastColumn="0" w:oddVBand="0" w:evenVBand="0" w:oddHBand="0" w:evenHBand="0" w:firstRowFirstColumn="0" w:firstRowLastColumn="0" w:lastRowFirstColumn="0" w:lastRowLastColumn="0"/>
            </w:pPr>
            <w:r>
              <w:t>2016–17</w:t>
            </w:r>
          </w:p>
        </w:tc>
        <w:tc>
          <w:tcPr>
            <w:tcW w:w="1449" w:type="dxa"/>
          </w:tcPr>
          <w:p w:rsidR="009C48F3" w:rsidRDefault="00D035C3" w:rsidP="00820E52">
            <w:pPr>
              <w:keepNext/>
              <w:cnfStyle w:val="100000000000" w:firstRow="1" w:lastRow="0" w:firstColumn="0" w:lastColumn="0" w:oddVBand="0" w:evenVBand="0" w:oddHBand="0" w:evenHBand="0" w:firstRowFirstColumn="0" w:firstRowLastColumn="0" w:lastRowFirstColumn="0" w:lastRowLastColumn="0"/>
            </w:pPr>
            <w:r>
              <w:t>2017–18</w:t>
            </w:r>
          </w:p>
        </w:tc>
        <w:tc>
          <w:tcPr>
            <w:tcW w:w="1449" w:type="dxa"/>
          </w:tcPr>
          <w:p w:rsidR="009C48F3" w:rsidRDefault="00D035C3" w:rsidP="00820E52">
            <w:pPr>
              <w:keepNext/>
              <w:cnfStyle w:val="100000000000" w:firstRow="1" w:lastRow="0" w:firstColumn="0" w:lastColumn="0" w:oddVBand="0" w:evenVBand="0" w:oddHBand="0" w:evenHBand="0" w:firstRowFirstColumn="0" w:firstRowLastColumn="0" w:lastRowFirstColumn="0" w:lastRowLastColumn="0"/>
            </w:pPr>
            <w:r>
              <w:t>2018–19</w:t>
            </w:r>
          </w:p>
        </w:tc>
      </w:tr>
      <w:tr w:rsidR="00D035C3" w:rsidTr="00CC059D">
        <w:tc>
          <w:tcPr>
            <w:cnfStyle w:val="001000000000" w:firstRow="0" w:lastRow="0" w:firstColumn="1" w:lastColumn="0" w:oddVBand="0" w:evenVBand="0" w:oddHBand="0" w:evenHBand="0" w:firstRowFirstColumn="0" w:firstRowLastColumn="0" w:lastRowFirstColumn="0" w:lastRowLastColumn="0"/>
            <w:tcW w:w="1448" w:type="dxa"/>
          </w:tcPr>
          <w:p w:rsidR="00D035C3" w:rsidRPr="00D035C3" w:rsidRDefault="00D035C3" w:rsidP="00820E52">
            <w:pPr>
              <w:keepNext/>
            </w:pPr>
            <w:r w:rsidRPr="00D035C3">
              <w:t>Annual estimate</w:t>
            </w:r>
            <w:r w:rsidR="006F79D5">
              <w:t xml:space="preserve"> of the return on debt</w:t>
            </w:r>
          </w:p>
        </w:tc>
        <w:tc>
          <w:tcPr>
            <w:tcW w:w="1449" w:type="dxa"/>
            <w:vAlign w:val="top"/>
          </w:tcPr>
          <w:p w:rsidR="00D035C3" w:rsidRPr="00D035C3" w:rsidRDefault="00D035C3" w:rsidP="00820E52">
            <w:pPr>
              <w:keepNext/>
              <w:cnfStyle w:val="000000000000" w:firstRow="0" w:lastRow="0" w:firstColumn="0" w:lastColumn="0" w:oddVBand="0" w:evenVBand="0" w:oddHBand="0" w:evenHBand="0" w:firstRowFirstColumn="0" w:firstRowLastColumn="0" w:lastRowFirstColumn="0" w:lastRowLastColumn="0"/>
            </w:pPr>
            <w:r w:rsidRPr="00D035C3">
              <w:t>6.51</w:t>
            </w:r>
          </w:p>
        </w:tc>
        <w:tc>
          <w:tcPr>
            <w:tcW w:w="1449" w:type="dxa"/>
            <w:vAlign w:val="top"/>
          </w:tcPr>
          <w:p w:rsidR="00D035C3" w:rsidRPr="00D035C3" w:rsidRDefault="00D035C3" w:rsidP="00820E52">
            <w:pPr>
              <w:keepNext/>
              <w:cnfStyle w:val="000000000000" w:firstRow="0" w:lastRow="0" w:firstColumn="0" w:lastColumn="0" w:oddVBand="0" w:evenVBand="0" w:oddHBand="0" w:evenHBand="0" w:firstRowFirstColumn="0" w:firstRowLastColumn="0" w:lastRowFirstColumn="0" w:lastRowLastColumn="0"/>
            </w:pPr>
            <w:r w:rsidRPr="00D035C3">
              <w:t>5.38</w:t>
            </w:r>
          </w:p>
        </w:tc>
        <w:tc>
          <w:tcPr>
            <w:tcW w:w="1449" w:type="dxa"/>
            <w:vAlign w:val="top"/>
          </w:tcPr>
          <w:p w:rsidR="00D035C3" w:rsidRPr="00D035C3" w:rsidRDefault="00D035C3" w:rsidP="00820E52">
            <w:pPr>
              <w:keepNext/>
              <w:cnfStyle w:val="000000000000" w:firstRow="0" w:lastRow="0" w:firstColumn="0" w:lastColumn="0" w:oddVBand="0" w:evenVBand="0" w:oddHBand="0" w:evenHBand="0" w:firstRowFirstColumn="0" w:firstRowLastColumn="0" w:lastRowFirstColumn="0" w:lastRowLastColumn="0"/>
            </w:pPr>
            <w:r w:rsidRPr="00D035C3">
              <w:t>5.38</w:t>
            </w:r>
            <w:r w:rsidR="006F79D5" w:rsidRPr="006F79D5">
              <w:rPr>
                <w:rStyle w:val="AERsuperscript"/>
              </w:rPr>
              <w:t>a</w:t>
            </w:r>
          </w:p>
        </w:tc>
        <w:tc>
          <w:tcPr>
            <w:tcW w:w="1449" w:type="dxa"/>
            <w:vAlign w:val="top"/>
          </w:tcPr>
          <w:p w:rsidR="00D035C3" w:rsidRPr="00D035C3" w:rsidRDefault="00D035C3" w:rsidP="00820E52">
            <w:pPr>
              <w:keepNext/>
              <w:cnfStyle w:val="000000000000" w:firstRow="0" w:lastRow="0" w:firstColumn="0" w:lastColumn="0" w:oddVBand="0" w:evenVBand="0" w:oddHBand="0" w:evenHBand="0" w:firstRowFirstColumn="0" w:firstRowLastColumn="0" w:lastRowFirstColumn="0" w:lastRowLastColumn="0"/>
            </w:pPr>
            <w:r w:rsidRPr="00D035C3">
              <w:t>5.38</w:t>
            </w:r>
            <w:r w:rsidR="006F79D5" w:rsidRPr="006F79D5">
              <w:rPr>
                <w:rStyle w:val="AERsuperscript"/>
              </w:rPr>
              <w:t>a</w:t>
            </w:r>
          </w:p>
        </w:tc>
        <w:tc>
          <w:tcPr>
            <w:tcW w:w="1449" w:type="dxa"/>
            <w:vAlign w:val="top"/>
          </w:tcPr>
          <w:p w:rsidR="00D035C3" w:rsidRPr="00D035C3" w:rsidRDefault="00D035C3" w:rsidP="00820E52">
            <w:pPr>
              <w:keepNext/>
              <w:cnfStyle w:val="000000000000" w:firstRow="0" w:lastRow="0" w:firstColumn="0" w:lastColumn="0" w:oddVBand="0" w:evenVBand="0" w:oddHBand="0" w:evenHBand="0" w:firstRowFirstColumn="0" w:firstRowLastColumn="0" w:lastRowFirstColumn="0" w:lastRowLastColumn="0"/>
            </w:pPr>
            <w:r w:rsidRPr="00D035C3">
              <w:t>5.38</w:t>
            </w:r>
            <w:r w:rsidR="006F79D5" w:rsidRPr="006F79D5">
              <w:rPr>
                <w:rStyle w:val="AERsuperscript"/>
              </w:rPr>
              <w:t>a</w:t>
            </w:r>
          </w:p>
        </w:tc>
      </w:tr>
      <w:tr w:rsidR="009C48F3" w:rsidTr="00D035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9C48F3" w:rsidRDefault="009C48F3" w:rsidP="00120348"/>
        </w:tc>
        <w:tc>
          <w:tcPr>
            <w:tcW w:w="1449" w:type="dxa"/>
          </w:tcPr>
          <w:p w:rsidR="009C48F3" w:rsidRDefault="009C48F3" w:rsidP="00120348">
            <w:pPr>
              <w:cnfStyle w:val="000000010000" w:firstRow="0" w:lastRow="0" w:firstColumn="0" w:lastColumn="0" w:oddVBand="0" w:evenVBand="0" w:oddHBand="0" w:evenHBand="1" w:firstRowFirstColumn="0" w:firstRowLastColumn="0" w:lastRowFirstColumn="0" w:lastRowLastColumn="0"/>
            </w:pPr>
          </w:p>
        </w:tc>
        <w:tc>
          <w:tcPr>
            <w:tcW w:w="1449" w:type="dxa"/>
          </w:tcPr>
          <w:p w:rsidR="009C48F3" w:rsidRDefault="009C48F3" w:rsidP="00120348">
            <w:pPr>
              <w:cnfStyle w:val="000000010000" w:firstRow="0" w:lastRow="0" w:firstColumn="0" w:lastColumn="0" w:oddVBand="0" w:evenVBand="0" w:oddHBand="0" w:evenHBand="1" w:firstRowFirstColumn="0" w:firstRowLastColumn="0" w:lastRowFirstColumn="0" w:lastRowLastColumn="0"/>
            </w:pPr>
          </w:p>
        </w:tc>
        <w:tc>
          <w:tcPr>
            <w:tcW w:w="1449" w:type="dxa"/>
          </w:tcPr>
          <w:p w:rsidR="009C48F3" w:rsidRDefault="009C48F3" w:rsidP="00120348">
            <w:pPr>
              <w:cnfStyle w:val="000000010000" w:firstRow="0" w:lastRow="0" w:firstColumn="0" w:lastColumn="0" w:oddVBand="0" w:evenVBand="0" w:oddHBand="0" w:evenHBand="1" w:firstRowFirstColumn="0" w:firstRowLastColumn="0" w:lastRowFirstColumn="0" w:lastRowLastColumn="0"/>
            </w:pPr>
          </w:p>
        </w:tc>
        <w:tc>
          <w:tcPr>
            <w:tcW w:w="1449" w:type="dxa"/>
          </w:tcPr>
          <w:p w:rsidR="009C48F3" w:rsidRDefault="009C48F3" w:rsidP="00120348">
            <w:pPr>
              <w:cnfStyle w:val="000000010000" w:firstRow="0" w:lastRow="0" w:firstColumn="0" w:lastColumn="0" w:oddVBand="0" w:evenVBand="0" w:oddHBand="0" w:evenHBand="1" w:firstRowFirstColumn="0" w:firstRowLastColumn="0" w:lastRowFirstColumn="0" w:lastRowLastColumn="0"/>
            </w:pPr>
          </w:p>
        </w:tc>
        <w:tc>
          <w:tcPr>
            <w:tcW w:w="1449" w:type="dxa"/>
          </w:tcPr>
          <w:p w:rsidR="009C48F3" w:rsidRDefault="009C48F3" w:rsidP="00120348">
            <w:pPr>
              <w:cnfStyle w:val="000000010000" w:firstRow="0" w:lastRow="0" w:firstColumn="0" w:lastColumn="0" w:oddVBand="0" w:evenVBand="0" w:oddHBand="0" w:evenHBand="1" w:firstRowFirstColumn="0" w:firstRowLastColumn="0" w:lastRowFirstColumn="0" w:lastRowLastColumn="0"/>
            </w:pPr>
          </w:p>
        </w:tc>
      </w:tr>
      <w:tr w:rsidR="00D035C3" w:rsidTr="00CC059D">
        <w:tc>
          <w:tcPr>
            <w:cnfStyle w:val="001000000000" w:firstRow="0" w:lastRow="0" w:firstColumn="1" w:lastColumn="0" w:oddVBand="0" w:evenVBand="0" w:oddHBand="0" w:evenHBand="0" w:firstRowFirstColumn="0" w:firstRowLastColumn="0" w:lastRowFirstColumn="0" w:lastRowLastColumn="0"/>
            <w:tcW w:w="1448" w:type="dxa"/>
          </w:tcPr>
          <w:p w:rsidR="00D035C3" w:rsidRPr="00D035C3" w:rsidRDefault="009B4819" w:rsidP="00D035C3">
            <w:r>
              <w:t>Endeavour Energy</w:t>
            </w:r>
            <w:r w:rsidR="00D035C3" w:rsidRPr="00D035C3">
              <w:t>'s portfolio</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7.98</w:t>
            </w:r>
            <w:r w:rsidR="00F660DD" w:rsidRPr="00F660DD">
              <w:rPr>
                <w:rStyle w:val="AERsuperscript"/>
              </w:rPr>
              <w:t>b</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7.72</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7.46</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7.2</w:t>
            </w:r>
            <w:r>
              <w:t>0</w:t>
            </w: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r w:rsidRPr="00D035C3">
              <w:t>6.94</w:t>
            </w:r>
          </w:p>
        </w:tc>
      </w:tr>
      <w:tr w:rsidR="00D035C3" w:rsidTr="00CC05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D035C3" w:rsidRPr="00D035C3" w:rsidRDefault="00D035C3" w:rsidP="00D035C3">
            <w:r w:rsidRPr="00D035C3">
              <w:t>AER portfolio</w:t>
            </w:r>
          </w:p>
        </w:tc>
        <w:tc>
          <w:tcPr>
            <w:tcW w:w="1449" w:type="dxa"/>
            <w:vAlign w:val="top"/>
          </w:tcPr>
          <w:p w:rsidR="00D035C3" w:rsidRPr="00D035C3" w:rsidRDefault="00D035C3" w:rsidP="00CC059D">
            <w:pPr>
              <w:cnfStyle w:val="000000010000" w:firstRow="0" w:lastRow="0" w:firstColumn="0" w:lastColumn="0" w:oddVBand="0" w:evenVBand="0" w:oddHBand="0" w:evenHBand="1" w:firstRowFirstColumn="0" w:firstRowLastColumn="0" w:lastRowFirstColumn="0" w:lastRowLastColumn="0"/>
            </w:pPr>
            <w:r w:rsidRPr="00D035C3">
              <w:t>6.51</w:t>
            </w:r>
          </w:p>
        </w:tc>
        <w:tc>
          <w:tcPr>
            <w:tcW w:w="1449" w:type="dxa"/>
            <w:vAlign w:val="top"/>
          </w:tcPr>
          <w:p w:rsidR="00D035C3" w:rsidRPr="00D035C3" w:rsidRDefault="00D035C3" w:rsidP="00CC059D">
            <w:pPr>
              <w:cnfStyle w:val="000000010000" w:firstRow="0" w:lastRow="0" w:firstColumn="0" w:lastColumn="0" w:oddVBand="0" w:evenVBand="0" w:oddHBand="0" w:evenHBand="1" w:firstRowFirstColumn="0" w:firstRowLastColumn="0" w:lastRowFirstColumn="0" w:lastRowLastColumn="0"/>
            </w:pPr>
            <w:r w:rsidRPr="00D035C3">
              <w:t>6.40</w:t>
            </w:r>
          </w:p>
        </w:tc>
        <w:tc>
          <w:tcPr>
            <w:tcW w:w="1449" w:type="dxa"/>
            <w:vAlign w:val="top"/>
          </w:tcPr>
          <w:p w:rsidR="00D035C3" w:rsidRPr="00D035C3" w:rsidRDefault="00D035C3" w:rsidP="00CC059D">
            <w:pPr>
              <w:cnfStyle w:val="000000010000" w:firstRow="0" w:lastRow="0" w:firstColumn="0" w:lastColumn="0" w:oddVBand="0" w:evenVBand="0" w:oddHBand="0" w:evenHBand="1" w:firstRowFirstColumn="0" w:firstRowLastColumn="0" w:lastRowFirstColumn="0" w:lastRowLastColumn="0"/>
            </w:pPr>
            <w:r w:rsidRPr="00D035C3">
              <w:t>6.28</w:t>
            </w:r>
          </w:p>
        </w:tc>
        <w:tc>
          <w:tcPr>
            <w:tcW w:w="1449" w:type="dxa"/>
            <w:vAlign w:val="top"/>
          </w:tcPr>
          <w:p w:rsidR="00D035C3" w:rsidRPr="00D035C3" w:rsidRDefault="00D035C3" w:rsidP="00CC059D">
            <w:pPr>
              <w:cnfStyle w:val="000000010000" w:firstRow="0" w:lastRow="0" w:firstColumn="0" w:lastColumn="0" w:oddVBand="0" w:evenVBand="0" w:oddHBand="0" w:evenHBand="1" w:firstRowFirstColumn="0" w:firstRowLastColumn="0" w:lastRowFirstColumn="0" w:lastRowLastColumn="0"/>
            </w:pPr>
            <w:r w:rsidRPr="00D035C3">
              <w:t>6.17</w:t>
            </w:r>
          </w:p>
        </w:tc>
        <w:tc>
          <w:tcPr>
            <w:tcW w:w="1449" w:type="dxa"/>
            <w:vAlign w:val="top"/>
          </w:tcPr>
          <w:p w:rsidR="00D035C3" w:rsidRPr="00D035C3" w:rsidRDefault="00D035C3" w:rsidP="00CC059D">
            <w:pPr>
              <w:cnfStyle w:val="000000010000" w:firstRow="0" w:lastRow="0" w:firstColumn="0" w:lastColumn="0" w:oddVBand="0" w:evenVBand="0" w:oddHBand="0" w:evenHBand="1" w:firstRowFirstColumn="0" w:firstRowLastColumn="0" w:lastRowFirstColumn="0" w:lastRowLastColumn="0"/>
            </w:pPr>
            <w:r w:rsidRPr="00D035C3">
              <w:t>6.06</w:t>
            </w:r>
          </w:p>
        </w:tc>
      </w:tr>
      <w:tr w:rsidR="00D035C3" w:rsidTr="00CC059D">
        <w:tc>
          <w:tcPr>
            <w:cnfStyle w:val="001000000000" w:firstRow="0" w:lastRow="0" w:firstColumn="1" w:lastColumn="0" w:oddVBand="0" w:evenVBand="0" w:oddHBand="0" w:evenHBand="0" w:firstRowFirstColumn="0" w:firstRowLastColumn="0" w:lastRowFirstColumn="0" w:lastRowLastColumn="0"/>
            <w:tcW w:w="1448" w:type="dxa"/>
          </w:tcPr>
          <w:p w:rsidR="00D035C3" w:rsidRPr="00D035C3" w:rsidRDefault="00D035C3" w:rsidP="00D035C3"/>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p>
        </w:tc>
        <w:tc>
          <w:tcPr>
            <w:tcW w:w="1449" w:type="dxa"/>
            <w:vAlign w:val="top"/>
          </w:tcPr>
          <w:p w:rsidR="00D035C3" w:rsidRPr="00D035C3" w:rsidRDefault="00D035C3" w:rsidP="00CC059D">
            <w:pPr>
              <w:cnfStyle w:val="000000000000" w:firstRow="0" w:lastRow="0" w:firstColumn="0" w:lastColumn="0" w:oddVBand="0" w:evenVBand="0" w:oddHBand="0" w:evenHBand="0" w:firstRowFirstColumn="0" w:firstRowLastColumn="0" w:lastRowFirstColumn="0" w:lastRowLastColumn="0"/>
            </w:pPr>
          </w:p>
        </w:tc>
      </w:tr>
      <w:tr w:rsidR="00D035C3" w:rsidTr="00CC05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D035C3" w:rsidRPr="00D035C3" w:rsidRDefault="00D035C3" w:rsidP="00D035C3">
            <w:r w:rsidRPr="00D035C3">
              <w:t>Difference between portfolios</w:t>
            </w:r>
          </w:p>
        </w:tc>
        <w:tc>
          <w:tcPr>
            <w:tcW w:w="1449" w:type="dxa"/>
            <w:vAlign w:val="top"/>
          </w:tcPr>
          <w:p w:rsidR="00D035C3" w:rsidRPr="00D035C3" w:rsidRDefault="006F79D5" w:rsidP="00CC059D">
            <w:pPr>
              <w:cnfStyle w:val="000000010000" w:firstRow="0" w:lastRow="0" w:firstColumn="0" w:lastColumn="0" w:oddVBand="0" w:evenVBand="0" w:oddHBand="0" w:evenHBand="1" w:firstRowFirstColumn="0" w:firstRowLastColumn="0" w:lastRowFirstColumn="0" w:lastRowLastColumn="0"/>
            </w:pPr>
            <w:r>
              <w:t>-</w:t>
            </w:r>
            <w:r w:rsidR="00D035C3" w:rsidRPr="00D035C3">
              <w:t>1.47</w:t>
            </w:r>
          </w:p>
        </w:tc>
        <w:tc>
          <w:tcPr>
            <w:tcW w:w="1449" w:type="dxa"/>
            <w:vAlign w:val="top"/>
          </w:tcPr>
          <w:p w:rsidR="00D035C3" w:rsidRPr="00D035C3" w:rsidRDefault="006F79D5" w:rsidP="00CC059D">
            <w:pPr>
              <w:cnfStyle w:val="000000010000" w:firstRow="0" w:lastRow="0" w:firstColumn="0" w:lastColumn="0" w:oddVBand="0" w:evenVBand="0" w:oddHBand="0" w:evenHBand="1" w:firstRowFirstColumn="0" w:firstRowLastColumn="0" w:lastRowFirstColumn="0" w:lastRowLastColumn="0"/>
            </w:pPr>
            <w:r>
              <w:t>-</w:t>
            </w:r>
            <w:r w:rsidR="00D035C3" w:rsidRPr="00D035C3">
              <w:t>1.32</w:t>
            </w:r>
          </w:p>
        </w:tc>
        <w:tc>
          <w:tcPr>
            <w:tcW w:w="1449" w:type="dxa"/>
            <w:vAlign w:val="top"/>
          </w:tcPr>
          <w:p w:rsidR="00D035C3" w:rsidRPr="00D035C3" w:rsidRDefault="006F79D5" w:rsidP="00CC059D">
            <w:pPr>
              <w:cnfStyle w:val="000000010000" w:firstRow="0" w:lastRow="0" w:firstColumn="0" w:lastColumn="0" w:oddVBand="0" w:evenVBand="0" w:oddHBand="0" w:evenHBand="1" w:firstRowFirstColumn="0" w:firstRowLastColumn="0" w:lastRowFirstColumn="0" w:lastRowLastColumn="0"/>
            </w:pPr>
            <w:r>
              <w:t>-</w:t>
            </w:r>
            <w:r w:rsidR="00D035C3" w:rsidRPr="00D035C3">
              <w:t>1.18</w:t>
            </w:r>
          </w:p>
        </w:tc>
        <w:tc>
          <w:tcPr>
            <w:tcW w:w="1449" w:type="dxa"/>
            <w:vAlign w:val="top"/>
          </w:tcPr>
          <w:p w:rsidR="00D035C3" w:rsidRPr="00D035C3" w:rsidRDefault="006F79D5" w:rsidP="00CC059D">
            <w:pPr>
              <w:cnfStyle w:val="000000010000" w:firstRow="0" w:lastRow="0" w:firstColumn="0" w:lastColumn="0" w:oddVBand="0" w:evenVBand="0" w:oddHBand="0" w:evenHBand="1" w:firstRowFirstColumn="0" w:firstRowLastColumn="0" w:lastRowFirstColumn="0" w:lastRowLastColumn="0"/>
            </w:pPr>
            <w:r>
              <w:t>-</w:t>
            </w:r>
            <w:r w:rsidR="00D035C3" w:rsidRPr="00D035C3">
              <w:t>1.03</w:t>
            </w:r>
          </w:p>
        </w:tc>
        <w:tc>
          <w:tcPr>
            <w:tcW w:w="1449" w:type="dxa"/>
            <w:vAlign w:val="top"/>
          </w:tcPr>
          <w:p w:rsidR="00D035C3" w:rsidRPr="00D035C3" w:rsidRDefault="006F79D5" w:rsidP="00CC059D">
            <w:pPr>
              <w:cnfStyle w:val="000000010000" w:firstRow="0" w:lastRow="0" w:firstColumn="0" w:lastColumn="0" w:oddVBand="0" w:evenVBand="0" w:oddHBand="0" w:evenHBand="1" w:firstRowFirstColumn="0" w:firstRowLastColumn="0" w:lastRowFirstColumn="0" w:lastRowLastColumn="0"/>
            </w:pPr>
            <w:r>
              <w:t>-</w:t>
            </w:r>
            <w:r w:rsidR="00D035C3" w:rsidRPr="00D035C3">
              <w:t>0.88</w:t>
            </w:r>
          </w:p>
        </w:tc>
      </w:tr>
    </w:tbl>
    <w:p w:rsidR="00D42E17" w:rsidRDefault="0034686F" w:rsidP="00F660DD">
      <w:pPr>
        <w:pStyle w:val="AERtablesource"/>
      </w:pPr>
      <w:r>
        <w:t>(</w:t>
      </w:r>
      <w:r w:rsidR="00F660DD">
        <w:t>a</w:t>
      </w:r>
      <w:r>
        <w:t>)</w:t>
      </w:r>
      <w:r w:rsidR="000D7B79">
        <w:tab/>
      </w:r>
      <w:r w:rsidR="00F660DD">
        <w:t xml:space="preserve">For the forward estimates, we have used the most recent annual estimate held constant from 2016–17 to 2018–19. </w:t>
      </w:r>
      <w:r w:rsidR="000D7B79">
        <w:t>Regardless of what these inputs are, the portfolios will converge.</w:t>
      </w:r>
      <w:r w:rsidR="00D42E17">
        <w:t xml:space="preserve">  </w:t>
      </w:r>
    </w:p>
    <w:p w:rsidR="00607B37" w:rsidRDefault="0034686F" w:rsidP="00F660DD">
      <w:pPr>
        <w:pStyle w:val="AERtablesource"/>
      </w:pPr>
      <w:r>
        <w:t>(</w:t>
      </w:r>
      <w:r w:rsidR="00D42E17">
        <w:t>b</w:t>
      </w:r>
      <w:r>
        <w:t>)</w:t>
      </w:r>
      <w:r w:rsidR="007B022A">
        <w:tab/>
        <w:t xml:space="preserve">The </w:t>
      </w:r>
      <w:r w:rsidR="000F7BD5">
        <w:t>distributor</w:t>
      </w:r>
      <w:r w:rsidR="007B022A">
        <w:t xml:space="preserve">s proposed a 10 year average of 7.98. For simplicity, we have assumed the annual estimate for each past year is also equal to 7.98. Therefore, each year through the regulatory control period, the annual estimate replaces </w:t>
      </w:r>
      <w:r w:rsidR="00607B37">
        <w:t>1 year (10 per cent) at 7.98 per cent.</w:t>
      </w:r>
    </w:p>
    <w:p w:rsidR="00B41EEF" w:rsidRDefault="00B41EEF" w:rsidP="00FA14CF">
      <w:r>
        <w:t xml:space="preserve">We note that there are also differences between </w:t>
      </w:r>
      <w:r w:rsidR="009B4819">
        <w:t>Endeavour Energy</w:t>
      </w:r>
      <w:r>
        <w:t xml:space="preserve">'s proposed implementation of the annual estimates for the return on debt and our draft decision. These relate primarily to the choice of third party data series. Specifically, </w:t>
      </w:r>
      <w:r w:rsidR="009B4819">
        <w:t>Endeavour Energy</w:t>
      </w:r>
      <w:r>
        <w:t xml:space="preserve"> has proposed to rely entirely on the extrapolated RBA curve, whereas our draft and final decisions adopts a simple average of the extrapolated RBA curve and the extrapolated BVAL curve. However, we have excluded these differ</w:t>
      </w:r>
      <w:r w:rsidR="00FA14CF">
        <w:t xml:space="preserve">ences from our analysis because </w:t>
      </w:r>
      <w:r>
        <w:t>the difference between approaches is relatively less material</w:t>
      </w:r>
      <w:r w:rsidR="00FA14CF">
        <w:t>.</w:t>
      </w:r>
    </w:p>
    <w:p w:rsidR="006E7EB9" w:rsidRDefault="003B5A20" w:rsidP="003B5A20">
      <w:pPr>
        <w:pStyle w:val="HeadingBoldBlue"/>
      </w:pPr>
      <w:proofErr w:type="spellStart"/>
      <w:r>
        <w:t>Opex</w:t>
      </w:r>
      <w:proofErr w:type="spellEnd"/>
      <w:r>
        <w:t xml:space="preserve"> efficiency gains</w:t>
      </w:r>
    </w:p>
    <w:p w:rsidR="008A4188" w:rsidRDefault="00992736" w:rsidP="00992736">
      <w:r>
        <w:t xml:space="preserve">In scenarios 1 and 2, we have assumed the </w:t>
      </w:r>
      <w:r w:rsidR="00820E52">
        <w:t>service provider</w:t>
      </w:r>
      <w:r w:rsidR="000F7BD5">
        <w:t xml:space="preserve"> </w:t>
      </w:r>
      <w:r>
        <w:t xml:space="preserve">will spend its revised proposal </w:t>
      </w:r>
      <w:proofErr w:type="spellStart"/>
      <w:r>
        <w:t>opex</w:t>
      </w:r>
      <w:proofErr w:type="spellEnd"/>
      <w:r>
        <w:t xml:space="preserve"> forecast and will not make any efficiency </w:t>
      </w:r>
      <w:r w:rsidR="00C675AD">
        <w:t>savings</w:t>
      </w:r>
      <w:r>
        <w:t xml:space="preserve">. However, we expect that </w:t>
      </w:r>
      <w:r w:rsidR="009B4819">
        <w:t>Endeavour Energy</w:t>
      </w:r>
      <w:r>
        <w:t xml:space="preserve"> will have a strong incentive to make efficiency gains where its forecast expenses are above the </w:t>
      </w:r>
      <w:proofErr w:type="spellStart"/>
      <w:r>
        <w:t>opex</w:t>
      </w:r>
      <w:proofErr w:type="spellEnd"/>
      <w:r>
        <w:t xml:space="preserve"> allowance in the final decis</w:t>
      </w:r>
      <w:r w:rsidR="008A4188">
        <w:t xml:space="preserve">ion. Therefore, we have modelled additional scenarios where the </w:t>
      </w:r>
      <w:r w:rsidR="00820E52">
        <w:t>service provider</w:t>
      </w:r>
      <w:r w:rsidR="008A4188">
        <w:t xml:space="preserve"> is able to reduce the difference between:</w:t>
      </w:r>
    </w:p>
    <w:p w:rsidR="008A4188" w:rsidRDefault="008A4188" w:rsidP="008A4188">
      <w:pPr>
        <w:pStyle w:val="AERbulletlistfirststyle"/>
      </w:pPr>
      <w:r>
        <w:t xml:space="preserve">its revised proposal </w:t>
      </w:r>
      <w:proofErr w:type="spellStart"/>
      <w:r>
        <w:t>opex</w:t>
      </w:r>
      <w:proofErr w:type="spellEnd"/>
      <w:r>
        <w:t xml:space="preserve"> and </w:t>
      </w:r>
    </w:p>
    <w:p w:rsidR="00D22402" w:rsidRDefault="008A4188" w:rsidP="005E3E8F">
      <w:pPr>
        <w:pStyle w:val="AERbulletlistfirststyle"/>
      </w:pPr>
      <w:proofErr w:type="gramStart"/>
      <w:r>
        <w:t>our</w:t>
      </w:r>
      <w:proofErr w:type="gramEnd"/>
      <w:r>
        <w:t xml:space="preserve"> final decision on the </w:t>
      </w:r>
      <w:proofErr w:type="spellStart"/>
      <w:r>
        <w:t>opex</w:t>
      </w:r>
      <w:proofErr w:type="spellEnd"/>
      <w:r>
        <w:t xml:space="preserve"> that would be faced by the benchmark efficient entity.</w:t>
      </w:r>
    </w:p>
    <w:p w:rsidR="00D33364" w:rsidRPr="00D42E17" w:rsidRDefault="00213773" w:rsidP="00B5567F">
      <w:r>
        <w:t xml:space="preserve">In scenario 3, we assume </w:t>
      </w:r>
      <w:r w:rsidR="009B4819">
        <w:t>Endeavour Energy</w:t>
      </w:r>
      <w:r>
        <w:t xml:space="preserve"> </w:t>
      </w:r>
      <w:r w:rsidR="00451A72" w:rsidRPr="00451A72">
        <w:t xml:space="preserve">reduces the difference between its proposed </w:t>
      </w:r>
      <w:proofErr w:type="spellStart"/>
      <w:r w:rsidR="00451A72" w:rsidRPr="00451A72">
        <w:t>opex</w:t>
      </w:r>
      <w:proofErr w:type="spellEnd"/>
      <w:r w:rsidR="00451A72" w:rsidRPr="00451A72">
        <w:t xml:space="preserve"> and our (indicative) final decision by </w:t>
      </w:r>
      <w:r>
        <w:t>10 per cent per year.</w:t>
      </w:r>
      <w:r w:rsidR="00774022">
        <w:t xml:space="preserve"> This means it would reach our </w:t>
      </w:r>
      <w:proofErr w:type="spellStart"/>
      <w:r w:rsidR="00774022">
        <w:t>opex</w:t>
      </w:r>
      <w:proofErr w:type="spellEnd"/>
      <w:r w:rsidR="00774022">
        <w:t xml:space="preserve"> target in 10 years.</w:t>
      </w:r>
      <w:r>
        <w:t xml:space="preserve"> In scenario 4, we assume </w:t>
      </w:r>
      <w:r w:rsidR="009B4819">
        <w:t>Endeavour Energy</w:t>
      </w:r>
      <w:r>
        <w:t xml:space="preserve"> </w:t>
      </w:r>
      <w:r w:rsidR="00451A72" w:rsidRPr="00451A72">
        <w:t xml:space="preserve">reduces the difference between its proposed </w:t>
      </w:r>
      <w:proofErr w:type="spellStart"/>
      <w:r w:rsidR="00451A72" w:rsidRPr="00451A72">
        <w:t>opex</w:t>
      </w:r>
      <w:proofErr w:type="spellEnd"/>
      <w:r w:rsidR="00451A72" w:rsidRPr="00451A72">
        <w:t xml:space="preserve"> and our (indicative) final decision by </w:t>
      </w:r>
      <w:r>
        <w:t xml:space="preserve">20 per cent per year. </w:t>
      </w:r>
      <w:r w:rsidR="00774022">
        <w:t xml:space="preserve">This means it would reach our </w:t>
      </w:r>
      <w:proofErr w:type="spellStart"/>
      <w:r w:rsidR="00774022">
        <w:t>opex</w:t>
      </w:r>
      <w:proofErr w:type="spellEnd"/>
      <w:r w:rsidR="00774022">
        <w:t xml:space="preserve"> target in 5 years.</w:t>
      </w:r>
    </w:p>
    <w:p w:rsidR="009801CF" w:rsidRPr="00D42E17" w:rsidRDefault="00213773" w:rsidP="00D33364">
      <w:r>
        <w:lastRenderedPageBreak/>
        <w:t xml:space="preserve">We have not attempted to determine which of scenarios 2–4 is the most plausible, but have used the results to assess the sensitivity of the conclusions to whether the </w:t>
      </w:r>
      <w:r w:rsidR="00820E52">
        <w:t>service provider</w:t>
      </w:r>
      <w:r w:rsidR="000F7BD5">
        <w:t xml:space="preserve"> </w:t>
      </w:r>
      <w:r>
        <w:t xml:space="preserve">can improve its </w:t>
      </w:r>
      <w:proofErr w:type="spellStart"/>
      <w:r>
        <w:t>opex</w:t>
      </w:r>
      <w:proofErr w:type="spellEnd"/>
      <w:r>
        <w:t xml:space="preserve"> efficiency.</w:t>
      </w:r>
      <w:r w:rsidR="009801CF">
        <w:t xml:space="preserve"> </w:t>
      </w:r>
    </w:p>
    <w:p w:rsidR="00D42E17" w:rsidRDefault="00D62C6C" w:rsidP="00D62C6C">
      <w:pPr>
        <w:pStyle w:val="Caption"/>
      </w:pPr>
      <w:r>
        <w:t xml:space="preserve">Table </w:t>
      </w:r>
      <w:r w:rsidR="006975E6">
        <w:fldChar w:fldCharType="begin"/>
      </w:r>
      <w:r w:rsidR="006975E6">
        <w:instrText xml:space="preserve"> STYLEREF 1 \s </w:instrText>
      </w:r>
      <w:r w:rsidR="006975E6">
        <w:fldChar w:fldCharType="separate"/>
      </w:r>
      <w:r w:rsidR="006975E6">
        <w:rPr>
          <w:noProof/>
        </w:rPr>
        <w:t>19</w:t>
      </w:r>
      <w:r w:rsidR="006975E6">
        <w:rPr>
          <w:noProof/>
        </w:rPr>
        <w:fldChar w:fldCharType="end"/>
      </w:r>
      <w:r w:rsidR="004B0941">
        <w:noBreakHyphen/>
      </w:r>
      <w:r w:rsidR="006975E6">
        <w:fldChar w:fldCharType="begin"/>
      </w:r>
      <w:r w:rsidR="006975E6">
        <w:instrText xml:space="preserve"> SEQ Table \* ARABIC \s 1 </w:instrText>
      </w:r>
      <w:r w:rsidR="006975E6">
        <w:fldChar w:fldCharType="separate"/>
      </w:r>
      <w:r w:rsidR="006975E6">
        <w:rPr>
          <w:noProof/>
        </w:rPr>
        <w:t>4</w:t>
      </w:r>
      <w:r w:rsidR="006975E6">
        <w:rPr>
          <w:noProof/>
        </w:rPr>
        <w:fldChar w:fldCharType="end"/>
      </w:r>
      <w:r>
        <w:tab/>
      </w:r>
      <w:proofErr w:type="spellStart"/>
      <w:r>
        <w:t>Opex</w:t>
      </w:r>
      <w:proofErr w:type="spellEnd"/>
      <w:r>
        <w:t xml:space="preserve"> efficiency gains</w:t>
      </w:r>
      <w:r w:rsidR="004A3311">
        <w:t xml:space="preserve"> ($million, 201</w:t>
      </w:r>
      <w:r w:rsidR="008629E2">
        <w:t>3</w:t>
      </w:r>
      <w:r w:rsidR="004A3311">
        <w:t>–1</w:t>
      </w:r>
      <w:r w:rsidR="008629E2">
        <w:t>4</w:t>
      </w:r>
      <w:r w:rsidR="004A3311">
        <w:t>)</w:t>
      </w:r>
    </w:p>
    <w:tbl>
      <w:tblPr>
        <w:tblStyle w:val="AERtable-numbers"/>
        <w:tblW w:w="0" w:type="auto"/>
        <w:tblLook w:val="04A0" w:firstRow="1" w:lastRow="0" w:firstColumn="1" w:lastColumn="0" w:noHBand="0" w:noVBand="1"/>
      </w:tblPr>
      <w:tblGrid>
        <w:gridCol w:w="1042"/>
        <w:gridCol w:w="1533"/>
        <w:gridCol w:w="1238"/>
        <w:gridCol w:w="1234"/>
        <w:gridCol w:w="1239"/>
        <w:gridCol w:w="1239"/>
        <w:gridCol w:w="1168"/>
      </w:tblGrid>
      <w:tr w:rsidR="0034686F" w:rsidTr="00917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 w:type="dxa"/>
          </w:tcPr>
          <w:p w:rsidR="0034686F" w:rsidRDefault="0034686F" w:rsidP="00D42E17">
            <w:r>
              <w:t>Item</w:t>
            </w:r>
          </w:p>
        </w:tc>
        <w:tc>
          <w:tcPr>
            <w:tcW w:w="1533"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p>
        </w:tc>
        <w:tc>
          <w:tcPr>
            <w:tcW w:w="1238"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r>
              <w:t>2014–15</w:t>
            </w:r>
          </w:p>
        </w:tc>
        <w:tc>
          <w:tcPr>
            <w:tcW w:w="1234"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r>
              <w:t>2015</w:t>
            </w:r>
            <w:r>
              <w:softHyphen/>
              <w:t>–16</w:t>
            </w:r>
          </w:p>
        </w:tc>
        <w:tc>
          <w:tcPr>
            <w:tcW w:w="1239"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r>
              <w:t>2016–17</w:t>
            </w:r>
          </w:p>
        </w:tc>
        <w:tc>
          <w:tcPr>
            <w:tcW w:w="1239"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r>
              <w:t>2017–18</w:t>
            </w:r>
          </w:p>
        </w:tc>
        <w:tc>
          <w:tcPr>
            <w:tcW w:w="1168" w:type="dxa"/>
          </w:tcPr>
          <w:p w:rsidR="0034686F" w:rsidRDefault="0034686F" w:rsidP="00D42E17">
            <w:pPr>
              <w:cnfStyle w:val="100000000000" w:firstRow="1" w:lastRow="0" w:firstColumn="0" w:lastColumn="0" w:oddVBand="0" w:evenVBand="0" w:oddHBand="0" w:evenHBand="0" w:firstRowFirstColumn="0" w:firstRowLastColumn="0" w:lastRowFirstColumn="0" w:lastRowLastColumn="0"/>
            </w:pPr>
            <w:r>
              <w:t>2018–19</w:t>
            </w:r>
          </w:p>
        </w:tc>
      </w:tr>
      <w:tr w:rsidR="004A3311" w:rsidTr="00917734">
        <w:tc>
          <w:tcPr>
            <w:cnfStyle w:val="001000000000" w:firstRow="0" w:lastRow="0" w:firstColumn="1" w:lastColumn="0" w:oddVBand="0" w:evenVBand="0" w:oddHBand="0" w:evenHBand="0" w:firstRowFirstColumn="0" w:firstRowLastColumn="0" w:lastRowFirstColumn="0" w:lastRowLastColumn="0"/>
            <w:tcW w:w="1042" w:type="dxa"/>
          </w:tcPr>
          <w:p w:rsidR="004A3311" w:rsidRPr="004A3311" w:rsidRDefault="004A3311" w:rsidP="004A3311">
            <w:r w:rsidRPr="004A3311">
              <w:t>1</w:t>
            </w:r>
          </w:p>
        </w:tc>
        <w:tc>
          <w:tcPr>
            <w:tcW w:w="1533"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 xml:space="preserve">AER indicative final </w:t>
            </w:r>
            <w:proofErr w:type="spellStart"/>
            <w:r w:rsidRPr="004A3311">
              <w:t>decision</w:t>
            </w:r>
            <w:r w:rsidRPr="004A3311">
              <w:rPr>
                <w:rStyle w:val="AERsuperscript"/>
              </w:rPr>
              <w:t>a</w:t>
            </w:r>
            <w:proofErr w:type="spellEnd"/>
          </w:p>
        </w:tc>
        <w:tc>
          <w:tcPr>
            <w:tcW w:w="1238"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235.6</w:t>
            </w:r>
          </w:p>
        </w:tc>
        <w:tc>
          <w:tcPr>
            <w:tcW w:w="1234"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239.0</w:t>
            </w:r>
          </w:p>
        </w:tc>
        <w:tc>
          <w:tcPr>
            <w:tcW w:w="1239"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242.7</w:t>
            </w:r>
          </w:p>
        </w:tc>
        <w:tc>
          <w:tcPr>
            <w:tcW w:w="1239"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246.6</w:t>
            </w:r>
          </w:p>
        </w:tc>
        <w:tc>
          <w:tcPr>
            <w:tcW w:w="1168"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251.1</w:t>
            </w:r>
          </w:p>
        </w:tc>
      </w:tr>
      <w:tr w:rsidR="004A3311" w:rsidTr="009177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 w:type="dxa"/>
          </w:tcPr>
          <w:p w:rsidR="004A3311" w:rsidRPr="004A3311" w:rsidRDefault="004A3311" w:rsidP="004A3311">
            <w:r w:rsidRPr="004A3311">
              <w:t>2</w:t>
            </w:r>
          </w:p>
        </w:tc>
        <w:tc>
          <w:tcPr>
            <w:tcW w:w="1533"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r w:rsidRPr="004A3311">
              <w:t>Endeavour Energy revised proposal</w:t>
            </w:r>
          </w:p>
        </w:tc>
        <w:tc>
          <w:tcPr>
            <w:tcW w:w="1238"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r w:rsidRPr="004A3311">
              <w:t>289.5</w:t>
            </w:r>
          </w:p>
        </w:tc>
        <w:tc>
          <w:tcPr>
            <w:tcW w:w="1234"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r w:rsidRPr="004A3311">
              <w:t>302.5</w:t>
            </w:r>
          </w:p>
        </w:tc>
        <w:tc>
          <w:tcPr>
            <w:tcW w:w="1239"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r w:rsidRPr="004A3311">
              <w:t>295.1</w:t>
            </w:r>
          </w:p>
        </w:tc>
        <w:tc>
          <w:tcPr>
            <w:tcW w:w="1239"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r w:rsidRPr="004A3311">
              <w:t>291.1</w:t>
            </w:r>
          </w:p>
        </w:tc>
        <w:tc>
          <w:tcPr>
            <w:tcW w:w="1168"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r w:rsidRPr="004A3311">
              <w:t>287.3</w:t>
            </w:r>
          </w:p>
        </w:tc>
      </w:tr>
      <w:tr w:rsidR="004A3311" w:rsidTr="00917734">
        <w:tc>
          <w:tcPr>
            <w:cnfStyle w:val="001000000000" w:firstRow="0" w:lastRow="0" w:firstColumn="1" w:lastColumn="0" w:oddVBand="0" w:evenVBand="0" w:oddHBand="0" w:evenHBand="0" w:firstRowFirstColumn="0" w:firstRowLastColumn="0" w:lastRowFirstColumn="0" w:lastRowLastColumn="0"/>
            <w:tcW w:w="1042" w:type="dxa"/>
          </w:tcPr>
          <w:p w:rsidR="004A3311" w:rsidRPr="004A3311" w:rsidRDefault="004A3311" w:rsidP="004A3311">
            <w:r w:rsidRPr="004A3311">
              <w:t>3</w:t>
            </w:r>
          </w:p>
        </w:tc>
        <w:tc>
          <w:tcPr>
            <w:tcW w:w="1533"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 xml:space="preserve">Difference between costs and efficient </w:t>
            </w:r>
            <w:proofErr w:type="spellStart"/>
            <w:r w:rsidRPr="004A3311">
              <w:t>baseline</w:t>
            </w:r>
            <w:r w:rsidRPr="00917734">
              <w:rPr>
                <w:rStyle w:val="AERsuperscript"/>
              </w:rPr>
              <w:t>b</w:t>
            </w:r>
            <w:proofErr w:type="spellEnd"/>
          </w:p>
        </w:tc>
        <w:tc>
          <w:tcPr>
            <w:tcW w:w="1238"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54.0</w:t>
            </w:r>
          </w:p>
        </w:tc>
        <w:tc>
          <w:tcPr>
            <w:tcW w:w="1234"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63.5</w:t>
            </w:r>
          </w:p>
        </w:tc>
        <w:tc>
          <w:tcPr>
            <w:tcW w:w="1239"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52.5</w:t>
            </w:r>
          </w:p>
        </w:tc>
        <w:tc>
          <w:tcPr>
            <w:tcW w:w="1239"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44.5</w:t>
            </w:r>
          </w:p>
        </w:tc>
        <w:tc>
          <w:tcPr>
            <w:tcW w:w="1168"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36.2</w:t>
            </w:r>
          </w:p>
        </w:tc>
      </w:tr>
      <w:tr w:rsidR="004A3311" w:rsidTr="009177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 w:type="dxa"/>
          </w:tcPr>
          <w:p w:rsidR="004A3311" w:rsidRPr="004A3311" w:rsidRDefault="004A3311" w:rsidP="004A3311">
            <w:r w:rsidRPr="004A3311">
              <w:t>4</w:t>
            </w:r>
          </w:p>
        </w:tc>
        <w:tc>
          <w:tcPr>
            <w:tcW w:w="1533"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r w:rsidRPr="004A3311">
              <w:t>Difference with 50% efficiency gains (10% p.a.)</w:t>
            </w:r>
            <w:r w:rsidRPr="00917734">
              <w:rPr>
                <w:rStyle w:val="AERsuperscript"/>
              </w:rPr>
              <w:t>c</w:t>
            </w:r>
          </w:p>
        </w:tc>
        <w:tc>
          <w:tcPr>
            <w:tcW w:w="1238"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r w:rsidRPr="004A3311">
              <w:t>48.6</w:t>
            </w:r>
          </w:p>
        </w:tc>
        <w:tc>
          <w:tcPr>
            <w:tcW w:w="1234"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r w:rsidRPr="004A3311">
              <w:t>50.8</w:t>
            </w:r>
          </w:p>
        </w:tc>
        <w:tc>
          <w:tcPr>
            <w:tcW w:w="1239"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r w:rsidRPr="004A3311">
              <w:t>36.7</w:t>
            </w:r>
          </w:p>
        </w:tc>
        <w:tc>
          <w:tcPr>
            <w:tcW w:w="1239"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r w:rsidRPr="004A3311">
              <w:t>26.7</w:t>
            </w:r>
          </w:p>
        </w:tc>
        <w:tc>
          <w:tcPr>
            <w:tcW w:w="1168"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r w:rsidRPr="004A3311">
              <w:t>18.1</w:t>
            </w:r>
          </w:p>
        </w:tc>
      </w:tr>
      <w:tr w:rsidR="004A3311" w:rsidTr="00917734">
        <w:tc>
          <w:tcPr>
            <w:cnfStyle w:val="001000000000" w:firstRow="0" w:lastRow="0" w:firstColumn="1" w:lastColumn="0" w:oddVBand="0" w:evenVBand="0" w:oddHBand="0" w:evenHBand="0" w:firstRowFirstColumn="0" w:firstRowLastColumn="0" w:lastRowFirstColumn="0" w:lastRowLastColumn="0"/>
            <w:tcW w:w="1042" w:type="dxa"/>
          </w:tcPr>
          <w:p w:rsidR="004A3311" w:rsidRPr="004A3311" w:rsidRDefault="004A3311" w:rsidP="004A3311">
            <w:r w:rsidRPr="004A3311">
              <w:t>5</w:t>
            </w:r>
          </w:p>
        </w:tc>
        <w:tc>
          <w:tcPr>
            <w:tcW w:w="1533"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Difference with 100% efficiency gains (20% p.a.)</w:t>
            </w:r>
            <w:r w:rsidRPr="00917734">
              <w:rPr>
                <w:rStyle w:val="AERsuperscript"/>
              </w:rPr>
              <w:t>d</w:t>
            </w:r>
          </w:p>
        </w:tc>
        <w:tc>
          <w:tcPr>
            <w:tcW w:w="1238"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43.2</w:t>
            </w:r>
          </w:p>
        </w:tc>
        <w:tc>
          <w:tcPr>
            <w:tcW w:w="1234"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38.1</w:t>
            </w:r>
          </w:p>
        </w:tc>
        <w:tc>
          <w:tcPr>
            <w:tcW w:w="1239"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21.0</w:t>
            </w:r>
          </w:p>
        </w:tc>
        <w:tc>
          <w:tcPr>
            <w:tcW w:w="1239"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8.9</w:t>
            </w:r>
          </w:p>
        </w:tc>
        <w:tc>
          <w:tcPr>
            <w:tcW w:w="1168"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0.0</w:t>
            </w:r>
          </w:p>
        </w:tc>
      </w:tr>
      <w:tr w:rsidR="004A3311" w:rsidTr="009177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 w:type="dxa"/>
          </w:tcPr>
          <w:p w:rsidR="004A3311" w:rsidRPr="004A3311" w:rsidRDefault="004A3311" w:rsidP="004A3311"/>
        </w:tc>
        <w:tc>
          <w:tcPr>
            <w:tcW w:w="1533" w:type="dxa"/>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p>
        </w:tc>
        <w:tc>
          <w:tcPr>
            <w:tcW w:w="1238"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p>
        </w:tc>
        <w:tc>
          <w:tcPr>
            <w:tcW w:w="1234"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p>
        </w:tc>
        <w:tc>
          <w:tcPr>
            <w:tcW w:w="1239"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p>
        </w:tc>
        <w:tc>
          <w:tcPr>
            <w:tcW w:w="1239"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p>
        </w:tc>
        <w:tc>
          <w:tcPr>
            <w:tcW w:w="1168"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p>
        </w:tc>
      </w:tr>
      <w:tr w:rsidR="004A3311" w:rsidTr="00917734">
        <w:tc>
          <w:tcPr>
            <w:cnfStyle w:val="001000000000" w:firstRow="0" w:lastRow="0" w:firstColumn="1" w:lastColumn="0" w:oddVBand="0" w:evenVBand="0" w:oddHBand="0" w:evenHBand="0" w:firstRowFirstColumn="0" w:firstRowLastColumn="0" w:lastRowFirstColumn="0" w:lastRowLastColumn="0"/>
            <w:tcW w:w="1042" w:type="dxa"/>
          </w:tcPr>
          <w:p w:rsidR="004A3311" w:rsidRPr="004A3311" w:rsidRDefault="004A3311" w:rsidP="004A3311">
            <w:r w:rsidRPr="004A3311">
              <w:t>6</w:t>
            </w:r>
          </w:p>
        </w:tc>
        <w:tc>
          <w:tcPr>
            <w:tcW w:w="1533" w:type="dxa"/>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proofErr w:type="spellStart"/>
            <w:r w:rsidRPr="004A3311">
              <w:t>Opex</w:t>
            </w:r>
            <w:proofErr w:type="spellEnd"/>
            <w:r w:rsidRPr="004A3311">
              <w:t xml:space="preserve"> costs with 50% efficiency </w:t>
            </w:r>
            <w:proofErr w:type="spellStart"/>
            <w:r w:rsidRPr="004A3311">
              <w:t>gains</w:t>
            </w:r>
            <w:r w:rsidRPr="00917734">
              <w:rPr>
                <w:rStyle w:val="AERsuperscript"/>
              </w:rPr>
              <w:t>e</w:t>
            </w:r>
            <w:proofErr w:type="spellEnd"/>
          </w:p>
        </w:tc>
        <w:tc>
          <w:tcPr>
            <w:tcW w:w="1238"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284.1</w:t>
            </w:r>
          </w:p>
        </w:tc>
        <w:tc>
          <w:tcPr>
            <w:tcW w:w="1234"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289.8</w:t>
            </w:r>
          </w:p>
        </w:tc>
        <w:tc>
          <w:tcPr>
            <w:tcW w:w="1239"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279.4</w:t>
            </w:r>
          </w:p>
        </w:tc>
        <w:tc>
          <w:tcPr>
            <w:tcW w:w="1239"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273.3</w:t>
            </w:r>
          </w:p>
        </w:tc>
        <w:tc>
          <w:tcPr>
            <w:tcW w:w="1168" w:type="dxa"/>
            <w:vAlign w:val="top"/>
          </w:tcPr>
          <w:p w:rsidR="004A3311" w:rsidRPr="004A3311" w:rsidRDefault="004A3311" w:rsidP="004A3311">
            <w:pPr>
              <w:cnfStyle w:val="000000000000" w:firstRow="0" w:lastRow="0" w:firstColumn="0" w:lastColumn="0" w:oddVBand="0" w:evenVBand="0" w:oddHBand="0" w:evenHBand="0" w:firstRowFirstColumn="0" w:firstRowLastColumn="0" w:lastRowFirstColumn="0" w:lastRowLastColumn="0"/>
            </w:pPr>
            <w:r w:rsidRPr="004A3311">
              <w:t>269.2</w:t>
            </w:r>
          </w:p>
        </w:tc>
      </w:tr>
      <w:tr w:rsidR="004A3311" w:rsidTr="009177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 w:type="dxa"/>
          </w:tcPr>
          <w:p w:rsidR="004A3311" w:rsidRPr="004A3311" w:rsidRDefault="004A3311" w:rsidP="004A3311">
            <w:r w:rsidRPr="004A3311">
              <w:t>7</w:t>
            </w:r>
          </w:p>
        </w:tc>
        <w:tc>
          <w:tcPr>
            <w:tcW w:w="1533" w:type="dxa"/>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proofErr w:type="spellStart"/>
            <w:r w:rsidRPr="004A3311">
              <w:t>Opex</w:t>
            </w:r>
            <w:proofErr w:type="spellEnd"/>
            <w:r w:rsidRPr="004A3311">
              <w:t xml:space="preserve"> costs with 100% efficiency </w:t>
            </w:r>
            <w:proofErr w:type="spellStart"/>
            <w:r w:rsidRPr="004A3311">
              <w:t>gains</w:t>
            </w:r>
            <w:r w:rsidRPr="004A3311">
              <w:rPr>
                <w:rStyle w:val="AERsuperscript"/>
              </w:rPr>
              <w:t>f</w:t>
            </w:r>
            <w:proofErr w:type="spellEnd"/>
          </w:p>
        </w:tc>
        <w:tc>
          <w:tcPr>
            <w:tcW w:w="1238"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r w:rsidRPr="004A3311">
              <w:t>278.7</w:t>
            </w:r>
          </w:p>
        </w:tc>
        <w:tc>
          <w:tcPr>
            <w:tcW w:w="1234"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r w:rsidRPr="004A3311">
              <w:t>277.1</w:t>
            </w:r>
          </w:p>
        </w:tc>
        <w:tc>
          <w:tcPr>
            <w:tcW w:w="1239"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r w:rsidRPr="004A3311">
              <w:t>263.6</w:t>
            </w:r>
          </w:p>
        </w:tc>
        <w:tc>
          <w:tcPr>
            <w:tcW w:w="1239"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r w:rsidRPr="004A3311">
              <w:t>255.5</w:t>
            </w:r>
          </w:p>
        </w:tc>
        <w:tc>
          <w:tcPr>
            <w:tcW w:w="1168" w:type="dxa"/>
            <w:vAlign w:val="top"/>
          </w:tcPr>
          <w:p w:rsidR="004A3311" w:rsidRPr="004A3311" w:rsidRDefault="004A3311" w:rsidP="004A3311">
            <w:pPr>
              <w:cnfStyle w:val="000000010000" w:firstRow="0" w:lastRow="0" w:firstColumn="0" w:lastColumn="0" w:oddVBand="0" w:evenVBand="0" w:oddHBand="0" w:evenHBand="1" w:firstRowFirstColumn="0" w:firstRowLastColumn="0" w:lastRowFirstColumn="0" w:lastRowLastColumn="0"/>
            </w:pPr>
            <w:r w:rsidRPr="004A3311">
              <w:t>251.1</w:t>
            </w:r>
          </w:p>
        </w:tc>
      </w:tr>
    </w:tbl>
    <w:p w:rsidR="0034686F" w:rsidRDefault="0034686F" w:rsidP="00DA0E23">
      <w:pPr>
        <w:pStyle w:val="AERtablesource"/>
      </w:pPr>
    </w:p>
    <w:p w:rsidR="00DA0E23" w:rsidRDefault="0034686F" w:rsidP="00DA0E23">
      <w:pPr>
        <w:pStyle w:val="AERtablesource"/>
      </w:pPr>
      <w:r>
        <w:t>(</w:t>
      </w:r>
      <w:r w:rsidR="00DA0E23">
        <w:t>a</w:t>
      </w:r>
      <w:r>
        <w:t>)</w:t>
      </w:r>
      <w:r w:rsidR="00DA0E23">
        <w:tab/>
      </w:r>
      <w:r w:rsidR="00B80C8B" w:rsidRPr="00B80C8B">
        <w:t>At the time this analysis was provided to RSM Bird Cameron, decision inputs were not completely finalised. However, they are closely reflective of the final decision inputs.</w:t>
      </w:r>
    </w:p>
    <w:p w:rsidR="0034686F" w:rsidRDefault="0034686F" w:rsidP="0034686F">
      <w:pPr>
        <w:pStyle w:val="AERtablesource"/>
      </w:pPr>
      <w:r>
        <w:t>(b)</w:t>
      </w:r>
      <w:r>
        <w:tab/>
        <w:t>This is equal to item 2 less item 1</w:t>
      </w:r>
    </w:p>
    <w:p w:rsidR="0034686F" w:rsidRDefault="0034686F" w:rsidP="0034686F">
      <w:pPr>
        <w:pStyle w:val="AERtablesource"/>
      </w:pPr>
      <w:r>
        <w:t>(c)</w:t>
      </w:r>
      <w:r>
        <w:tab/>
        <w:t>This is equal to item 3 reduced by 10 per c</w:t>
      </w:r>
      <w:r w:rsidR="004A3311">
        <w:t>ent per year. For example: 48.6 = 54.0</w:t>
      </w:r>
      <w:r>
        <w:t xml:space="preserve"> * (100-10</w:t>
      </w:r>
      <w:proofErr w:type="gramStart"/>
      <w:r>
        <w:t>)%</w:t>
      </w:r>
      <w:proofErr w:type="gramEnd"/>
      <w:r>
        <w:t xml:space="preserve">. Then, </w:t>
      </w:r>
      <w:r w:rsidR="004A3311">
        <w:t>50.8</w:t>
      </w:r>
      <w:r>
        <w:t xml:space="preserve"> = </w:t>
      </w:r>
      <w:r w:rsidR="004A3311">
        <w:t>63.5</w:t>
      </w:r>
      <w:r>
        <w:t xml:space="preserve"> * (100-10-10</w:t>
      </w:r>
      <w:proofErr w:type="gramStart"/>
      <w:r>
        <w:t>)%</w:t>
      </w:r>
      <w:proofErr w:type="gramEnd"/>
      <w:r>
        <w:t xml:space="preserve"> </w:t>
      </w:r>
      <w:r w:rsidR="00820E52">
        <w:t>etc.</w:t>
      </w:r>
    </w:p>
    <w:p w:rsidR="0034686F" w:rsidRDefault="0034686F" w:rsidP="0034686F">
      <w:pPr>
        <w:pStyle w:val="AERtablesource"/>
      </w:pPr>
      <w:r>
        <w:t>(d)</w:t>
      </w:r>
      <w:r>
        <w:tab/>
        <w:t>This is equal to item 3 reduced by 20 per cent per annum using the approach as described in note (c).</w:t>
      </w:r>
    </w:p>
    <w:p w:rsidR="0034686F" w:rsidRDefault="0034686F" w:rsidP="0034686F">
      <w:pPr>
        <w:pStyle w:val="AERtablesource"/>
      </w:pPr>
      <w:r>
        <w:t>(e)</w:t>
      </w:r>
      <w:r>
        <w:tab/>
        <w:t>This is equal to item 1 + item 4</w:t>
      </w:r>
    </w:p>
    <w:p w:rsidR="0034686F" w:rsidRPr="0034686F" w:rsidRDefault="0034686F" w:rsidP="0034686F">
      <w:pPr>
        <w:pStyle w:val="AERtablesource"/>
      </w:pPr>
      <w:r>
        <w:t>(f)</w:t>
      </w:r>
      <w:r>
        <w:tab/>
        <w:t>This is equal to item 1 + item 5.</w:t>
      </w:r>
    </w:p>
    <w:p w:rsidR="00120348" w:rsidRDefault="005E3E8F" w:rsidP="005E3E8F">
      <w:pPr>
        <w:pStyle w:val="HeadingBoldBlue"/>
      </w:pPr>
      <w:r>
        <w:t>Hybrid tax allowance</w:t>
      </w:r>
    </w:p>
    <w:p w:rsidR="005E3E8F" w:rsidRDefault="00973DBE" w:rsidP="00120348">
      <w:r>
        <w:t>The PTRM includes calculations of the benchmark tax allowance. These are based on the tax revenues and tax expenses generated within the building blocks multiplied by the benchmark rate of corporate taxation, less the value of imputation credits. However, to more accurately model the short term financial obligation imposed by tax, we have made the following adjustments:</w:t>
      </w:r>
    </w:p>
    <w:p w:rsidR="00973DBE" w:rsidRDefault="00496960" w:rsidP="00973DBE">
      <w:pPr>
        <w:pStyle w:val="AERbulletlistfirststyle"/>
      </w:pPr>
      <w:r>
        <w:lastRenderedPageBreak/>
        <w:t xml:space="preserve">On the revenue side - </w:t>
      </w:r>
      <w:r w:rsidR="00973DBE">
        <w:t xml:space="preserve">rather than the internally generated revenue within the </w:t>
      </w:r>
      <w:r w:rsidR="000F7BD5">
        <w:t>distributors</w:t>
      </w:r>
      <w:r w:rsidR="00973DBE">
        <w:t xml:space="preserve">' revised proposal PTRMs, we have </w:t>
      </w:r>
      <w:r w:rsidR="008954F1">
        <w:t>used the smoothed revenue from our decision to calculate tax</w:t>
      </w:r>
    </w:p>
    <w:p w:rsidR="008954F1" w:rsidRDefault="00496960" w:rsidP="00973DBE">
      <w:pPr>
        <w:pStyle w:val="AERbulletlistfirststyle"/>
      </w:pPr>
      <w:r>
        <w:t xml:space="preserve">On the revenue side - </w:t>
      </w:r>
      <w:r w:rsidR="008954F1">
        <w:t xml:space="preserve">further, while redeemed imputation credits ultimately provide a return to equity holders, they do so after the </w:t>
      </w:r>
      <w:r w:rsidR="00820E52">
        <w:t>service provider</w:t>
      </w:r>
      <w:r w:rsidR="000F7BD5">
        <w:t xml:space="preserve"> </w:t>
      </w:r>
      <w:r w:rsidR="008954F1">
        <w:t xml:space="preserve">has had to pay the face value of tax. Therefore, we have excluded the value of imputation credits from the tax </w:t>
      </w:r>
      <w:r>
        <w:t xml:space="preserve">allowance cash flows </w:t>
      </w:r>
      <w:r w:rsidR="008954F1">
        <w:t xml:space="preserve">estimate. This has the effect of understating the final return to equity holders in years where the </w:t>
      </w:r>
      <w:r w:rsidR="00820E52">
        <w:t>service provider</w:t>
      </w:r>
      <w:r w:rsidR="008954F1">
        <w:t>s pay tax.</w:t>
      </w:r>
    </w:p>
    <w:p w:rsidR="008954F1" w:rsidRDefault="00496960" w:rsidP="00973DBE">
      <w:pPr>
        <w:pStyle w:val="AERbulletlistfirststyle"/>
      </w:pPr>
      <w:r>
        <w:t xml:space="preserve">On the expenditure side - </w:t>
      </w:r>
      <w:r w:rsidR="008954F1">
        <w:t xml:space="preserve">however, to recognise the costs that the </w:t>
      </w:r>
      <w:r w:rsidR="00820E52">
        <w:t>service provider</w:t>
      </w:r>
      <w:r w:rsidR="000F7BD5">
        <w:t xml:space="preserve"> </w:t>
      </w:r>
      <w:r w:rsidR="008954F1">
        <w:t>proposes to face, we have used its proposed tax expenses</w:t>
      </w:r>
      <w:r w:rsidR="00D22402">
        <w:t>.</w:t>
      </w:r>
    </w:p>
    <w:p w:rsidR="00120348" w:rsidRDefault="00947FD9" w:rsidP="00947FD9">
      <w:pPr>
        <w:pStyle w:val="HeadingBoldBlue"/>
      </w:pPr>
      <w:r>
        <w:t>Interpretation of</w:t>
      </w:r>
      <w:r w:rsidR="00F76167">
        <w:t xml:space="preserve"> the regulatory</w:t>
      </w:r>
      <w:r>
        <w:t xml:space="preserve"> depreciation</w:t>
      </w:r>
      <w:r w:rsidR="00F76167">
        <w:t xml:space="preserve"> allowance</w:t>
      </w:r>
    </w:p>
    <w:p w:rsidR="00DD13F7" w:rsidRDefault="00DD13F7" w:rsidP="00DD13F7">
      <w:r>
        <w:t xml:space="preserve">Under the building block revenue framework, </w:t>
      </w:r>
      <w:r w:rsidR="00820E52">
        <w:t>service provider</w:t>
      </w:r>
      <w:r>
        <w:t xml:space="preserve">s recover a regulatory depreciation allowance. This allowance returns to the </w:t>
      </w:r>
      <w:r w:rsidR="00820E52">
        <w:t>service provider</w:t>
      </w:r>
      <w:r>
        <w:t xml:space="preserve"> the face value of its capital investment over time. This can then be:</w:t>
      </w:r>
    </w:p>
    <w:p w:rsidR="00DD13F7" w:rsidRDefault="00DD13F7" w:rsidP="00DD13F7">
      <w:pPr>
        <w:pStyle w:val="AERbulletlistfirststyle"/>
      </w:pPr>
      <w:r>
        <w:t>used to pay the face value of debt as it is retired</w:t>
      </w:r>
    </w:p>
    <w:p w:rsidR="00947FD9" w:rsidRDefault="00DD13F7" w:rsidP="00DD13F7">
      <w:pPr>
        <w:pStyle w:val="AERbulletlistfirststyle"/>
      </w:pPr>
      <w:proofErr w:type="gramStart"/>
      <w:r>
        <w:t>distributed</w:t>
      </w:r>
      <w:proofErr w:type="gramEnd"/>
      <w:r>
        <w:t xml:space="preserve"> to equity holders</w:t>
      </w:r>
      <w:r w:rsidR="0027092E">
        <w:t xml:space="preserve"> to return the face value of their initial investment</w:t>
      </w:r>
      <w:r>
        <w:t>.</w:t>
      </w:r>
    </w:p>
    <w:p w:rsidR="0027092E" w:rsidRDefault="0027092E" w:rsidP="0027092E">
      <w:r>
        <w:t>However</w:t>
      </w:r>
      <w:r w:rsidR="00F76167">
        <w:t xml:space="preserve">, the </w:t>
      </w:r>
      <w:r w:rsidR="00820E52">
        <w:t>service provider</w:t>
      </w:r>
      <w:r w:rsidR="000F7BD5">
        <w:t xml:space="preserve"> </w:t>
      </w:r>
      <w:r w:rsidR="00F76167">
        <w:t xml:space="preserve">has flexibility to use its depreciation allowance to fund short term costs. Where the </w:t>
      </w:r>
      <w:r w:rsidR="00820E52">
        <w:t>service provider</w:t>
      </w:r>
      <w:r w:rsidR="000F7BD5">
        <w:t xml:space="preserve"> </w:t>
      </w:r>
      <w:r w:rsidR="00F76167">
        <w:t xml:space="preserve">faces </w:t>
      </w:r>
      <w:r w:rsidR="00860DB1">
        <w:t>cash flow issues</w:t>
      </w:r>
      <w:r w:rsidR="00F76167">
        <w:t xml:space="preserve">, it could therefore use the depreciation allowance in the short term to manage these </w:t>
      </w:r>
      <w:r w:rsidR="00860DB1">
        <w:t>issues</w:t>
      </w:r>
      <w:r w:rsidR="00F76167">
        <w:t>. We advised RSM Bird Cameron that this was a reasonable assumption to use in its analysis.</w:t>
      </w:r>
    </w:p>
    <w:p w:rsidR="00F76167" w:rsidRPr="00BA1DAD" w:rsidRDefault="00F76167" w:rsidP="0027092E">
      <w:r>
        <w:t xml:space="preserve">RSM Bird Cameron has estimated both operating cash flows and cash flows prior to external equity raised to exclude the regulatory depreciation allowance. It has then addressed in its conclusions the extent to which </w:t>
      </w:r>
      <w:r w:rsidR="009B4819">
        <w:t>Endeavour Energy</w:t>
      </w:r>
      <w:r>
        <w:t xml:space="preserve"> would need to use a proportion of its regulatory depreciation allowance to fund its short term financial obligations. We are satisfied that this interpretation of the depreciation</w:t>
      </w:r>
      <w:r w:rsidR="009C5FB7">
        <w:t xml:space="preserve"> allowance</w:t>
      </w:r>
      <w:r>
        <w:t xml:space="preserve"> is reasonable, and that RSM Bird Cameron's conclusions make reasonable use of the </w:t>
      </w:r>
      <w:bookmarkStart w:id="19" w:name="_GoBack"/>
      <w:bookmarkEnd w:id="19"/>
      <w:r>
        <w:t>assumptions provided.</w:t>
      </w:r>
    </w:p>
    <w:sectPr w:rsidR="00F76167" w:rsidRPr="00BA1DAD"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1CF" w:rsidRPr="00290C63" w:rsidRDefault="009801CF" w:rsidP="00290C63">
      <w:r>
        <w:separator/>
      </w:r>
    </w:p>
    <w:p w:rsidR="009801CF" w:rsidRDefault="009801CF"/>
  </w:endnote>
  <w:endnote w:type="continuationSeparator" w:id="0">
    <w:p w:rsidR="009801CF" w:rsidRPr="00290C63" w:rsidRDefault="009801CF" w:rsidP="00290C63">
      <w:r>
        <w:continuationSeparator/>
      </w:r>
    </w:p>
    <w:p w:rsidR="009801CF" w:rsidRDefault="00980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CF" w:rsidRPr="00290C63" w:rsidRDefault="009801C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801CF" w:rsidRDefault="009801CF"/>
  <w:p w:rsidR="009801CF" w:rsidRDefault="009801CF"/>
  <w:p w:rsidR="009801CF" w:rsidRDefault="009801CF"/>
  <w:p w:rsidR="009801CF" w:rsidRDefault="009801CF"/>
  <w:p w:rsidR="009801CF" w:rsidRDefault="009801CF"/>
  <w:p w:rsidR="009801CF" w:rsidRDefault="009801CF"/>
  <w:p w:rsidR="009801CF" w:rsidRDefault="009801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9801CF" w:rsidRPr="009B6F84" w:rsidRDefault="009801CF">
        <w:pPr>
          <w:pStyle w:val="Footer"/>
          <w:rPr>
            <w:sz w:val="20"/>
          </w:rPr>
        </w:pPr>
        <w:r>
          <w:fldChar w:fldCharType="begin"/>
        </w:r>
        <w:r>
          <w:instrText xml:space="preserve"> PAGE   \* MERGEFORMAT </w:instrText>
        </w:r>
        <w:r>
          <w:fldChar w:fldCharType="separate"/>
        </w:r>
        <w:r w:rsidR="006975E6">
          <w:rPr>
            <w:noProof/>
          </w:rPr>
          <w:t>19-14</w:t>
        </w:r>
        <w:r>
          <w:rPr>
            <w:noProof/>
          </w:rPr>
          <w:fldChar w:fldCharType="end"/>
        </w:r>
        <w:r>
          <w:rPr>
            <w:noProof/>
          </w:rPr>
          <w:t xml:space="preserve">          </w:t>
        </w:r>
        <w:r w:rsidRPr="00825985">
          <w:t xml:space="preserve">Attachment </w:t>
        </w:r>
        <w:r w:rsidR="000F7BD5">
          <w:t xml:space="preserve">19 </w:t>
        </w:r>
        <w:r w:rsidRPr="00825985">
          <w:t xml:space="preserve">– </w:t>
        </w:r>
        <w:r>
          <w:t>Analysis of financial viability</w:t>
        </w:r>
        <w:r w:rsidRPr="00201F98">
          <w:t xml:space="preserve"> </w:t>
        </w:r>
        <w:r w:rsidRPr="009B6F84">
          <w:rPr>
            <w:rFonts w:cs="Gautami"/>
            <w:noProof/>
            <w:szCs w:val="16"/>
          </w:rPr>
          <w:t xml:space="preserve">| </w:t>
        </w:r>
        <w:r>
          <w:rPr>
            <w:rFonts w:cs="Gautami"/>
            <w:noProof/>
            <w:szCs w:val="16"/>
          </w:rPr>
          <w:t>Endeavour Energy</w:t>
        </w:r>
        <w:r w:rsidRPr="009B6F84">
          <w:rPr>
            <w:rFonts w:cs="Gautami"/>
            <w:noProof/>
            <w:szCs w:val="16"/>
          </w:rPr>
          <w:t xml:space="preserve"> Final decision</w:t>
        </w:r>
        <w:r w:rsidRPr="009B6F84">
          <w:rPr>
            <w:sz w:val="20"/>
          </w:rPr>
          <w:t xml:space="preserve"> </w:t>
        </w:r>
        <w:r w:rsidRPr="009B6F84">
          <w:rPr>
            <w:rFonts w:cs="Gautami"/>
            <w:noProof/>
            <w:szCs w:val="16"/>
          </w:rPr>
          <w:t>2015–19</w:t>
        </w:r>
      </w:p>
    </w:sdtContent>
  </w:sdt>
  <w:p w:rsidR="009801CF" w:rsidRDefault="009801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CF" w:rsidRPr="00290C63" w:rsidRDefault="009801C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801CF" w:rsidRDefault="009801CF">
    <w:pPr>
      <w:pStyle w:val="Footer"/>
    </w:pPr>
  </w:p>
  <w:p w:rsidR="009801CF" w:rsidRDefault="009801CF"/>
  <w:p w:rsidR="009801CF" w:rsidRDefault="009801CF"/>
  <w:p w:rsidR="009801CF" w:rsidRDefault="009801CF"/>
  <w:p w:rsidR="009801CF" w:rsidRDefault="009801CF"/>
  <w:p w:rsidR="009801CF" w:rsidRDefault="009801CF"/>
  <w:p w:rsidR="009801CF" w:rsidRDefault="009801CF"/>
  <w:p w:rsidR="009801CF" w:rsidRDefault="009801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1CF" w:rsidRPr="00290C63" w:rsidRDefault="009801CF" w:rsidP="00290C63">
      <w:r>
        <w:separator/>
      </w:r>
    </w:p>
    <w:p w:rsidR="009801CF" w:rsidRDefault="009801CF"/>
  </w:footnote>
  <w:footnote w:type="continuationSeparator" w:id="0">
    <w:p w:rsidR="009801CF" w:rsidRPr="00290C63" w:rsidRDefault="009801CF" w:rsidP="00290C63">
      <w:r>
        <w:continuationSeparator/>
      </w:r>
    </w:p>
    <w:p w:rsidR="009801CF" w:rsidRDefault="009801CF"/>
  </w:footnote>
  <w:footnote w:id="1">
    <w:p w:rsidR="009801CF" w:rsidRDefault="009801CF">
      <w:pPr>
        <w:pStyle w:val="FootnoteText"/>
      </w:pPr>
      <w:r>
        <w:rPr>
          <w:rStyle w:val="FootnoteReference"/>
        </w:rPr>
        <w:footnoteRef/>
      </w:r>
      <w:r>
        <w:t xml:space="preserve"> </w:t>
      </w:r>
      <w:r>
        <w:tab/>
      </w:r>
      <w:r w:rsidRPr="009801CF">
        <w:t xml:space="preserve">David Newbery, </w:t>
      </w:r>
      <w:r w:rsidRPr="00B5567F">
        <w:rPr>
          <w:rStyle w:val="AERtextitalic"/>
        </w:rPr>
        <w:t>Cambridge Economic Policy Associates: Expert Report</w:t>
      </w:r>
      <w:r w:rsidRPr="009801CF">
        <w:t>, January 2015.</w:t>
      </w:r>
    </w:p>
  </w:footnote>
  <w:footnote w:id="2">
    <w:p w:rsidR="009801CF" w:rsidRDefault="009801CF">
      <w:pPr>
        <w:pStyle w:val="FootnoteText"/>
      </w:pPr>
      <w:r>
        <w:rPr>
          <w:rStyle w:val="FootnoteReference"/>
        </w:rPr>
        <w:footnoteRef/>
      </w:r>
      <w:r>
        <w:t xml:space="preserve"> </w:t>
      </w:r>
      <w:r>
        <w:tab/>
      </w:r>
      <w:r w:rsidRPr="009801CF">
        <w:t xml:space="preserve">S&amp;P, </w:t>
      </w:r>
      <w:r w:rsidRPr="00B5567F">
        <w:rPr>
          <w:rStyle w:val="AERtextitalic"/>
        </w:rPr>
        <w:t xml:space="preserve">Confidential credit assessment: </w:t>
      </w:r>
      <w:r w:rsidR="00EA10C9" w:rsidRPr="00B5567F">
        <w:rPr>
          <w:rStyle w:val="AERtextitalic"/>
        </w:rPr>
        <w:t>Endeavour Energy</w:t>
      </w:r>
      <w:r w:rsidRPr="00B5567F">
        <w:rPr>
          <w:rStyle w:val="AERtextitalic"/>
        </w:rPr>
        <w:t>—Stand-alone credit profile</w:t>
      </w:r>
      <w:r w:rsidRPr="009801CF">
        <w:t>, January 2015.</w:t>
      </w:r>
    </w:p>
  </w:footnote>
  <w:footnote w:id="3">
    <w:p w:rsidR="009801CF" w:rsidRDefault="009801CF">
      <w:pPr>
        <w:pStyle w:val="FootnoteText"/>
      </w:pPr>
      <w:r>
        <w:rPr>
          <w:rStyle w:val="FootnoteReference"/>
        </w:rPr>
        <w:footnoteRef/>
      </w:r>
      <w:r>
        <w:t xml:space="preserve"> </w:t>
      </w:r>
      <w:r>
        <w:tab/>
      </w:r>
      <w:r w:rsidRPr="009801CF">
        <w:t xml:space="preserve">UBS, </w:t>
      </w:r>
      <w:proofErr w:type="spellStart"/>
      <w:r w:rsidRPr="00B5567F">
        <w:rPr>
          <w:rStyle w:val="AERtextitalic"/>
        </w:rPr>
        <w:t>Financeability</w:t>
      </w:r>
      <w:proofErr w:type="spellEnd"/>
      <w:r w:rsidRPr="00B5567F">
        <w:rPr>
          <w:rStyle w:val="AERtextitalic"/>
        </w:rPr>
        <w:t>— Debt issue and capital structure (Confidential version)</w:t>
      </w:r>
      <w:r w:rsidRPr="009801CF">
        <w:t>, January 2015</w:t>
      </w:r>
      <w:r>
        <w:t>.</w:t>
      </w:r>
    </w:p>
  </w:footnote>
  <w:footnote w:id="4">
    <w:p w:rsidR="009801CF" w:rsidRDefault="009801CF" w:rsidP="00B70AD6">
      <w:pPr>
        <w:pStyle w:val="FootnoteText"/>
      </w:pPr>
      <w:r>
        <w:rPr>
          <w:rStyle w:val="FootnoteReference"/>
        </w:rPr>
        <w:footnoteRef/>
      </w:r>
      <w:r>
        <w:t xml:space="preserve"> </w:t>
      </w:r>
      <w:r>
        <w:tab/>
      </w:r>
      <w:r w:rsidRPr="00B70AD6">
        <w:t>For example, RARE infrastructure submitted that "[t]here are many characteristics of the Australian Regulatory framework that makes its energy network pote</w:t>
      </w:r>
      <w:r>
        <w:t>ntially attractive investments"</w:t>
      </w:r>
      <w:r w:rsidR="00820E52">
        <w:t xml:space="preserve">. </w:t>
      </w:r>
      <w:r>
        <w:t xml:space="preserve"> RARE Infrastructure, </w:t>
      </w:r>
      <w:r w:rsidRPr="00535147">
        <w:rPr>
          <w:rStyle w:val="AERtextitalic"/>
        </w:rPr>
        <w:t>Letter to the AER</w:t>
      </w:r>
      <w:r>
        <w:t>, 13 February 2015.</w:t>
      </w:r>
    </w:p>
  </w:footnote>
  <w:footnote w:id="5">
    <w:p w:rsidR="009801CF" w:rsidRDefault="009801CF" w:rsidP="0010143F">
      <w:pPr>
        <w:pStyle w:val="FootnoteText"/>
      </w:pPr>
      <w:r>
        <w:rPr>
          <w:rStyle w:val="FootnoteReference"/>
        </w:rPr>
        <w:footnoteRef/>
      </w:r>
      <w:r>
        <w:t xml:space="preserve"> </w:t>
      </w:r>
      <w:r>
        <w:tab/>
        <w:t xml:space="preserve">Moody's Investors Service, </w:t>
      </w:r>
      <w:r w:rsidRPr="00361F04">
        <w:rPr>
          <w:rStyle w:val="AERtextitalic"/>
        </w:rPr>
        <w:t>Rating methodology: Regulated electric and gas networks</w:t>
      </w:r>
      <w:proofErr w:type="gramStart"/>
      <w:r>
        <w:t>,  25</w:t>
      </w:r>
      <w:proofErr w:type="gramEnd"/>
      <w:r>
        <w:t xml:space="preserve"> November 2014, p.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A32DD1"/>
    <w:multiLevelType w:val="hybridMultilevel"/>
    <w:tmpl w:val="A90E0F30"/>
    <w:lvl w:ilvl="0" w:tplc="CB7CE97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443C4470"/>
    <w:lvl w:ilvl="0">
      <w:start w:val="1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4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0"/>
  </w:num>
  <w:num w:numId="15">
    <w:abstractNumId w:val="13"/>
  </w:num>
  <w:num w:numId="16">
    <w:abstractNumId w:val="30"/>
  </w:num>
  <w:num w:numId="17">
    <w:abstractNumId w:val="9"/>
  </w:num>
  <w:num w:numId="18">
    <w:abstractNumId w:val="19"/>
  </w:num>
  <w:num w:numId="19">
    <w:abstractNumId w:val="31"/>
  </w:num>
  <w:num w:numId="20">
    <w:abstractNumId w:val="38"/>
  </w:num>
  <w:num w:numId="21">
    <w:abstractNumId w:val="14"/>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8"/>
  </w:num>
  <w:num w:numId="30">
    <w:abstractNumId w:val="39"/>
  </w:num>
  <w:num w:numId="31">
    <w:abstractNumId w:val="15"/>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2"/>
  </w:num>
  <w:num w:numId="40">
    <w:abstractNumId w:val="35"/>
  </w:num>
  <w:num w:numId="41">
    <w:abstractNumId w:val="35"/>
  </w:num>
  <w:num w:numId="42">
    <w:abstractNumId w:val="27"/>
  </w:num>
  <w:num w:numId="43">
    <w:abstractNumId w:val="17"/>
  </w:num>
  <w:num w:numId="44">
    <w:abstractNumId w:val="28"/>
  </w:num>
  <w:num w:numId="45">
    <w:abstractNumId w:val="24"/>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3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xHq39OFG8Ps3Se3+qw/c9jnrnHB0ht1djbskX4gRqFw=" w:saltValue="g27XEeOYBCxu3EAxTADMIw==" w:algorithmName="SHA-256"/>
  <w:defaultTabStop w:val="34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416\D15 53075  AER - Final decision Endeavour Energy distribution determination - Attachment 19 - Analysis of financial viability - April 2015.DOCX"/>
  </w:docVars>
  <w:rsids>
    <w:rsidRoot w:val="00961A4A"/>
    <w:rsid w:val="00010286"/>
    <w:rsid w:val="000145F1"/>
    <w:rsid w:val="00021202"/>
    <w:rsid w:val="00021C2B"/>
    <w:rsid w:val="0002517F"/>
    <w:rsid w:val="00031976"/>
    <w:rsid w:val="0003265D"/>
    <w:rsid w:val="0003578C"/>
    <w:rsid w:val="00053EDC"/>
    <w:rsid w:val="000549C9"/>
    <w:rsid w:val="00062536"/>
    <w:rsid w:val="00063247"/>
    <w:rsid w:val="00070F9F"/>
    <w:rsid w:val="0007137B"/>
    <w:rsid w:val="000802DD"/>
    <w:rsid w:val="00082A84"/>
    <w:rsid w:val="00085663"/>
    <w:rsid w:val="00085EBF"/>
    <w:rsid w:val="00085FB8"/>
    <w:rsid w:val="000905B8"/>
    <w:rsid w:val="00091B15"/>
    <w:rsid w:val="000A3020"/>
    <w:rsid w:val="000A5621"/>
    <w:rsid w:val="000A6C7B"/>
    <w:rsid w:val="000B29CE"/>
    <w:rsid w:val="000C2B40"/>
    <w:rsid w:val="000D122C"/>
    <w:rsid w:val="000D7B79"/>
    <w:rsid w:val="000E1819"/>
    <w:rsid w:val="000E1AD4"/>
    <w:rsid w:val="000E4821"/>
    <w:rsid w:val="000E6C72"/>
    <w:rsid w:val="000F094E"/>
    <w:rsid w:val="000F0B2B"/>
    <w:rsid w:val="000F7BD5"/>
    <w:rsid w:val="0010143F"/>
    <w:rsid w:val="00116EB2"/>
    <w:rsid w:val="00120348"/>
    <w:rsid w:val="0012209D"/>
    <w:rsid w:val="00124609"/>
    <w:rsid w:val="00126A4C"/>
    <w:rsid w:val="00140179"/>
    <w:rsid w:val="0014573B"/>
    <w:rsid w:val="00147B3C"/>
    <w:rsid w:val="001573E4"/>
    <w:rsid w:val="00160756"/>
    <w:rsid w:val="0017232E"/>
    <w:rsid w:val="00174102"/>
    <w:rsid w:val="001754EE"/>
    <w:rsid w:val="00180157"/>
    <w:rsid w:val="00185CB9"/>
    <w:rsid w:val="00186F77"/>
    <w:rsid w:val="001926A4"/>
    <w:rsid w:val="00192AD5"/>
    <w:rsid w:val="00194067"/>
    <w:rsid w:val="001A5AA2"/>
    <w:rsid w:val="001B45A0"/>
    <w:rsid w:val="001D055E"/>
    <w:rsid w:val="001E0E4E"/>
    <w:rsid w:val="001F0259"/>
    <w:rsid w:val="001F05A4"/>
    <w:rsid w:val="001F2CFB"/>
    <w:rsid w:val="001F492E"/>
    <w:rsid w:val="001F6DA3"/>
    <w:rsid w:val="002001B7"/>
    <w:rsid w:val="002010BC"/>
    <w:rsid w:val="002016E7"/>
    <w:rsid w:val="00201F98"/>
    <w:rsid w:val="00202257"/>
    <w:rsid w:val="00202E03"/>
    <w:rsid w:val="0020478D"/>
    <w:rsid w:val="0020492C"/>
    <w:rsid w:val="00213773"/>
    <w:rsid w:val="00224DB9"/>
    <w:rsid w:val="00232B3D"/>
    <w:rsid w:val="00233775"/>
    <w:rsid w:val="00251745"/>
    <w:rsid w:val="00263AC0"/>
    <w:rsid w:val="00264264"/>
    <w:rsid w:val="00264DBF"/>
    <w:rsid w:val="0026772D"/>
    <w:rsid w:val="0027092E"/>
    <w:rsid w:val="00284CF0"/>
    <w:rsid w:val="00286874"/>
    <w:rsid w:val="00290C63"/>
    <w:rsid w:val="00296B65"/>
    <w:rsid w:val="002A7DEF"/>
    <w:rsid w:val="002B49A3"/>
    <w:rsid w:val="002C233C"/>
    <w:rsid w:val="002C5417"/>
    <w:rsid w:val="002D72E8"/>
    <w:rsid w:val="002E7B22"/>
    <w:rsid w:val="002F1082"/>
    <w:rsid w:val="002F7986"/>
    <w:rsid w:val="00301B40"/>
    <w:rsid w:val="003029EE"/>
    <w:rsid w:val="0030370B"/>
    <w:rsid w:val="00305CC8"/>
    <w:rsid w:val="00307F6D"/>
    <w:rsid w:val="003142CC"/>
    <w:rsid w:val="003177A2"/>
    <w:rsid w:val="003271B5"/>
    <w:rsid w:val="00327A1E"/>
    <w:rsid w:val="00331264"/>
    <w:rsid w:val="003339D8"/>
    <w:rsid w:val="00334C8D"/>
    <w:rsid w:val="00343A18"/>
    <w:rsid w:val="0034686F"/>
    <w:rsid w:val="003518B3"/>
    <w:rsid w:val="00352110"/>
    <w:rsid w:val="00353522"/>
    <w:rsid w:val="0037599A"/>
    <w:rsid w:val="003846F1"/>
    <w:rsid w:val="003976F1"/>
    <w:rsid w:val="003A7B49"/>
    <w:rsid w:val="003B484F"/>
    <w:rsid w:val="003B5A20"/>
    <w:rsid w:val="003B7FBA"/>
    <w:rsid w:val="003E20B0"/>
    <w:rsid w:val="003F174D"/>
    <w:rsid w:val="0040133C"/>
    <w:rsid w:val="00403AC0"/>
    <w:rsid w:val="00415F31"/>
    <w:rsid w:val="00423A77"/>
    <w:rsid w:val="00434F97"/>
    <w:rsid w:val="00443A9D"/>
    <w:rsid w:val="00451A72"/>
    <w:rsid w:val="0045777E"/>
    <w:rsid w:val="0047417B"/>
    <w:rsid w:val="00480B4B"/>
    <w:rsid w:val="0048528E"/>
    <w:rsid w:val="00485DC4"/>
    <w:rsid w:val="00496960"/>
    <w:rsid w:val="004A3311"/>
    <w:rsid w:val="004A43D1"/>
    <w:rsid w:val="004B0941"/>
    <w:rsid w:val="004B4412"/>
    <w:rsid w:val="004C0091"/>
    <w:rsid w:val="004C348C"/>
    <w:rsid w:val="004C7E6B"/>
    <w:rsid w:val="004D0418"/>
    <w:rsid w:val="004D55BA"/>
    <w:rsid w:val="004E22EC"/>
    <w:rsid w:val="004F6A0E"/>
    <w:rsid w:val="005155B4"/>
    <w:rsid w:val="00525AB0"/>
    <w:rsid w:val="00527003"/>
    <w:rsid w:val="00530128"/>
    <w:rsid w:val="005305CB"/>
    <w:rsid w:val="00532467"/>
    <w:rsid w:val="00541B34"/>
    <w:rsid w:val="00546E66"/>
    <w:rsid w:val="00564A4D"/>
    <w:rsid w:val="00567BA5"/>
    <w:rsid w:val="00571B35"/>
    <w:rsid w:val="00571D57"/>
    <w:rsid w:val="00577A09"/>
    <w:rsid w:val="005829C2"/>
    <w:rsid w:val="00582AE9"/>
    <w:rsid w:val="00584414"/>
    <w:rsid w:val="00584D8F"/>
    <w:rsid w:val="00595753"/>
    <w:rsid w:val="00596674"/>
    <w:rsid w:val="005A404D"/>
    <w:rsid w:val="005B1E3C"/>
    <w:rsid w:val="005B5B9D"/>
    <w:rsid w:val="005B704A"/>
    <w:rsid w:val="005C1225"/>
    <w:rsid w:val="005C26CC"/>
    <w:rsid w:val="005C380F"/>
    <w:rsid w:val="005C55C9"/>
    <w:rsid w:val="005D7BA2"/>
    <w:rsid w:val="005E36C2"/>
    <w:rsid w:val="005E3E8F"/>
    <w:rsid w:val="006007DE"/>
    <w:rsid w:val="00607B37"/>
    <w:rsid w:val="00610EF9"/>
    <w:rsid w:val="00612F4F"/>
    <w:rsid w:val="00615C6B"/>
    <w:rsid w:val="00617B0C"/>
    <w:rsid w:val="00621DCE"/>
    <w:rsid w:val="00623065"/>
    <w:rsid w:val="00632D6D"/>
    <w:rsid w:val="00634C3E"/>
    <w:rsid w:val="00642C3E"/>
    <w:rsid w:val="00645E94"/>
    <w:rsid w:val="0066104A"/>
    <w:rsid w:val="00663DAD"/>
    <w:rsid w:val="00675E20"/>
    <w:rsid w:val="00676679"/>
    <w:rsid w:val="00683876"/>
    <w:rsid w:val="00683C89"/>
    <w:rsid w:val="006975E6"/>
    <w:rsid w:val="006B2395"/>
    <w:rsid w:val="006B4C21"/>
    <w:rsid w:val="006B4CF9"/>
    <w:rsid w:val="006B4FF9"/>
    <w:rsid w:val="006B7AC8"/>
    <w:rsid w:val="006C1736"/>
    <w:rsid w:val="006C4042"/>
    <w:rsid w:val="006D3530"/>
    <w:rsid w:val="006D550F"/>
    <w:rsid w:val="006E2722"/>
    <w:rsid w:val="006E7EB9"/>
    <w:rsid w:val="006F79D5"/>
    <w:rsid w:val="0070011E"/>
    <w:rsid w:val="00701CAB"/>
    <w:rsid w:val="00707563"/>
    <w:rsid w:val="0072348C"/>
    <w:rsid w:val="00723ADF"/>
    <w:rsid w:val="00724A37"/>
    <w:rsid w:val="007303C3"/>
    <w:rsid w:val="007402BC"/>
    <w:rsid w:val="0074241F"/>
    <w:rsid w:val="007429BE"/>
    <w:rsid w:val="00743223"/>
    <w:rsid w:val="00746E01"/>
    <w:rsid w:val="00747EEA"/>
    <w:rsid w:val="00757364"/>
    <w:rsid w:val="00757BDF"/>
    <w:rsid w:val="007609D0"/>
    <w:rsid w:val="00761593"/>
    <w:rsid w:val="00763E5D"/>
    <w:rsid w:val="00767740"/>
    <w:rsid w:val="00774022"/>
    <w:rsid w:val="00776EEB"/>
    <w:rsid w:val="00777EE6"/>
    <w:rsid w:val="00782EEA"/>
    <w:rsid w:val="00787316"/>
    <w:rsid w:val="007875B5"/>
    <w:rsid w:val="007879E0"/>
    <w:rsid w:val="007B022A"/>
    <w:rsid w:val="007B12C8"/>
    <w:rsid w:val="007B186E"/>
    <w:rsid w:val="007B2C72"/>
    <w:rsid w:val="007B3647"/>
    <w:rsid w:val="007C1C53"/>
    <w:rsid w:val="007C66F9"/>
    <w:rsid w:val="007C74BB"/>
    <w:rsid w:val="007D456E"/>
    <w:rsid w:val="007E4904"/>
    <w:rsid w:val="007E4CB5"/>
    <w:rsid w:val="007F066B"/>
    <w:rsid w:val="00801470"/>
    <w:rsid w:val="008033C4"/>
    <w:rsid w:val="00806C88"/>
    <w:rsid w:val="0081034E"/>
    <w:rsid w:val="00820E52"/>
    <w:rsid w:val="008221F2"/>
    <w:rsid w:val="00824D60"/>
    <w:rsid w:val="00825985"/>
    <w:rsid w:val="008344F6"/>
    <w:rsid w:val="0083510F"/>
    <w:rsid w:val="00851209"/>
    <w:rsid w:val="0085722A"/>
    <w:rsid w:val="00860DB1"/>
    <w:rsid w:val="008629E2"/>
    <w:rsid w:val="008742AA"/>
    <w:rsid w:val="008837AC"/>
    <w:rsid w:val="0089433F"/>
    <w:rsid w:val="00895142"/>
    <w:rsid w:val="008954F1"/>
    <w:rsid w:val="00897563"/>
    <w:rsid w:val="008A4188"/>
    <w:rsid w:val="008A587D"/>
    <w:rsid w:val="008B35CD"/>
    <w:rsid w:val="008B5FCC"/>
    <w:rsid w:val="008C1D4D"/>
    <w:rsid w:val="008C3374"/>
    <w:rsid w:val="008C5486"/>
    <w:rsid w:val="008C75FB"/>
    <w:rsid w:val="008D1661"/>
    <w:rsid w:val="008D6800"/>
    <w:rsid w:val="008E56F3"/>
    <w:rsid w:val="008E7031"/>
    <w:rsid w:val="008E77DE"/>
    <w:rsid w:val="008F07A3"/>
    <w:rsid w:val="008F34DD"/>
    <w:rsid w:val="008F69D5"/>
    <w:rsid w:val="009001B6"/>
    <w:rsid w:val="00900E1B"/>
    <w:rsid w:val="00901C3C"/>
    <w:rsid w:val="00917734"/>
    <w:rsid w:val="009233EE"/>
    <w:rsid w:val="00935C18"/>
    <w:rsid w:val="00936340"/>
    <w:rsid w:val="009460AA"/>
    <w:rsid w:val="009470D9"/>
    <w:rsid w:val="00947FD9"/>
    <w:rsid w:val="00951978"/>
    <w:rsid w:val="00957837"/>
    <w:rsid w:val="00961A4A"/>
    <w:rsid w:val="00963AA6"/>
    <w:rsid w:val="009661DE"/>
    <w:rsid w:val="00973DBE"/>
    <w:rsid w:val="009801CF"/>
    <w:rsid w:val="00983C25"/>
    <w:rsid w:val="009856B7"/>
    <w:rsid w:val="00985C86"/>
    <w:rsid w:val="009872FD"/>
    <w:rsid w:val="00992736"/>
    <w:rsid w:val="009A56D1"/>
    <w:rsid w:val="009A5FC3"/>
    <w:rsid w:val="009A6262"/>
    <w:rsid w:val="009B4819"/>
    <w:rsid w:val="009B6F84"/>
    <w:rsid w:val="009B74B0"/>
    <w:rsid w:val="009C48F3"/>
    <w:rsid w:val="009C5FB7"/>
    <w:rsid w:val="009D3906"/>
    <w:rsid w:val="009D6B46"/>
    <w:rsid w:val="009D71E4"/>
    <w:rsid w:val="009F4940"/>
    <w:rsid w:val="009F5BA1"/>
    <w:rsid w:val="00A02A88"/>
    <w:rsid w:val="00A0562E"/>
    <w:rsid w:val="00A0726D"/>
    <w:rsid w:val="00A32FBB"/>
    <w:rsid w:val="00A34C76"/>
    <w:rsid w:val="00A428EE"/>
    <w:rsid w:val="00A4478A"/>
    <w:rsid w:val="00A44852"/>
    <w:rsid w:val="00A50502"/>
    <w:rsid w:val="00A57D04"/>
    <w:rsid w:val="00A60A26"/>
    <w:rsid w:val="00A61598"/>
    <w:rsid w:val="00A65BDC"/>
    <w:rsid w:val="00A83674"/>
    <w:rsid w:val="00A84A99"/>
    <w:rsid w:val="00A84F46"/>
    <w:rsid w:val="00A871F4"/>
    <w:rsid w:val="00A9419F"/>
    <w:rsid w:val="00AA252B"/>
    <w:rsid w:val="00AB2C7D"/>
    <w:rsid w:val="00AC1B2C"/>
    <w:rsid w:val="00AC3264"/>
    <w:rsid w:val="00AC4EBD"/>
    <w:rsid w:val="00AC64CF"/>
    <w:rsid w:val="00AD09D3"/>
    <w:rsid w:val="00AE1BF1"/>
    <w:rsid w:val="00AF0DD2"/>
    <w:rsid w:val="00B058C1"/>
    <w:rsid w:val="00B13048"/>
    <w:rsid w:val="00B1716D"/>
    <w:rsid w:val="00B17A1D"/>
    <w:rsid w:val="00B207A0"/>
    <w:rsid w:val="00B41EEF"/>
    <w:rsid w:val="00B42DF6"/>
    <w:rsid w:val="00B457D5"/>
    <w:rsid w:val="00B514DD"/>
    <w:rsid w:val="00B52AF0"/>
    <w:rsid w:val="00B53E52"/>
    <w:rsid w:val="00B5567F"/>
    <w:rsid w:val="00B561BD"/>
    <w:rsid w:val="00B56E03"/>
    <w:rsid w:val="00B70AD6"/>
    <w:rsid w:val="00B8080B"/>
    <w:rsid w:val="00B80C8B"/>
    <w:rsid w:val="00B82223"/>
    <w:rsid w:val="00B83141"/>
    <w:rsid w:val="00B86857"/>
    <w:rsid w:val="00B87BA5"/>
    <w:rsid w:val="00B87C39"/>
    <w:rsid w:val="00B9562D"/>
    <w:rsid w:val="00BA1DAD"/>
    <w:rsid w:val="00BA4665"/>
    <w:rsid w:val="00BB2AEC"/>
    <w:rsid w:val="00BB2FB2"/>
    <w:rsid w:val="00BB3304"/>
    <w:rsid w:val="00BB5C2B"/>
    <w:rsid w:val="00BD019A"/>
    <w:rsid w:val="00BD3446"/>
    <w:rsid w:val="00BD7F37"/>
    <w:rsid w:val="00BE1F1B"/>
    <w:rsid w:val="00BE47B5"/>
    <w:rsid w:val="00BE6497"/>
    <w:rsid w:val="00BF7A9C"/>
    <w:rsid w:val="00C04223"/>
    <w:rsid w:val="00C25FA6"/>
    <w:rsid w:val="00C3182C"/>
    <w:rsid w:val="00C36D5C"/>
    <w:rsid w:val="00C52742"/>
    <w:rsid w:val="00C538A9"/>
    <w:rsid w:val="00C53B5A"/>
    <w:rsid w:val="00C54F5A"/>
    <w:rsid w:val="00C569B4"/>
    <w:rsid w:val="00C675AD"/>
    <w:rsid w:val="00C67A92"/>
    <w:rsid w:val="00C84560"/>
    <w:rsid w:val="00C86679"/>
    <w:rsid w:val="00C92657"/>
    <w:rsid w:val="00CA489E"/>
    <w:rsid w:val="00CB0279"/>
    <w:rsid w:val="00CB0A88"/>
    <w:rsid w:val="00CB666B"/>
    <w:rsid w:val="00CC059D"/>
    <w:rsid w:val="00CC7F1D"/>
    <w:rsid w:val="00CE484B"/>
    <w:rsid w:val="00CF0DEE"/>
    <w:rsid w:val="00CF53D5"/>
    <w:rsid w:val="00D006AE"/>
    <w:rsid w:val="00D00C53"/>
    <w:rsid w:val="00D01260"/>
    <w:rsid w:val="00D01CF0"/>
    <w:rsid w:val="00D035C3"/>
    <w:rsid w:val="00D0442A"/>
    <w:rsid w:val="00D22402"/>
    <w:rsid w:val="00D26107"/>
    <w:rsid w:val="00D33364"/>
    <w:rsid w:val="00D42E17"/>
    <w:rsid w:val="00D61388"/>
    <w:rsid w:val="00D61A54"/>
    <w:rsid w:val="00D62C6C"/>
    <w:rsid w:val="00D64DEA"/>
    <w:rsid w:val="00D7168E"/>
    <w:rsid w:val="00D71E57"/>
    <w:rsid w:val="00D72391"/>
    <w:rsid w:val="00D80893"/>
    <w:rsid w:val="00D84854"/>
    <w:rsid w:val="00D848B4"/>
    <w:rsid w:val="00D86E31"/>
    <w:rsid w:val="00D91D6A"/>
    <w:rsid w:val="00D92CF1"/>
    <w:rsid w:val="00D92D38"/>
    <w:rsid w:val="00D950F5"/>
    <w:rsid w:val="00D955C7"/>
    <w:rsid w:val="00DA0E23"/>
    <w:rsid w:val="00DA4752"/>
    <w:rsid w:val="00DA61F3"/>
    <w:rsid w:val="00DA67BB"/>
    <w:rsid w:val="00DB0F93"/>
    <w:rsid w:val="00DB1A67"/>
    <w:rsid w:val="00DB5074"/>
    <w:rsid w:val="00DB5B21"/>
    <w:rsid w:val="00DC7981"/>
    <w:rsid w:val="00DD13F7"/>
    <w:rsid w:val="00DE1093"/>
    <w:rsid w:val="00DE4EFA"/>
    <w:rsid w:val="00DE5520"/>
    <w:rsid w:val="00DE563D"/>
    <w:rsid w:val="00DF0DDE"/>
    <w:rsid w:val="00E04818"/>
    <w:rsid w:val="00E06442"/>
    <w:rsid w:val="00E06BCF"/>
    <w:rsid w:val="00E23993"/>
    <w:rsid w:val="00E25B8C"/>
    <w:rsid w:val="00E52292"/>
    <w:rsid w:val="00E65C85"/>
    <w:rsid w:val="00E66199"/>
    <w:rsid w:val="00E733CA"/>
    <w:rsid w:val="00E755EC"/>
    <w:rsid w:val="00E7624D"/>
    <w:rsid w:val="00E83096"/>
    <w:rsid w:val="00E90376"/>
    <w:rsid w:val="00EA10C9"/>
    <w:rsid w:val="00EA1E8E"/>
    <w:rsid w:val="00EA3D42"/>
    <w:rsid w:val="00EA6B1B"/>
    <w:rsid w:val="00EB606C"/>
    <w:rsid w:val="00EC04F1"/>
    <w:rsid w:val="00ED2F26"/>
    <w:rsid w:val="00ED7323"/>
    <w:rsid w:val="00EE28F3"/>
    <w:rsid w:val="00EE50D1"/>
    <w:rsid w:val="00EF5110"/>
    <w:rsid w:val="00F04534"/>
    <w:rsid w:val="00F10411"/>
    <w:rsid w:val="00F15882"/>
    <w:rsid w:val="00F1638E"/>
    <w:rsid w:val="00F171E0"/>
    <w:rsid w:val="00F20BD3"/>
    <w:rsid w:val="00F373A5"/>
    <w:rsid w:val="00F43D7D"/>
    <w:rsid w:val="00F47559"/>
    <w:rsid w:val="00F61176"/>
    <w:rsid w:val="00F64C7B"/>
    <w:rsid w:val="00F660DD"/>
    <w:rsid w:val="00F676DD"/>
    <w:rsid w:val="00F75A26"/>
    <w:rsid w:val="00F76167"/>
    <w:rsid w:val="00F76706"/>
    <w:rsid w:val="00F768C8"/>
    <w:rsid w:val="00F801A5"/>
    <w:rsid w:val="00F83FAD"/>
    <w:rsid w:val="00F8653A"/>
    <w:rsid w:val="00F92349"/>
    <w:rsid w:val="00F952A0"/>
    <w:rsid w:val="00F969FD"/>
    <w:rsid w:val="00FA14CF"/>
    <w:rsid w:val="00FA3C7F"/>
    <w:rsid w:val="00FB0BB4"/>
    <w:rsid w:val="00FB4402"/>
    <w:rsid w:val="00FB60FE"/>
    <w:rsid w:val="00FB74E2"/>
    <w:rsid w:val="00FB769A"/>
    <w:rsid w:val="00FD2ED2"/>
    <w:rsid w:val="00FD5614"/>
    <w:rsid w:val="00FD5E78"/>
    <w:rsid w:val="00FE084B"/>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FD4D47-1E39-43A9-A8EC-DFA1D356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6C04225C</Template>
  <TotalTime>1</TotalTime>
  <Pages>15</Pages>
  <Words>3926</Words>
  <Characters>22381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Smith, Deanne</dc:creator>
  <cp:lastModifiedBy>Lewis, Andrew</cp:lastModifiedBy>
  <cp:revision>3</cp:revision>
  <cp:lastPrinted>2015-04-28T23:13:00Z</cp:lastPrinted>
  <dcterms:created xsi:type="dcterms:W3CDTF">2015-04-28T06:14:00Z</dcterms:created>
  <dcterms:modified xsi:type="dcterms:W3CDTF">2015-04-28T23:13:00Z</dcterms:modified>
</cp:coreProperties>
</file>